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A1A27A" w14:textId="77777777" w:rsidR="00784DE2" w:rsidRPr="00B12C43" w:rsidRDefault="00784DE2" w:rsidP="00784DE2">
      <w:pPr>
        <w:pStyle w:val="CoverTitle"/>
      </w:pPr>
      <w:bookmarkStart w:id="0" w:name="_GoBack"/>
      <w:bookmarkEnd w:id="0"/>
      <w:r>
        <w:t>Review of the General Miscellaneous Category of the Prostheses List</w:t>
      </w:r>
    </w:p>
    <w:p w14:paraId="3BE2CE74" w14:textId="77777777" w:rsidR="00784DE2" w:rsidRPr="0080218D" w:rsidRDefault="00784DE2" w:rsidP="00784DE2">
      <w:pPr>
        <w:pStyle w:val="CoverSubTitle"/>
      </w:pPr>
      <w:r>
        <w:t>Department of Health</w:t>
      </w:r>
    </w:p>
    <w:p w14:paraId="07171175" w14:textId="77777777" w:rsidR="00784DE2" w:rsidRPr="0080218D" w:rsidRDefault="00784DE2" w:rsidP="00784DE2">
      <w:pPr>
        <w:pStyle w:val="CoverDate"/>
      </w:pPr>
      <w:r>
        <w:t>31 July 2020</w:t>
      </w:r>
    </w:p>
    <w:p w14:paraId="198578AE" w14:textId="77777777" w:rsidR="00477AFA" w:rsidRDefault="00477AFA" w:rsidP="00477AFA"/>
    <w:p w14:paraId="5A91BC7F" w14:textId="57BA1A08" w:rsidR="00784DE2" w:rsidRPr="00926D59" w:rsidRDefault="00784DE2" w:rsidP="00477AFA">
      <w:pPr>
        <w:sectPr w:rsidR="00784DE2" w:rsidRPr="00926D59" w:rsidSect="00784DE2">
          <w:pgSz w:w="11909" w:h="16834" w:code="9"/>
          <w:pgMar w:top="2694" w:right="1418" w:bottom="1418" w:left="1418" w:header="709" w:footer="709" w:gutter="0"/>
          <w:cols w:space="720"/>
          <w:docGrid w:linePitch="360"/>
        </w:sectPr>
      </w:pPr>
    </w:p>
    <w:p w14:paraId="63FF9F7B" w14:textId="58753108" w:rsidR="005F4119" w:rsidRPr="00C67E85" w:rsidRDefault="00B7514B" w:rsidP="00463B2D">
      <w:pPr>
        <w:autoSpaceDE/>
        <w:autoSpaceDN/>
        <w:adjustRightInd/>
        <w:jc w:val="right"/>
        <w:rPr>
          <w:rFonts w:asciiTheme="minorHAnsi" w:hAnsiTheme="minorHAnsi" w:cstheme="minorHAnsi"/>
        </w:rPr>
      </w:pPr>
      <w:r w:rsidRPr="00C67E85">
        <w:rPr>
          <w:rFonts w:asciiTheme="minorHAnsi" w:hAnsiTheme="minorHAnsi" w:cstheme="minorHAnsi"/>
        </w:rPr>
        <w:lastRenderedPageBreak/>
        <w:t>31 July 2020</w:t>
      </w:r>
    </w:p>
    <w:p w14:paraId="7B0D99C4" w14:textId="77777777" w:rsidR="005F4119" w:rsidRPr="00C67E85" w:rsidRDefault="005F4119">
      <w:pPr>
        <w:autoSpaceDE/>
        <w:autoSpaceDN/>
        <w:adjustRightInd/>
        <w:rPr>
          <w:rFonts w:asciiTheme="minorHAnsi" w:hAnsiTheme="minorHAnsi" w:cstheme="minorHAnsi"/>
        </w:rPr>
      </w:pPr>
    </w:p>
    <w:p w14:paraId="1103B9B4" w14:textId="77777777" w:rsidR="005F4119" w:rsidRPr="00C67E85" w:rsidRDefault="005F4119">
      <w:pPr>
        <w:autoSpaceDE/>
        <w:autoSpaceDN/>
        <w:adjustRightInd/>
        <w:rPr>
          <w:rFonts w:asciiTheme="minorHAnsi" w:hAnsiTheme="minorHAnsi" w:cstheme="minorHAnsi"/>
        </w:rPr>
      </w:pPr>
    </w:p>
    <w:p w14:paraId="203083F4" w14:textId="77777777" w:rsidR="00930144" w:rsidRPr="00C67E85" w:rsidRDefault="00930144" w:rsidP="00930144">
      <w:pPr>
        <w:spacing w:line="0" w:lineRule="atLeast"/>
        <w:jc w:val="center"/>
        <w:rPr>
          <w:rFonts w:asciiTheme="minorHAnsi" w:hAnsiTheme="minorHAnsi" w:cstheme="minorHAnsi"/>
          <w:b/>
        </w:rPr>
      </w:pPr>
      <w:r w:rsidRPr="00C67E85">
        <w:rPr>
          <w:rFonts w:asciiTheme="minorHAnsi" w:hAnsiTheme="minorHAnsi" w:cstheme="minorHAnsi"/>
          <w:b/>
        </w:rPr>
        <w:t>RELEASE NOTICE</w:t>
      </w:r>
    </w:p>
    <w:p w14:paraId="0042DD38" w14:textId="77777777" w:rsidR="00930144" w:rsidRPr="00C67E85" w:rsidRDefault="00930144" w:rsidP="00930144">
      <w:pPr>
        <w:spacing w:line="0" w:lineRule="atLeast"/>
        <w:rPr>
          <w:rFonts w:asciiTheme="minorHAnsi" w:hAnsiTheme="minorHAnsi" w:cstheme="minorHAnsi"/>
        </w:rPr>
      </w:pPr>
    </w:p>
    <w:p w14:paraId="202D5BF4" w14:textId="77777777" w:rsidR="00930144" w:rsidRPr="00C67E85" w:rsidRDefault="00930144" w:rsidP="00930144">
      <w:pPr>
        <w:spacing w:line="0" w:lineRule="atLeast"/>
        <w:rPr>
          <w:rFonts w:asciiTheme="minorHAnsi" w:hAnsiTheme="minorHAnsi" w:cstheme="minorHAnsi"/>
        </w:rPr>
      </w:pPr>
    </w:p>
    <w:p w14:paraId="072D525F" w14:textId="3660613A" w:rsidR="00930144" w:rsidRPr="00C67E85" w:rsidRDefault="00930144" w:rsidP="00930144">
      <w:pPr>
        <w:spacing w:line="0" w:lineRule="atLeast"/>
        <w:rPr>
          <w:rFonts w:asciiTheme="minorHAnsi" w:hAnsiTheme="minorHAnsi" w:cstheme="minorHAnsi"/>
        </w:rPr>
      </w:pPr>
      <w:r w:rsidRPr="00C67E85">
        <w:rPr>
          <w:rFonts w:asciiTheme="minorHAnsi" w:hAnsiTheme="minorHAnsi" w:cstheme="minorHAnsi"/>
        </w:rPr>
        <w:t>Ernst &amp; Young ("</w:t>
      </w:r>
      <w:r w:rsidRPr="00C67E85">
        <w:rPr>
          <w:rFonts w:asciiTheme="minorHAnsi" w:hAnsiTheme="minorHAnsi" w:cstheme="minorHAnsi"/>
          <w:b/>
        </w:rPr>
        <w:t>EY</w:t>
      </w:r>
      <w:r w:rsidRPr="00C67E85">
        <w:rPr>
          <w:rFonts w:asciiTheme="minorHAnsi" w:hAnsiTheme="minorHAnsi" w:cstheme="minorHAnsi"/>
        </w:rPr>
        <w:t xml:space="preserve">") was engaged on the instructions of </w:t>
      </w:r>
      <w:r w:rsidR="006D76BC" w:rsidRPr="00C67E85">
        <w:rPr>
          <w:rFonts w:asciiTheme="minorHAnsi" w:hAnsiTheme="minorHAnsi" w:cstheme="minorHAnsi"/>
        </w:rPr>
        <w:t>the Commonwealth</w:t>
      </w:r>
      <w:r w:rsidR="006673D7" w:rsidRPr="00C67E85">
        <w:rPr>
          <w:rFonts w:asciiTheme="minorHAnsi" w:hAnsiTheme="minorHAnsi" w:cstheme="minorHAnsi"/>
        </w:rPr>
        <w:t xml:space="preserve"> of Australia</w:t>
      </w:r>
      <w:r w:rsidR="006D76BC" w:rsidRPr="00C67E85">
        <w:rPr>
          <w:rFonts w:asciiTheme="minorHAnsi" w:hAnsiTheme="minorHAnsi" w:cstheme="minorHAnsi"/>
        </w:rPr>
        <w:t xml:space="preserve"> </w:t>
      </w:r>
      <w:r w:rsidR="005C51C9" w:rsidRPr="00C67E85">
        <w:rPr>
          <w:rFonts w:asciiTheme="minorHAnsi" w:hAnsiTheme="minorHAnsi" w:cstheme="minorHAnsi"/>
        </w:rPr>
        <w:t xml:space="preserve">as represented by the </w:t>
      </w:r>
      <w:r w:rsidR="006D76BC" w:rsidRPr="00C67E85">
        <w:rPr>
          <w:rFonts w:asciiTheme="minorHAnsi" w:hAnsiTheme="minorHAnsi" w:cstheme="minorHAnsi"/>
        </w:rPr>
        <w:t>Department of Health</w:t>
      </w:r>
      <w:r w:rsidRPr="00C67E85">
        <w:rPr>
          <w:rFonts w:asciiTheme="minorHAnsi" w:hAnsiTheme="minorHAnsi" w:cstheme="minorHAnsi"/>
        </w:rPr>
        <w:t xml:space="preserve"> ("</w:t>
      </w:r>
      <w:r w:rsidRPr="00C67E85">
        <w:rPr>
          <w:rFonts w:asciiTheme="minorHAnsi" w:hAnsiTheme="minorHAnsi" w:cstheme="minorHAnsi"/>
          <w:b/>
        </w:rPr>
        <w:t>Client</w:t>
      </w:r>
      <w:r w:rsidRPr="00C67E85">
        <w:rPr>
          <w:rFonts w:asciiTheme="minorHAnsi" w:hAnsiTheme="minorHAnsi" w:cstheme="minorHAnsi"/>
        </w:rPr>
        <w:t xml:space="preserve">") to </w:t>
      </w:r>
      <w:r w:rsidR="00987658" w:rsidRPr="00C67E85">
        <w:rPr>
          <w:rFonts w:asciiTheme="minorHAnsi" w:hAnsiTheme="minorHAnsi" w:cstheme="minorHAnsi"/>
        </w:rPr>
        <w:t>undertake a review of the General Miscellaneous category of the Prostheses List</w:t>
      </w:r>
      <w:r w:rsidRPr="00C67E85">
        <w:rPr>
          <w:rFonts w:asciiTheme="minorHAnsi" w:hAnsiTheme="minorHAnsi" w:cstheme="minorHAnsi"/>
        </w:rPr>
        <w:t xml:space="preserve"> ("</w:t>
      </w:r>
      <w:r w:rsidRPr="00C67E85">
        <w:rPr>
          <w:rFonts w:asciiTheme="minorHAnsi" w:hAnsiTheme="minorHAnsi" w:cstheme="minorHAnsi"/>
          <w:b/>
        </w:rPr>
        <w:t>Project</w:t>
      </w:r>
      <w:r w:rsidRPr="00C67E85">
        <w:rPr>
          <w:rFonts w:asciiTheme="minorHAnsi" w:hAnsiTheme="minorHAnsi" w:cstheme="minorHAnsi"/>
        </w:rPr>
        <w:t xml:space="preserve">"), in accordance with the engagement agreement dated </w:t>
      </w:r>
      <w:r w:rsidR="004737E6" w:rsidRPr="00C67E85">
        <w:rPr>
          <w:rFonts w:asciiTheme="minorHAnsi" w:hAnsiTheme="minorHAnsi" w:cstheme="minorHAnsi"/>
        </w:rPr>
        <w:t>7 January</w:t>
      </w:r>
      <w:r w:rsidR="003E7C27" w:rsidRPr="00C67E85">
        <w:rPr>
          <w:rFonts w:asciiTheme="minorHAnsi" w:hAnsiTheme="minorHAnsi" w:cstheme="minorHAnsi"/>
        </w:rPr>
        <w:t xml:space="preserve"> 2020</w:t>
      </w:r>
      <w:r w:rsidRPr="00C67E85">
        <w:rPr>
          <w:rFonts w:asciiTheme="minorHAnsi" w:hAnsiTheme="minorHAnsi" w:cstheme="minorHAnsi"/>
        </w:rPr>
        <w:t xml:space="preserve"> (“the </w:t>
      </w:r>
      <w:r w:rsidRPr="00C67E85">
        <w:rPr>
          <w:rFonts w:asciiTheme="minorHAnsi" w:hAnsiTheme="minorHAnsi" w:cstheme="minorHAnsi"/>
          <w:b/>
        </w:rPr>
        <w:t>Engagement Agreement</w:t>
      </w:r>
      <w:r w:rsidRPr="00C67E85">
        <w:rPr>
          <w:rFonts w:asciiTheme="minorHAnsi" w:hAnsiTheme="minorHAnsi" w:cstheme="minorHAnsi"/>
        </w:rPr>
        <w:t>”).</w:t>
      </w:r>
    </w:p>
    <w:p w14:paraId="70BDC73F" w14:textId="77777777" w:rsidR="00930144" w:rsidRPr="00C67E85" w:rsidRDefault="00930144" w:rsidP="00930144">
      <w:pPr>
        <w:spacing w:line="0" w:lineRule="atLeast"/>
        <w:rPr>
          <w:rFonts w:asciiTheme="minorHAnsi" w:hAnsiTheme="minorHAnsi" w:cstheme="minorHAnsi"/>
        </w:rPr>
      </w:pPr>
    </w:p>
    <w:p w14:paraId="3B91B9B1" w14:textId="54EE1094" w:rsidR="00930144" w:rsidRPr="00C67E85" w:rsidRDefault="00930144" w:rsidP="00930144">
      <w:pPr>
        <w:spacing w:line="0" w:lineRule="atLeast"/>
        <w:rPr>
          <w:rFonts w:asciiTheme="minorHAnsi" w:hAnsiTheme="minorHAnsi" w:cstheme="minorHAnsi"/>
        </w:rPr>
      </w:pPr>
      <w:r w:rsidRPr="00C67E85">
        <w:rPr>
          <w:rFonts w:asciiTheme="minorHAnsi" w:hAnsiTheme="minorHAnsi" w:cstheme="minorHAnsi"/>
        </w:rPr>
        <w:t xml:space="preserve">The results of EY’s work, including the assumptions and qualifications made in preparing the report, are set out in EY's report dated </w:t>
      </w:r>
      <w:r w:rsidR="00571560" w:rsidRPr="00C67E85">
        <w:rPr>
          <w:rFonts w:asciiTheme="minorHAnsi" w:hAnsiTheme="minorHAnsi" w:cstheme="minorHAnsi"/>
        </w:rPr>
        <w:t>31 July 2020</w:t>
      </w:r>
      <w:r w:rsidRPr="00C67E85">
        <w:rPr>
          <w:rFonts w:asciiTheme="minorHAnsi" w:hAnsiTheme="minorHAnsi" w:cstheme="minorHAnsi"/>
        </w:rPr>
        <w:t xml:space="preserve"> ("</w:t>
      </w:r>
      <w:r w:rsidRPr="00C67E85">
        <w:rPr>
          <w:rFonts w:asciiTheme="minorHAnsi" w:hAnsiTheme="minorHAnsi" w:cstheme="minorHAnsi"/>
          <w:b/>
        </w:rPr>
        <w:t>Report</w:t>
      </w:r>
      <w:r w:rsidRPr="00C67E85">
        <w:rPr>
          <w:rFonts w:asciiTheme="minorHAnsi" w:hAnsiTheme="minorHAnsi" w:cstheme="minorHAnsi"/>
        </w:rPr>
        <w:t>").  You should read the Report in its entirety including any disclaimers and attachments.  A reference to the Report includes any part of the Report.  No further work has been undertaken by EY since the date of the Report to update it.</w:t>
      </w:r>
    </w:p>
    <w:p w14:paraId="608D943D" w14:textId="77777777" w:rsidR="00930144" w:rsidRPr="00C67E85" w:rsidRDefault="00930144" w:rsidP="00930144">
      <w:pPr>
        <w:spacing w:line="0" w:lineRule="atLeast"/>
        <w:rPr>
          <w:rFonts w:asciiTheme="minorHAnsi" w:hAnsiTheme="minorHAnsi" w:cstheme="minorHAnsi"/>
        </w:rPr>
      </w:pPr>
    </w:p>
    <w:p w14:paraId="327CD94E" w14:textId="77777777" w:rsidR="00930144" w:rsidRPr="00C67E85" w:rsidRDefault="00930144" w:rsidP="00930144">
      <w:pPr>
        <w:spacing w:line="0" w:lineRule="atLeast"/>
        <w:rPr>
          <w:rFonts w:asciiTheme="minorHAnsi" w:hAnsiTheme="minorHAnsi" w:cstheme="minorHAnsi"/>
        </w:rPr>
      </w:pPr>
      <w:r w:rsidRPr="00C67E85">
        <w:rPr>
          <w:rFonts w:asciiTheme="minorHAnsi" w:hAnsiTheme="minorHAnsi" w:cstheme="minorHAnsi"/>
        </w:rPr>
        <w:t xml:space="preserve">Unless otherwise agreed in writing with EY, any party accessing the Report or obtaining a copy of the Report (“Recipient”) agrees that its access to the Report is provided by EY subject to the following terms: </w:t>
      </w:r>
    </w:p>
    <w:p w14:paraId="7AA94373" w14:textId="77777777" w:rsidR="00930144" w:rsidRPr="00C67E85" w:rsidRDefault="00930144" w:rsidP="00930144">
      <w:pPr>
        <w:spacing w:line="0" w:lineRule="atLeast"/>
        <w:rPr>
          <w:rFonts w:asciiTheme="minorHAnsi" w:hAnsiTheme="minorHAnsi" w:cstheme="minorHAnsi"/>
        </w:rPr>
      </w:pPr>
    </w:p>
    <w:p w14:paraId="4A8D82DF" w14:textId="7188E3CD" w:rsidR="00930144" w:rsidRPr="00C67E85" w:rsidRDefault="00930144" w:rsidP="00463B2D">
      <w:pPr>
        <w:pStyle w:val="ListParagraph"/>
        <w:keepLines/>
        <w:numPr>
          <w:ilvl w:val="0"/>
          <w:numId w:val="21"/>
        </w:numPr>
        <w:spacing w:before="0" w:after="0" w:line="0" w:lineRule="atLeast"/>
        <w:ind w:left="560" w:hanging="546"/>
        <w:rPr>
          <w:rFonts w:cstheme="minorHAnsi"/>
        </w:rPr>
      </w:pPr>
      <w:r w:rsidRPr="00C67E85">
        <w:rPr>
          <w:rFonts w:cstheme="minorHAnsi"/>
        </w:rPr>
        <w:t>The Report cannot be altered.</w:t>
      </w:r>
    </w:p>
    <w:p w14:paraId="31E274A9" w14:textId="77777777" w:rsidR="00930144" w:rsidRPr="00C67E85" w:rsidRDefault="00930144" w:rsidP="00930144">
      <w:pPr>
        <w:pStyle w:val="ListParagraph"/>
        <w:spacing w:line="0" w:lineRule="atLeast"/>
        <w:ind w:left="560"/>
        <w:rPr>
          <w:rFonts w:cstheme="minorHAnsi"/>
        </w:rPr>
      </w:pPr>
    </w:p>
    <w:p w14:paraId="57A25474" w14:textId="77777777" w:rsidR="00930144" w:rsidRPr="00C67E85" w:rsidRDefault="00930144" w:rsidP="00463B2D">
      <w:pPr>
        <w:pStyle w:val="ListParagraph"/>
        <w:keepLines/>
        <w:numPr>
          <w:ilvl w:val="0"/>
          <w:numId w:val="21"/>
        </w:numPr>
        <w:spacing w:before="0" w:after="0" w:line="0" w:lineRule="atLeast"/>
        <w:ind w:left="560" w:hanging="546"/>
        <w:rPr>
          <w:rFonts w:cstheme="minorHAnsi"/>
        </w:rPr>
      </w:pPr>
      <w:r w:rsidRPr="00C67E85">
        <w:rPr>
          <w:rFonts w:cstheme="minorHAnsi"/>
        </w:rPr>
        <w:t>The Recipient acknowledges that the Report has been prepared for the Client and may not be disclosed to any other party or used by any other party or relied upon by any other party without the prior written consent of EY.</w:t>
      </w:r>
    </w:p>
    <w:p w14:paraId="098ED6E9" w14:textId="77777777" w:rsidR="00930144" w:rsidRPr="00C67E85" w:rsidRDefault="00930144" w:rsidP="00930144">
      <w:pPr>
        <w:spacing w:line="0" w:lineRule="atLeast"/>
        <w:ind w:left="567" w:hanging="567"/>
        <w:rPr>
          <w:rFonts w:asciiTheme="minorHAnsi" w:hAnsiTheme="minorHAnsi" w:cstheme="minorHAnsi"/>
        </w:rPr>
      </w:pPr>
    </w:p>
    <w:p w14:paraId="47D76A48" w14:textId="77777777" w:rsidR="00930144" w:rsidRPr="00C67E85" w:rsidRDefault="00930144" w:rsidP="00463B2D">
      <w:pPr>
        <w:pStyle w:val="ListParagraph"/>
        <w:keepLines/>
        <w:numPr>
          <w:ilvl w:val="0"/>
          <w:numId w:val="21"/>
        </w:numPr>
        <w:spacing w:before="0" w:after="0" w:line="0" w:lineRule="atLeast"/>
        <w:ind w:left="560" w:hanging="546"/>
        <w:rPr>
          <w:rFonts w:cstheme="minorHAnsi"/>
        </w:rPr>
      </w:pPr>
      <w:r w:rsidRPr="00C67E85">
        <w:rPr>
          <w:rFonts w:cstheme="minorHAnsi"/>
        </w:rPr>
        <w:t>EY disclaims all liability in relation to any party other than the Client who seeks to rely upon the Report or any of its contents.</w:t>
      </w:r>
    </w:p>
    <w:p w14:paraId="2E152A7E" w14:textId="77777777" w:rsidR="00930144" w:rsidRPr="00C67E85" w:rsidRDefault="00930144" w:rsidP="00930144">
      <w:pPr>
        <w:spacing w:line="0" w:lineRule="atLeast"/>
        <w:ind w:left="567" w:hanging="567"/>
        <w:rPr>
          <w:rFonts w:asciiTheme="minorHAnsi" w:hAnsiTheme="minorHAnsi" w:cstheme="minorHAnsi"/>
        </w:rPr>
      </w:pPr>
    </w:p>
    <w:p w14:paraId="7D0BF18C" w14:textId="77777777" w:rsidR="00930144" w:rsidRPr="00C67E85" w:rsidRDefault="00930144" w:rsidP="00463B2D">
      <w:pPr>
        <w:pStyle w:val="ListParagraph"/>
        <w:keepLines/>
        <w:numPr>
          <w:ilvl w:val="0"/>
          <w:numId w:val="21"/>
        </w:numPr>
        <w:spacing w:before="0" w:after="0" w:line="0" w:lineRule="atLeast"/>
        <w:ind w:left="560" w:hanging="546"/>
        <w:rPr>
          <w:rFonts w:cstheme="minorHAnsi"/>
        </w:rPr>
      </w:pPr>
      <w:r w:rsidRPr="00C67E85">
        <w:rPr>
          <w:rFonts w:cstheme="minorHAnsi"/>
        </w:rPr>
        <w:lastRenderedPageBreak/>
        <w:t xml:space="preserve">EY has acted in accordance with the instructions of the Client in conducting its work and preparing the Report, and, in doing so, has prepared the Report for the benefit of the Client, and has considered only the interests of the Client.  EY has not been engaged to act, and has not acted, as advisor to any other party.  Accordingly, EY makes no representations as to the appropriateness, accuracy or completeness of the Report for any other party's purposes. </w:t>
      </w:r>
    </w:p>
    <w:p w14:paraId="4E3E7687" w14:textId="77777777" w:rsidR="00930144" w:rsidRPr="00C67E85" w:rsidRDefault="00930144" w:rsidP="00930144">
      <w:pPr>
        <w:spacing w:line="0" w:lineRule="atLeast"/>
        <w:ind w:left="567" w:hanging="567"/>
        <w:rPr>
          <w:rFonts w:asciiTheme="minorHAnsi" w:hAnsiTheme="minorHAnsi" w:cstheme="minorHAnsi"/>
        </w:rPr>
      </w:pPr>
    </w:p>
    <w:p w14:paraId="4D55FDD2" w14:textId="77777777" w:rsidR="00930144" w:rsidRPr="00C67E85" w:rsidRDefault="00930144" w:rsidP="00463B2D">
      <w:pPr>
        <w:pStyle w:val="ListParagraph"/>
        <w:keepLines/>
        <w:numPr>
          <w:ilvl w:val="0"/>
          <w:numId w:val="21"/>
        </w:numPr>
        <w:spacing w:before="0" w:after="0" w:line="0" w:lineRule="atLeast"/>
        <w:ind w:left="560" w:hanging="546"/>
        <w:rPr>
          <w:rFonts w:cstheme="minorHAnsi"/>
        </w:rPr>
      </w:pPr>
      <w:r w:rsidRPr="00C67E85">
        <w:rPr>
          <w:rFonts w:cstheme="minorHAnsi"/>
        </w:rPr>
        <w:t>No reliance may be placed upon the Report or any of its contents by any party other than the Client. A Recipient must make and rely on their own enquiries in relation to the issues to which the Report relates, the contents of the Report and all matters arising from or relating to or in any way connected with the Report or its contents.</w:t>
      </w:r>
    </w:p>
    <w:p w14:paraId="76F746E4" w14:textId="77777777" w:rsidR="00930144" w:rsidRPr="00C67E85" w:rsidRDefault="00930144" w:rsidP="00930144">
      <w:pPr>
        <w:pStyle w:val="ListParagraph"/>
        <w:spacing w:line="0" w:lineRule="atLeast"/>
        <w:ind w:left="560"/>
        <w:rPr>
          <w:rFonts w:cstheme="minorHAnsi"/>
        </w:rPr>
      </w:pPr>
    </w:p>
    <w:p w14:paraId="07677E5C" w14:textId="688A4675" w:rsidR="00930144" w:rsidRPr="00C67E85" w:rsidRDefault="00930144" w:rsidP="00463B2D">
      <w:pPr>
        <w:pStyle w:val="ListParagraph"/>
        <w:keepLines/>
        <w:numPr>
          <w:ilvl w:val="0"/>
          <w:numId w:val="21"/>
        </w:numPr>
        <w:spacing w:before="0" w:after="0" w:line="0" w:lineRule="atLeast"/>
        <w:ind w:left="560" w:hanging="546"/>
        <w:rPr>
          <w:rFonts w:cstheme="minorHAnsi"/>
        </w:rPr>
      </w:pPr>
      <w:r w:rsidRPr="00C67E85">
        <w:rPr>
          <w:rFonts w:cstheme="minorHAnsi"/>
        </w:rPr>
        <w:t xml:space="preserve">EY have consented to the Report being published electronically on the </w:t>
      </w:r>
      <w:r w:rsidR="00DC3D8F" w:rsidRPr="00C67E85">
        <w:rPr>
          <w:rFonts w:cstheme="minorHAnsi"/>
        </w:rPr>
        <w:t xml:space="preserve">Department of Health </w:t>
      </w:r>
      <w:r w:rsidRPr="00C67E85">
        <w:rPr>
          <w:rFonts w:cstheme="minorHAnsi"/>
        </w:rPr>
        <w:t>website for informational purposes only.  EY have not consented to distribution or disclosure of the Report beyond this.</w:t>
      </w:r>
    </w:p>
    <w:p w14:paraId="286747B2" w14:textId="77777777" w:rsidR="00930144" w:rsidRPr="00C67E85" w:rsidRDefault="00930144" w:rsidP="00930144">
      <w:pPr>
        <w:pStyle w:val="ListParagraph"/>
        <w:spacing w:line="0" w:lineRule="atLeast"/>
        <w:ind w:left="560"/>
        <w:rPr>
          <w:rFonts w:cstheme="minorHAnsi"/>
        </w:rPr>
      </w:pPr>
    </w:p>
    <w:p w14:paraId="1D363AF4" w14:textId="77777777" w:rsidR="00930144" w:rsidRPr="00C67E85" w:rsidRDefault="00930144" w:rsidP="00463B2D">
      <w:pPr>
        <w:pStyle w:val="ListParagraph"/>
        <w:keepLines/>
        <w:numPr>
          <w:ilvl w:val="0"/>
          <w:numId w:val="21"/>
        </w:numPr>
        <w:spacing w:before="0" w:after="0" w:line="0" w:lineRule="atLeast"/>
        <w:ind w:left="560" w:hanging="546"/>
        <w:rPr>
          <w:rFonts w:cstheme="minorHAnsi"/>
        </w:rPr>
      </w:pPr>
      <w:r w:rsidRPr="00C67E85">
        <w:rPr>
          <w:rFonts w:cstheme="minorHAnsi"/>
        </w:rPr>
        <w:t>No duty of care is owed by EY to any Recipient in respect of any use that the Recipient may make of the Report.</w:t>
      </w:r>
    </w:p>
    <w:p w14:paraId="44805A76" w14:textId="77777777" w:rsidR="00930144" w:rsidRPr="00C67E85" w:rsidRDefault="00930144" w:rsidP="00930144">
      <w:pPr>
        <w:spacing w:line="0" w:lineRule="atLeast"/>
        <w:ind w:left="567" w:hanging="567"/>
        <w:rPr>
          <w:rFonts w:asciiTheme="minorHAnsi" w:hAnsiTheme="minorHAnsi" w:cstheme="minorHAnsi"/>
        </w:rPr>
      </w:pPr>
    </w:p>
    <w:p w14:paraId="5F71F954" w14:textId="3276EEDF" w:rsidR="00CB5479" w:rsidRDefault="00930144" w:rsidP="00463B2D">
      <w:pPr>
        <w:pStyle w:val="ListParagraph"/>
        <w:keepLines/>
        <w:numPr>
          <w:ilvl w:val="0"/>
          <w:numId w:val="21"/>
        </w:numPr>
        <w:spacing w:before="0" w:after="0" w:line="0" w:lineRule="atLeast"/>
        <w:ind w:left="560" w:hanging="546"/>
        <w:rPr>
          <w:rFonts w:cstheme="minorHAnsi"/>
        </w:rPr>
      </w:pPr>
      <w:r w:rsidRPr="00C67E85">
        <w:rPr>
          <w:rFonts w:cstheme="minorHAnsi"/>
        </w:rPr>
        <w:t>EY disclaims all liability, and takes no responsibility, for any document issued by any other party in connection with the Project.</w:t>
      </w:r>
    </w:p>
    <w:p w14:paraId="30824E17" w14:textId="77777777" w:rsidR="00930144" w:rsidRPr="00C67E85" w:rsidRDefault="00930144" w:rsidP="00463B2D">
      <w:pPr>
        <w:pStyle w:val="ListParagraph"/>
        <w:keepLines/>
        <w:spacing w:before="0" w:after="0" w:line="0" w:lineRule="atLeast"/>
        <w:ind w:left="560"/>
        <w:rPr>
          <w:rFonts w:cstheme="minorHAnsi"/>
        </w:rPr>
      </w:pPr>
    </w:p>
    <w:p w14:paraId="11FA85F3" w14:textId="77777777" w:rsidR="00930144" w:rsidRPr="00C67E85" w:rsidRDefault="00930144" w:rsidP="00463B2D">
      <w:pPr>
        <w:pStyle w:val="ListParagraph"/>
        <w:keepLines/>
        <w:numPr>
          <w:ilvl w:val="0"/>
          <w:numId w:val="21"/>
        </w:numPr>
        <w:spacing w:before="0" w:after="0" w:line="0" w:lineRule="atLeast"/>
        <w:ind w:left="560" w:hanging="546"/>
        <w:rPr>
          <w:rFonts w:cstheme="minorHAnsi"/>
        </w:rPr>
      </w:pPr>
      <w:r w:rsidRPr="00C67E85">
        <w:rPr>
          <w:rFonts w:cstheme="minorHAnsi"/>
        </w:rPr>
        <w:t>A Recipient must not name EY in any report or document which will be publicly available or lodged or filed with any regulator without EY’s prior written consent, which may be granted at EY’s absolute discretion.</w:t>
      </w:r>
    </w:p>
    <w:p w14:paraId="52F17A97" w14:textId="77777777" w:rsidR="00930144" w:rsidRPr="00C67E85" w:rsidRDefault="00930144" w:rsidP="00930144">
      <w:pPr>
        <w:spacing w:line="0" w:lineRule="atLeast"/>
        <w:rPr>
          <w:rFonts w:asciiTheme="minorHAnsi" w:hAnsiTheme="minorHAnsi" w:cstheme="minorHAnsi"/>
        </w:rPr>
      </w:pPr>
    </w:p>
    <w:p w14:paraId="14F8DF5B" w14:textId="77777777" w:rsidR="00930144" w:rsidRPr="00C67E85" w:rsidRDefault="00930144" w:rsidP="00463B2D">
      <w:pPr>
        <w:pStyle w:val="ListParagraph"/>
        <w:keepLines/>
        <w:numPr>
          <w:ilvl w:val="0"/>
          <w:numId w:val="21"/>
        </w:numPr>
        <w:spacing w:before="0" w:after="0" w:line="0" w:lineRule="atLeast"/>
        <w:ind w:left="560" w:hanging="546"/>
        <w:rPr>
          <w:rFonts w:cstheme="minorHAnsi"/>
        </w:rPr>
      </w:pPr>
      <w:r w:rsidRPr="00C67E85">
        <w:rPr>
          <w:rFonts w:cstheme="minorHAnsi"/>
        </w:rPr>
        <w:t>A Recipient:</w:t>
      </w:r>
    </w:p>
    <w:p w14:paraId="2A9D5A23" w14:textId="77777777" w:rsidR="00930144" w:rsidRPr="00C67E85" w:rsidRDefault="00930144" w:rsidP="00930144">
      <w:pPr>
        <w:spacing w:line="0" w:lineRule="atLeast"/>
        <w:rPr>
          <w:rFonts w:asciiTheme="minorHAnsi" w:hAnsiTheme="minorHAnsi" w:cstheme="minorHAnsi"/>
        </w:rPr>
      </w:pPr>
    </w:p>
    <w:p w14:paraId="7197AD67" w14:textId="77777777" w:rsidR="00930144" w:rsidRPr="00C67E85" w:rsidRDefault="00930144" w:rsidP="00463B2D">
      <w:pPr>
        <w:pStyle w:val="ListParagraph"/>
        <w:keepLines/>
        <w:numPr>
          <w:ilvl w:val="0"/>
          <w:numId w:val="20"/>
        </w:numPr>
        <w:spacing w:before="0" w:after="0" w:line="0" w:lineRule="atLeast"/>
        <w:ind w:left="1440" w:hanging="873"/>
        <w:rPr>
          <w:rFonts w:cstheme="minorHAnsi"/>
        </w:rPr>
      </w:pPr>
      <w:r w:rsidRPr="00C67E85">
        <w:rPr>
          <w:rFonts w:cstheme="minorHAnsi"/>
        </w:rPr>
        <w:lastRenderedPageBreak/>
        <w:t>may not make any claim or demand or bring any action or proceedings against EY or any of its partners, principals, directors, officers or employees or any other Ernst &amp; Young firm which is a member of the global network of Ernst &amp; Young firms or any of their partners, principals, directors, officers or employees (“</w:t>
      </w:r>
      <w:r w:rsidRPr="00C67E85">
        <w:rPr>
          <w:rFonts w:cstheme="minorHAnsi"/>
          <w:b/>
        </w:rPr>
        <w:t>EY Parties</w:t>
      </w:r>
      <w:r w:rsidRPr="00C67E85">
        <w:rPr>
          <w:rFonts w:cstheme="minorHAnsi"/>
        </w:rPr>
        <w:t xml:space="preserve">”) arising from or connected with the contents of the Report or the provision of the Report to the recipient; and </w:t>
      </w:r>
    </w:p>
    <w:p w14:paraId="62E44D90" w14:textId="77777777" w:rsidR="00930144" w:rsidRPr="00C67E85" w:rsidRDefault="00930144" w:rsidP="00930144">
      <w:pPr>
        <w:pStyle w:val="ListParagraph"/>
        <w:spacing w:line="0" w:lineRule="atLeast"/>
        <w:ind w:left="1440"/>
        <w:rPr>
          <w:rFonts w:cstheme="minorHAnsi"/>
        </w:rPr>
      </w:pPr>
    </w:p>
    <w:p w14:paraId="6B8084F8" w14:textId="77777777" w:rsidR="00930144" w:rsidRPr="00C67E85" w:rsidRDefault="00930144" w:rsidP="00463B2D">
      <w:pPr>
        <w:pStyle w:val="ListParagraph"/>
        <w:keepLines/>
        <w:numPr>
          <w:ilvl w:val="0"/>
          <w:numId w:val="20"/>
        </w:numPr>
        <w:spacing w:before="0" w:after="0" w:line="0" w:lineRule="atLeast"/>
        <w:ind w:left="1440" w:hanging="873"/>
        <w:rPr>
          <w:rFonts w:cstheme="minorHAnsi"/>
        </w:rPr>
      </w:pPr>
      <w:r w:rsidRPr="00C67E85">
        <w:rPr>
          <w:rFonts w:cstheme="minorHAnsi"/>
        </w:rPr>
        <w:t>must release and forever discharge the EY Parties from any such claim, demand, action or proceedings.</w:t>
      </w:r>
    </w:p>
    <w:p w14:paraId="3C7A215E" w14:textId="77777777" w:rsidR="00930144" w:rsidRPr="00C67E85" w:rsidRDefault="00930144" w:rsidP="00930144">
      <w:pPr>
        <w:spacing w:line="0" w:lineRule="atLeast"/>
        <w:rPr>
          <w:rFonts w:asciiTheme="minorHAnsi" w:hAnsiTheme="minorHAnsi" w:cstheme="minorHAnsi"/>
        </w:rPr>
      </w:pPr>
    </w:p>
    <w:p w14:paraId="345EF5FB" w14:textId="77777777" w:rsidR="00930144" w:rsidRPr="00C67E85" w:rsidRDefault="00930144" w:rsidP="00463B2D">
      <w:pPr>
        <w:pStyle w:val="ListParagraph"/>
        <w:keepLines/>
        <w:numPr>
          <w:ilvl w:val="0"/>
          <w:numId w:val="21"/>
        </w:numPr>
        <w:spacing w:before="0" w:after="0" w:line="0" w:lineRule="atLeast"/>
        <w:ind w:left="560" w:hanging="546"/>
        <w:rPr>
          <w:rFonts w:cstheme="minorHAnsi"/>
        </w:rPr>
      </w:pPr>
      <w:r w:rsidRPr="00C67E85">
        <w:rPr>
          <w:rFonts w:cstheme="minorHAnsi"/>
        </w:rPr>
        <w:t>If a Recipient discloses the Report to a third party in breach of this notice, it will be liable for all claims, demands, actions, proceedings, costs, expenses, loss, damage and liability made or brought against or incurred by the EY Parties, arising from or connected with such disclosure.</w:t>
      </w:r>
    </w:p>
    <w:p w14:paraId="3A0F6810" w14:textId="77777777" w:rsidR="00930144" w:rsidRPr="00C67E85" w:rsidRDefault="00930144" w:rsidP="00930144">
      <w:pPr>
        <w:spacing w:line="0" w:lineRule="atLeast"/>
        <w:ind w:left="567" w:hanging="567"/>
        <w:rPr>
          <w:rFonts w:asciiTheme="minorHAnsi" w:hAnsiTheme="minorHAnsi" w:cstheme="minorHAnsi"/>
        </w:rPr>
      </w:pPr>
    </w:p>
    <w:p w14:paraId="7C180B65" w14:textId="77777777" w:rsidR="00930144" w:rsidRPr="00C67E85" w:rsidRDefault="00930144" w:rsidP="00463B2D">
      <w:pPr>
        <w:pStyle w:val="ListParagraph"/>
        <w:keepLines/>
        <w:numPr>
          <w:ilvl w:val="0"/>
          <w:numId w:val="21"/>
        </w:numPr>
        <w:spacing w:before="0" w:after="0" w:line="0" w:lineRule="atLeast"/>
        <w:ind w:left="560" w:hanging="546"/>
        <w:rPr>
          <w:rFonts w:cstheme="minorHAnsi"/>
        </w:rPr>
      </w:pPr>
      <w:r w:rsidRPr="00C67E85">
        <w:rPr>
          <w:rFonts w:cstheme="minorHAnsi"/>
        </w:rPr>
        <w:t>If a Recipient wishes to rely upon the Report that party must inform EY and, if EY agrees, sign and return to EY a standard form of EY’s reliance letter.  A copy of the reliance letter can be obtained from EY.  The Recipient’s reliance upon the Report will be governed by the terms of that reliance letter.</w:t>
      </w:r>
      <w:bookmarkStart w:id="1" w:name="Subject"/>
      <w:bookmarkStart w:id="2" w:name="StartText"/>
      <w:bookmarkEnd w:id="1"/>
      <w:bookmarkEnd w:id="2"/>
    </w:p>
    <w:p w14:paraId="417A1CE0" w14:textId="77777777" w:rsidR="00930144" w:rsidRPr="00C67E85" w:rsidRDefault="00930144" w:rsidP="00930144">
      <w:pPr>
        <w:spacing w:line="0" w:lineRule="atLeast"/>
        <w:ind w:left="567" w:hanging="567"/>
        <w:rPr>
          <w:rFonts w:asciiTheme="minorHAnsi" w:hAnsiTheme="minorHAnsi" w:cstheme="minorHAnsi"/>
        </w:rPr>
      </w:pPr>
    </w:p>
    <w:p w14:paraId="04B28888" w14:textId="31BAF989" w:rsidR="00930144" w:rsidRDefault="00930144" w:rsidP="00930144">
      <w:pPr>
        <w:spacing w:line="0" w:lineRule="atLeast"/>
        <w:ind w:left="567" w:hanging="567"/>
        <w:rPr>
          <w:rFonts w:asciiTheme="minorHAnsi" w:hAnsiTheme="minorHAnsi" w:cstheme="minorHAnsi"/>
        </w:rPr>
      </w:pPr>
      <w:r w:rsidRPr="00C67E85">
        <w:rPr>
          <w:rFonts w:asciiTheme="minorHAnsi" w:hAnsiTheme="minorHAnsi" w:cstheme="minorHAnsi"/>
        </w:rPr>
        <w:t>Ernst &amp; Young’s liability is limited by a scheme approved under Professional Standards Legislation.</w:t>
      </w:r>
    </w:p>
    <w:p w14:paraId="6D03BC02" w14:textId="77777777" w:rsidR="00C37280" w:rsidRPr="00C67E85" w:rsidRDefault="00C37280" w:rsidP="00930144">
      <w:pPr>
        <w:spacing w:line="0" w:lineRule="atLeast"/>
        <w:ind w:left="567" w:hanging="567"/>
        <w:rPr>
          <w:rFonts w:asciiTheme="minorHAnsi" w:hAnsiTheme="minorHAnsi" w:cstheme="minorHAnsi"/>
        </w:rPr>
      </w:pPr>
    </w:p>
    <w:p w14:paraId="005D369E" w14:textId="77777777" w:rsidR="00D0406F" w:rsidRDefault="00D0406F">
      <w:pPr>
        <w:autoSpaceDE/>
        <w:autoSpaceDN/>
        <w:adjustRightInd/>
        <w:sectPr w:rsidR="00D0406F" w:rsidSect="00B42B76">
          <w:headerReference w:type="default" r:id="rId11"/>
          <w:footerReference w:type="default" r:id="rId12"/>
          <w:pgSz w:w="11909" w:h="16834" w:code="9"/>
          <w:pgMar w:top="1440" w:right="1440" w:bottom="1440" w:left="1440" w:header="720" w:footer="720" w:gutter="0"/>
          <w:pgNumType w:fmt="lowerRoman" w:start="1"/>
          <w:cols w:space="720"/>
          <w:docGrid w:linePitch="360"/>
        </w:sectPr>
      </w:pPr>
    </w:p>
    <w:p w14:paraId="23F9280F" w14:textId="7EB5754C" w:rsidR="00477AFA" w:rsidRPr="00926D59" w:rsidRDefault="00477AFA" w:rsidP="00477AFA">
      <w:pPr>
        <w:pStyle w:val="Contents"/>
      </w:pPr>
      <w:r w:rsidRPr="00926D59">
        <w:lastRenderedPageBreak/>
        <w:t>Table of contents</w:t>
      </w:r>
    </w:p>
    <w:p w14:paraId="1C4D7EAE" w14:textId="64BA0116" w:rsidR="00C37280" w:rsidRDefault="00477AFA">
      <w:pPr>
        <w:pStyle w:val="TOC1"/>
        <w:rPr>
          <w:rFonts w:asciiTheme="minorHAnsi" w:eastAsiaTheme="minorEastAsia" w:hAnsiTheme="minorHAnsi" w:cstheme="minorBidi"/>
          <w:szCs w:val="22"/>
          <w:lang w:val="en-AU" w:eastAsia="en-AU"/>
        </w:rPr>
      </w:pPr>
      <w:r w:rsidRPr="00926D59">
        <w:rPr>
          <w:noProof w:val="0"/>
        </w:rPr>
        <w:fldChar w:fldCharType="begin"/>
      </w:r>
      <w:r w:rsidRPr="00926D59">
        <w:rPr>
          <w:noProof w:val="0"/>
        </w:rPr>
        <w:instrText xml:space="preserve"> TOC \h \z \t "EY Heading 1,1,EY Heading 2,2,EY Appendix,1" </w:instrText>
      </w:r>
      <w:r w:rsidRPr="00926D59">
        <w:rPr>
          <w:noProof w:val="0"/>
        </w:rPr>
        <w:fldChar w:fldCharType="separate"/>
      </w:r>
      <w:hyperlink w:anchor="_Toc59015953" w:history="1">
        <w:r w:rsidR="00C37280" w:rsidRPr="00AD2A8A">
          <w:rPr>
            <w:rStyle w:val="Hyperlink"/>
            <w:rFonts w:cstheme="minorHAnsi"/>
          </w:rPr>
          <w:t>1.</w:t>
        </w:r>
        <w:r w:rsidR="00C37280">
          <w:rPr>
            <w:rFonts w:asciiTheme="minorHAnsi" w:eastAsiaTheme="minorEastAsia" w:hAnsiTheme="minorHAnsi" w:cstheme="minorBidi"/>
            <w:szCs w:val="22"/>
            <w:lang w:val="en-AU" w:eastAsia="en-AU"/>
          </w:rPr>
          <w:tab/>
        </w:r>
        <w:r w:rsidR="00C37280" w:rsidRPr="00AD2A8A">
          <w:rPr>
            <w:rStyle w:val="Hyperlink"/>
          </w:rPr>
          <w:t>Executive Summary</w:t>
        </w:r>
        <w:r w:rsidR="00C37280">
          <w:rPr>
            <w:webHidden/>
          </w:rPr>
          <w:tab/>
        </w:r>
        <w:r w:rsidR="00C37280">
          <w:rPr>
            <w:webHidden/>
          </w:rPr>
          <w:fldChar w:fldCharType="begin"/>
        </w:r>
        <w:r w:rsidR="00C37280">
          <w:rPr>
            <w:webHidden/>
          </w:rPr>
          <w:instrText xml:space="preserve"> PAGEREF _Toc59015953 \h </w:instrText>
        </w:r>
        <w:r w:rsidR="00C37280">
          <w:rPr>
            <w:webHidden/>
          </w:rPr>
        </w:r>
        <w:r w:rsidR="00C37280">
          <w:rPr>
            <w:webHidden/>
          </w:rPr>
          <w:fldChar w:fldCharType="separate"/>
        </w:r>
        <w:r w:rsidR="00784DE2">
          <w:rPr>
            <w:webHidden/>
          </w:rPr>
          <w:t>1</w:t>
        </w:r>
        <w:r w:rsidR="00C37280">
          <w:rPr>
            <w:webHidden/>
          </w:rPr>
          <w:fldChar w:fldCharType="end"/>
        </w:r>
      </w:hyperlink>
    </w:p>
    <w:p w14:paraId="6401A410" w14:textId="2377011B" w:rsidR="00C37280" w:rsidRDefault="00FC6370">
      <w:pPr>
        <w:pStyle w:val="TOC2"/>
        <w:rPr>
          <w:rFonts w:asciiTheme="minorHAnsi" w:eastAsiaTheme="minorEastAsia" w:hAnsiTheme="minorHAnsi" w:cstheme="minorBidi"/>
          <w:szCs w:val="22"/>
          <w:lang w:val="en-AU" w:eastAsia="en-AU"/>
        </w:rPr>
      </w:pPr>
      <w:hyperlink w:anchor="_Toc59015954" w:history="1">
        <w:r w:rsidR="00C37280" w:rsidRPr="00AD2A8A">
          <w:rPr>
            <w:rStyle w:val="Hyperlink"/>
            <w:rFonts w:cstheme="minorHAnsi"/>
          </w:rPr>
          <w:t>1.1</w:t>
        </w:r>
        <w:r w:rsidR="00C37280">
          <w:rPr>
            <w:rFonts w:asciiTheme="minorHAnsi" w:eastAsiaTheme="minorEastAsia" w:hAnsiTheme="minorHAnsi" w:cstheme="minorBidi"/>
            <w:szCs w:val="22"/>
            <w:lang w:val="en-AU" w:eastAsia="en-AU"/>
          </w:rPr>
          <w:tab/>
        </w:r>
        <w:r w:rsidR="00C37280" w:rsidRPr="00AD2A8A">
          <w:rPr>
            <w:rStyle w:val="Hyperlink"/>
          </w:rPr>
          <w:t>Background and approach</w:t>
        </w:r>
        <w:r w:rsidR="00C37280">
          <w:rPr>
            <w:webHidden/>
          </w:rPr>
          <w:tab/>
        </w:r>
        <w:r w:rsidR="00C37280">
          <w:rPr>
            <w:webHidden/>
          </w:rPr>
          <w:fldChar w:fldCharType="begin"/>
        </w:r>
        <w:r w:rsidR="00C37280">
          <w:rPr>
            <w:webHidden/>
          </w:rPr>
          <w:instrText xml:space="preserve"> PAGEREF _Toc59015954 \h </w:instrText>
        </w:r>
        <w:r w:rsidR="00C37280">
          <w:rPr>
            <w:webHidden/>
          </w:rPr>
        </w:r>
        <w:r w:rsidR="00C37280">
          <w:rPr>
            <w:webHidden/>
          </w:rPr>
          <w:fldChar w:fldCharType="separate"/>
        </w:r>
        <w:r w:rsidR="00784DE2">
          <w:rPr>
            <w:webHidden/>
          </w:rPr>
          <w:t>1</w:t>
        </w:r>
        <w:r w:rsidR="00C37280">
          <w:rPr>
            <w:webHidden/>
          </w:rPr>
          <w:fldChar w:fldCharType="end"/>
        </w:r>
      </w:hyperlink>
    </w:p>
    <w:p w14:paraId="2DFFE543" w14:textId="64C453DD" w:rsidR="00C37280" w:rsidRDefault="00FC6370">
      <w:pPr>
        <w:pStyle w:val="TOC2"/>
        <w:rPr>
          <w:rFonts w:asciiTheme="minorHAnsi" w:eastAsiaTheme="minorEastAsia" w:hAnsiTheme="minorHAnsi" w:cstheme="minorBidi"/>
          <w:szCs w:val="22"/>
          <w:lang w:val="en-AU" w:eastAsia="en-AU"/>
        </w:rPr>
      </w:pPr>
      <w:hyperlink w:anchor="_Toc59015955" w:history="1">
        <w:r w:rsidR="00C37280" w:rsidRPr="00AD2A8A">
          <w:rPr>
            <w:rStyle w:val="Hyperlink"/>
            <w:rFonts w:cstheme="minorHAnsi"/>
          </w:rPr>
          <w:t>1.2</w:t>
        </w:r>
        <w:r w:rsidR="00C37280">
          <w:rPr>
            <w:rFonts w:asciiTheme="minorHAnsi" w:eastAsiaTheme="minorEastAsia" w:hAnsiTheme="minorHAnsi" w:cstheme="minorBidi"/>
            <w:szCs w:val="22"/>
            <w:lang w:val="en-AU" w:eastAsia="en-AU"/>
          </w:rPr>
          <w:tab/>
        </w:r>
        <w:r w:rsidR="00C37280" w:rsidRPr="00AD2A8A">
          <w:rPr>
            <w:rStyle w:val="Hyperlink"/>
          </w:rPr>
          <w:t>Findings and next steps</w:t>
        </w:r>
        <w:r w:rsidR="00C37280">
          <w:rPr>
            <w:webHidden/>
          </w:rPr>
          <w:tab/>
        </w:r>
        <w:r w:rsidR="00C37280">
          <w:rPr>
            <w:webHidden/>
          </w:rPr>
          <w:fldChar w:fldCharType="begin"/>
        </w:r>
        <w:r w:rsidR="00C37280">
          <w:rPr>
            <w:webHidden/>
          </w:rPr>
          <w:instrText xml:space="preserve"> PAGEREF _Toc59015955 \h </w:instrText>
        </w:r>
        <w:r w:rsidR="00C37280">
          <w:rPr>
            <w:webHidden/>
          </w:rPr>
        </w:r>
        <w:r w:rsidR="00C37280">
          <w:rPr>
            <w:webHidden/>
          </w:rPr>
          <w:fldChar w:fldCharType="separate"/>
        </w:r>
        <w:r w:rsidR="00784DE2">
          <w:rPr>
            <w:webHidden/>
          </w:rPr>
          <w:t>4</w:t>
        </w:r>
        <w:r w:rsidR="00C37280">
          <w:rPr>
            <w:webHidden/>
          </w:rPr>
          <w:fldChar w:fldCharType="end"/>
        </w:r>
      </w:hyperlink>
    </w:p>
    <w:p w14:paraId="4D0B00F3" w14:textId="4D1D1C79" w:rsidR="00C37280" w:rsidRDefault="00FC6370">
      <w:pPr>
        <w:pStyle w:val="TOC1"/>
        <w:rPr>
          <w:rFonts w:asciiTheme="minorHAnsi" w:eastAsiaTheme="minorEastAsia" w:hAnsiTheme="minorHAnsi" w:cstheme="minorBidi"/>
          <w:szCs w:val="22"/>
          <w:lang w:val="en-AU" w:eastAsia="en-AU"/>
        </w:rPr>
      </w:pPr>
      <w:hyperlink w:anchor="_Toc59015956" w:history="1">
        <w:r w:rsidR="00C37280" w:rsidRPr="00AD2A8A">
          <w:rPr>
            <w:rStyle w:val="Hyperlink"/>
            <w:rFonts w:cstheme="minorHAnsi"/>
          </w:rPr>
          <w:t>2.</w:t>
        </w:r>
        <w:r w:rsidR="00C37280">
          <w:rPr>
            <w:rFonts w:asciiTheme="minorHAnsi" w:eastAsiaTheme="minorEastAsia" w:hAnsiTheme="minorHAnsi" w:cstheme="minorBidi"/>
            <w:szCs w:val="22"/>
            <w:lang w:val="en-AU" w:eastAsia="en-AU"/>
          </w:rPr>
          <w:tab/>
        </w:r>
        <w:r w:rsidR="00C37280" w:rsidRPr="00AD2A8A">
          <w:rPr>
            <w:rStyle w:val="Hyperlink"/>
          </w:rPr>
          <w:t>Background and context</w:t>
        </w:r>
        <w:r w:rsidR="00C37280">
          <w:rPr>
            <w:webHidden/>
          </w:rPr>
          <w:tab/>
        </w:r>
        <w:r w:rsidR="00C37280">
          <w:rPr>
            <w:webHidden/>
          </w:rPr>
          <w:fldChar w:fldCharType="begin"/>
        </w:r>
        <w:r w:rsidR="00C37280">
          <w:rPr>
            <w:webHidden/>
          </w:rPr>
          <w:instrText xml:space="preserve"> PAGEREF _Toc59015956 \h </w:instrText>
        </w:r>
        <w:r w:rsidR="00C37280">
          <w:rPr>
            <w:webHidden/>
          </w:rPr>
        </w:r>
        <w:r w:rsidR="00C37280">
          <w:rPr>
            <w:webHidden/>
          </w:rPr>
          <w:fldChar w:fldCharType="separate"/>
        </w:r>
        <w:r w:rsidR="00784DE2">
          <w:rPr>
            <w:webHidden/>
          </w:rPr>
          <w:t>11</w:t>
        </w:r>
        <w:r w:rsidR="00C37280">
          <w:rPr>
            <w:webHidden/>
          </w:rPr>
          <w:fldChar w:fldCharType="end"/>
        </w:r>
      </w:hyperlink>
    </w:p>
    <w:p w14:paraId="3A303A4D" w14:textId="7D8B9F63" w:rsidR="00C37280" w:rsidRDefault="00FC6370">
      <w:pPr>
        <w:pStyle w:val="TOC2"/>
        <w:rPr>
          <w:rFonts w:asciiTheme="minorHAnsi" w:eastAsiaTheme="minorEastAsia" w:hAnsiTheme="minorHAnsi" w:cstheme="minorBidi"/>
          <w:szCs w:val="22"/>
          <w:lang w:val="en-AU" w:eastAsia="en-AU"/>
        </w:rPr>
      </w:pPr>
      <w:hyperlink w:anchor="_Toc59015957" w:history="1">
        <w:r w:rsidR="00C37280" w:rsidRPr="00AD2A8A">
          <w:rPr>
            <w:rStyle w:val="Hyperlink"/>
            <w:rFonts w:cstheme="minorHAnsi"/>
          </w:rPr>
          <w:t>2.1</w:t>
        </w:r>
        <w:r w:rsidR="00C37280">
          <w:rPr>
            <w:rFonts w:asciiTheme="minorHAnsi" w:eastAsiaTheme="minorEastAsia" w:hAnsiTheme="minorHAnsi" w:cstheme="minorBidi"/>
            <w:szCs w:val="22"/>
            <w:lang w:val="en-AU" w:eastAsia="en-AU"/>
          </w:rPr>
          <w:tab/>
        </w:r>
        <w:r w:rsidR="00C37280" w:rsidRPr="00AD2A8A">
          <w:rPr>
            <w:rStyle w:val="Hyperlink"/>
          </w:rPr>
          <w:t>Prostheses List overview</w:t>
        </w:r>
        <w:r w:rsidR="00C37280">
          <w:rPr>
            <w:webHidden/>
          </w:rPr>
          <w:tab/>
        </w:r>
        <w:r w:rsidR="00C37280">
          <w:rPr>
            <w:webHidden/>
          </w:rPr>
          <w:fldChar w:fldCharType="begin"/>
        </w:r>
        <w:r w:rsidR="00C37280">
          <w:rPr>
            <w:webHidden/>
          </w:rPr>
          <w:instrText xml:space="preserve"> PAGEREF _Toc59015957 \h </w:instrText>
        </w:r>
        <w:r w:rsidR="00C37280">
          <w:rPr>
            <w:webHidden/>
          </w:rPr>
        </w:r>
        <w:r w:rsidR="00C37280">
          <w:rPr>
            <w:webHidden/>
          </w:rPr>
          <w:fldChar w:fldCharType="separate"/>
        </w:r>
        <w:r w:rsidR="00784DE2">
          <w:rPr>
            <w:webHidden/>
          </w:rPr>
          <w:t>11</w:t>
        </w:r>
        <w:r w:rsidR="00C37280">
          <w:rPr>
            <w:webHidden/>
          </w:rPr>
          <w:fldChar w:fldCharType="end"/>
        </w:r>
      </w:hyperlink>
    </w:p>
    <w:p w14:paraId="67397583" w14:textId="5F278AA8" w:rsidR="00C37280" w:rsidRDefault="00FC6370">
      <w:pPr>
        <w:pStyle w:val="TOC2"/>
        <w:rPr>
          <w:rFonts w:asciiTheme="minorHAnsi" w:eastAsiaTheme="minorEastAsia" w:hAnsiTheme="minorHAnsi" w:cstheme="minorBidi"/>
          <w:szCs w:val="22"/>
          <w:lang w:val="en-AU" w:eastAsia="en-AU"/>
        </w:rPr>
      </w:pPr>
      <w:hyperlink w:anchor="_Toc59015958" w:history="1">
        <w:r w:rsidR="00C37280" w:rsidRPr="00AD2A8A">
          <w:rPr>
            <w:rStyle w:val="Hyperlink"/>
            <w:rFonts w:cstheme="minorHAnsi"/>
          </w:rPr>
          <w:t>2.2</w:t>
        </w:r>
        <w:r w:rsidR="00C37280">
          <w:rPr>
            <w:rFonts w:asciiTheme="minorHAnsi" w:eastAsiaTheme="minorEastAsia" w:hAnsiTheme="minorHAnsi" w:cstheme="minorBidi"/>
            <w:szCs w:val="22"/>
            <w:lang w:val="en-AU" w:eastAsia="en-AU"/>
          </w:rPr>
          <w:tab/>
        </w:r>
        <w:r w:rsidR="00C37280" w:rsidRPr="00AD2A8A">
          <w:rPr>
            <w:rStyle w:val="Hyperlink"/>
          </w:rPr>
          <w:t>Challenges in the General Miscellaneous category</w:t>
        </w:r>
        <w:r w:rsidR="00C37280">
          <w:rPr>
            <w:webHidden/>
          </w:rPr>
          <w:tab/>
        </w:r>
        <w:r w:rsidR="00C37280">
          <w:rPr>
            <w:webHidden/>
          </w:rPr>
          <w:fldChar w:fldCharType="begin"/>
        </w:r>
        <w:r w:rsidR="00C37280">
          <w:rPr>
            <w:webHidden/>
          </w:rPr>
          <w:instrText xml:space="preserve"> PAGEREF _Toc59015958 \h </w:instrText>
        </w:r>
        <w:r w:rsidR="00C37280">
          <w:rPr>
            <w:webHidden/>
          </w:rPr>
        </w:r>
        <w:r w:rsidR="00C37280">
          <w:rPr>
            <w:webHidden/>
          </w:rPr>
          <w:fldChar w:fldCharType="separate"/>
        </w:r>
        <w:r w:rsidR="00784DE2">
          <w:rPr>
            <w:webHidden/>
          </w:rPr>
          <w:t>11</w:t>
        </w:r>
        <w:r w:rsidR="00C37280">
          <w:rPr>
            <w:webHidden/>
          </w:rPr>
          <w:fldChar w:fldCharType="end"/>
        </w:r>
      </w:hyperlink>
    </w:p>
    <w:p w14:paraId="225DFEC1" w14:textId="7E5350B1" w:rsidR="00C37280" w:rsidRDefault="00FC6370">
      <w:pPr>
        <w:pStyle w:val="TOC2"/>
        <w:rPr>
          <w:rFonts w:asciiTheme="minorHAnsi" w:eastAsiaTheme="minorEastAsia" w:hAnsiTheme="minorHAnsi" w:cstheme="minorBidi"/>
          <w:szCs w:val="22"/>
          <w:lang w:val="en-AU" w:eastAsia="en-AU"/>
        </w:rPr>
      </w:pPr>
      <w:hyperlink w:anchor="_Toc59015959" w:history="1">
        <w:r w:rsidR="00C37280" w:rsidRPr="00AD2A8A">
          <w:rPr>
            <w:rStyle w:val="Hyperlink"/>
            <w:rFonts w:cstheme="minorHAnsi"/>
          </w:rPr>
          <w:t>2.3</w:t>
        </w:r>
        <w:r w:rsidR="00C37280">
          <w:rPr>
            <w:rFonts w:asciiTheme="minorHAnsi" w:eastAsiaTheme="minorEastAsia" w:hAnsiTheme="minorHAnsi" w:cstheme="minorBidi"/>
            <w:szCs w:val="22"/>
            <w:lang w:val="en-AU" w:eastAsia="en-AU"/>
          </w:rPr>
          <w:tab/>
        </w:r>
        <w:r w:rsidR="00C37280" w:rsidRPr="00AD2A8A">
          <w:rPr>
            <w:rStyle w:val="Hyperlink"/>
          </w:rPr>
          <w:t>Basis for this review of the General Miscellaneous category</w:t>
        </w:r>
        <w:r w:rsidR="00C37280">
          <w:rPr>
            <w:webHidden/>
          </w:rPr>
          <w:tab/>
        </w:r>
        <w:r w:rsidR="00C37280">
          <w:rPr>
            <w:webHidden/>
          </w:rPr>
          <w:fldChar w:fldCharType="begin"/>
        </w:r>
        <w:r w:rsidR="00C37280">
          <w:rPr>
            <w:webHidden/>
          </w:rPr>
          <w:instrText xml:space="preserve"> PAGEREF _Toc59015959 \h </w:instrText>
        </w:r>
        <w:r w:rsidR="00C37280">
          <w:rPr>
            <w:webHidden/>
          </w:rPr>
        </w:r>
        <w:r w:rsidR="00C37280">
          <w:rPr>
            <w:webHidden/>
          </w:rPr>
          <w:fldChar w:fldCharType="separate"/>
        </w:r>
        <w:r w:rsidR="00784DE2">
          <w:rPr>
            <w:webHidden/>
          </w:rPr>
          <w:t>12</w:t>
        </w:r>
        <w:r w:rsidR="00C37280">
          <w:rPr>
            <w:webHidden/>
          </w:rPr>
          <w:fldChar w:fldCharType="end"/>
        </w:r>
      </w:hyperlink>
    </w:p>
    <w:p w14:paraId="0B02F5A1" w14:textId="36BA318B" w:rsidR="00C37280" w:rsidRDefault="00FC6370">
      <w:pPr>
        <w:pStyle w:val="TOC2"/>
        <w:rPr>
          <w:rFonts w:asciiTheme="minorHAnsi" w:eastAsiaTheme="minorEastAsia" w:hAnsiTheme="minorHAnsi" w:cstheme="minorBidi"/>
          <w:szCs w:val="22"/>
          <w:lang w:val="en-AU" w:eastAsia="en-AU"/>
        </w:rPr>
      </w:pPr>
      <w:hyperlink w:anchor="_Toc59015960" w:history="1">
        <w:r w:rsidR="00C37280" w:rsidRPr="00AD2A8A">
          <w:rPr>
            <w:rStyle w:val="Hyperlink"/>
            <w:rFonts w:cstheme="minorHAnsi"/>
          </w:rPr>
          <w:t>2.4</w:t>
        </w:r>
        <w:r w:rsidR="00C37280">
          <w:rPr>
            <w:rFonts w:asciiTheme="minorHAnsi" w:eastAsiaTheme="minorEastAsia" w:hAnsiTheme="minorHAnsi" w:cstheme="minorBidi"/>
            <w:szCs w:val="22"/>
            <w:lang w:val="en-AU" w:eastAsia="en-AU"/>
          </w:rPr>
          <w:tab/>
        </w:r>
        <w:r w:rsidR="00C37280" w:rsidRPr="00AD2A8A">
          <w:rPr>
            <w:rStyle w:val="Hyperlink"/>
          </w:rPr>
          <w:t>Feedback from industry</w:t>
        </w:r>
        <w:r w:rsidR="00C37280">
          <w:rPr>
            <w:webHidden/>
          </w:rPr>
          <w:tab/>
        </w:r>
        <w:r w:rsidR="00C37280">
          <w:rPr>
            <w:webHidden/>
          </w:rPr>
          <w:fldChar w:fldCharType="begin"/>
        </w:r>
        <w:r w:rsidR="00C37280">
          <w:rPr>
            <w:webHidden/>
          </w:rPr>
          <w:instrText xml:space="preserve"> PAGEREF _Toc59015960 \h </w:instrText>
        </w:r>
        <w:r w:rsidR="00C37280">
          <w:rPr>
            <w:webHidden/>
          </w:rPr>
        </w:r>
        <w:r w:rsidR="00C37280">
          <w:rPr>
            <w:webHidden/>
          </w:rPr>
          <w:fldChar w:fldCharType="separate"/>
        </w:r>
        <w:r w:rsidR="00784DE2">
          <w:rPr>
            <w:webHidden/>
          </w:rPr>
          <w:t>12</w:t>
        </w:r>
        <w:r w:rsidR="00C37280">
          <w:rPr>
            <w:webHidden/>
          </w:rPr>
          <w:fldChar w:fldCharType="end"/>
        </w:r>
      </w:hyperlink>
    </w:p>
    <w:p w14:paraId="0B95C7DB" w14:textId="730609BB" w:rsidR="00C37280" w:rsidRDefault="00FC6370">
      <w:pPr>
        <w:pStyle w:val="TOC1"/>
        <w:rPr>
          <w:rFonts w:asciiTheme="minorHAnsi" w:eastAsiaTheme="minorEastAsia" w:hAnsiTheme="minorHAnsi" w:cstheme="minorBidi"/>
          <w:szCs w:val="22"/>
          <w:lang w:val="en-AU" w:eastAsia="en-AU"/>
        </w:rPr>
      </w:pPr>
      <w:hyperlink w:anchor="_Toc59015961" w:history="1">
        <w:r w:rsidR="00C37280" w:rsidRPr="00AD2A8A">
          <w:rPr>
            <w:rStyle w:val="Hyperlink"/>
            <w:rFonts w:cstheme="minorHAnsi"/>
          </w:rPr>
          <w:t>3.</w:t>
        </w:r>
        <w:r w:rsidR="00C37280">
          <w:rPr>
            <w:rFonts w:asciiTheme="minorHAnsi" w:eastAsiaTheme="minorEastAsia" w:hAnsiTheme="minorHAnsi" w:cstheme="minorBidi"/>
            <w:szCs w:val="22"/>
            <w:lang w:val="en-AU" w:eastAsia="en-AU"/>
          </w:rPr>
          <w:tab/>
        </w:r>
        <w:r w:rsidR="00C37280" w:rsidRPr="00AD2A8A">
          <w:rPr>
            <w:rStyle w:val="Hyperlink"/>
          </w:rPr>
          <w:t>Scope and Approach</w:t>
        </w:r>
        <w:r w:rsidR="00C37280">
          <w:rPr>
            <w:webHidden/>
          </w:rPr>
          <w:tab/>
        </w:r>
        <w:r w:rsidR="00C37280">
          <w:rPr>
            <w:webHidden/>
          </w:rPr>
          <w:fldChar w:fldCharType="begin"/>
        </w:r>
        <w:r w:rsidR="00C37280">
          <w:rPr>
            <w:webHidden/>
          </w:rPr>
          <w:instrText xml:space="preserve"> PAGEREF _Toc59015961 \h </w:instrText>
        </w:r>
        <w:r w:rsidR="00C37280">
          <w:rPr>
            <w:webHidden/>
          </w:rPr>
        </w:r>
        <w:r w:rsidR="00C37280">
          <w:rPr>
            <w:webHidden/>
          </w:rPr>
          <w:fldChar w:fldCharType="separate"/>
        </w:r>
        <w:r w:rsidR="00784DE2">
          <w:rPr>
            <w:webHidden/>
          </w:rPr>
          <w:t>14</w:t>
        </w:r>
        <w:r w:rsidR="00C37280">
          <w:rPr>
            <w:webHidden/>
          </w:rPr>
          <w:fldChar w:fldCharType="end"/>
        </w:r>
      </w:hyperlink>
    </w:p>
    <w:p w14:paraId="0C20D00A" w14:textId="0A39BB29" w:rsidR="00C37280" w:rsidRDefault="00FC6370">
      <w:pPr>
        <w:pStyle w:val="TOC2"/>
        <w:rPr>
          <w:rFonts w:asciiTheme="minorHAnsi" w:eastAsiaTheme="minorEastAsia" w:hAnsiTheme="minorHAnsi" w:cstheme="minorBidi"/>
          <w:szCs w:val="22"/>
          <w:lang w:val="en-AU" w:eastAsia="en-AU"/>
        </w:rPr>
      </w:pPr>
      <w:hyperlink w:anchor="_Toc59015962" w:history="1">
        <w:r w:rsidR="00C37280" w:rsidRPr="00AD2A8A">
          <w:rPr>
            <w:rStyle w:val="Hyperlink"/>
            <w:rFonts w:cstheme="minorHAnsi"/>
          </w:rPr>
          <w:t>3.1</w:t>
        </w:r>
        <w:r w:rsidR="00C37280">
          <w:rPr>
            <w:rFonts w:asciiTheme="minorHAnsi" w:eastAsiaTheme="minorEastAsia" w:hAnsiTheme="minorHAnsi" w:cstheme="minorBidi"/>
            <w:szCs w:val="22"/>
            <w:lang w:val="en-AU" w:eastAsia="en-AU"/>
          </w:rPr>
          <w:tab/>
        </w:r>
        <w:r w:rsidR="00C37280" w:rsidRPr="00AD2A8A">
          <w:rPr>
            <w:rStyle w:val="Hyperlink"/>
          </w:rPr>
          <w:t>Scope and purpose of the review</w:t>
        </w:r>
        <w:r w:rsidR="00C37280">
          <w:rPr>
            <w:webHidden/>
          </w:rPr>
          <w:tab/>
        </w:r>
        <w:r w:rsidR="00C37280">
          <w:rPr>
            <w:webHidden/>
          </w:rPr>
          <w:fldChar w:fldCharType="begin"/>
        </w:r>
        <w:r w:rsidR="00C37280">
          <w:rPr>
            <w:webHidden/>
          </w:rPr>
          <w:instrText xml:space="preserve"> PAGEREF _Toc59015962 \h </w:instrText>
        </w:r>
        <w:r w:rsidR="00C37280">
          <w:rPr>
            <w:webHidden/>
          </w:rPr>
        </w:r>
        <w:r w:rsidR="00C37280">
          <w:rPr>
            <w:webHidden/>
          </w:rPr>
          <w:fldChar w:fldCharType="separate"/>
        </w:r>
        <w:r w:rsidR="00784DE2">
          <w:rPr>
            <w:webHidden/>
          </w:rPr>
          <w:t>14</w:t>
        </w:r>
        <w:r w:rsidR="00C37280">
          <w:rPr>
            <w:webHidden/>
          </w:rPr>
          <w:fldChar w:fldCharType="end"/>
        </w:r>
      </w:hyperlink>
    </w:p>
    <w:p w14:paraId="61D9BAF1" w14:textId="670A88D4" w:rsidR="00C37280" w:rsidRDefault="00FC6370">
      <w:pPr>
        <w:pStyle w:val="TOC2"/>
        <w:rPr>
          <w:rFonts w:asciiTheme="minorHAnsi" w:eastAsiaTheme="minorEastAsia" w:hAnsiTheme="minorHAnsi" w:cstheme="minorBidi"/>
          <w:szCs w:val="22"/>
          <w:lang w:val="en-AU" w:eastAsia="en-AU"/>
        </w:rPr>
      </w:pPr>
      <w:hyperlink w:anchor="_Toc59015963" w:history="1">
        <w:r w:rsidR="00C37280" w:rsidRPr="00AD2A8A">
          <w:rPr>
            <w:rStyle w:val="Hyperlink"/>
            <w:rFonts w:cstheme="minorHAnsi"/>
          </w:rPr>
          <w:t>3.2</w:t>
        </w:r>
        <w:r w:rsidR="00C37280">
          <w:rPr>
            <w:rFonts w:asciiTheme="minorHAnsi" w:eastAsiaTheme="minorEastAsia" w:hAnsiTheme="minorHAnsi" w:cstheme="minorBidi"/>
            <w:szCs w:val="22"/>
            <w:lang w:val="en-AU" w:eastAsia="en-AU"/>
          </w:rPr>
          <w:tab/>
        </w:r>
        <w:r w:rsidR="00C37280" w:rsidRPr="00AD2A8A">
          <w:rPr>
            <w:rStyle w:val="Hyperlink"/>
          </w:rPr>
          <w:t>Approach</w:t>
        </w:r>
        <w:r w:rsidR="00C37280">
          <w:rPr>
            <w:webHidden/>
          </w:rPr>
          <w:tab/>
        </w:r>
        <w:r w:rsidR="00C37280">
          <w:rPr>
            <w:webHidden/>
          </w:rPr>
          <w:fldChar w:fldCharType="begin"/>
        </w:r>
        <w:r w:rsidR="00C37280">
          <w:rPr>
            <w:webHidden/>
          </w:rPr>
          <w:instrText xml:space="preserve"> PAGEREF _Toc59015963 \h </w:instrText>
        </w:r>
        <w:r w:rsidR="00C37280">
          <w:rPr>
            <w:webHidden/>
          </w:rPr>
        </w:r>
        <w:r w:rsidR="00C37280">
          <w:rPr>
            <w:webHidden/>
          </w:rPr>
          <w:fldChar w:fldCharType="separate"/>
        </w:r>
        <w:r w:rsidR="00784DE2">
          <w:rPr>
            <w:webHidden/>
          </w:rPr>
          <w:t>14</w:t>
        </w:r>
        <w:r w:rsidR="00C37280">
          <w:rPr>
            <w:webHidden/>
          </w:rPr>
          <w:fldChar w:fldCharType="end"/>
        </w:r>
      </w:hyperlink>
    </w:p>
    <w:p w14:paraId="78E588F0" w14:textId="452F6FEC" w:rsidR="00C37280" w:rsidRDefault="00FC6370">
      <w:pPr>
        <w:pStyle w:val="TOC2"/>
        <w:rPr>
          <w:rFonts w:asciiTheme="minorHAnsi" w:eastAsiaTheme="minorEastAsia" w:hAnsiTheme="minorHAnsi" w:cstheme="minorBidi"/>
          <w:szCs w:val="22"/>
          <w:lang w:val="en-AU" w:eastAsia="en-AU"/>
        </w:rPr>
      </w:pPr>
      <w:hyperlink w:anchor="_Toc59015964" w:history="1">
        <w:r w:rsidR="00C37280" w:rsidRPr="00AD2A8A">
          <w:rPr>
            <w:rStyle w:val="Hyperlink"/>
            <w:rFonts w:cstheme="minorHAnsi"/>
          </w:rPr>
          <w:t>3.3</w:t>
        </w:r>
        <w:r w:rsidR="00C37280">
          <w:rPr>
            <w:rFonts w:asciiTheme="minorHAnsi" w:eastAsiaTheme="minorEastAsia" w:hAnsiTheme="minorHAnsi" w:cstheme="minorBidi"/>
            <w:szCs w:val="22"/>
            <w:lang w:val="en-AU" w:eastAsia="en-AU"/>
          </w:rPr>
          <w:tab/>
        </w:r>
        <w:r w:rsidR="00C37280" w:rsidRPr="00AD2A8A">
          <w:rPr>
            <w:rStyle w:val="Hyperlink"/>
          </w:rPr>
          <w:t>Limitations</w:t>
        </w:r>
        <w:r w:rsidR="00C37280">
          <w:rPr>
            <w:webHidden/>
          </w:rPr>
          <w:tab/>
        </w:r>
        <w:r w:rsidR="00C37280">
          <w:rPr>
            <w:webHidden/>
          </w:rPr>
          <w:fldChar w:fldCharType="begin"/>
        </w:r>
        <w:r w:rsidR="00C37280">
          <w:rPr>
            <w:webHidden/>
          </w:rPr>
          <w:instrText xml:space="preserve"> PAGEREF _Toc59015964 \h </w:instrText>
        </w:r>
        <w:r w:rsidR="00C37280">
          <w:rPr>
            <w:webHidden/>
          </w:rPr>
        </w:r>
        <w:r w:rsidR="00C37280">
          <w:rPr>
            <w:webHidden/>
          </w:rPr>
          <w:fldChar w:fldCharType="separate"/>
        </w:r>
        <w:r w:rsidR="00784DE2">
          <w:rPr>
            <w:webHidden/>
          </w:rPr>
          <w:t>18</w:t>
        </w:r>
        <w:r w:rsidR="00C37280">
          <w:rPr>
            <w:webHidden/>
          </w:rPr>
          <w:fldChar w:fldCharType="end"/>
        </w:r>
      </w:hyperlink>
    </w:p>
    <w:p w14:paraId="18C353C7" w14:textId="4A83AC46" w:rsidR="00C37280" w:rsidRDefault="00FC6370">
      <w:pPr>
        <w:pStyle w:val="TOC1"/>
        <w:rPr>
          <w:rFonts w:asciiTheme="minorHAnsi" w:eastAsiaTheme="minorEastAsia" w:hAnsiTheme="minorHAnsi" w:cstheme="minorBidi"/>
          <w:szCs w:val="22"/>
          <w:lang w:val="en-AU" w:eastAsia="en-AU"/>
        </w:rPr>
      </w:pPr>
      <w:hyperlink w:anchor="_Toc59015965" w:history="1">
        <w:r w:rsidR="00C37280" w:rsidRPr="00AD2A8A">
          <w:rPr>
            <w:rStyle w:val="Hyperlink"/>
            <w:rFonts w:cstheme="minorHAnsi"/>
          </w:rPr>
          <w:t>4.</w:t>
        </w:r>
        <w:r w:rsidR="00C37280">
          <w:rPr>
            <w:rFonts w:asciiTheme="minorHAnsi" w:eastAsiaTheme="minorEastAsia" w:hAnsiTheme="minorHAnsi" w:cstheme="minorBidi"/>
            <w:szCs w:val="22"/>
            <w:lang w:val="en-AU" w:eastAsia="en-AU"/>
          </w:rPr>
          <w:tab/>
        </w:r>
        <w:r w:rsidR="00C37280" w:rsidRPr="00AD2A8A">
          <w:rPr>
            <w:rStyle w:val="Hyperlink"/>
          </w:rPr>
          <w:t>Review of GM items</w:t>
        </w:r>
        <w:r w:rsidR="00C37280">
          <w:rPr>
            <w:webHidden/>
          </w:rPr>
          <w:tab/>
        </w:r>
        <w:r w:rsidR="00C37280">
          <w:rPr>
            <w:webHidden/>
          </w:rPr>
          <w:fldChar w:fldCharType="begin"/>
        </w:r>
        <w:r w:rsidR="00C37280">
          <w:rPr>
            <w:webHidden/>
          </w:rPr>
          <w:instrText xml:space="preserve"> PAGEREF _Toc59015965 \h </w:instrText>
        </w:r>
        <w:r w:rsidR="00C37280">
          <w:rPr>
            <w:webHidden/>
          </w:rPr>
        </w:r>
        <w:r w:rsidR="00C37280">
          <w:rPr>
            <w:webHidden/>
          </w:rPr>
          <w:fldChar w:fldCharType="separate"/>
        </w:r>
        <w:r w:rsidR="00784DE2">
          <w:rPr>
            <w:webHidden/>
          </w:rPr>
          <w:t>20</w:t>
        </w:r>
        <w:r w:rsidR="00C37280">
          <w:rPr>
            <w:webHidden/>
          </w:rPr>
          <w:fldChar w:fldCharType="end"/>
        </w:r>
      </w:hyperlink>
    </w:p>
    <w:p w14:paraId="1871C50C" w14:textId="766F1D80" w:rsidR="00C37280" w:rsidRDefault="00FC6370">
      <w:pPr>
        <w:pStyle w:val="TOC2"/>
        <w:rPr>
          <w:rFonts w:asciiTheme="minorHAnsi" w:eastAsiaTheme="minorEastAsia" w:hAnsiTheme="minorHAnsi" w:cstheme="minorBidi"/>
          <w:szCs w:val="22"/>
          <w:lang w:val="en-AU" w:eastAsia="en-AU"/>
        </w:rPr>
      </w:pPr>
      <w:hyperlink w:anchor="_Toc59015966" w:history="1">
        <w:r w:rsidR="00C37280" w:rsidRPr="00AD2A8A">
          <w:rPr>
            <w:rStyle w:val="Hyperlink"/>
            <w:rFonts w:cstheme="minorHAnsi"/>
          </w:rPr>
          <w:t>4.1</w:t>
        </w:r>
        <w:r w:rsidR="00C37280">
          <w:rPr>
            <w:rFonts w:asciiTheme="minorHAnsi" w:eastAsiaTheme="minorEastAsia" w:hAnsiTheme="minorHAnsi" w:cstheme="minorBidi"/>
            <w:szCs w:val="22"/>
            <w:lang w:val="en-AU" w:eastAsia="en-AU"/>
          </w:rPr>
          <w:tab/>
        </w:r>
        <w:r w:rsidR="00C37280" w:rsidRPr="00AD2A8A">
          <w:rPr>
            <w:rStyle w:val="Hyperlink"/>
          </w:rPr>
          <w:t>Prioritisation of groups</w:t>
        </w:r>
        <w:r w:rsidR="00C37280">
          <w:rPr>
            <w:webHidden/>
          </w:rPr>
          <w:tab/>
        </w:r>
        <w:r w:rsidR="00C37280">
          <w:rPr>
            <w:webHidden/>
          </w:rPr>
          <w:fldChar w:fldCharType="begin"/>
        </w:r>
        <w:r w:rsidR="00C37280">
          <w:rPr>
            <w:webHidden/>
          </w:rPr>
          <w:instrText xml:space="preserve"> PAGEREF _Toc59015966 \h </w:instrText>
        </w:r>
        <w:r w:rsidR="00C37280">
          <w:rPr>
            <w:webHidden/>
          </w:rPr>
        </w:r>
        <w:r w:rsidR="00C37280">
          <w:rPr>
            <w:webHidden/>
          </w:rPr>
          <w:fldChar w:fldCharType="separate"/>
        </w:r>
        <w:r w:rsidR="00784DE2">
          <w:rPr>
            <w:webHidden/>
          </w:rPr>
          <w:t>20</w:t>
        </w:r>
        <w:r w:rsidR="00C37280">
          <w:rPr>
            <w:webHidden/>
          </w:rPr>
          <w:fldChar w:fldCharType="end"/>
        </w:r>
      </w:hyperlink>
    </w:p>
    <w:p w14:paraId="5FA12956" w14:textId="646A70B0" w:rsidR="00C37280" w:rsidRDefault="00FC6370">
      <w:pPr>
        <w:pStyle w:val="TOC2"/>
        <w:rPr>
          <w:rFonts w:asciiTheme="minorHAnsi" w:eastAsiaTheme="minorEastAsia" w:hAnsiTheme="minorHAnsi" w:cstheme="minorBidi"/>
          <w:szCs w:val="22"/>
          <w:lang w:val="en-AU" w:eastAsia="en-AU"/>
        </w:rPr>
      </w:pPr>
      <w:hyperlink w:anchor="_Toc59015967" w:history="1">
        <w:r w:rsidR="00C37280" w:rsidRPr="00AD2A8A">
          <w:rPr>
            <w:rStyle w:val="Hyperlink"/>
            <w:rFonts w:cstheme="minorHAnsi"/>
          </w:rPr>
          <w:t>4.2</w:t>
        </w:r>
        <w:r w:rsidR="00C37280">
          <w:rPr>
            <w:rFonts w:asciiTheme="minorHAnsi" w:eastAsiaTheme="minorEastAsia" w:hAnsiTheme="minorHAnsi" w:cstheme="minorBidi"/>
            <w:szCs w:val="22"/>
            <w:lang w:val="en-AU" w:eastAsia="en-AU"/>
          </w:rPr>
          <w:tab/>
        </w:r>
        <w:r w:rsidR="00C37280" w:rsidRPr="00AD2A8A">
          <w:rPr>
            <w:rStyle w:val="Hyperlink"/>
          </w:rPr>
          <w:t>Summary of observations</w:t>
        </w:r>
        <w:r w:rsidR="00C37280">
          <w:rPr>
            <w:webHidden/>
          </w:rPr>
          <w:tab/>
        </w:r>
        <w:r w:rsidR="00C37280">
          <w:rPr>
            <w:webHidden/>
          </w:rPr>
          <w:fldChar w:fldCharType="begin"/>
        </w:r>
        <w:r w:rsidR="00C37280">
          <w:rPr>
            <w:webHidden/>
          </w:rPr>
          <w:instrText xml:space="preserve"> PAGEREF _Toc59015967 \h </w:instrText>
        </w:r>
        <w:r w:rsidR="00C37280">
          <w:rPr>
            <w:webHidden/>
          </w:rPr>
        </w:r>
        <w:r w:rsidR="00C37280">
          <w:rPr>
            <w:webHidden/>
          </w:rPr>
          <w:fldChar w:fldCharType="separate"/>
        </w:r>
        <w:r w:rsidR="00784DE2">
          <w:rPr>
            <w:webHidden/>
          </w:rPr>
          <w:t>22</w:t>
        </w:r>
        <w:r w:rsidR="00C37280">
          <w:rPr>
            <w:webHidden/>
          </w:rPr>
          <w:fldChar w:fldCharType="end"/>
        </w:r>
      </w:hyperlink>
    </w:p>
    <w:p w14:paraId="44BBA920" w14:textId="476FE579" w:rsidR="00C37280" w:rsidRDefault="00FC6370">
      <w:pPr>
        <w:pStyle w:val="TOC2"/>
        <w:rPr>
          <w:rFonts w:asciiTheme="minorHAnsi" w:eastAsiaTheme="minorEastAsia" w:hAnsiTheme="minorHAnsi" w:cstheme="minorBidi"/>
          <w:szCs w:val="22"/>
          <w:lang w:val="en-AU" w:eastAsia="en-AU"/>
        </w:rPr>
      </w:pPr>
      <w:hyperlink w:anchor="_Toc59015968" w:history="1">
        <w:r w:rsidR="00C37280" w:rsidRPr="00AD2A8A">
          <w:rPr>
            <w:rStyle w:val="Hyperlink"/>
            <w:rFonts w:cstheme="minorHAnsi"/>
          </w:rPr>
          <w:t>4.3</w:t>
        </w:r>
        <w:r w:rsidR="00C37280">
          <w:rPr>
            <w:rFonts w:asciiTheme="minorHAnsi" w:eastAsiaTheme="minorEastAsia" w:hAnsiTheme="minorHAnsi" w:cstheme="minorBidi"/>
            <w:szCs w:val="22"/>
            <w:lang w:val="en-AU" w:eastAsia="en-AU"/>
          </w:rPr>
          <w:tab/>
        </w:r>
        <w:r w:rsidR="00C37280" w:rsidRPr="00AD2A8A">
          <w:rPr>
            <w:rStyle w:val="Hyperlink"/>
          </w:rPr>
          <w:t>Listing criteria and categorisation</w:t>
        </w:r>
        <w:r w:rsidR="00C37280">
          <w:rPr>
            <w:webHidden/>
          </w:rPr>
          <w:tab/>
        </w:r>
        <w:r w:rsidR="00C37280">
          <w:rPr>
            <w:webHidden/>
          </w:rPr>
          <w:fldChar w:fldCharType="begin"/>
        </w:r>
        <w:r w:rsidR="00C37280">
          <w:rPr>
            <w:webHidden/>
          </w:rPr>
          <w:instrText xml:space="preserve"> PAGEREF _Toc59015968 \h </w:instrText>
        </w:r>
        <w:r w:rsidR="00C37280">
          <w:rPr>
            <w:webHidden/>
          </w:rPr>
        </w:r>
        <w:r w:rsidR="00C37280">
          <w:rPr>
            <w:webHidden/>
          </w:rPr>
          <w:fldChar w:fldCharType="separate"/>
        </w:r>
        <w:r w:rsidR="00784DE2">
          <w:rPr>
            <w:webHidden/>
          </w:rPr>
          <w:t>25</w:t>
        </w:r>
        <w:r w:rsidR="00C37280">
          <w:rPr>
            <w:webHidden/>
          </w:rPr>
          <w:fldChar w:fldCharType="end"/>
        </w:r>
      </w:hyperlink>
    </w:p>
    <w:p w14:paraId="6E540524" w14:textId="1D1BB9F7" w:rsidR="00C37280" w:rsidRDefault="00FC6370">
      <w:pPr>
        <w:pStyle w:val="TOC2"/>
        <w:rPr>
          <w:rFonts w:asciiTheme="minorHAnsi" w:eastAsiaTheme="minorEastAsia" w:hAnsiTheme="minorHAnsi" w:cstheme="minorBidi"/>
          <w:szCs w:val="22"/>
          <w:lang w:val="en-AU" w:eastAsia="en-AU"/>
        </w:rPr>
      </w:pPr>
      <w:hyperlink w:anchor="_Toc59015969" w:history="1">
        <w:r w:rsidR="00C37280" w:rsidRPr="00AD2A8A">
          <w:rPr>
            <w:rStyle w:val="Hyperlink"/>
            <w:rFonts w:cstheme="minorHAnsi"/>
          </w:rPr>
          <w:t>4.4</w:t>
        </w:r>
        <w:r w:rsidR="00C37280">
          <w:rPr>
            <w:rFonts w:asciiTheme="minorHAnsi" w:eastAsiaTheme="minorEastAsia" w:hAnsiTheme="minorHAnsi" w:cstheme="minorBidi"/>
            <w:szCs w:val="22"/>
            <w:lang w:val="en-AU" w:eastAsia="en-AU"/>
          </w:rPr>
          <w:tab/>
        </w:r>
        <w:r w:rsidR="00C37280" w:rsidRPr="00AD2A8A">
          <w:rPr>
            <w:rStyle w:val="Hyperlink"/>
          </w:rPr>
          <w:t>Usage</w:t>
        </w:r>
        <w:r w:rsidR="00C37280">
          <w:rPr>
            <w:webHidden/>
          </w:rPr>
          <w:tab/>
        </w:r>
        <w:r w:rsidR="00C37280">
          <w:rPr>
            <w:webHidden/>
          </w:rPr>
          <w:fldChar w:fldCharType="begin"/>
        </w:r>
        <w:r w:rsidR="00C37280">
          <w:rPr>
            <w:webHidden/>
          </w:rPr>
          <w:instrText xml:space="preserve"> PAGEREF _Toc59015969 \h </w:instrText>
        </w:r>
        <w:r w:rsidR="00C37280">
          <w:rPr>
            <w:webHidden/>
          </w:rPr>
        </w:r>
        <w:r w:rsidR="00C37280">
          <w:rPr>
            <w:webHidden/>
          </w:rPr>
          <w:fldChar w:fldCharType="separate"/>
        </w:r>
        <w:r w:rsidR="00784DE2">
          <w:rPr>
            <w:webHidden/>
          </w:rPr>
          <w:t>31</w:t>
        </w:r>
        <w:r w:rsidR="00C37280">
          <w:rPr>
            <w:webHidden/>
          </w:rPr>
          <w:fldChar w:fldCharType="end"/>
        </w:r>
      </w:hyperlink>
    </w:p>
    <w:p w14:paraId="28563216" w14:textId="378A94B6" w:rsidR="00C37280" w:rsidRDefault="00FC6370">
      <w:pPr>
        <w:pStyle w:val="TOC2"/>
        <w:rPr>
          <w:rFonts w:asciiTheme="minorHAnsi" w:eastAsiaTheme="minorEastAsia" w:hAnsiTheme="minorHAnsi" w:cstheme="minorBidi"/>
          <w:szCs w:val="22"/>
          <w:lang w:val="en-AU" w:eastAsia="en-AU"/>
        </w:rPr>
      </w:pPr>
      <w:hyperlink w:anchor="_Toc59015970" w:history="1">
        <w:r w:rsidR="00C37280" w:rsidRPr="00AD2A8A">
          <w:rPr>
            <w:rStyle w:val="Hyperlink"/>
            <w:rFonts w:cstheme="minorHAnsi"/>
          </w:rPr>
          <w:t>4.5</w:t>
        </w:r>
        <w:r w:rsidR="00C37280">
          <w:rPr>
            <w:rFonts w:asciiTheme="minorHAnsi" w:eastAsiaTheme="minorEastAsia" w:hAnsiTheme="minorHAnsi" w:cstheme="minorBidi"/>
            <w:szCs w:val="22"/>
            <w:lang w:val="en-AU" w:eastAsia="en-AU"/>
          </w:rPr>
          <w:tab/>
        </w:r>
        <w:r w:rsidR="00C37280" w:rsidRPr="00AD2A8A">
          <w:rPr>
            <w:rStyle w:val="Hyperlink"/>
          </w:rPr>
          <w:t>Benefit amounts</w:t>
        </w:r>
        <w:r w:rsidR="00C37280">
          <w:rPr>
            <w:webHidden/>
          </w:rPr>
          <w:tab/>
        </w:r>
        <w:r w:rsidR="00C37280">
          <w:rPr>
            <w:webHidden/>
          </w:rPr>
          <w:fldChar w:fldCharType="begin"/>
        </w:r>
        <w:r w:rsidR="00C37280">
          <w:rPr>
            <w:webHidden/>
          </w:rPr>
          <w:instrText xml:space="preserve"> PAGEREF _Toc59015970 \h </w:instrText>
        </w:r>
        <w:r w:rsidR="00C37280">
          <w:rPr>
            <w:webHidden/>
          </w:rPr>
        </w:r>
        <w:r w:rsidR="00C37280">
          <w:rPr>
            <w:webHidden/>
          </w:rPr>
          <w:fldChar w:fldCharType="separate"/>
        </w:r>
        <w:r w:rsidR="00784DE2">
          <w:rPr>
            <w:webHidden/>
          </w:rPr>
          <w:t>48</w:t>
        </w:r>
        <w:r w:rsidR="00C37280">
          <w:rPr>
            <w:webHidden/>
          </w:rPr>
          <w:fldChar w:fldCharType="end"/>
        </w:r>
      </w:hyperlink>
    </w:p>
    <w:p w14:paraId="0DCC4126" w14:textId="419400A7" w:rsidR="00C37280" w:rsidRDefault="00FC6370">
      <w:pPr>
        <w:pStyle w:val="TOC2"/>
        <w:rPr>
          <w:rFonts w:asciiTheme="minorHAnsi" w:eastAsiaTheme="minorEastAsia" w:hAnsiTheme="minorHAnsi" w:cstheme="minorBidi"/>
          <w:szCs w:val="22"/>
          <w:lang w:val="en-AU" w:eastAsia="en-AU"/>
        </w:rPr>
      </w:pPr>
      <w:hyperlink w:anchor="_Toc59015971" w:history="1">
        <w:r w:rsidR="00C37280" w:rsidRPr="00AD2A8A">
          <w:rPr>
            <w:rStyle w:val="Hyperlink"/>
            <w:rFonts w:cstheme="minorHAnsi"/>
          </w:rPr>
          <w:t>4.6</w:t>
        </w:r>
        <w:r w:rsidR="00C37280">
          <w:rPr>
            <w:rFonts w:asciiTheme="minorHAnsi" w:eastAsiaTheme="minorEastAsia" w:hAnsiTheme="minorHAnsi" w:cstheme="minorBidi"/>
            <w:szCs w:val="22"/>
            <w:lang w:val="en-AU" w:eastAsia="en-AU"/>
          </w:rPr>
          <w:tab/>
        </w:r>
        <w:r w:rsidR="00C37280" w:rsidRPr="00AD2A8A">
          <w:rPr>
            <w:rStyle w:val="Hyperlink"/>
          </w:rPr>
          <w:t>Alternative funding mechanisms</w:t>
        </w:r>
        <w:r w:rsidR="00C37280">
          <w:rPr>
            <w:webHidden/>
          </w:rPr>
          <w:tab/>
        </w:r>
        <w:r w:rsidR="00C37280">
          <w:rPr>
            <w:webHidden/>
          </w:rPr>
          <w:fldChar w:fldCharType="begin"/>
        </w:r>
        <w:r w:rsidR="00C37280">
          <w:rPr>
            <w:webHidden/>
          </w:rPr>
          <w:instrText xml:space="preserve"> PAGEREF _Toc59015971 \h </w:instrText>
        </w:r>
        <w:r w:rsidR="00C37280">
          <w:rPr>
            <w:webHidden/>
          </w:rPr>
        </w:r>
        <w:r w:rsidR="00C37280">
          <w:rPr>
            <w:webHidden/>
          </w:rPr>
          <w:fldChar w:fldCharType="separate"/>
        </w:r>
        <w:r w:rsidR="00784DE2">
          <w:rPr>
            <w:webHidden/>
          </w:rPr>
          <w:t>55</w:t>
        </w:r>
        <w:r w:rsidR="00C37280">
          <w:rPr>
            <w:webHidden/>
          </w:rPr>
          <w:fldChar w:fldCharType="end"/>
        </w:r>
      </w:hyperlink>
    </w:p>
    <w:p w14:paraId="6FEC0965" w14:textId="5A8733AE" w:rsidR="00C37280" w:rsidRDefault="00FC6370">
      <w:pPr>
        <w:pStyle w:val="TOC1"/>
        <w:rPr>
          <w:rFonts w:asciiTheme="minorHAnsi" w:eastAsiaTheme="minorEastAsia" w:hAnsiTheme="minorHAnsi" w:cstheme="minorBidi"/>
          <w:szCs w:val="22"/>
          <w:lang w:val="en-AU" w:eastAsia="en-AU"/>
        </w:rPr>
      </w:pPr>
      <w:hyperlink w:anchor="_Toc59015972" w:history="1">
        <w:r w:rsidR="00C37280" w:rsidRPr="00AD2A8A">
          <w:rPr>
            <w:rStyle w:val="Hyperlink"/>
            <w:rFonts w:cstheme="minorHAnsi"/>
          </w:rPr>
          <w:t>5.</w:t>
        </w:r>
        <w:r w:rsidR="00C37280">
          <w:rPr>
            <w:rFonts w:asciiTheme="minorHAnsi" w:eastAsiaTheme="minorEastAsia" w:hAnsiTheme="minorHAnsi" w:cstheme="minorBidi"/>
            <w:szCs w:val="22"/>
            <w:lang w:val="en-AU" w:eastAsia="en-AU"/>
          </w:rPr>
          <w:tab/>
        </w:r>
        <w:r w:rsidR="00C37280" w:rsidRPr="00AD2A8A">
          <w:rPr>
            <w:rStyle w:val="Hyperlink"/>
          </w:rPr>
          <w:t>Case studies</w:t>
        </w:r>
        <w:r w:rsidR="00C37280">
          <w:rPr>
            <w:webHidden/>
          </w:rPr>
          <w:tab/>
        </w:r>
        <w:r w:rsidR="00C37280">
          <w:rPr>
            <w:webHidden/>
          </w:rPr>
          <w:fldChar w:fldCharType="begin"/>
        </w:r>
        <w:r w:rsidR="00C37280">
          <w:rPr>
            <w:webHidden/>
          </w:rPr>
          <w:instrText xml:space="preserve"> PAGEREF _Toc59015972 \h </w:instrText>
        </w:r>
        <w:r w:rsidR="00C37280">
          <w:rPr>
            <w:webHidden/>
          </w:rPr>
        </w:r>
        <w:r w:rsidR="00C37280">
          <w:rPr>
            <w:webHidden/>
          </w:rPr>
          <w:fldChar w:fldCharType="separate"/>
        </w:r>
        <w:r w:rsidR="00784DE2">
          <w:rPr>
            <w:webHidden/>
          </w:rPr>
          <w:t>57</w:t>
        </w:r>
        <w:r w:rsidR="00C37280">
          <w:rPr>
            <w:webHidden/>
          </w:rPr>
          <w:fldChar w:fldCharType="end"/>
        </w:r>
      </w:hyperlink>
    </w:p>
    <w:p w14:paraId="4D31698B" w14:textId="316B45AE" w:rsidR="00C37280" w:rsidRDefault="00FC6370">
      <w:pPr>
        <w:pStyle w:val="TOC2"/>
        <w:rPr>
          <w:rFonts w:asciiTheme="minorHAnsi" w:eastAsiaTheme="minorEastAsia" w:hAnsiTheme="minorHAnsi" w:cstheme="minorBidi"/>
          <w:szCs w:val="22"/>
          <w:lang w:val="en-AU" w:eastAsia="en-AU"/>
        </w:rPr>
      </w:pPr>
      <w:hyperlink w:anchor="_Toc59015973" w:history="1">
        <w:r w:rsidR="00C37280" w:rsidRPr="00AD2A8A">
          <w:rPr>
            <w:rStyle w:val="Hyperlink"/>
            <w:rFonts w:cstheme="minorHAnsi"/>
          </w:rPr>
          <w:t>5.1</w:t>
        </w:r>
        <w:r w:rsidR="00C37280">
          <w:rPr>
            <w:rFonts w:asciiTheme="minorHAnsi" w:eastAsiaTheme="minorEastAsia" w:hAnsiTheme="minorHAnsi" w:cstheme="minorBidi"/>
            <w:szCs w:val="22"/>
            <w:lang w:val="en-AU" w:eastAsia="en-AU"/>
          </w:rPr>
          <w:tab/>
        </w:r>
        <w:r w:rsidR="00C37280" w:rsidRPr="00AD2A8A">
          <w:rPr>
            <w:rStyle w:val="Hyperlink"/>
          </w:rPr>
          <w:t>Introduction</w:t>
        </w:r>
        <w:r w:rsidR="00C37280">
          <w:rPr>
            <w:webHidden/>
          </w:rPr>
          <w:tab/>
        </w:r>
        <w:r w:rsidR="00C37280">
          <w:rPr>
            <w:webHidden/>
          </w:rPr>
          <w:fldChar w:fldCharType="begin"/>
        </w:r>
        <w:r w:rsidR="00C37280">
          <w:rPr>
            <w:webHidden/>
          </w:rPr>
          <w:instrText xml:space="preserve"> PAGEREF _Toc59015973 \h </w:instrText>
        </w:r>
        <w:r w:rsidR="00C37280">
          <w:rPr>
            <w:webHidden/>
          </w:rPr>
        </w:r>
        <w:r w:rsidR="00C37280">
          <w:rPr>
            <w:webHidden/>
          </w:rPr>
          <w:fldChar w:fldCharType="separate"/>
        </w:r>
        <w:r w:rsidR="00784DE2">
          <w:rPr>
            <w:webHidden/>
          </w:rPr>
          <w:t>57</w:t>
        </w:r>
        <w:r w:rsidR="00C37280">
          <w:rPr>
            <w:webHidden/>
          </w:rPr>
          <w:fldChar w:fldCharType="end"/>
        </w:r>
      </w:hyperlink>
    </w:p>
    <w:p w14:paraId="7BAACB17" w14:textId="38013C1D" w:rsidR="00C37280" w:rsidRDefault="00FC6370">
      <w:pPr>
        <w:pStyle w:val="TOC2"/>
        <w:rPr>
          <w:rFonts w:asciiTheme="minorHAnsi" w:eastAsiaTheme="minorEastAsia" w:hAnsiTheme="minorHAnsi" w:cstheme="minorBidi"/>
          <w:szCs w:val="22"/>
          <w:lang w:val="en-AU" w:eastAsia="en-AU"/>
        </w:rPr>
      </w:pPr>
      <w:hyperlink w:anchor="_Toc59015974" w:history="1">
        <w:r w:rsidR="00C37280" w:rsidRPr="00AD2A8A">
          <w:rPr>
            <w:rStyle w:val="Hyperlink"/>
            <w:rFonts w:cstheme="minorHAnsi"/>
          </w:rPr>
          <w:t>5.2</w:t>
        </w:r>
        <w:r w:rsidR="00C37280">
          <w:rPr>
            <w:rFonts w:asciiTheme="minorHAnsi" w:eastAsiaTheme="minorEastAsia" w:hAnsiTheme="minorHAnsi" w:cstheme="minorBidi"/>
            <w:szCs w:val="22"/>
            <w:lang w:val="en-AU" w:eastAsia="en-AU"/>
          </w:rPr>
          <w:tab/>
        </w:r>
        <w:r w:rsidR="00C37280" w:rsidRPr="00AD2A8A">
          <w:rPr>
            <w:rStyle w:val="Hyperlink"/>
          </w:rPr>
          <w:t>Internal Adhesives</w:t>
        </w:r>
        <w:r w:rsidR="00C37280">
          <w:rPr>
            <w:webHidden/>
          </w:rPr>
          <w:tab/>
        </w:r>
        <w:r w:rsidR="00C37280">
          <w:rPr>
            <w:webHidden/>
          </w:rPr>
          <w:fldChar w:fldCharType="begin"/>
        </w:r>
        <w:r w:rsidR="00C37280">
          <w:rPr>
            <w:webHidden/>
          </w:rPr>
          <w:instrText xml:space="preserve"> PAGEREF _Toc59015974 \h </w:instrText>
        </w:r>
        <w:r w:rsidR="00C37280">
          <w:rPr>
            <w:webHidden/>
          </w:rPr>
        </w:r>
        <w:r w:rsidR="00C37280">
          <w:rPr>
            <w:webHidden/>
          </w:rPr>
          <w:fldChar w:fldCharType="separate"/>
        </w:r>
        <w:r w:rsidR="00784DE2">
          <w:rPr>
            <w:webHidden/>
          </w:rPr>
          <w:t>58</w:t>
        </w:r>
        <w:r w:rsidR="00C37280">
          <w:rPr>
            <w:webHidden/>
          </w:rPr>
          <w:fldChar w:fldCharType="end"/>
        </w:r>
      </w:hyperlink>
    </w:p>
    <w:p w14:paraId="623E2A23" w14:textId="225B4DF3" w:rsidR="00C37280" w:rsidRDefault="00FC6370">
      <w:pPr>
        <w:pStyle w:val="TOC2"/>
        <w:rPr>
          <w:rFonts w:asciiTheme="minorHAnsi" w:eastAsiaTheme="minorEastAsia" w:hAnsiTheme="minorHAnsi" w:cstheme="minorBidi"/>
          <w:szCs w:val="22"/>
          <w:lang w:val="en-AU" w:eastAsia="en-AU"/>
        </w:rPr>
      </w:pPr>
      <w:hyperlink w:anchor="_Toc59015975" w:history="1">
        <w:r w:rsidR="00C37280" w:rsidRPr="00AD2A8A">
          <w:rPr>
            <w:rStyle w:val="Hyperlink"/>
            <w:rFonts w:cstheme="minorHAnsi"/>
          </w:rPr>
          <w:t>5.3</w:t>
        </w:r>
        <w:r w:rsidR="00C37280">
          <w:rPr>
            <w:rFonts w:asciiTheme="minorHAnsi" w:eastAsiaTheme="minorEastAsia" w:hAnsiTheme="minorHAnsi" w:cstheme="minorBidi"/>
            <w:szCs w:val="22"/>
            <w:lang w:val="en-AU" w:eastAsia="en-AU"/>
          </w:rPr>
          <w:tab/>
        </w:r>
        <w:r w:rsidR="00C37280" w:rsidRPr="00AD2A8A">
          <w:rPr>
            <w:rStyle w:val="Hyperlink"/>
          </w:rPr>
          <w:t>Staples and Tackers</w:t>
        </w:r>
        <w:r w:rsidR="00C37280">
          <w:rPr>
            <w:webHidden/>
          </w:rPr>
          <w:tab/>
        </w:r>
        <w:r w:rsidR="00C37280">
          <w:rPr>
            <w:webHidden/>
          </w:rPr>
          <w:fldChar w:fldCharType="begin"/>
        </w:r>
        <w:r w:rsidR="00C37280">
          <w:rPr>
            <w:webHidden/>
          </w:rPr>
          <w:instrText xml:space="preserve"> PAGEREF _Toc59015975 \h </w:instrText>
        </w:r>
        <w:r w:rsidR="00C37280">
          <w:rPr>
            <w:webHidden/>
          </w:rPr>
        </w:r>
        <w:r w:rsidR="00C37280">
          <w:rPr>
            <w:webHidden/>
          </w:rPr>
          <w:fldChar w:fldCharType="separate"/>
        </w:r>
        <w:r w:rsidR="00784DE2">
          <w:rPr>
            <w:webHidden/>
          </w:rPr>
          <w:t>61</w:t>
        </w:r>
        <w:r w:rsidR="00C37280">
          <w:rPr>
            <w:webHidden/>
          </w:rPr>
          <w:fldChar w:fldCharType="end"/>
        </w:r>
      </w:hyperlink>
    </w:p>
    <w:p w14:paraId="05E3796E" w14:textId="1B6D3510" w:rsidR="00C37280" w:rsidRDefault="00FC6370">
      <w:pPr>
        <w:pStyle w:val="TOC2"/>
        <w:rPr>
          <w:rFonts w:asciiTheme="minorHAnsi" w:eastAsiaTheme="minorEastAsia" w:hAnsiTheme="minorHAnsi" w:cstheme="minorBidi"/>
          <w:szCs w:val="22"/>
          <w:lang w:val="en-AU" w:eastAsia="en-AU"/>
        </w:rPr>
      </w:pPr>
      <w:hyperlink w:anchor="_Toc59015976" w:history="1">
        <w:r w:rsidR="00C37280" w:rsidRPr="00AD2A8A">
          <w:rPr>
            <w:rStyle w:val="Hyperlink"/>
            <w:rFonts w:cstheme="minorHAnsi"/>
          </w:rPr>
          <w:t>5.4</w:t>
        </w:r>
        <w:r w:rsidR="00C37280">
          <w:rPr>
            <w:rFonts w:asciiTheme="minorHAnsi" w:eastAsiaTheme="minorEastAsia" w:hAnsiTheme="minorHAnsi" w:cstheme="minorBidi"/>
            <w:szCs w:val="22"/>
            <w:lang w:val="en-AU" w:eastAsia="en-AU"/>
          </w:rPr>
          <w:tab/>
        </w:r>
        <w:r w:rsidR="00C37280" w:rsidRPr="00AD2A8A">
          <w:rPr>
            <w:rStyle w:val="Hyperlink"/>
          </w:rPr>
          <w:t>Matrix</w:t>
        </w:r>
        <w:r w:rsidR="00C37280">
          <w:rPr>
            <w:webHidden/>
          </w:rPr>
          <w:tab/>
        </w:r>
        <w:r w:rsidR="00C37280">
          <w:rPr>
            <w:webHidden/>
          </w:rPr>
          <w:fldChar w:fldCharType="begin"/>
        </w:r>
        <w:r w:rsidR="00C37280">
          <w:rPr>
            <w:webHidden/>
          </w:rPr>
          <w:instrText xml:space="preserve"> PAGEREF _Toc59015976 \h </w:instrText>
        </w:r>
        <w:r w:rsidR="00C37280">
          <w:rPr>
            <w:webHidden/>
          </w:rPr>
        </w:r>
        <w:r w:rsidR="00C37280">
          <w:rPr>
            <w:webHidden/>
          </w:rPr>
          <w:fldChar w:fldCharType="separate"/>
        </w:r>
        <w:r w:rsidR="00784DE2">
          <w:rPr>
            <w:webHidden/>
          </w:rPr>
          <w:t>64</w:t>
        </w:r>
        <w:r w:rsidR="00C37280">
          <w:rPr>
            <w:webHidden/>
          </w:rPr>
          <w:fldChar w:fldCharType="end"/>
        </w:r>
      </w:hyperlink>
    </w:p>
    <w:p w14:paraId="02B615FB" w14:textId="6379BFE9" w:rsidR="00C37280" w:rsidRDefault="00FC6370">
      <w:pPr>
        <w:pStyle w:val="TOC2"/>
        <w:rPr>
          <w:rFonts w:asciiTheme="minorHAnsi" w:eastAsiaTheme="minorEastAsia" w:hAnsiTheme="minorHAnsi" w:cstheme="minorBidi"/>
          <w:szCs w:val="22"/>
          <w:lang w:val="en-AU" w:eastAsia="en-AU"/>
        </w:rPr>
      </w:pPr>
      <w:hyperlink w:anchor="_Toc59015977" w:history="1">
        <w:r w:rsidR="00C37280" w:rsidRPr="00AD2A8A">
          <w:rPr>
            <w:rStyle w:val="Hyperlink"/>
            <w:rFonts w:cstheme="minorHAnsi"/>
          </w:rPr>
          <w:t>5.5</w:t>
        </w:r>
        <w:r w:rsidR="00C37280">
          <w:rPr>
            <w:rFonts w:asciiTheme="minorHAnsi" w:eastAsiaTheme="minorEastAsia" w:hAnsiTheme="minorHAnsi" w:cstheme="minorBidi"/>
            <w:szCs w:val="22"/>
            <w:lang w:val="en-AU" w:eastAsia="en-AU"/>
          </w:rPr>
          <w:tab/>
        </w:r>
        <w:r w:rsidR="00C37280" w:rsidRPr="00AD2A8A">
          <w:rPr>
            <w:rStyle w:val="Hyperlink"/>
          </w:rPr>
          <w:t>Infusion Pumps</w:t>
        </w:r>
        <w:r w:rsidR="00C37280">
          <w:rPr>
            <w:webHidden/>
          </w:rPr>
          <w:tab/>
        </w:r>
        <w:r w:rsidR="00C37280">
          <w:rPr>
            <w:webHidden/>
          </w:rPr>
          <w:fldChar w:fldCharType="begin"/>
        </w:r>
        <w:r w:rsidR="00C37280">
          <w:rPr>
            <w:webHidden/>
          </w:rPr>
          <w:instrText xml:space="preserve"> PAGEREF _Toc59015977 \h </w:instrText>
        </w:r>
        <w:r w:rsidR="00C37280">
          <w:rPr>
            <w:webHidden/>
          </w:rPr>
        </w:r>
        <w:r w:rsidR="00C37280">
          <w:rPr>
            <w:webHidden/>
          </w:rPr>
          <w:fldChar w:fldCharType="separate"/>
        </w:r>
        <w:r w:rsidR="00784DE2">
          <w:rPr>
            <w:webHidden/>
          </w:rPr>
          <w:t>65</w:t>
        </w:r>
        <w:r w:rsidR="00C37280">
          <w:rPr>
            <w:webHidden/>
          </w:rPr>
          <w:fldChar w:fldCharType="end"/>
        </w:r>
      </w:hyperlink>
    </w:p>
    <w:p w14:paraId="1E75E752" w14:textId="151C58D1" w:rsidR="00C37280" w:rsidRDefault="00FC6370">
      <w:pPr>
        <w:pStyle w:val="TOC1"/>
        <w:rPr>
          <w:rFonts w:asciiTheme="minorHAnsi" w:eastAsiaTheme="minorEastAsia" w:hAnsiTheme="minorHAnsi" w:cstheme="minorBidi"/>
          <w:szCs w:val="22"/>
          <w:lang w:val="en-AU" w:eastAsia="en-AU"/>
        </w:rPr>
      </w:pPr>
      <w:hyperlink w:anchor="_Toc59015978" w:history="1">
        <w:r w:rsidR="00C37280" w:rsidRPr="00AD2A8A">
          <w:rPr>
            <w:rStyle w:val="Hyperlink"/>
            <w:rFonts w:cstheme="minorHAnsi"/>
          </w:rPr>
          <w:t>6.</w:t>
        </w:r>
        <w:r w:rsidR="00C37280">
          <w:rPr>
            <w:rFonts w:asciiTheme="minorHAnsi" w:eastAsiaTheme="minorEastAsia" w:hAnsiTheme="minorHAnsi" w:cstheme="minorBidi"/>
            <w:szCs w:val="22"/>
            <w:lang w:val="en-AU" w:eastAsia="en-AU"/>
          </w:rPr>
          <w:tab/>
        </w:r>
        <w:r w:rsidR="00C37280" w:rsidRPr="00AD2A8A">
          <w:rPr>
            <w:rStyle w:val="Hyperlink"/>
          </w:rPr>
          <w:t>Findings and next steps</w:t>
        </w:r>
        <w:r w:rsidR="00C37280">
          <w:rPr>
            <w:webHidden/>
          </w:rPr>
          <w:tab/>
        </w:r>
        <w:r w:rsidR="00C37280">
          <w:rPr>
            <w:webHidden/>
          </w:rPr>
          <w:fldChar w:fldCharType="begin"/>
        </w:r>
        <w:r w:rsidR="00C37280">
          <w:rPr>
            <w:webHidden/>
          </w:rPr>
          <w:instrText xml:space="preserve"> PAGEREF _Toc59015978 \h </w:instrText>
        </w:r>
        <w:r w:rsidR="00C37280">
          <w:rPr>
            <w:webHidden/>
          </w:rPr>
        </w:r>
        <w:r w:rsidR="00C37280">
          <w:rPr>
            <w:webHidden/>
          </w:rPr>
          <w:fldChar w:fldCharType="separate"/>
        </w:r>
        <w:r w:rsidR="00784DE2">
          <w:rPr>
            <w:webHidden/>
          </w:rPr>
          <w:t>68</w:t>
        </w:r>
        <w:r w:rsidR="00C37280">
          <w:rPr>
            <w:webHidden/>
          </w:rPr>
          <w:fldChar w:fldCharType="end"/>
        </w:r>
      </w:hyperlink>
    </w:p>
    <w:p w14:paraId="2C3803EB" w14:textId="2F38BA3E" w:rsidR="00C37280" w:rsidRDefault="00FC6370">
      <w:pPr>
        <w:pStyle w:val="TOC2"/>
        <w:rPr>
          <w:rFonts w:asciiTheme="minorHAnsi" w:eastAsiaTheme="minorEastAsia" w:hAnsiTheme="minorHAnsi" w:cstheme="minorBidi"/>
          <w:szCs w:val="22"/>
          <w:lang w:val="en-AU" w:eastAsia="en-AU"/>
        </w:rPr>
      </w:pPr>
      <w:hyperlink w:anchor="_Toc59015979" w:history="1">
        <w:r w:rsidR="00C37280" w:rsidRPr="00AD2A8A">
          <w:rPr>
            <w:rStyle w:val="Hyperlink"/>
            <w:rFonts w:cstheme="minorHAnsi"/>
          </w:rPr>
          <w:t>6.1</w:t>
        </w:r>
        <w:r w:rsidR="00C37280">
          <w:rPr>
            <w:rFonts w:asciiTheme="minorHAnsi" w:eastAsiaTheme="minorEastAsia" w:hAnsiTheme="minorHAnsi" w:cstheme="minorBidi"/>
            <w:szCs w:val="22"/>
            <w:lang w:val="en-AU" w:eastAsia="en-AU"/>
          </w:rPr>
          <w:tab/>
        </w:r>
        <w:r w:rsidR="00C37280" w:rsidRPr="00AD2A8A">
          <w:rPr>
            <w:rStyle w:val="Hyperlink"/>
          </w:rPr>
          <w:t>Findings</w:t>
        </w:r>
        <w:r w:rsidR="00C37280">
          <w:rPr>
            <w:webHidden/>
          </w:rPr>
          <w:tab/>
        </w:r>
        <w:r w:rsidR="00C37280">
          <w:rPr>
            <w:webHidden/>
          </w:rPr>
          <w:fldChar w:fldCharType="begin"/>
        </w:r>
        <w:r w:rsidR="00C37280">
          <w:rPr>
            <w:webHidden/>
          </w:rPr>
          <w:instrText xml:space="preserve"> PAGEREF _Toc59015979 \h </w:instrText>
        </w:r>
        <w:r w:rsidR="00C37280">
          <w:rPr>
            <w:webHidden/>
          </w:rPr>
        </w:r>
        <w:r w:rsidR="00C37280">
          <w:rPr>
            <w:webHidden/>
          </w:rPr>
          <w:fldChar w:fldCharType="separate"/>
        </w:r>
        <w:r w:rsidR="00784DE2">
          <w:rPr>
            <w:webHidden/>
          </w:rPr>
          <w:t>68</w:t>
        </w:r>
        <w:r w:rsidR="00C37280">
          <w:rPr>
            <w:webHidden/>
          </w:rPr>
          <w:fldChar w:fldCharType="end"/>
        </w:r>
      </w:hyperlink>
    </w:p>
    <w:p w14:paraId="7BFB11A7" w14:textId="71FE91A2" w:rsidR="00C37280" w:rsidRDefault="00FC6370">
      <w:pPr>
        <w:pStyle w:val="TOC2"/>
        <w:rPr>
          <w:rFonts w:asciiTheme="minorHAnsi" w:eastAsiaTheme="minorEastAsia" w:hAnsiTheme="minorHAnsi" w:cstheme="minorBidi"/>
          <w:szCs w:val="22"/>
          <w:lang w:val="en-AU" w:eastAsia="en-AU"/>
        </w:rPr>
      </w:pPr>
      <w:hyperlink w:anchor="_Toc59015980" w:history="1">
        <w:r w:rsidR="00C37280" w:rsidRPr="00AD2A8A">
          <w:rPr>
            <w:rStyle w:val="Hyperlink"/>
            <w:rFonts w:cstheme="minorHAnsi"/>
          </w:rPr>
          <w:t>6.2</w:t>
        </w:r>
        <w:r w:rsidR="00C37280">
          <w:rPr>
            <w:rFonts w:asciiTheme="minorHAnsi" w:eastAsiaTheme="minorEastAsia" w:hAnsiTheme="minorHAnsi" w:cstheme="minorBidi"/>
            <w:szCs w:val="22"/>
            <w:lang w:val="en-AU" w:eastAsia="en-AU"/>
          </w:rPr>
          <w:tab/>
        </w:r>
        <w:r w:rsidR="00C37280" w:rsidRPr="00AD2A8A">
          <w:rPr>
            <w:rStyle w:val="Hyperlink"/>
          </w:rPr>
          <w:t>Next steps</w:t>
        </w:r>
        <w:r w:rsidR="00C37280">
          <w:rPr>
            <w:webHidden/>
          </w:rPr>
          <w:tab/>
        </w:r>
        <w:r w:rsidR="00C37280">
          <w:rPr>
            <w:webHidden/>
          </w:rPr>
          <w:fldChar w:fldCharType="begin"/>
        </w:r>
        <w:r w:rsidR="00C37280">
          <w:rPr>
            <w:webHidden/>
          </w:rPr>
          <w:instrText xml:space="preserve"> PAGEREF _Toc59015980 \h </w:instrText>
        </w:r>
        <w:r w:rsidR="00C37280">
          <w:rPr>
            <w:webHidden/>
          </w:rPr>
        </w:r>
        <w:r w:rsidR="00C37280">
          <w:rPr>
            <w:webHidden/>
          </w:rPr>
          <w:fldChar w:fldCharType="separate"/>
        </w:r>
        <w:r w:rsidR="00784DE2">
          <w:rPr>
            <w:webHidden/>
          </w:rPr>
          <w:t>73</w:t>
        </w:r>
        <w:r w:rsidR="00C37280">
          <w:rPr>
            <w:webHidden/>
          </w:rPr>
          <w:fldChar w:fldCharType="end"/>
        </w:r>
      </w:hyperlink>
    </w:p>
    <w:p w14:paraId="69E13837" w14:textId="1F27E4D2" w:rsidR="00C37280" w:rsidRDefault="00FC6370">
      <w:pPr>
        <w:pStyle w:val="TOC1"/>
        <w:rPr>
          <w:rFonts w:asciiTheme="minorHAnsi" w:eastAsiaTheme="minorEastAsia" w:hAnsiTheme="minorHAnsi" w:cstheme="minorBidi"/>
          <w:szCs w:val="22"/>
          <w:lang w:val="en-AU" w:eastAsia="en-AU"/>
        </w:rPr>
      </w:pPr>
      <w:hyperlink w:anchor="_Toc59015981" w:history="1">
        <w:r w:rsidR="00C37280" w:rsidRPr="00AD2A8A">
          <w:rPr>
            <w:rStyle w:val="Hyperlink"/>
            <w:rFonts w:cstheme="minorHAnsi"/>
          </w:rPr>
          <w:t>7.</w:t>
        </w:r>
        <w:r w:rsidR="00C37280">
          <w:rPr>
            <w:rFonts w:asciiTheme="minorHAnsi" w:eastAsiaTheme="minorEastAsia" w:hAnsiTheme="minorHAnsi" w:cstheme="minorBidi"/>
            <w:szCs w:val="22"/>
            <w:lang w:val="en-AU" w:eastAsia="en-AU"/>
          </w:rPr>
          <w:tab/>
        </w:r>
        <w:r w:rsidR="00C37280" w:rsidRPr="00AD2A8A">
          <w:rPr>
            <w:rStyle w:val="Hyperlink"/>
          </w:rPr>
          <w:t>Reliances and limitations</w:t>
        </w:r>
        <w:r w:rsidR="00C37280">
          <w:rPr>
            <w:webHidden/>
          </w:rPr>
          <w:tab/>
        </w:r>
        <w:r w:rsidR="00C37280">
          <w:rPr>
            <w:webHidden/>
          </w:rPr>
          <w:fldChar w:fldCharType="begin"/>
        </w:r>
        <w:r w:rsidR="00C37280">
          <w:rPr>
            <w:webHidden/>
          </w:rPr>
          <w:instrText xml:space="preserve"> PAGEREF _Toc59015981 \h </w:instrText>
        </w:r>
        <w:r w:rsidR="00C37280">
          <w:rPr>
            <w:webHidden/>
          </w:rPr>
        </w:r>
        <w:r w:rsidR="00C37280">
          <w:rPr>
            <w:webHidden/>
          </w:rPr>
          <w:fldChar w:fldCharType="separate"/>
        </w:r>
        <w:r w:rsidR="00784DE2">
          <w:rPr>
            <w:webHidden/>
          </w:rPr>
          <w:t>78</w:t>
        </w:r>
        <w:r w:rsidR="00C37280">
          <w:rPr>
            <w:webHidden/>
          </w:rPr>
          <w:fldChar w:fldCharType="end"/>
        </w:r>
      </w:hyperlink>
    </w:p>
    <w:p w14:paraId="00367C43" w14:textId="10B9174C" w:rsidR="00C37280" w:rsidRDefault="00FC6370">
      <w:pPr>
        <w:pStyle w:val="TOC1"/>
        <w:tabs>
          <w:tab w:val="left" w:pos="1320"/>
        </w:tabs>
        <w:rPr>
          <w:rFonts w:asciiTheme="minorHAnsi" w:eastAsiaTheme="minorEastAsia" w:hAnsiTheme="minorHAnsi" w:cstheme="minorBidi"/>
          <w:szCs w:val="22"/>
          <w:lang w:val="en-AU" w:eastAsia="en-AU"/>
        </w:rPr>
      </w:pPr>
      <w:hyperlink w:anchor="_Toc59015982" w:history="1">
        <w:r w:rsidR="00C37280" w:rsidRPr="00AD2A8A">
          <w:rPr>
            <w:rStyle w:val="Hyperlink"/>
          </w:rPr>
          <w:t>Appendix A</w:t>
        </w:r>
        <w:r w:rsidR="00C37280">
          <w:rPr>
            <w:rFonts w:asciiTheme="minorHAnsi" w:eastAsiaTheme="minorEastAsia" w:hAnsiTheme="minorHAnsi" w:cstheme="minorBidi"/>
            <w:szCs w:val="22"/>
            <w:lang w:val="en-AU" w:eastAsia="en-AU"/>
          </w:rPr>
          <w:tab/>
        </w:r>
        <w:r w:rsidR="00C37280" w:rsidRPr="00AD2A8A">
          <w:rPr>
            <w:rStyle w:val="Hyperlink"/>
          </w:rPr>
          <w:t>Prioritisation of groups</w:t>
        </w:r>
        <w:r w:rsidR="00C37280">
          <w:rPr>
            <w:webHidden/>
          </w:rPr>
          <w:tab/>
        </w:r>
        <w:r w:rsidR="00C37280">
          <w:rPr>
            <w:webHidden/>
          </w:rPr>
          <w:fldChar w:fldCharType="begin"/>
        </w:r>
        <w:r w:rsidR="00C37280">
          <w:rPr>
            <w:webHidden/>
          </w:rPr>
          <w:instrText xml:space="preserve"> PAGEREF _Toc59015982 \h </w:instrText>
        </w:r>
        <w:r w:rsidR="00C37280">
          <w:rPr>
            <w:webHidden/>
          </w:rPr>
        </w:r>
        <w:r w:rsidR="00C37280">
          <w:rPr>
            <w:webHidden/>
          </w:rPr>
          <w:fldChar w:fldCharType="separate"/>
        </w:r>
        <w:r w:rsidR="00784DE2">
          <w:rPr>
            <w:webHidden/>
          </w:rPr>
          <w:t>79</w:t>
        </w:r>
        <w:r w:rsidR="00C37280">
          <w:rPr>
            <w:webHidden/>
          </w:rPr>
          <w:fldChar w:fldCharType="end"/>
        </w:r>
      </w:hyperlink>
    </w:p>
    <w:p w14:paraId="4549C77E" w14:textId="77F5973D" w:rsidR="00C37280" w:rsidRDefault="00FC6370">
      <w:pPr>
        <w:pStyle w:val="TOC1"/>
        <w:tabs>
          <w:tab w:val="left" w:pos="1320"/>
        </w:tabs>
        <w:rPr>
          <w:rFonts w:asciiTheme="minorHAnsi" w:eastAsiaTheme="minorEastAsia" w:hAnsiTheme="minorHAnsi" w:cstheme="minorBidi"/>
          <w:szCs w:val="22"/>
          <w:lang w:val="en-AU" w:eastAsia="en-AU"/>
        </w:rPr>
      </w:pPr>
      <w:hyperlink w:anchor="_Toc59015983" w:history="1">
        <w:r w:rsidR="00C37280" w:rsidRPr="00AD2A8A">
          <w:rPr>
            <w:rStyle w:val="Hyperlink"/>
          </w:rPr>
          <w:t>Appendix B</w:t>
        </w:r>
        <w:r w:rsidR="00C37280">
          <w:rPr>
            <w:rFonts w:asciiTheme="minorHAnsi" w:eastAsiaTheme="minorEastAsia" w:hAnsiTheme="minorHAnsi" w:cstheme="minorBidi"/>
            <w:szCs w:val="22"/>
            <w:lang w:val="en-AU" w:eastAsia="en-AU"/>
          </w:rPr>
          <w:tab/>
        </w:r>
        <w:r w:rsidR="00C37280" w:rsidRPr="00AD2A8A">
          <w:rPr>
            <w:rStyle w:val="Hyperlink"/>
          </w:rPr>
          <w:t>Usage by subgroup for ‘High’ priority groups</w:t>
        </w:r>
        <w:r w:rsidR="00C37280">
          <w:rPr>
            <w:webHidden/>
          </w:rPr>
          <w:tab/>
        </w:r>
        <w:r w:rsidR="00C37280">
          <w:rPr>
            <w:webHidden/>
          </w:rPr>
          <w:fldChar w:fldCharType="begin"/>
        </w:r>
        <w:r w:rsidR="00C37280">
          <w:rPr>
            <w:webHidden/>
          </w:rPr>
          <w:instrText xml:space="preserve"> PAGEREF _Toc59015983 \h </w:instrText>
        </w:r>
        <w:r w:rsidR="00C37280">
          <w:rPr>
            <w:webHidden/>
          </w:rPr>
        </w:r>
        <w:r w:rsidR="00C37280">
          <w:rPr>
            <w:webHidden/>
          </w:rPr>
          <w:fldChar w:fldCharType="separate"/>
        </w:r>
        <w:r w:rsidR="00784DE2">
          <w:rPr>
            <w:webHidden/>
          </w:rPr>
          <w:t>81</w:t>
        </w:r>
        <w:r w:rsidR="00C37280">
          <w:rPr>
            <w:webHidden/>
          </w:rPr>
          <w:fldChar w:fldCharType="end"/>
        </w:r>
      </w:hyperlink>
    </w:p>
    <w:p w14:paraId="3A770C9C" w14:textId="61096FC8" w:rsidR="00C37280" w:rsidRDefault="00FC6370">
      <w:pPr>
        <w:pStyle w:val="TOC1"/>
        <w:tabs>
          <w:tab w:val="left" w:pos="1320"/>
        </w:tabs>
        <w:rPr>
          <w:rFonts w:asciiTheme="minorHAnsi" w:eastAsiaTheme="minorEastAsia" w:hAnsiTheme="minorHAnsi" w:cstheme="minorBidi"/>
          <w:szCs w:val="22"/>
          <w:lang w:val="en-AU" w:eastAsia="en-AU"/>
        </w:rPr>
      </w:pPr>
      <w:hyperlink w:anchor="_Toc59015984" w:history="1">
        <w:r w:rsidR="00C37280" w:rsidRPr="00AD2A8A">
          <w:rPr>
            <w:rStyle w:val="Hyperlink"/>
          </w:rPr>
          <w:t>Appendix C</w:t>
        </w:r>
        <w:r w:rsidR="00C37280">
          <w:rPr>
            <w:rFonts w:asciiTheme="minorHAnsi" w:eastAsiaTheme="minorEastAsia" w:hAnsiTheme="minorHAnsi" w:cstheme="minorBidi"/>
            <w:szCs w:val="22"/>
            <w:lang w:val="en-AU" w:eastAsia="en-AU"/>
          </w:rPr>
          <w:tab/>
        </w:r>
        <w:r w:rsidR="00C37280" w:rsidRPr="00AD2A8A">
          <w:rPr>
            <w:rStyle w:val="Hyperlink"/>
          </w:rPr>
          <w:t>Detailed benchmarking analysis</w:t>
        </w:r>
        <w:r w:rsidR="00C37280">
          <w:rPr>
            <w:webHidden/>
          </w:rPr>
          <w:tab/>
        </w:r>
        <w:r w:rsidR="00C37280">
          <w:rPr>
            <w:webHidden/>
          </w:rPr>
          <w:fldChar w:fldCharType="begin"/>
        </w:r>
        <w:r w:rsidR="00C37280">
          <w:rPr>
            <w:webHidden/>
          </w:rPr>
          <w:instrText xml:space="preserve"> PAGEREF _Toc59015984 \h </w:instrText>
        </w:r>
        <w:r w:rsidR="00C37280">
          <w:rPr>
            <w:webHidden/>
          </w:rPr>
        </w:r>
        <w:r w:rsidR="00C37280">
          <w:rPr>
            <w:webHidden/>
          </w:rPr>
          <w:fldChar w:fldCharType="separate"/>
        </w:r>
        <w:r w:rsidR="00784DE2">
          <w:rPr>
            <w:webHidden/>
          </w:rPr>
          <w:t>88</w:t>
        </w:r>
        <w:r w:rsidR="00C37280">
          <w:rPr>
            <w:webHidden/>
          </w:rPr>
          <w:fldChar w:fldCharType="end"/>
        </w:r>
      </w:hyperlink>
    </w:p>
    <w:p w14:paraId="042B8AC0" w14:textId="4D0FEC7D" w:rsidR="00C37280" w:rsidRDefault="00FC6370">
      <w:pPr>
        <w:pStyle w:val="TOC1"/>
        <w:tabs>
          <w:tab w:val="left" w:pos="1320"/>
        </w:tabs>
        <w:rPr>
          <w:rFonts w:asciiTheme="minorHAnsi" w:eastAsiaTheme="minorEastAsia" w:hAnsiTheme="minorHAnsi" w:cstheme="minorBidi"/>
          <w:szCs w:val="22"/>
          <w:lang w:val="en-AU" w:eastAsia="en-AU"/>
        </w:rPr>
      </w:pPr>
      <w:hyperlink w:anchor="_Toc59015985" w:history="1">
        <w:r w:rsidR="00C37280" w:rsidRPr="00AD2A8A">
          <w:rPr>
            <w:rStyle w:val="Hyperlink"/>
          </w:rPr>
          <w:t>Appendix D</w:t>
        </w:r>
        <w:r w:rsidR="00C37280">
          <w:rPr>
            <w:rFonts w:asciiTheme="minorHAnsi" w:eastAsiaTheme="minorEastAsia" w:hAnsiTheme="minorHAnsi" w:cstheme="minorBidi"/>
            <w:szCs w:val="22"/>
            <w:lang w:val="en-AU" w:eastAsia="en-AU"/>
          </w:rPr>
          <w:tab/>
        </w:r>
        <w:r w:rsidR="00C37280" w:rsidRPr="00AD2A8A">
          <w:rPr>
            <w:rStyle w:val="Hyperlink"/>
          </w:rPr>
          <w:t>Stakeholder feedback</w:t>
        </w:r>
        <w:r w:rsidR="00C37280">
          <w:rPr>
            <w:webHidden/>
          </w:rPr>
          <w:tab/>
        </w:r>
        <w:r w:rsidR="00C37280">
          <w:rPr>
            <w:webHidden/>
          </w:rPr>
          <w:fldChar w:fldCharType="begin"/>
        </w:r>
        <w:r w:rsidR="00C37280">
          <w:rPr>
            <w:webHidden/>
          </w:rPr>
          <w:instrText xml:space="preserve"> PAGEREF _Toc59015985 \h </w:instrText>
        </w:r>
        <w:r w:rsidR="00C37280">
          <w:rPr>
            <w:webHidden/>
          </w:rPr>
        </w:r>
        <w:r w:rsidR="00C37280">
          <w:rPr>
            <w:webHidden/>
          </w:rPr>
          <w:fldChar w:fldCharType="separate"/>
        </w:r>
        <w:r w:rsidR="00784DE2">
          <w:rPr>
            <w:webHidden/>
          </w:rPr>
          <w:t>93</w:t>
        </w:r>
        <w:r w:rsidR="00C37280">
          <w:rPr>
            <w:webHidden/>
          </w:rPr>
          <w:fldChar w:fldCharType="end"/>
        </w:r>
      </w:hyperlink>
    </w:p>
    <w:p w14:paraId="5B0E7954" w14:textId="1576A592" w:rsidR="00477AFA" w:rsidRDefault="00477AFA" w:rsidP="00477AFA">
      <w:r w:rsidRPr="00926D59">
        <w:fldChar w:fldCharType="end"/>
      </w:r>
    </w:p>
    <w:p w14:paraId="5551832D" w14:textId="77777777" w:rsidR="00477AFA" w:rsidRDefault="00477AFA" w:rsidP="00477AFA"/>
    <w:p w14:paraId="332240A5" w14:textId="77777777" w:rsidR="00477AFA" w:rsidRDefault="00477AFA" w:rsidP="00477AFA">
      <w:pPr>
        <w:sectPr w:rsidR="00477AFA" w:rsidSect="00B42B76">
          <w:headerReference w:type="default" r:id="rId13"/>
          <w:pgSz w:w="11909" w:h="16834" w:code="9"/>
          <w:pgMar w:top="1440" w:right="1440" w:bottom="1440" w:left="1440" w:header="720" w:footer="720" w:gutter="0"/>
          <w:pgNumType w:fmt="lowerRoman"/>
          <w:cols w:space="720"/>
          <w:docGrid w:linePitch="360"/>
        </w:sectPr>
      </w:pPr>
    </w:p>
    <w:p w14:paraId="4416D7FA" w14:textId="09FCA7AE" w:rsidR="00477AFA" w:rsidRDefault="0071744E" w:rsidP="00477AFA">
      <w:pPr>
        <w:pStyle w:val="EYHeading1"/>
      </w:pPr>
      <w:bookmarkStart w:id="3" w:name="_Ref39053388"/>
      <w:bookmarkStart w:id="4" w:name="_Ref39053400"/>
      <w:bookmarkStart w:id="5" w:name="_Toc59015953"/>
      <w:r>
        <w:t>Executive Summary</w:t>
      </w:r>
      <w:bookmarkEnd w:id="3"/>
      <w:bookmarkEnd w:id="4"/>
      <w:bookmarkEnd w:id="5"/>
    </w:p>
    <w:p w14:paraId="3B686A16" w14:textId="77777777" w:rsidR="00F36B86" w:rsidRPr="00D759EF" w:rsidRDefault="00F36B86" w:rsidP="00F36B86">
      <w:pPr>
        <w:pStyle w:val="EYHeading2"/>
      </w:pPr>
      <w:bookmarkStart w:id="6" w:name="_Toc46912775"/>
      <w:bookmarkStart w:id="7" w:name="_Toc59015954"/>
      <w:bookmarkEnd w:id="6"/>
      <w:r w:rsidRPr="00D759EF">
        <w:t>Background</w:t>
      </w:r>
      <w:r w:rsidR="00975A37">
        <w:t xml:space="preserve"> and approach</w:t>
      </w:r>
      <w:bookmarkEnd w:id="7"/>
    </w:p>
    <w:p w14:paraId="2FBAA6C9" w14:textId="77777777" w:rsidR="0089388A" w:rsidRDefault="00F24211" w:rsidP="00B35FE4">
      <w:pPr>
        <w:pStyle w:val="EYHeading3"/>
      </w:pPr>
      <w:r>
        <w:t>General Miscellaneous</w:t>
      </w:r>
      <w:r w:rsidR="00B35FE4">
        <w:t xml:space="preserve"> items on the P</w:t>
      </w:r>
      <w:r>
        <w:t xml:space="preserve">rostheses </w:t>
      </w:r>
      <w:r w:rsidR="00B35FE4">
        <w:t>L</w:t>
      </w:r>
      <w:r>
        <w:t>ist</w:t>
      </w:r>
    </w:p>
    <w:p w14:paraId="269D29DD" w14:textId="77777777" w:rsidR="00453900" w:rsidRPr="00AF1D4E" w:rsidRDefault="00453900" w:rsidP="00AF1D4E">
      <w:pPr>
        <w:pStyle w:val="Bodytextwithparaspace"/>
        <w:rPr>
          <w:i/>
        </w:rPr>
      </w:pPr>
      <w:r>
        <w:rPr>
          <w:b/>
          <w:i/>
        </w:rPr>
        <w:t>Background</w:t>
      </w:r>
    </w:p>
    <w:p w14:paraId="765BC9A4" w14:textId="3C0910B4" w:rsidR="00B35FE4" w:rsidRDefault="00B35FE4" w:rsidP="00B35FE4">
      <w:pPr>
        <w:pStyle w:val="Bodytextwithparaspace"/>
      </w:pPr>
      <w:r w:rsidRPr="004F77FC">
        <w:t>T</w:t>
      </w:r>
      <w:r>
        <w:t xml:space="preserve">he </w:t>
      </w:r>
      <w:r w:rsidR="00F24211">
        <w:t>Prostheses List</w:t>
      </w:r>
      <w:r>
        <w:t xml:space="preserve"> (PL) is a legislated list of </w:t>
      </w:r>
      <w:r w:rsidR="00C0707B">
        <w:t xml:space="preserve">prosthetic items and associated </w:t>
      </w:r>
      <w:r>
        <w:t>benefit</w:t>
      </w:r>
      <w:r w:rsidR="00C0707B">
        <w:t xml:space="preserve"> amounts. It</w:t>
      </w:r>
      <w:r w:rsidR="00775846">
        <w:t xml:space="preserve"> </w:t>
      </w:r>
      <w:r w:rsidR="00D6289A">
        <w:t>re</w:t>
      </w:r>
      <w:r w:rsidR="00A973B2">
        <w:t>quires</w:t>
      </w:r>
      <w:r w:rsidR="00582EA1">
        <w:t xml:space="preserve"> </w:t>
      </w:r>
      <w:r>
        <w:t xml:space="preserve">private health insurers </w:t>
      </w:r>
      <w:r w:rsidR="00390A3F">
        <w:t xml:space="preserve">to </w:t>
      </w:r>
      <w:r>
        <w:t xml:space="preserve">pay for prostheses </w:t>
      </w:r>
      <w:r w:rsidR="00D72EE4">
        <w:t>th</w:t>
      </w:r>
      <w:r w:rsidR="00091A1C">
        <w:t>at</w:t>
      </w:r>
      <w:r>
        <w:t xml:space="preserve"> are provided to a privately insured person as part of an episode of hospital treatment. </w:t>
      </w:r>
      <w:r w:rsidR="006B6608">
        <w:t>In doing so, it guarantees that</w:t>
      </w:r>
      <w:r w:rsidR="008A3572">
        <w:t xml:space="preserve"> private health</w:t>
      </w:r>
      <w:r w:rsidR="006B6608">
        <w:t xml:space="preserve"> insurers </w:t>
      </w:r>
      <w:r w:rsidR="008A3572">
        <w:t xml:space="preserve">(insurers) </w:t>
      </w:r>
      <w:r w:rsidR="006B6608">
        <w:t xml:space="preserve">will pay </w:t>
      </w:r>
      <w:r w:rsidR="00C0707B">
        <w:t xml:space="preserve">hospitals </w:t>
      </w:r>
      <w:r w:rsidR="006B6608">
        <w:t>a set amount for every item used</w:t>
      </w:r>
      <w:r w:rsidR="00453900">
        <w:t xml:space="preserve">, with the intention of </w:t>
      </w:r>
      <w:r w:rsidR="00C500D6">
        <w:t xml:space="preserve">ensuring </w:t>
      </w:r>
      <w:r w:rsidR="0040409D">
        <w:t xml:space="preserve">that </w:t>
      </w:r>
      <w:r w:rsidR="00C500D6">
        <w:t>patient</w:t>
      </w:r>
      <w:r w:rsidR="0040409D">
        <w:t>s have</w:t>
      </w:r>
      <w:r w:rsidR="00C500D6">
        <w:t xml:space="preserve"> access to safe, </w:t>
      </w:r>
      <w:r w:rsidR="0040409D">
        <w:t xml:space="preserve">clinically </w:t>
      </w:r>
      <w:r w:rsidR="00C500D6">
        <w:t xml:space="preserve">effective and cost effective </w:t>
      </w:r>
      <w:r w:rsidR="00453900">
        <w:t>prosthetic items.</w:t>
      </w:r>
    </w:p>
    <w:p w14:paraId="3A5387EC" w14:textId="77777777" w:rsidR="00B35FE4" w:rsidRDefault="00B35FE4" w:rsidP="00B35FE4">
      <w:pPr>
        <w:pStyle w:val="Bodytextwithparaspace"/>
      </w:pPr>
      <w:r>
        <w:t>There are around 11,000 items on the PL, representing the diverse nature of prosthe</w:t>
      </w:r>
      <w:r w:rsidR="00C0707B">
        <w:t>tic</w:t>
      </w:r>
      <w:r>
        <w:t xml:space="preserve"> items available to clinicians. These are separated into 13 ‘categories’, one of which is the ’03 – </w:t>
      </w:r>
      <w:r w:rsidR="00F24211">
        <w:t>General Miscellaneous</w:t>
      </w:r>
      <w:r>
        <w:t>’ (GM) category.</w:t>
      </w:r>
    </w:p>
    <w:p w14:paraId="5D8C3AE9" w14:textId="77777777" w:rsidR="0040409D" w:rsidRDefault="0040409D" w:rsidP="0040409D">
      <w:pPr>
        <w:pStyle w:val="Bodytextwithparaspace"/>
      </w:pPr>
      <w:r>
        <w:t>The GM category includes a wide range of surgical items which can be grouped into two broad types:</w:t>
      </w:r>
    </w:p>
    <w:p w14:paraId="67BCDE33" w14:textId="6AF89931" w:rsidR="0040409D" w:rsidRDefault="00DB435D" w:rsidP="008E4696">
      <w:pPr>
        <w:pStyle w:val="Bodytextwithparaspace"/>
        <w:numPr>
          <w:ilvl w:val="0"/>
          <w:numId w:val="10"/>
        </w:numPr>
      </w:pPr>
      <w:r>
        <w:t xml:space="preserve">Prosthetic </w:t>
      </w:r>
      <w:r w:rsidR="0040409D">
        <w:t>items that are designed for a specific purpose which is central to certain types of surgical procedure, but that do not fit neatly into the other 12 categories of the PL. Brachytherapy and gastric band devices are examples of these ‘</w:t>
      </w:r>
      <w:r w:rsidR="0040409D" w:rsidRPr="00B35FE4">
        <w:rPr>
          <w:b/>
        </w:rPr>
        <w:t>m</w:t>
      </w:r>
      <w:r w:rsidR="0040409D">
        <w:rPr>
          <w:b/>
        </w:rPr>
        <w:t>iscellaneous</w:t>
      </w:r>
      <w:r w:rsidR="0040409D">
        <w:t xml:space="preserve">’ items. </w:t>
      </w:r>
    </w:p>
    <w:p w14:paraId="0CA849DD" w14:textId="5E19E55C" w:rsidR="008A3572" w:rsidRDefault="008A3572" w:rsidP="008A3572">
      <w:pPr>
        <w:pStyle w:val="Bodytextwithparaspace"/>
        <w:numPr>
          <w:ilvl w:val="0"/>
          <w:numId w:val="10"/>
        </w:numPr>
      </w:pPr>
      <w:r>
        <w:t xml:space="preserve">Other </w:t>
      </w:r>
      <w:r w:rsidR="002F3313">
        <w:t>medical</w:t>
      </w:r>
      <w:r>
        <w:t xml:space="preserve"> items </w:t>
      </w:r>
      <w:r w:rsidR="0090367B">
        <w:t>which</w:t>
      </w:r>
      <w:r>
        <w:t xml:space="preserve"> are used </w:t>
      </w:r>
      <w:r w:rsidR="0053791E">
        <w:t>to support</w:t>
      </w:r>
      <w:r>
        <w:t xml:space="preserve"> a range of different type</w:t>
      </w:r>
      <w:r w:rsidR="00432058">
        <w:t>s</w:t>
      </w:r>
      <w:r>
        <w:t xml:space="preserve"> of surgical procedure which are either inserted into the body or </w:t>
      </w:r>
      <w:r w:rsidR="0090367B">
        <w:t>assist</w:t>
      </w:r>
      <w:r>
        <w:t xml:space="preserve"> other items that are inserted into the body</w:t>
      </w:r>
      <w:r w:rsidR="0090367B">
        <w:t>.</w:t>
      </w:r>
      <w:r>
        <w:t xml:space="preserve"> Drug delivery devices, haemostatic devices and closure devices are examples of these ‘</w:t>
      </w:r>
      <w:r>
        <w:rPr>
          <w:b/>
        </w:rPr>
        <w:t>general</w:t>
      </w:r>
      <w:r>
        <w:t>’ items.</w:t>
      </w:r>
    </w:p>
    <w:p w14:paraId="5147D85C" w14:textId="77777777" w:rsidR="00453900" w:rsidRDefault="00453900" w:rsidP="00AF1D4E">
      <w:pPr>
        <w:pStyle w:val="Bodytextwithparaspace"/>
      </w:pPr>
      <w:r>
        <w:rPr>
          <w:b/>
          <w:i/>
        </w:rPr>
        <w:t>Listing criteria</w:t>
      </w:r>
    </w:p>
    <w:p w14:paraId="4C4426F3" w14:textId="09F0685C" w:rsidR="00453900" w:rsidRDefault="00453900" w:rsidP="00453900">
      <w:pPr>
        <w:pStyle w:val="Bodytextwithparaspace"/>
      </w:pPr>
      <w:r>
        <w:t xml:space="preserve">The criteria for an item to be included on the PL are included in the Prostheses List Guide (the Guide), which is maintained by </w:t>
      </w:r>
      <w:r w:rsidR="00A96C01">
        <w:t>the Australian Government Department of Health (the Department)</w:t>
      </w:r>
      <w:r>
        <w:t>.</w:t>
      </w:r>
    </w:p>
    <w:p w14:paraId="6D9716D6" w14:textId="0D3F6840" w:rsidR="00453900" w:rsidRDefault="00453900" w:rsidP="00453900">
      <w:pPr>
        <w:pStyle w:val="Bodytextwithparaspace"/>
      </w:pPr>
      <w:r>
        <w:t>Criterion 4a of the Guide is the key requirement for</w:t>
      </w:r>
      <w:r w:rsidR="002207B3">
        <w:t xml:space="preserve"> most</w:t>
      </w:r>
      <w:r>
        <w:t xml:space="preserve"> items to be included on the PL:</w:t>
      </w:r>
    </w:p>
    <w:p w14:paraId="5853F26C" w14:textId="77777777" w:rsidR="00453900" w:rsidRPr="00AF1D4E" w:rsidRDefault="00453900" w:rsidP="00453900">
      <w:pPr>
        <w:pStyle w:val="Bodytextwithparaspace"/>
        <w:rPr>
          <w:b/>
          <w:i/>
        </w:rPr>
      </w:pPr>
      <w:r>
        <w:rPr>
          <w:b/>
          <w:i/>
        </w:rPr>
        <w:t xml:space="preserve">4a: </w:t>
      </w:r>
      <w:r w:rsidRPr="00AF1D4E">
        <w:rPr>
          <w:b/>
          <w:i/>
        </w:rPr>
        <w:t>A prosthesis should be surgically implanted in the patient and be purposely designed in order to: replace an anatomical body part; or combat a pathological process; or modulate a physiological process.</w:t>
      </w:r>
    </w:p>
    <w:p w14:paraId="2787FB9E" w14:textId="33B857DD" w:rsidR="00453900" w:rsidRDefault="00453900" w:rsidP="00453900">
      <w:pPr>
        <w:pStyle w:val="Bodytextwithparaspace"/>
      </w:pPr>
      <w:r>
        <w:t>Criteria 4b and 4c of the Guide a</w:t>
      </w:r>
      <w:r w:rsidR="00EA0F5A">
        <w:t>llow some other items to be included on the PL that are not themselves implanted, so long as their use relates to items that are implanted</w:t>
      </w:r>
      <w:r>
        <w:t>:</w:t>
      </w:r>
    </w:p>
    <w:p w14:paraId="26CCA2D5" w14:textId="66E056BA" w:rsidR="00453900" w:rsidRDefault="00453900" w:rsidP="00453900">
      <w:pPr>
        <w:pStyle w:val="Bodytextwithparaspace"/>
        <w:rPr>
          <w:b/>
          <w:i/>
        </w:rPr>
      </w:pPr>
      <w:r w:rsidRPr="00AF1D4E">
        <w:rPr>
          <w:b/>
          <w:i/>
        </w:rPr>
        <w:t xml:space="preserve">4b and 4c: A </w:t>
      </w:r>
      <w:r w:rsidR="002F3313" w:rsidRPr="00AF1D4E">
        <w:rPr>
          <w:b/>
          <w:i/>
        </w:rPr>
        <w:t>prosthes</w:t>
      </w:r>
      <w:r w:rsidR="002F3313">
        <w:rPr>
          <w:b/>
          <w:i/>
        </w:rPr>
        <w:t>i</w:t>
      </w:r>
      <w:r w:rsidR="002F3313" w:rsidRPr="00AF1D4E">
        <w:rPr>
          <w:b/>
          <w:i/>
        </w:rPr>
        <w:t xml:space="preserve">s </w:t>
      </w:r>
      <w:r w:rsidRPr="00AF1D4E">
        <w:rPr>
          <w:b/>
          <w:i/>
        </w:rPr>
        <w:t>should be essential to and specifically designed as an integral single-use aid for implanting a product, described in 4a, which is only suitable for use with the patient in whom that product is implanted; or be critical to the continuing function of the surgically implanted product to achieve (i), (ii) or (iii) above and which is only suitable for use by the patient in whom that product is implanted.</w:t>
      </w:r>
    </w:p>
    <w:p w14:paraId="138F9555" w14:textId="77777777" w:rsidR="00453900" w:rsidRPr="00AF1D4E" w:rsidRDefault="00453900" w:rsidP="00453900">
      <w:pPr>
        <w:pStyle w:val="Bodytextwithparaspace"/>
        <w:rPr>
          <w:b/>
          <w:i/>
        </w:rPr>
      </w:pPr>
      <w:r>
        <w:rPr>
          <w:b/>
          <w:i/>
        </w:rPr>
        <w:t>Usage issues</w:t>
      </w:r>
    </w:p>
    <w:p w14:paraId="06608A17" w14:textId="7039F668" w:rsidR="00C045AF" w:rsidRDefault="00ED48E5" w:rsidP="00ED48E5">
      <w:pPr>
        <w:pStyle w:val="Bodytextwithparaspace"/>
      </w:pPr>
      <w:r>
        <w:t xml:space="preserve">The GM category of the PL </w:t>
      </w:r>
      <w:r w:rsidR="004846C2">
        <w:t>saw</w:t>
      </w:r>
      <w:r>
        <w:t xml:space="preserve"> significant increases in utilisation and total benefits paid each year over the period from FY14 through to FY19. In this period, there </w:t>
      </w:r>
      <w:r w:rsidR="007E1CA6">
        <w:t>was</w:t>
      </w:r>
      <w:r>
        <w:t xml:space="preserve"> an 11% compound annual growth rate (CAGR) in the number of items used per year and a 9% CAGR in the total benefits paid over the period. More recently, from FY18 to FY19 the growth in utilisation of items in the GM category was 15%, although the corresponding growth in total benefits paid was lower, at 3%</w:t>
      </w:r>
      <w:r w:rsidR="00C045AF">
        <w:t xml:space="preserve">. The lower average benefit amount paid per item </w:t>
      </w:r>
      <w:r w:rsidR="004846C2">
        <w:t>wa</w:t>
      </w:r>
      <w:r w:rsidR="00C045AF">
        <w:t>s partly due to benefit amount reductions and partly from high usage for new lower benefit amount items.</w:t>
      </w:r>
    </w:p>
    <w:p w14:paraId="409E4E46" w14:textId="19D8E571" w:rsidR="00C045AF" w:rsidRDefault="00C045AF" w:rsidP="00C045AF">
      <w:pPr>
        <w:pStyle w:val="Bodytextwithparaspace"/>
      </w:pPr>
      <w:r>
        <w:t xml:space="preserve">The </w:t>
      </w:r>
      <w:r w:rsidR="00DB435D">
        <w:t>concern which is the basis</w:t>
      </w:r>
      <w:r>
        <w:t xml:space="preserve"> for this review is that using PL as a funding mechanism (which guarantees that insurers will pay a set amount for every item used) for low cost high usage items may not send a direct price signal to the clinicians and hospitals, and so:</w:t>
      </w:r>
    </w:p>
    <w:p w14:paraId="142DBCEF" w14:textId="05BDEDCD" w:rsidR="00C045AF" w:rsidRDefault="00726925" w:rsidP="00463B2D">
      <w:pPr>
        <w:pStyle w:val="Bodytextwithparaspace"/>
        <w:numPr>
          <w:ilvl w:val="1"/>
          <w:numId w:val="11"/>
        </w:numPr>
        <w:ind w:left="709"/>
      </w:pPr>
      <w:r>
        <w:t xml:space="preserve">Usage </w:t>
      </w:r>
      <w:r w:rsidR="00C045AF">
        <w:t xml:space="preserve">of the item over and above the minimum level necessary to ensure </w:t>
      </w:r>
      <w:r w:rsidR="005A3A5B">
        <w:t xml:space="preserve">appropriate </w:t>
      </w:r>
      <w:r w:rsidR="00C045AF">
        <w:t xml:space="preserve">patient outcomes </w:t>
      </w:r>
      <w:r w:rsidR="004846C2">
        <w:t>is</w:t>
      </w:r>
      <w:r w:rsidR="0005742E">
        <w:t xml:space="preserve"> </w:t>
      </w:r>
      <w:r w:rsidR="00145971">
        <w:t>not disincentivised</w:t>
      </w:r>
      <w:r w:rsidR="00C045AF">
        <w:t>; and/or</w:t>
      </w:r>
    </w:p>
    <w:p w14:paraId="39B5C6B6" w14:textId="56FAD9AB" w:rsidR="00C045AF" w:rsidRDefault="00726925" w:rsidP="00463B2D">
      <w:pPr>
        <w:pStyle w:val="Bodytextwithparaspace"/>
        <w:numPr>
          <w:ilvl w:val="1"/>
          <w:numId w:val="11"/>
        </w:numPr>
        <w:ind w:left="709"/>
      </w:pPr>
      <w:r>
        <w:t xml:space="preserve">There </w:t>
      </w:r>
      <w:r w:rsidR="00C045AF">
        <w:t>may be higher than necessary usage of more expensive versions of equivalent products, including when they provide little/no clinical benefit over cheaper alternatives</w:t>
      </w:r>
      <w:r w:rsidR="00DB435D">
        <w:t>.</w:t>
      </w:r>
    </w:p>
    <w:p w14:paraId="0D94FC34" w14:textId="4F8BCD1B" w:rsidR="008E39B4" w:rsidRDefault="008E39B4" w:rsidP="008E39B4">
      <w:pPr>
        <w:pStyle w:val="Bodytextwithparaspace"/>
      </w:pPr>
      <w:r>
        <w:t xml:space="preserve">As a result, EY was instructed by the </w:t>
      </w:r>
      <w:r w:rsidR="00E16637">
        <w:t xml:space="preserve">Department </w:t>
      </w:r>
      <w:r>
        <w:t>to focus the review on the following ‘</w:t>
      </w:r>
      <w:r w:rsidR="00EA0F5A">
        <w:t xml:space="preserve">general’ </w:t>
      </w:r>
      <w:r>
        <w:t xml:space="preserve">GM items, which are typically low cost but high usage items that can be used </w:t>
      </w:r>
      <w:r w:rsidR="005B2857">
        <w:t>to</w:t>
      </w:r>
      <w:r>
        <w:t xml:space="preserve"> support a wide range of surgical procedures:</w:t>
      </w:r>
    </w:p>
    <w:p w14:paraId="279C0054" w14:textId="77777777" w:rsidR="008E39B4" w:rsidRDefault="008E39B4" w:rsidP="00463B2D">
      <w:pPr>
        <w:pStyle w:val="Bodytextwithparaspace"/>
        <w:numPr>
          <w:ilvl w:val="1"/>
          <w:numId w:val="11"/>
        </w:numPr>
        <w:ind w:left="709"/>
      </w:pPr>
      <w:r>
        <w:t>drug delivery devices (the 03.02 sub-category of GM);</w:t>
      </w:r>
    </w:p>
    <w:p w14:paraId="26C55B27" w14:textId="77777777" w:rsidR="008E39B4" w:rsidRDefault="008E39B4" w:rsidP="00463B2D">
      <w:pPr>
        <w:pStyle w:val="Bodytextwithparaspace"/>
        <w:numPr>
          <w:ilvl w:val="1"/>
          <w:numId w:val="11"/>
        </w:numPr>
        <w:ind w:left="709"/>
      </w:pPr>
      <w:r>
        <w:t>haemostatic devices (the 03.05 sub-category of GM); and</w:t>
      </w:r>
    </w:p>
    <w:p w14:paraId="7C46A954" w14:textId="7F2C3D8F" w:rsidR="008E39B4" w:rsidRDefault="008E39B4" w:rsidP="00463B2D">
      <w:pPr>
        <w:pStyle w:val="Bodytextwithparaspace"/>
        <w:numPr>
          <w:ilvl w:val="1"/>
          <w:numId w:val="11"/>
        </w:numPr>
        <w:ind w:left="709"/>
      </w:pPr>
      <w:r>
        <w:t xml:space="preserve">most closure devices (the 03.08 sub-category of GM). </w:t>
      </w:r>
    </w:p>
    <w:p w14:paraId="3DDAE444" w14:textId="010BADFD" w:rsidR="008E39B4" w:rsidRDefault="00B468C3" w:rsidP="008E39B4">
      <w:pPr>
        <w:pStyle w:val="Bodytextwithparaspace"/>
      </w:pPr>
      <w:r>
        <w:t>By</w:t>
      </w:r>
      <w:r w:rsidR="008E39B4">
        <w:t xml:space="preserve"> assisting </w:t>
      </w:r>
      <w:r w:rsidR="00D73E49">
        <w:t xml:space="preserve">in </w:t>
      </w:r>
      <w:r w:rsidR="00F4185D">
        <w:t xml:space="preserve">the </w:t>
      </w:r>
      <w:r w:rsidR="002F3313">
        <w:t xml:space="preserve">administration </w:t>
      </w:r>
      <w:r w:rsidR="00884682">
        <w:t>of</w:t>
      </w:r>
      <w:r w:rsidR="008E39B4">
        <w:t xml:space="preserve"> drugs, controlling bleeding and repa</w:t>
      </w:r>
      <w:r w:rsidR="00363A7C">
        <w:t>i</w:t>
      </w:r>
      <w:r w:rsidR="008E39B4">
        <w:t xml:space="preserve">ring wounds, these items </w:t>
      </w:r>
      <w:r w:rsidR="00EA0F5A">
        <w:t xml:space="preserve">clearly perform clinically necessary roles. However, </w:t>
      </w:r>
      <w:r w:rsidR="00DE7B40">
        <w:t>their functionality can be</w:t>
      </w:r>
      <w:r w:rsidR="008E39B4">
        <w:t xml:space="preserve"> </w:t>
      </w:r>
      <w:r w:rsidR="00EA0F5A">
        <w:t>required in a wide range of procedures</w:t>
      </w:r>
      <w:r w:rsidR="00873896">
        <w:t xml:space="preserve"> not</w:t>
      </w:r>
      <w:r w:rsidR="006A1521">
        <w:t xml:space="preserve"> </w:t>
      </w:r>
      <w:r w:rsidR="002F3313">
        <w:t xml:space="preserve">normally </w:t>
      </w:r>
      <w:r w:rsidR="006A1521">
        <w:t>associated with prosthetic implantation</w:t>
      </w:r>
      <w:r w:rsidR="00955004">
        <w:t xml:space="preserve"> and are usually only required as a secondary consequence of the procedure itself. </w:t>
      </w:r>
      <w:r w:rsidR="00270129">
        <w:t xml:space="preserve">Also, </w:t>
      </w:r>
      <w:r w:rsidR="00E66FAC">
        <w:t>for haeomo</w:t>
      </w:r>
      <w:r w:rsidR="00873896">
        <w:t>static and closure devices</w:t>
      </w:r>
      <w:r w:rsidR="002F3313">
        <w:t>,</w:t>
      </w:r>
      <w:r w:rsidR="00873896">
        <w:t xml:space="preserve"> these </w:t>
      </w:r>
      <w:r w:rsidR="004846C2">
        <w:t xml:space="preserve">functions </w:t>
      </w:r>
      <w:r w:rsidR="00EA0F5A">
        <w:t>can often be performed by other items not funded through the PL (</w:t>
      </w:r>
      <w:r w:rsidR="002F1D1B">
        <w:t>for example</w:t>
      </w:r>
      <w:r w:rsidR="0088249C">
        <w:t>,</w:t>
      </w:r>
      <w:r w:rsidR="00EA0F5A">
        <w:t xml:space="preserve"> sutures, swabs, sponges, dressings, most catheters, scalpels)</w:t>
      </w:r>
      <w:r w:rsidR="00873896">
        <w:t>.</w:t>
      </w:r>
      <w:r w:rsidR="00EA0F5A">
        <w:t xml:space="preserve"> </w:t>
      </w:r>
    </w:p>
    <w:p w14:paraId="1173DC26" w14:textId="714431EC" w:rsidR="008E39B4" w:rsidRDefault="00DE7B40" w:rsidP="008E39B4">
      <w:pPr>
        <w:pStyle w:val="Bodytextwithparaspace"/>
      </w:pPr>
      <w:r>
        <w:t>For the purpose of this review, t</w:t>
      </w:r>
      <w:r w:rsidR="008E39B4">
        <w:t>hese</w:t>
      </w:r>
      <w:r w:rsidR="00EA0F5A">
        <w:t xml:space="preserve"> items</w:t>
      </w:r>
      <w:r w:rsidR="008E39B4">
        <w:t xml:space="preserve"> have been termed ‘High’ priority GM items</w:t>
      </w:r>
      <w:r w:rsidR="00283030">
        <w:t xml:space="preserve"> and t</w:t>
      </w:r>
      <w:r w:rsidR="003C2051">
        <w:t>he following figures show the total number of PL items used and total PL benefits paid for the GM category from FY14 to FY19, split by the contribution from the 19 ‘High’ priority groups and the remaining ‘Low’ priority groups.</w:t>
      </w:r>
    </w:p>
    <w:tbl>
      <w:tblPr>
        <w:tblStyle w:val="TableGrid"/>
        <w:tblW w:w="9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for Figure 1 and Figure 2"/>
        <w:tblDescription w:val="This table includes two figures: Figure 1 - GM - Total Prosthetic Items and Figure 2 - GM - Total Prostheses Benefits"/>
      </w:tblPr>
      <w:tblGrid>
        <w:gridCol w:w="5019"/>
        <w:gridCol w:w="4754"/>
      </w:tblGrid>
      <w:tr w:rsidR="00C34CB1" w14:paraId="493BFF5F" w14:textId="77777777" w:rsidTr="00C77FCE">
        <w:trPr>
          <w:trHeight w:val="248"/>
          <w:tblHeader/>
        </w:trPr>
        <w:tc>
          <w:tcPr>
            <w:tcW w:w="5019" w:type="dxa"/>
          </w:tcPr>
          <w:p w14:paraId="0D02AA83" w14:textId="01F3B6EA" w:rsidR="00C34CB1" w:rsidRDefault="00C34CB1" w:rsidP="00805EBD">
            <w:pPr>
              <w:pStyle w:val="Caption"/>
              <w:spacing w:after="0"/>
            </w:pPr>
            <w:r>
              <w:t xml:space="preserve">Figure </w:t>
            </w:r>
            <w:r w:rsidR="00FC6370">
              <w:fldChar w:fldCharType="begin"/>
            </w:r>
            <w:r w:rsidR="00FC6370">
              <w:instrText xml:space="preserve"> SEQ Figure \* ARABIC </w:instrText>
            </w:r>
            <w:r w:rsidR="00FC6370">
              <w:fldChar w:fldCharType="separate"/>
            </w:r>
            <w:r w:rsidR="00784DE2">
              <w:rPr>
                <w:noProof/>
              </w:rPr>
              <w:t>1</w:t>
            </w:r>
            <w:r w:rsidR="00FC6370">
              <w:rPr>
                <w:noProof/>
              </w:rPr>
              <w:fldChar w:fldCharType="end"/>
            </w:r>
            <w:r>
              <w:t xml:space="preserve"> – GM – Total Prosthe</w:t>
            </w:r>
            <w:r w:rsidR="00DB435D">
              <w:t>tic</w:t>
            </w:r>
            <w:r>
              <w:t xml:space="preserve"> Items</w:t>
            </w:r>
          </w:p>
        </w:tc>
        <w:tc>
          <w:tcPr>
            <w:tcW w:w="4754" w:type="dxa"/>
          </w:tcPr>
          <w:p w14:paraId="3A5425D4" w14:textId="334105FB" w:rsidR="00C34CB1" w:rsidRDefault="00C34CB1" w:rsidP="00805EBD">
            <w:pPr>
              <w:pStyle w:val="Caption"/>
              <w:keepNext/>
              <w:spacing w:after="0"/>
            </w:pPr>
            <w:r>
              <w:t xml:space="preserve">Figure </w:t>
            </w:r>
            <w:r w:rsidR="00FC6370">
              <w:fldChar w:fldCharType="begin"/>
            </w:r>
            <w:r w:rsidR="00FC6370">
              <w:instrText xml:space="preserve"> SEQ Figure \* ARABIC </w:instrText>
            </w:r>
            <w:r w:rsidR="00FC6370">
              <w:fldChar w:fldCharType="separate"/>
            </w:r>
            <w:r w:rsidR="00784DE2">
              <w:rPr>
                <w:noProof/>
              </w:rPr>
              <w:t>2</w:t>
            </w:r>
            <w:r w:rsidR="00FC6370">
              <w:rPr>
                <w:noProof/>
              </w:rPr>
              <w:fldChar w:fldCharType="end"/>
            </w:r>
            <w:r>
              <w:t xml:space="preserve"> – GM – Total Prostheses Benefits</w:t>
            </w:r>
          </w:p>
        </w:tc>
      </w:tr>
      <w:tr w:rsidR="00C34CB1" w14:paraId="30A8B645" w14:textId="77777777" w:rsidTr="00D43530">
        <w:trPr>
          <w:trHeight w:val="2785"/>
        </w:trPr>
        <w:tc>
          <w:tcPr>
            <w:tcW w:w="5019" w:type="dxa"/>
          </w:tcPr>
          <w:p w14:paraId="1DC0B2AF" w14:textId="78378DA9" w:rsidR="00C34CB1" w:rsidRDefault="00C34CB1" w:rsidP="004C037A">
            <w:r>
              <w:rPr>
                <w:noProof/>
                <w:lang w:val="en-AU" w:eastAsia="en-AU"/>
              </w:rPr>
              <w:drawing>
                <wp:inline distT="0" distB="0" distL="0" distR="0" wp14:anchorId="06864AE1" wp14:editId="18403178">
                  <wp:extent cx="2825660" cy="1905000"/>
                  <wp:effectExtent l="0" t="0" r="0" b="0"/>
                  <wp:docPr id="1985528653" name="Picture 1985528653" descr="Figure 1 - GM - Total Prosthetic Items&#10;&#10;This figure shows the total prosthetic items for the General Miscellaneous category between FY14 - FY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56861" cy="1926035"/>
                          </a:xfrm>
                          <a:prstGeom prst="rect">
                            <a:avLst/>
                          </a:prstGeom>
                          <a:noFill/>
                        </pic:spPr>
                      </pic:pic>
                    </a:graphicData>
                  </a:graphic>
                </wp:inline>
              </w:drawing>
            </w:r>
          </w:p>
        </w:tc>
        <w:tc>
          <w:tcPr>
            <w:tcW w:w="4754" w:type="dxa"/>
          </w:tcPr>
          <w:p w14:paraId="0493AEE2" w14:textId="06429764" w:rsidR="00C34CB1" w:rsidRDefault="00C34CB1" w:rsidP="004C037A">
            <w:r>
              <w:rPr>
                <w:noProof/>
                <w:lang w:val="en-AU" w:eastAsia="en-AU"/>
              </w:rPr>
              <w:drawing>
                <wp:inline distT="0" distB="0" distL="0" distR="0" wp14:anchorId="5930D0C9" wp14:editId="72CA0884">
                  <wp:extent cx="2750310" cy="1854200"/>
                  <wp:effectExtent l="0" t="0" r="0" b="0"/>
                  <wp:docPr id="1985528654" name="Picture 1985528654" descr="Figure 2 - GM - Total Prostheses Benefits&#10;&#10;This figure describes the total prostheses benefits for the General Miscellaneous Category from FY14 - FY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92382" cy="1882564"/>
                          </a:xfrm>
                          <a:prstGeom prst="rect">
                            <a:avLst/>
                          </a:prstGeom>
                          <a:noFill/>
                        </pic:spPr>
                      </pic:pic>
                    </a:graphicData>
                  </a:graphic>
                </wp:inline>
              </w:drawing>
            </w:r>
          </w:p>
        </w:tc>
      </w:tr>
    </w:tbl>
    <w:p w14:paraId="53654850" w14:textId="296A6A27" w:rsidR="00EB551A" w:rsidRPr="00AF1D4E" w:rsidRDefault="00EB551A" w:rsidP="004C037A">
      <w:pPr>
        <w:pStyle w:val="Bodytextwithparaspace"/>
        <w:keepNext/>
        <w:spacing w:before="240"/>
        <w:rPr>
          <w:b/>
          <w:i/>
        </w:rPr>
      </w:pPr>
      <w:r>
        <w:rPr>
          <w:b/>
          <w:i/>
        </w:rPr>
        <w:t>This review</w:t>
      </w:r>
    </w:p>
    <w:p w14:paraId="6F93F755" w14:textId="61CCD1E3" w:rsidR="00A557BB" w:rsidRDefault="00DB435D" w:rsidP="00B35FE4">
      <w:pPr>
        <w:pStyle w:val="Bodytextwithparaspace"/>
      </w:pPr>
      <w:r>
        <w:t>It is possible</w:t>
      </w:r>
      <w:r w:rsidR="00B35FE4">
        <w:t xml:space="preserve"> that system efficiencies could be gained by removing</w:t>
      </w:r>
      <w:r w:rsidR="00ED48E5">
        <w:t xml:space="preserve"> the</w:t>
      </w:r>
      <w:r w:rsidR="00A557BB">
        <w:t>se low cost high usage</w:t>
      </w:r>
      <w:r w:rsidR="00ED48E5">
        <w:t xml:space="preserve"> items from the PL and funding </w:t>
      </w:r>
      <w:r w:rsidR="00135889">
        <w:t xml:space="preserve">them </w:t>
      </w:r>
      <w:r w:rsidR="00ED48E5">
        <w:t>through alternative mechanisms</w:t>
      </w:r>
      <w:r w:rsidR="00A557BB">
        <w:t xml:space="preserve"> – </w:t>
      </w:r>
      <w:r w:rsidR="00801C91">
        <w:t xml:space="preserve">most likely through case based or bundled payments, for example </w:t>
      </w:r>
      <w:r w:rsidR="002C573F">
        <w:t>Diagnosis-Related Group (</w:t>
      </w:r>
      <w:r w:rsidR="00801C91">
        <w:t>DRG</w:t>
      </w:r>
      <w:r w:rsidR="002C573F">
        <w:t>)</w:t>
      </w:r>
      <w:r w:rsidR="00801C91">
        <w:t xml:space="preserve"> based payments or banded theatre fees relating to the nature of the procedure being performed under the National Procedure Banding schedule</w:t>
      </w:r>
      <w:r w:rsidR="00EA0F5A">
        <w:t xml:space="preserve">. The precise mechanism by which insurers then </w:t>
      </w:r>
      <w:r w:rsidR="00801C91">
        <w:t xml:space="preserve">reimburse </w:t>
      </w:r>
      <w:r w:rsidR="00EA0F5A">
        <w:t xml:space="preserve">these fees would depend on the arrangements between insurers and hospitals. Theatre fees are intended to </w:t>
      </w:r>
      <w:r w:rsidR="00801C91">
        <w:t>include</w:t>
      </w:r>
      <w:r w:rsidR="00801C91" w:rsidRPr="00E30473">
        <w:t xml:space="preserve"> </w:t>
      </w:r>
      <w:r w:rsidR="00EA0F5A">
        <w:t>consumables</w:t>
      </w:r>
      <w:r w:rsidR="00801C91">
        <w:t xml:space="preserve"> and</w:t>
      </w:r>
      <w:r w:rsidR="00EA0F5A">
        <w:t xml:space="preserve"> disposable instruments.</w:t>
      </w:r>
    </w:p>
    <w:p w14:paraId="1A8462A8" w14:textId="5EE8643D" w:rsidR="00F36B86" w:rsidRDefault="00D759EF" w:rsidP="00F1626B">
      <w:pPr>
        <w:pStyle w:val="Bodytextwithparaspace"/>
      </w:pPr>
      <w:r>
        <w:t xml:space="preserve">EY was engaged by the Department to undertake </w:t>
      </w:r>
      <w:r w:rsidR="00B35FE4">
        <w:t>this</w:t>
      </w:r>
      <w:r>
        <w:t xml:space="preserve"> review of the </w:t>
      </w:r>
      <w:r w:rsidR="00B35FE4">
        <w:t>GM</w:t>
      </w:r>
      <w:r>
        <w:t xml:space="preserve"> category of the </w:t>
      </w:r>
      <w:r w:rsidR="00B35FE4">
        <w:t>PL</w:t>
      </w:r>
      <w:r>
        <w:t xml:space="preserve">. The </w:t>
      </w:r>
      <w:r w:rsidR="000C1FD8">
        <w:t xml:space="preserve">Terms of Reference for the review </w:t>
      </w:r>
      <w:r w:rsidR="0026311A">
        <w:t xml:space="preserve">were </w:t>
      </w:r>
      <w:r w:rsidR="000C1FD8">
        <w:t>to</w:t>
      </w:r>
      <w:r>
        <w:t>:</w:t>
      </w:r>
    </w:p>
    <w:p w14:paraId="63C9745C" w14:textId="6FF98BD2" w:rsidR="00D759EF" w:rsidRDefault="00501E69" w:rsidP="0028399C">
      <w:pPr>
        <w:pStyle w:val="EY1Number"/>
        <w:numPr>
          <w:ilvl w:val="0"/>
          <w:numId w:val="17"/>
        </w:numPr>
      </w:pPr>
      <w:r>
        <w:t xml:space="preserve">Consider whether items listed in the </w:t>
      </w:r>
      <w:r w:rsidR="00F24211">
        <w:t>GM</w:t>
      </w:r>
      <w:r>
        <w:t xml:space="preserve"> category meet the current criteria for listing of prostheses on the </w:t>
      </w:r>
      <w:r w:rsidR="00F24211">
        <w:t>PL</w:t>
      </w:r>
      <w:r>
        <w:t xml:space="preserve"> as set out in legislation and guidance documents</w:t>
      </w:r>
      <w:r w:rsidR="00F1426E">
        <w:t xml:space="preserve">. Issues with the listing criteria and categorisation approach are investigated in detail in Section </w:t>
      </w:r>
      <w:r w:rsidR="00F1426E">
        <w:fldChar w:fldCharType="begin"/>
      </w:r>
      <w:r w:rsidR="00F1426E">
        <w:instrText xml:space="preserve"> REF _Ref39591275 \r \h  \* MERGEFORMAT </w:instrText>
      </w:r>
      <w:r w:rsidR="00F1426E">
        <w:fldChar w:fldCharType="separate"/>
      </w:r>
      <w:r w:rsidR="00784DE2">
        <w:t>4.3</w:t>
      </w:r>
      <w:r w:rsidR="00F1426E">
        <w:fldChar w:fldCharType="end"/>
      </w:r>
      <w:r w:rsidR="00F1426E">
        <w:t>.</w:t>
      </w:r>
    </w:p>
    <w:p w14:paraId="4281E981" w14:textId="6CD5CED9" w:rsidR="00501E69" w:rsidRDefault="00501E69" w:rsidP="0028399C">
      <w:pPr>
        <w:pStyle w:val="EY1Number"/>
        <w:numPr>
          <w:ilvl w:val="0"/>
          <w:numId w:val="17"/>
        </w:numPr>
      </w:pPr>
      <w:r>
        <w:t xml:space="preserve">Examine Hospital Casemix data to identify trends in use and expenditure in the </w:t>
      </w:r>
      <w:r w:rsidR="00F24211">
        <w:t>GM</w:t>
      </w:r>
      <w:r>
        <w:t xml:space="preserve"> Category</w:t>
      </w:r>
      <w:r w:rsidR="00F1426E">
        <w:t xml:space="preserve">. </w:t>
      </w:r>
      <w:r w:rsidR="00DE7B40">
        <w:t>Cases of high and/or highly growing usage</w:t>
      </w:r>
      <w:r w:rsidR="00F1426E">
        <w:t xml:space="preserve"> are investigated in detail in Section </w:t>
      </w:r>
      <w:r w:rsidR="00F1426E">
        <w:fldChar w:fldCharType="begin"/>
      </w:r>
      <w:r w:rsidR="00F1426E">
        <w:instrText xml:space="preserve"> REF _Ref39602441 \r \h  \* MERGEFORMAT </w:instrText>
      </w:r>
      <w:r w:rsidR="00F1426E">
        <w:fldChar w:fldCharType="separate"/>
      </w:r>
      <w:r w:rsidR="00784DE2">
        <w:t>4.4</w:t>
      </w:r>
      <w:r w:rsidR="00F1426E">
        <w:fldChar w:fldCharType="end"/>
      </w:r>
      <w:r w:rsidR="00F1426E">
        <w:t>.</w:t>
      </w:r>
    </w:p>
    <w:p w14:paraId="0CE7CBEA" w14:textId="5C4C3425" w:rsidR="00501E69" w:rsidRDefault="001F276F" w:rsidP="0028399C">
      <w:pPr>
        <w:pStyle w:val="EY1Number"/>
        <w:numPr>
          <w:ilvl w:val="0"/>
          <w:numId w:val="17"/>
        </w:numPr>
      </w:pPr>
      <w:r>
        <w:t xml:space="preserve">Consider whether items listed in the </w:t>
      </w:r>
      <w:r w:rsidR="00F24211">
        <w:t>GM</w:t>
      </w:r>
      <w:r>
        <w:t xml:space="preserve"> category are also funded through other private health insurance payments</w:t>
      </w:r>
      <w:r w:rsidR="00F1426E">
        <w:t xml:space="preserve">. In Section </w:t>
      </w:r>
      <w:r w:rsidR="00F1426E">
        <w:fldChar w:fldCharType="begin"/>
      </w:r>
      <w:r w:rsidR="00F1426E">
        <w:instrText xml:space="preserve"> REF _Ref39231684 \r \h </w:instrText>
      </w:r>
      <w:r w:rsidR="00F1426E">
        <w:fldChar w:fldCharType="separate"/>
      </w:r>
      <w:r w:rsidR="00784DE2">
        <w:t>4.6</w:t>
      </w:r>
      <w:r w:rsidR="00F1426E">
        <w:fldChar w:fldCharType="end"/>
      </w:r>
      <w:r w:rsidR="00F1426E">
        <w:t>, it is considered whether a</w:t>
      </w:r>
      <w:r w:rsidR="00F1426E" w:rsidRPr="00DF164D">
        <w:t>lternative (non-</w:t>
      </w:r>
      <w:r w:rsidR="00F1426E">
        <w:t>PL</w:t>
      </w:r>
      <w:r w:rsidR="00F1426E" w:rsidRPr="00DF164D">
        <w:t>) funding mechanisms are available for the same items</w:t>
      </w:r>
      <w:r w:rsidR="00F1426E">
        <w:t xml:space="preserve"> analysed in Sections </w:t>
      </w:r>
      <w:r w:rsidR="00F1426E">
        <w:fldChar w:fldCharType="begin"/>
      </w:r>
      <w:r w:rsidR="00F1426E">
        <w:instrText xml:space="preserve"> REF _Ref39604813 \r \h </w:instrText>
      </w:r>
      <w:r w:rsidR="00F1426E">
        <w:fldChar w:fldCharType="separate"/>
      </w:r>
      <w:r w:rsidR="00784DE2">
        <w:t>4.4</w:t>
      </w:r>
      <w:r w:rsidR="00F1426E">
        <w:fldChar w:fldCharType="end"/>
      </w:r>
      <w:r w:rsidR="00F1426E">
        <w:t xml:space="preserve"> and </w:t>
      </w:r>
      <w:r w:rsidR="00F1426E">
        <w:fldChar w:fldCharType="begin"/>
      </w:r>
      <w:r w:rsidR="00F1426E">
        <w:instrText xml:space="preserve"> REF _Ref39604822 \r \h </w:instrText>
      </w:r>
      <w:r w:rsidR="00F1426E">
        <w:fldChar w:fldCharType="separate"/>
      </w:r>
      <w:r w:rsidR="00784DE2">
        <w:t>4.5</w:t>
      </w:r>
      <w:r w:rsidR="00F1426E">
        <w:fldChar w:fldCharType="end"/>
      </w:r>
      <w:r w:rsidR="000A4B75">
        <w:t>. Recommendations relating to whether the use of these mechanisms might have the potential to r</w:t>
      </w:r>
      <w:r w:rsidR="000A4B75" w:rsidRPr="00DF164D">
        <w:t>educe overall costs</w:t>
      </w:r>
      <w:r w:rsidR="000A4B75">
        <w:t xml:space="preserve"> are included in Section </w:t>
      </w:r>
      <w:r w:rsidR="000A4B75">
        <w:fldChar w:fldCharType="begin"/>
      </w:r>
      <w:r w:rsidR="000A4B75">
        <w:instrText xml:space="preserve"> REF _Ref41658250 \r \h </w:instrText>
      </w:r>
      <w:r w:rsidR="000A4B75">
        <w:fldChar w:fldCharType="separate"/>
      </w:r>
      <w:r w:rsidR="00784DE2">
        <w:t>6.2.1</w:t>
      </w:r>
      <w:r w:rsidR="000A4B75">
        <w:fldChar w:fldCharType="end"/>
      </w:r>
      <w:r w:rsidR="000A4B75">
        <w:t>.</w:t>
      </w:r>
    </w:p>
    <w:p w14:paraId="33867F83" w14:textId="75DF57A5" w:rsidR="001F276F" w:rsidRDefault="001F276F" w:rsidP="0028399C">
      <w:pPr>
        <w:pStyle w:val="EY1Number"/>
        <w:numPr>
          <w:ilvl w:val="0"/>
          <w:numId w:val="17"/>
        </w:numPr>
      </w:pPr>
      <w:r>
        <w:t xml:space="preserve">Consider whether for reasons of improved efficiency, items in the </w:t>
      </w:r>
      <w:r w:rsidR="00F24211">
        <w:t>GM</w:t>
      </w:r>
      <w:r>
        <w:t xml:space="preserve"> category should be removed from the </w:t>
      </w:r>
      <w:r w:rsidR="00F24211">
        <w:t>PL</w:t>
      </w:r>
      <w:r>
        <w:t xml:space="preserve"> and funded by private health insurers through other mechanisms</w:t>
      </w:r>
      <w:r w:rsidR="00F1426E">
        <w:t>, which is also considered in Section</w:t>
      </w:r>
      <w:r w:rsidR="000A4B75">
        <w:t>s</w:t>
      </w:r>
      <w:r w:rsidR="00F1426E">
        <w:t xml:space="preserve"> </w:t>
      </w:r>
      <w:r w:rsidR="00F1426E">
        <w:fldChar w:fldCharType="begin"/>
      </w:r>
      <w:r w:rsidR="00F1426E">
        <w:instrText xml:space="preserve"> REF _Ref39231684 \r \h </w:instrText>
      </w:r>
      <w:r w:rsidR="00F1426E">
        <w:fldChar w:fldCharType="separate"/>
      </w:r>
      <w:r w:rsidR="00784DE2">
        <w:t>4.6</w:t>
      </w:r>
      <w:r w:rsidR="00F1426E">
        <w:fldChar w:fldCharType="end"/>
      </w:r>
      <w:r w:rsidR="000A4B75">
        <w:t xml:space="preserve"> and </w:t>
      </w:r>
      <w:r w:rsidR="000A4B75">
        <w:fldChar w:fldCharType="begin"/>
      </w:r>
      <w:r w:rsidR="000A4B75">
        <w:instrText xml:space="preserve"> REF _Ref41658250 \r \h </w:instrText>
      </w:r>
      <w:r w:rsidR="000A4B75">
        <w:fldChar w:fldCharType="separate"/>
      </w:r>
      <w:r w:rsidR="00784DE2">
        <w:t>6.2.1</w:t>
      </w:r>
      <w:r w:rsidR="000A4B75">
        <w:fldChar w:fldCharType="end"/>
      </w:r>
      <w:r w:rsidR="00F1426E">
        <w:t>.</w:t>
      </w:r>
    </w:p>
    <w:p w14:paraId="50263E82" w14:textId="5480A6F4" w:rsidR="000A4B75" w:rsidRDefault="001F276F" w:rsidP="0028399C">
      <w:pPr>
        <w:pStyle w:val="EY1Number"/>
        <w:numPr>
          <w:ilvl w:val="0"/>
          <w:numId w:val="17"/>
        </w:numPr>
      </w:pPr>
      <w:r>
        <w:t xml:space="preserve">Consider whether there would be unintended consequences should any items in the </w:t>
      </w:r>
      <w:r w:rsidR="00F24211">
        <w:t>GM</w:t>
      </w:r>
      <w:r>
        <w:t xml:space="preserve"> category be removed from the </w:t>
      </w:r>
      <w:r w:rsidR="00F24211">
        <w:t>PL</w:t>
      </w:r>
      <w:r w:rsidR="00F1426E">
        <w:t xml:space="preserve">, which is also considered </w:t>
      </w:r>
      <w:r w:rsidR="000A4B75">
        <w:t xml:space="preserve">Sections </w:t>
      </w:r>
      <w:r w:rsidR="000A4B75">
        <w:fldChar w:fldCharType="begin"/>
      </w:r>
      <w:r w:rsidR="000A4B75">
        <w:instrText xml:space="preserve"> REF _Ref39231684 \r \h </w:instrText>
      </w:r>
      <w:r w:rsidR="000A4B75">
        <w:fldChar w:fldCharType="separate"/>
      </w:r>
      <w:r w:rsidR="00784DE2">
        <w:t>4.6</w:t>
      </w:r>
      <w:r w:rsidR="000A4B75">
        <w:fldChar w:fldCharType="end"/>
      </w:r>
      <w:r w:rsidR="000A4B75">
        <w:t xml:space="preserve"> and </w:t>
      </w:r>
      <w:r w:rsidR="000A4B75">
        <w:fldChar w:fldCharType="begin"/>
      </w:r>
      <w:r w:rsidR="000A4B75">
        <w:instrText xml:space="preserve"> REF _Ref41658250 \r \h </w:instrText>
      </w:r>
      <w:r w:rsidR="000A4B75">
        <w:fldChar w:fldCharType="separate"/>
      </w:r>
      <w:r w:rsidR="00784DE2">
        <w:t>6.2.1</w:t>
      </w:r>
      <w:r w:rsidR="000A4B75">
        <w:fldChar w:fldCharType="end"/>
      </w:r>
      <w:r w:rsidR="000A4B75">
        <w:t>.</w:t>
      </w:r>
    </w:p>
    <w:p w14:paraId="4A746907" w14:textId="023097E6" w:rsidR="001F276F" w:rsidRDefault="001F276F" w:rsidP="0028399C">
      <w:pPr>
        <w:pStyle w:val="EY1Number"/>
        <w:numPr>
          <w:ilvl w:val="0"/>
          <w:numId w:val="17"/>
        </w:numPr>
      </w:pPr>
      <w:r>
        <w:t xml:space="preserve">Consider whether any items listed in the </w:t>
      </w:r>
      <w:r w:rsidR="00F24211">
        <w:t>GM</w:t>
      </w:r>
      <w:r>
        <w:t xml:space="preserve"> category should undergo a health technology assessment to determine their comparative value</w:t>
      </w:r>
      <w:r w:rsidR="00347740">
        <w:t>.</w:t>
      </w:r>
      <w:r w:rsidR="00F1426E">
        <w:t xml:space="preserve"> Issues relating to benefit amounts are investigated in detail in Section </w:t>
      </w:r>
      <w:r w:rsidR="00F1426E">
        <w:fldChar w:fldCharType="begin"/>
      </w:r>
      <w:r w:rsidR="00F1426E">
        <w:instrText xml:space="preserve"> REF _Ref39602485 \r \h  \* MERGEFORMAT </w:instrText>
      </w:r>
      <w:r w:rsidR="00F1426E">
        <w:fldChar w:fldCharType="separate"/>
      </w:r>
      <w:r w:rsidR="00784DE2">
        <w:t>4.5</w:t>
      </w:r>
      <w:r w:rsidR="00F1426E">
        <w:fldChar w:fldCharType="end"/>
      </w:r>
      <w:r w:rsidR="00F1426E">
        <w:t>.</w:t>
      </w:r>
    </w:p>
    <w:p w14:paraId="6EEE1246" w14:textId="6BE84F0D" w:rsidR="006529FF" w:rsidRDefault="00D759EF" w:rsidP="00F1626B">
      <w:pPr>
        <w:pStyle w:val="Bodytextwithparaspace"/>
      </w:pPr>
      <w:r>
        <w:t xml:space="preserve">The purpose of this </w:t>
      </w:r>
      <w:r w:rsidR="00C43F14">
        <w:t>review</w:t>
      </w:r>
      <w:r>
        <w:t xml:space="preserve"> </w:t>
      </w:r>
      <w:r w:rsidR="005B543B">
        <w:t xml:space="preserve">was </w:t>
      </w:r>
      <w:r>
        <w:t>to</w:t>
      </w:r>
      <w:r w:rsidR="006529FF">
        <w:t>:</w:t>
      </w:r>
      <w:r>
        <w:t xml:space="preserve"> </w:t>
      </w:r>
    </w:p>
    <w:p w14:paraId="3E3FF460" w14:textId="77777777" w:rsidR="00681E7E" w:rsidRDefault="001F276F" w:rsidP="00463B2D">
      <w:pPr>
        <w:pStyle w:val="Bodytextwithparaspace"/>
        <w:numPr>
          <w:ilvl w:val="1"/>
          <w:numId w:val="11"/>
        </w:numPr>
        <w:ind w:left="709"/>
      </w:pPr>
      <w:r>
        <w:t xml:space="preserve">identify items where there </w:t>
      </w:r>
      <w:r w:rsidR="008945E7">
        <w:t xml:space="preserve">may be </w:t>
      </w:r>
      <w:r>
        <w:t>a case for changing the listing, price, funding and/or funding arrangements</w:t>
      </w:r>
      <w:r w:rsidR="00681E7E">
        <w:t>;</w:t>
      </w:r>
      <w:r>
        <w:t xml:space="preserve"> </w:t>
      </w:r>
    </w:p>
    <w:p w14:paraId="368EE4E9" w14:textId="77777777" w:rsidR="00681E7E" w:rsidRDefault="001F276F" w:rsidP="00463B2D">
      <w:pPr>
        <w:pStyle w:val="Bodytextwithparaspace"/>
        <w:numPr>
          <w:ilvl w:val="1"/>
          <w:numId w:val="11"/>
        </w:numPr>
        <w:ind w:left="709"/>
      </w:pPr>
      <w:r>
        <w:t>discuss the potential implications of identified changes</w:t>
      </w:r>
      <w:r w:rsidR="00681E7E">
        <w:t>;</w:t>
      </w:r>
      <w:r>
        <w:t xml:space="preserve"> and </w:t>
      </w:r>
    </w:p>
    <w:p w14:paraId="22F096EA" w14:textId="77777777" w:rsidR="001F276F" w:rsidRPr="00D759EF" w:rsidRDefault="001F276F" w:rsidP="00463B2D">
      <w:pPr>
        <w:pStyle w:val="Bodytextwithparaspace"/>
        <w:numPr>
          <w:ilvl w:val="1"/>
          <w:numId w:val="11"/>
        </w:numPr>
        <w:ind w:left="709"/>
      </w:pPr>
      <w:r>
        <w:t>develop a list of recommended next steps for consideration by the Department.</w:t>
      </w:r>
    </w:p>
    <w:p w14:paraId="02DA4170" w14:textId="77777777" w:rsidR="00F36B86" w:rsidRDefault="00975A37" w:rsidP="00640D42">
      <w:pPr>
        <w:pStyle w:val="EYHeading3"/>
      </w:pPr>
      <w:r>
        <w:t>Approach</w:t>
      </w:r>
    </w:p>
    <w:p w14:paraId="0A0D2288" w14:textId="53D8EBB4" w:rsidR="00E74638" w:rsidRDefault="00DB435D" w:rsidP="00B47F38">
      <w:pPr>
        <w:pStyle w:val="Bodytextwithparaspace"/>
      </w:pPr>
      <w:r>
        <w:t>EY performed a</w:t>
      </w:r>
      <w:r w:rsidR="00EB551A">
        <w:t xml:space="preserve"> desktop </w:t>
      </w:r>
      <w:r w:rsidR="00E74638">
        <w:t>analysis</w:t>
      </w:r>
      <w:r w:rsidR="00EB551A">
        <w:t xml:space="preserve"> of relevant legislation and guidelines</w:t>
      </w:r>
      <w:r w:rsidR="00E74638">
        <w:t>, as well as literature on the clinical function of relevant PL items.</w:t>
      </w:r>
    </w:p>
    <w:p w14:paraId="34F281C4" w14:textId="1A08A09E" w:rsidR="00F1426E" w:rsidRDefault="00F1426E" w:rsidP="00B47F38">
      <w:pPr>
        <w:pStyle w:val="Bodytextwithparaspace"/>
      </w:pPr>
      <w:r>
        <w:t>P</w:t>
      </w:r>
      <w:r w:rsidRPr="002C0A16">
        <w:t xml:space="preserve">rior to </w:t>
      </w:r>
      <w:r>
        <w:t xml:space="preserve">detailed </w:t>
      </w:r>
      <w:r w:rsidRPr="002C0A16">
        <w:t>usage analysis being performed</w:t>
      </w:r>
      <w:r>
        <w:t xml:space="preserve">, the Department sought </w:t>
      </w:r>
      <w:r w:rsidRPr="002C0A16">
        <w:t xml:space="preserve">initial </w:t>
      </w:r>
      <w:r>
        <w:t>input</w:t>
      </w:r>
      <w:r w:rsidRPr="002C0A16">
        <w:t xml:space="preserve"> from private health insurers, hospitals and other registered parties via a P</w:t>
      </w:r>
      <w:r w:rsidR="002F3313">
        <w:t>rivate Health Insurance</w:t>
      </w:r>
      <w:r w:rsidRPr="002C0A16">
        <w:t xml:space="preserve"> </w:t>
      </w:r>
      <w:r w:rsidR="002769DD">
        <w:t xml:space="preserve">(PHI) </w:t>
      </w:r>
      <w:r w:rsidRPr="002C0A16">
        <w:t>Circular on the appropriateness of the PL for funding GM items</w:t>
      </w:r>
      <w:r>
        <w:t xml:space="preserve">. This feedback provided useful contextual and qualitative information that directly informed </w:t>
      </w:r>
      <w:r w:rsidR="00527418">
        <w:t>the</w:t>
      </w:r>
      <w:r>
        <w:t xml:space="preserve"> findings.</w:t>
      </w:r>
    </w:p>
    <w:p w14:paraId="56691C2D" w14:textId="0E486F01" w:rsidR="00E74638" w:rsidRPr="002C0A16" w:rsidRDefault="00515ABD" w:rsidP="00B47F38">
      <w:pPr>
        <w:pStyle w:val="Bodytextwithparaspace"/>
      </w:pPr>
      <w:r>
        <w:t>The</w:t>
      </w:r>
      <w:r w:rsidR="00E74638">
        <w:t xml:space="preserve"> analys</w:t>
      </w:r>
      <w:r w:rsidR="00B57E48">
        <w:t>e</w:t>
      </w:r>
      <w:r w:rsidR="00E74638">
        <w:t xml:space="preserve">s and preliminary findings </w:t>
      </w:r>
      <w:r>
        <w:t xml:space="preserve">were </w:t>
      </w:r>
      <w:r w:rsidR="00B031C1">
        <w:t xml:space="preserve">also </w:t>
      </w:r>
      <w:r>
        <w:t xml:space="preserve">discussed </w:t>
      </w:r>
      <w:r w:rsidR="00E74638">
        <w:t xml:space="preserve">with EY’s clinical </w:t>
      </w:r>
      <w:r w:rsidR="00DB435D">
        <w:t>subject matter resources</w:t>
      </w:r>
      <w:r w:rsidR="00E74638">
        <w:t xml:space="preserve"> (SM</w:t>
      </w:r>
      <w:r w:rsidR="00DB435D">
        <w:t>R</w:t>
      </w:r>
      <w:r w:rsidR="00E74638">
        <w:t>s).</w:t>
      </w:r>
    </w:p>
    <w:p w14:paraId="196ACF17" w14:textId="5B372841" w:rsidR="00F1426E" w:rsidRPr="002C0A16" w:rsidRDefault="00F1426E" w:rsidP="00F1426E">
      <w:pPr>
        <w:pStyle w:val="Bodytextwithparaspace"/>
      </w:pPr>
      <w:r>
        <w:t>The</w:t>
      </w:r>
      <w:r w:rsidRPr="002C0A16">
        <w:t xml:space="preserve"> </w:t>
      </w:r>
      <w:r>
        <w:t xml:space="preserve">detailed usage </w:t>
      </w:r>
      <w:r w:rsidRPr="002C0A16">
        <w:t>analysis centred on interrogating the Department’s Hospital Casemix Protocol (HCP1) dataset to understand trends in usage of GM items on the PL</w:t>
      </w:r>
      <w:r>
        <w:t>. Analysis was performed on the situations in which GM items were used</w:t>
      </w:r>
      <w:r w:rsidR="00407521">
        <w:t>, including</w:t>
      </w:r>
      <w:r>
        <w:t>: the types of surgical p</w:t>
      </w:r>
      <w:r w:rsidRPr="002C0A16">
        <w:t>rocedure</w:t>
      </w:r>
      <w:r>
        <w:t>s they were used in;</w:t>
      </w:r>
      <w:r w:rsidRPr="002C0A16">
        <w:t xml:space="preserve"> </w:t>
      </w:r>
      <w:r>
        <w:t>whether</w:t>
      </w:r>
      <w:r w:rsidRPr="002C0A16">
        <w:t xml:space="preserve"> other PL items were used in the same procedure</w:t>
      </w:r>
      <w:r>
        <w:t>;</w:t>
      </w:r>
      <w:r w:rsidRPr="002C0A16">
        <w:t xml:space="preserve"> the hospitals where the procedures were performed</w:t>
      </w:r>
      <w:r>
        <w:t>;</w:t>
      </w:r>
      <w:r w:rsidRPr="002C0A16">
        <w:t xml:space="preserve"> and demographic information relating to the patient.</w:t>
      </w:r>
    </w:p>
    <w:p w14:paraId="31977455" w14:textId="77777777" w:rsidR="00B90337" w:rsidRPr="00B90337" w:rsidRDefault="00B90337" w:rsidP="00A26B3B">
      <w:pPr>
        <w:pStyle w:val="Bodytextwithparaspace"/>
      </w:pPr>
      <w:r w:rsidRPr="002C0A16">
        <w:t>Planned additional rounds of consultation</w:t>
      </w:r>
      <w:r>
        <w:t xml:space="preserve"> </w:t>
      </w:r>
      <w:r w:rsidR="002C0A16">
        <w:t xml:space="preserve">on specific observations from the usage analysis, </w:t>
      </w:r>
      <w:r w:rsidRPr="002C0A16">
        <w:t xml:space="preserve">and </w:t>
      </w:r>
      <w:r w:rsidR="002C0A16" w:rsidRPr="002C0A16">
        <w:t>a</w:t>
      </w:r>
      <w:r w:rsidRPr="002C0A16">
        <w:t xml:space="preserve"> presentation of </w:t>
      </w:r>
      <w:r w:rsidR="002C0A16" w:rsidRPr="002C0A16">
        <w:t xml:space="preserve">draft </w:t>
      </w:r>
      <w:r w:rsidRPr="002C0A16">
        <w:t xml:space="preserve">findings to the </w:t>
      </w:r>
      <w:r w:rsidR="00F24211" w:rsidRPr="002C0A16">
        <w:t>P</w:t>
      </w:r>
      <w:r w:rsidR="002C0A16" w:rsidRPr="002C0A16">
        <w:t xml:space="preserve">rostheses </w:t>
      </w:r>
      <w:r w:rsidR="00F24211" w:rsidRPr="002C0A16">
        <w:t>L</w:t>
      </w:r>
      <w:r w:rsidR="002C0A16" w:rsidRPr="002C0A16">
        <w:t>ist</w:t>
      </w:r>
      <w:r w:rsidRPr="002C0A16">
        <w:t xml:space="preserve"> Advisory Committee </w:t>
      </w:r>
      <w:r w:rsidR="002C0A16" w:rsidRPr="002C0A16">
        <w:t>(PLAC)</w:t>
      </w:r>
      <w:r w:rsidR="002C0A16">
        <w:t>,</w:t>
      </w:r>
      <w:r w:rsidRPr="002C0A16">
        <w:t xml:space="preserve"> </w:t>
      </w:r>
      <w:r w:rsidR="002C0A16">
        <w:t>were</w:t>
      </w:r>
      <w:r>
        <w:t xml:space="preserve"> </w:t>
      </w:r>
      <w:r w:rsidRPr="002C0A16">
        <w:t xml:space="preserve">not possible due to the onset and impact of </w:t>
      </w:r>
      <w:r w:rsidR="007022A0" w:rsidRPr="002C0A16">
        <w:t xml:space="preserve">COVID-19 on </w:t>
      </w:r>
      <w:r w:rsidR="002467AE" w:rsidRPr="002C0A16">
        <w:t>the health industry in Australia</w:t>
      </w:r>
      <w:r w:rsidR="004B528E">
        <w:t xml:space="preserve"> during the preparation of this report</w:t>
      </w:r>
      <w:r w:rsidR="002467AE" w:rsidRPr="002C0A16">
        <w:t>.</w:t>
      </w:r>
    </w:p>
    <w:p w14:paraId="1A56A597" w14:textId="0BD739CE" w:rsidR="00F36B86" w:rsidRPr="00D759EF" w:rsidRDefault="00DB435D" w:rsidP="00687D65">
      <w:pPr>
        <w:pStyle w:val="EYHeading3"/>
      </w:pPr>
      <w:r>
        <w:t>Purpose of this report</w:t>
      </w:r>
    </w:p>
    <w:p w14:paraId="091B5AFD" w14:textId="5AD14F67" w:rsidR="00687D65" w:rsidRDefault="005B7A73" w:rsidP="00F1626B">
      <w:pPr>
        <w:pStyle w:val="Bodytextwithparaspace"/>
      </w:pPr>
      <w:r>
        <w:t xml:space="preserve">The intention of this review </w:t>
      </w:r>
      <w:r w:rsidR="002A4DDD">
        <w:t>wa</w:t>
      </w:r>
      <w:r>
        <w:t xml:space="preserve">s to </w:t>
      </w:r>
      <w:r w:rsidR="00F1426E">
        <w:t>identify items where there may be a case for changing the listing, benefit amount and/or funding arrangements</w:t>
      </w:r>
      <w:r w:rsidR="00F1426E" w:rsidDel="00F1426E">
        <w:t xml:space="preserve"> </w:t>
      </w:r>
      <w:r w:rsidR="00F1426E">
        <w:t>for certain</w:t>
      </w:r>
      <w:r w:rsidR="00DE7431">
        <w:t xml:space="preserve"> low-value, high-volume items listed in the </w:t>
      </w:r>
      <w:r w:rsidR="00F24211">
        <w:t>GM</w:t>
      </w:r>
      <w:r w:rsidR="00DE7431">
        <w:t xml:space="preserve"> category </w:t>
      </w:r>
      <w:r w:rsidR="00BE15D1">
        <w:t>by</w:t>
      </w:r>
      <w:r w:rsidR="00DE7431">
        <w:t xml:space="preserve"> </w:t>
      </w:r>
      <w:r w:rsidR="00BE15D1">
        <w:t xml:space="preserve">presenting evidence and commentary on specific items with consideration around whether their inclusion on the </w:t>
      </w:r>
      <w:r w:rsidR="00F24211">
        <w:t>PL</w:t>
      </w:r>
      <w:r w:rsidR="00BE15D1">
        <w:t xml:space="preserve"> is fit for purpose.</w:t>
      </w:r>
    </w:p>
    <w:p w14:paraId="1BC3F45C" w14:textId="22B6A732" w:rsidR="00D74054" w:rsidRDefault="005B7A73" w:rsidP="00D74054">
      <w:pPr>
        <w:pStyle w:val="Bodytextwithparaspace"/>
      </w:pPr>
      <w:r>
        <w:t xml:space="preserve">This report provides </w:t>
      </w:r>
      <w:r w:rsidR="000A4B75">
        <w:t>recommendations</w:t>
      </w:r>
      <w:r>
        <w:t xml:space="preserve"> for </w:t>
      </w:r>
      <w:r w:rsidR="002C0A16">
        <w:t>consideration</w:t>
      </w:r>
      <w:r>
        <w:t xml:space="preserve"> by the Department. </w:t>
      </w:r>
      <w:r w:rsidR="00D74054">
        <w:t>It is possible that broader changes to the way that the overall PL works might either indirectly address the problems identified or make the recommendations ineffective. As such, it is important that the recommendations should be considered in the context of any potential other changes to the PL.</w:t>
      </w:r>
    </w:p>
    <w:p w14:paraId="797E5A2C" w14:textId="132DA0A0" w:rsidR="00F36B86" w:rsidRDefault="00D74054" w:rsidP="00DC636B">
      <w:pPr>
        <w:pStyle w:val="Bodytextwithparaspace"/>
        <w:spacing w:before="240"/>
      </w:pPr>
      <w:r>
        <w:t>It is also worth noting that, while the recommendations only apply to certain GM items, t</w:t>
      </w:r>
      <w:r w:rsidRPr="005F4673">
        <w:t>here may be other non-GM categories with similar issues</w:t>
      </w:r>
      <w:r>
        <w:t>. As such, the overall consistency of the PL should be considered prior to any recommendations being implemented.</w:t>
      </w:r>
    </w:p>
    <w:p w14:paraId="2C158903" w14:textId="548F23CF" w:rsidR="00F36B86" w:rsidRPr="00D759EF" w:rsidRDefault="00687D65" w:rsidP="00F36B86">
      <w:pPr>
        <w:pStyle w:val="EYHeading2"/>
      </w:pPr>
      <w:bookmarkStart w:id="8" w:name="_Toc42006199"/>
      <w:bookmarkStart w:id="9" w:name="_Toc59015955"/>
      <w:bookmarkEnd w:id="8"/>
      <w:r>
        <w:t xml:space="preserve">Findings and </w:t>
      </w:r>
      <w:r w:rsidR="00B61CD6">
        <w:t>next steps</w:t>
      </w:r>
      <w:bookmarkEnd w:id="9"/>
    </w:p>
    <w:p w14:paraId="0DD12137" w14:textId="2AE00BC5" w:rsidR="00CB6B17" w:rsidRDefault="00CB6B17" w:rsidP="00DC636B">
      <w:pPr>
        <w:pStyle w:val="Bodytextwithoutparaspace"/>
      </w:pPr>
      <w:r>
        <w:t>The findings have been grouped</w:t>
      </w:r>
      <w:r w:rsidRPr="00A26B3B">
        <w:t xml:space="preserve"> </w:t>
      </w:r>
      <w:r>
        <w:t>into issues and then the causes of those issues.</w:t>
      </w:r>
      <w:r w:rsidRPr="00A26B3B">
        <w:t xml:space="preserve"> </w:t>
      </w:r>
      <w:r>
        <w:t>A summary of the next steps, including recommendations for consideration by the Department</w:t>
      </w:r>
      <w:r w:rsidR="00863A75">
        <w:t>,</w:t>
      </w:r>
      <w:r>
        <w:t xml:space="preserve"> is then provided.</w:t>
      </w:r>
      <w:r w:rsidR="00245707">
        <w:t xml:space="preserve"> These findings and next steps have been constructed based on information current as of 8 May 2020 and so material events that may have occurred since that time are not reflected.</w:t>
      </w:r>
    </w:p>
    <w:p w14:paraId="1F4CCC50" w14:textId="77777777" w:rsidR="00B4269F" w:rsidRDefault="00B4269F" w:rsidP="00AF1D4E">
      <w:pPr>
        <w:pStyle w:val="EYHeading3"/>
      </w:pPr>
      <w:r>
        <w:t>Findings</w:t>
      </w:r>
    </w:p>
    <w:p w14:paraId="44203693" w14:textId="4AA009AD" w:rsidR="00CB6B17" w:rsidRDefault="00B87D96" w:rsidP="00AF1D4E">
      <w:pPr>
        <w:pStyle w:val="EYHeading4"/>
      </w:pPr>
      <w:bookmarkStart w:id="10" w:name="_Ref39651781"/>
      <w:r>
        <w:t>I</w:t>
      </w:r>
      <w:r w:rsidR="00CB6B17">
        <w:t>ssues</w:t>
      </w:r>
    </w:p>
    <w:p w14:paraId="6046D47B" w14:textId="77777777" w:rsidR="00B4269F" w:rsidRDefault="00B4269F" w:rsidP="00DC636B">
      <w:pPr>
        <w:pStyle w:val="Subheading"/>
      </w:pPr>
      <w:r>
        <w:t xml:space="preserve">Listing criteria </w:t>
      </w:r>
      <w:r w:rsidR="004A2E57">
        <w:t>observations</w:t>
      </w:r>
    </w:p>
    <w:p w14:paraId="18524E19" w14:textId="13D584EE" w:rsidR="00B4269F" w:rsidRDefault="00B4269F" w:rsidP="00B4269F">
      <w:pPr>
        <w:pStyle w:val="Bodytextwithparaspace"/>
      </w:pPr>
      <w:r>
        <w:t>There are specific examples on the PL that can be considered as not meeting the criteria for listing. The most notable examples are topical skin adhesives</w:t>
      </w:r>
      <w:r w:rsidR="00837192">
        <w:t xml:space="preserve"> and infusion pumps</w:t>
      </w:r>
      <w:r>
        <w:t>, which are not imp</w:t>
      </w:r>
      <w:r w:rsidRPr="00AF1D4E">
        <w:t xml:space="preserve">lanted </w:t>
      </w:r>
      <w:r w:rsidR="00C73A97" w:rsidRPr="00AF1D4E">
        <w:t>(Criteri</w:t>
      </w:r>
      <w:r w:rsidR="007332AD" w:rsidRPr="00AF1D4E">
        <w:t>on</w:t>
      </w:r>
      <w:r w:rsidR="00C73A97" w:rsidRPr="00AF1D4E">
        <w:t xml:space="preserve"> </w:t>
      </w:r>
      <w:r w:rsidR="007332AD" w:rsidRPr="00AF1D4E">
        <w:t>4a</w:t>
      </w:r>
      <w:r w:rsidR="00C73A97" w:rsidRPr="00AF1D4E">
        <w:t xml:space="preserve">) </w:t>
      </w:r>
      <w:r w:rsidRPr="00AF1D4E">
        <w:t>nor necessarily need to relate to an implantable device</w:t>
      </w:r>
      <w:r w:rsidR="00C73A97" w:rsidRPr="00AF1D4E">
        <w:t xml:space="preserve"> (Criteria </w:t>
      </w:r>
      <w:r w:rsidR="00CB6B17" w:rsidRPr="00AF1D4E">
        <w:t>4</w:t>
      </w:r>
      <w:r w:rsidR="00CB6B17">
        <w:t>b</w:t>
      </w:r>
      <w:r w:rsidR="00CB6B17" w:rsidRPr="00AF1D4E">
        <w:t xml:space="preserve"> </w:t>
      </w:r>
      <w:r w:rsidR="007332AD" w:rsidRPr="00AF1D4E">
        <w:t xml:space="preserve">and </w:t>
      </w:r>
      <w:r w:rsidR="00CB6B17" w:rsidRPr="00AF1D4E">
        <w:t>4</w:t>
      </w:r>
      <w:r w:rsidR="00CB6B17">
        <w:t>c</w:t>
      </w:r>
      <w:r w:rsidR="00C73A97" w:rsidRPr="00AF1D4E">
        <w:t>)</w:t>
      </w:r>
      <w:r w:rsidRPr="00AF1D4E">
        <w:t>.</w:t>
      </w:r>
    </w:p>
    <w:p w14:paraId="02F89CB5" w14:textId="703046E0" w:rsidR="00CB6B17" w:rsidRDefault="00CB6B17" w:rsidP="00B4269F">
      <w:pPr>
        <w:pStyle w:val="Bodytextwithparaspace"/>
      </w:pPr>
      <w:r>
        <w:t>In addition, there has been an expansion in the nature of items being included on the PL. Even though these items generally meet the criteria, the inclusion of some is potentially at odds with the purpose of the PL.</w:t>
      </w:r>
      <w:r w:rsidR="00FA1C4F">
        <w:t xml:space="preserve"> For example, while haemostatic devices are specifically designed to modulate a physiological process by way of stopping bleeding or the leakage of fluid, many of them are designed to dissolve and disappear a short while after their application or insertion. There is legitimate concern as to whether these devices are truly “surgically implanted” or in line with the intention purpose of the PL, but the listing criteria is </w:t>
      </w:r>
      <w:r w:rsidR="0026311A">
        <w:t>not clear</w:t>
      </w:r>
      <w:r w:rsidR="00FA1C4F">
        <w:t xml:space="preserve"> on this point.</w:t>
      </w:r>
    </w:p>
    <w:p w14:paraId="7AA18E76" w14:textId="77777777" w:rsidR="00B4269F" w:rsidRDefault="00B4269F" w:rsidP="00DC636B">
      <w:pPr>
        <w:pStyle w:val="Subheading"/>
      </w:pPr>
      <w:r>
        <w:t xml:space="preserve">Usage </w:t>
      </w:r>
      <w:r w:rsidR="004A2E57">
        <w:t>observations</w:t>
      </w:r>
    </w:p>
    <w:p w14:paraId="22E34DFD" w14:textId="7E7B4D6A" w:rsidR="00D43530" w:rsidRDefault="00245707" w:rsidP="00B4269F">
      <w:pPr>
        <w:pStyle w:val="Bodytextwithparaspace"/>
      </w:pPr>
      <w:r>
        <w:t>T</w:t>
      </w:r>
      <w:r w:rsidR="00B4269F">
        <w:t xml:space="preserve">he ‘High’ priority GM items </w:t>
      </w:r>
      <w:r>
        <w:t xml:space="preserve">experienced </w:t>
      </w:r>
      <w:r w:rsidR="00B4269F">
        <w:t xml:space="preserve">high growth in aggregate. The analysis identified 12 groups of primary interest with either high </w:t>
      </w:r>
      <w:r w:rsidR="00BA4589">
        <w:t>total benefits paid</w:t>
      </w:r>
      <w:r w:rsidR="00B4269F">
        <w:t xml:space="preserve"> or high growth (or both). For simplicity here, the top 3 groups </w:t>
      </w:r>
      <w:r>
        <w:t xml:space="preserve">that contributed </w:t>
      </w:r>
      <w:r w:rsidR="00B4269F">
        <w:t>towards total benefits paid (</w:t>
      </w:r>
      <w:r w:rsidR="003B6CF5">
        <w:fldChar w:fldCharType="begin"/>
      </w:r>
      <w:r w:rsidR="003B6CF5">
        <w:instrText xml:space="preserve"> REF _Ref39850450 \h </w:instrText>
      </w:r>
      <w:r w:rsidR="003B6CF5">
        <w:fldChar w:fldCharType="separate"/>
      </w:r>
      <w:r w:rsidR="00784DE2">
        <w:t xml:space="preserve">Table </w:t>
      </w:r>
      <w:r w:rsidR="00784DE2">
        <w:rPr>
          <w:noProof/>
        </w:rPr>
        <w:t>1</w:t>
      </w:r>
      <w:r w:rsidR="003B6CF5">
        <w:fldChar w:fldCharType="end"/>
      </w:r>
      <w:r w:rsidR="00B4269F">
        <w:t>) and the growth in total benefits paid (</w:t>
      </w:r>
      <w:r w:rsidR="003B6CF5">
        <w:fldChar w:fldCharType="begin"/>
      </w:r>
      <w:r w:rsidR="003B6CF5">
        <w:instrText xml:space="preserve"> REF _Ref39850461 \h </w:instrText>
      </w:r>
      <w:r w:rsidR="003B6CF5">
        <w:fldChar w:fldCharType="separate"/>
      </w:r>
      <w:r w:rsidR="00784DE2">
        <w:t xml:space="preserve">Table </w:t>
      </w:r>
      <w:r w:rsidR="00784DE2">
        <w:rPr>
          <w:noProof/>
        </w:rPr>
        <w:t>2</w:t>
      </w:r>
      <w:r w:rsidR="003B6CF5">
        <w:fldChar w:fldCharType="end"/>
      </w:r>
      <w:r w:rsidR="00B4269F">
        <w:t>) are shown below.</w:t>
      </w:r>
    </w:p>
    <w:p w14:paraId="0346ADB7" w14:textId="740E24B0" w:rsidR="00B4269F" w:rsidRDefault="00B4269F" w:rsidP="00B4269F">
      <w:pPr>
        <w:pStyle w:val="Caption"/>
        <w:rPr>
          <w:highlight w:val="yellow"/>
        </w:rPr>
      </w:pPr>
      <w:bookmarkStart w:id="11" w:name="_Ref39850450"/>
      <w:r>
        <w:t xml:space="preserve">Table </w:t>
      </w:r>
      <w:r w:rsidR="00FC6370">
        <w:fldChar w:fldCharType="begin"/>
      </w:r>
      <w:r w:rsidR="00FC6370">
        <w:instrText xml:space="preserve"> SEQ Table \* ARABIC </w:instrText>
      </w:r>
      <w:r w:rsidR="00FC6370">
        <w:fldChar w:fldCharType="separate"/>
      </w:r>
      <w:r w:rsidR="00784DE2">
        <w:rPr>
          <w:noProof/>
        </w:rPr>
        <w:t>1</w:t>
      </w:r>
      <w:r w:rsidR="00FC6370">
        <w:rPr>
          <w:noProof/>
        </w:rPr>
        <w:fldChar w:fldCharType="end"/>
      </w:r>
      <w:bookmarkEnd w:id="11"/>
      <w:r>
        <w:t xml:space="preserve"> – Total benefits paid</w:t>
      </w:r>
      <w:r>
        <w:rPr>
          <w:rStyle w:val="FootnoteReference"/>
        </w:rPr>
        <w:footnoteReference w:id="2"/>
      </w:r>
      <w:r>
        <w:t xml:space="preserve"> for GM items on the PL in FY19</w:t>
      </w:r>
    </w:p>
    <w:tbl>
      <w:tblPr>
        <w:tblStyle w:val="TableGrid"/>
        <w:tblW w:w="0" w:type="auto"/>
        <w:tblBorders>
          <w:top w:val="single" w:sz="4" w:space="0" w:color="000000" w:themeColor="background2"/>
          <w:left w:val="single" w:sz="4" w:space="0" w:color="000000" w:themeColor="background2"/>
          <w:bottom w:val="single" w:sz="4" w:space="0" w:color="000000" w:themeColor="background2"/>
          <w:right w:val="single" w:sz="4" w:space="0" w:color="000000" w:themeColor="background2"/>
          <w:insideH w:val="single" w:sz="4" w:space="0" w:color="000000" w:themeColor="background2"/>
          <w:insideV w:val="single" w:sz="4" w:space="0" w:color="000000" w:themeColor="background2"/>
        </w:tblBorders>
        <w:tblLook w:val="04A0" w:firstRow="1" w:lastRow="0" w:firstColumn="1" w:lastColumn="0" w:noHBand="0" w:noVBand="1"/>
        <w:tblCaption w:val="Table 1 - Total benefits paid for GM items on the PL in FY19"/>
        <w:tblDescription w:val="This table describes the total benefits paid for General Miscellaneous Items on the Prostheses List in FY19, using the HCP1 Dataset. Total benefits for the General Miscellaneous Category was $255.6 million."/>
      </w:tblPr>
      <w:tblGrid>
        <w:gridCol w:w="4815"/>
        <w:gridCol w:w="2126"/>
        <w:gridCol w:w="2078"/>
      </w:tblGrid>
      <w:tr w:rsidR="00B4269F" w:rsidRPr="00677489" w14:paraId="09B69312" w14:textId="77777777" w:rsidTr="00AF1D4E">
        <w:trPr>
          <w:tblHeader/>
        </w:trPr>
        <w:tc>
          <w:tcPr>
            <w:tcW w:w="4815" w:type="dxa"/>
            <w:shd w:val="clear" w:color="auto" w:fill="FFE600" w:themeFill="text2"/>
            <w:vAlign w:val="center"/>
          </w:tcPr>
          <w:p w14:paraId="4982E746" w14:textId="77777777" w:rsidR="00B4269F" w:rsidRPr="00AF1D4E" w:rsidRDefault="00B4269F" w:rsidP="00E318BA">
            <w:pPr>
              <w:rPr>
                <w:b/>
              </w:rPr>
            </w:pPr>
            <w:r w:rsidRPr="00AF1D4E">
              <w:rPr>
                <w:b/>
              </w:rPr>
              <w:t>Product Group</w:t>
            </w:r>
          </w:p>
        </w:tc>
        <w:tc>
          <w:tcPr>
            <w:tcW w:w="2126" w:type="dxa"/>
            <w:shd w:val="clear" w:color="auto" w:fill="FFE600" w:themeFill="text2"/>
            <w:vAlign w:val="center"/>
          </w:tcPr>
          <w:p w14:paraId="3DEF3F33" w14:textId="77777777" w:rsidR="00B4269F" w:rsidRPr="00AF1D4E" w:rsidRDefault="00B4269F" w:rsidP="00E318BA">
            <w:pPr>
              <w:rPr>
                <w:rFonts w:cs="Calibri"/>
                <w:b/>
              </w:rPr>
            </w:pPr>
            <w:r w:rsidRPr="00AF1D4E">
              <w:rPr>
                <w:rFonts w:cs="Calibri"/>
                <w:b/>
              </w:rPr>
              <w:t xml:space="preserve">Total benefits </w:t>
            </w:r>
            <w:r w:rsidRPr="00AF1D4E">
              <w:rPr>
                <w:rFonts w:cs="Calibri"/>
                <w:b/>
                <w:bCs/>
              </w:rPr>
              <w:t>FY19</w:t>
            </w:r>
            <w:r w:rsidRPr="00AF1D4E">
              <w:rPr>
                <w:rFonts w:cs="Calibri"/>
                <w:bCs/>
              </w:rPr>
              <w:t xml:space="preserve"> ($m)</w:t>
            </w:r>
          </w:p>
        </w:tc>
        <w:tc>
          <w:tcPr>
            <w:tcW w:w="2078" w:type="dxa"/>
            <w:shd w:val="clear" w:color="auto" w:fill="FFE600" w:themeFill="text2"/>
            <w:vAlign w:val="center"/>
          </w:tcPr>
          <w:p w14:paraId="1E585F0C" w14:textId="77777777" w:rsidR="00B4269F" w:rsidRPr="00AF1D4E" w:rsidRDefault="00B4269F" w:rsidP="00E318BA">
            <w:pPr>
              <w:rPr>
                <w:rFonts w:cs="Calibri"/>
                <w:b/>
              </w:rPr>
            </w:pPr>
            <w:r w:rsidRPr="00AF1D4E">
              <w:rPr>
                <w:rFonts w:cs="Calibri"/>
                <w:b/>
              </w:rPr>
              <w:t>Proportion of total GM benefits FY19</w:t>
            </w:r>
          </w:p>
          <w:p w14:paraId="3F4308D4" w14:textId="77777777" w:rsidR="00B4269F" w:rsidRPr="00AF1D4E" w:rsidRDefault="00B4269F" w:rsidP="00E318BA">
            <w:pPr>
              <w:rPr>
                <w:rFonts w:cs="Calibri"/>
                <w:bCs/>
              </w:rPr>
            </w:pPr>
            <w:r w:rsidRPr="00AF1D4E">
              <w:rPr>
                <w:rFonts w:cs="Calibri"/>
                <w:bCs/>
              </w:rPr>
              <w:t>($m)</w:t>
            </w:r>
          </w:p>
        </w:tc>
      </w:tr>
      <w:tr w:rsidR="00B4269F" w:rsidRPr="00677489" w14:paraId="07E3A5A4" w14:textId="77777777" w:rsidTr="00E318BA">
        <w:tc>
          <w:tcPr>
            <w:tcW w:w="4815" w:type="dxa"/>
            <w:shd w:val="clear" w:color="auto" w:fill="auto"/>
            <w:vAlign w:val="bottom"/>
          </w:tcPr>
          <w:p w14:paraId="3C34DC27" w14:textId="77777777" w:rsidR="00B4269F" w:rsidRPr="00776859" w:rsidRDefault="00B4269F" w:rsidP="00E318BA">
            <w:r w:rsidRPr="00776859">
              <w:rPr>
                <w:rFonts w:cs="Calibri"/>
                <w:color w:val="000000"/>
              </w:rPr>
              <w:t>03.08.04 - Staples &amp; Tackers</w:t>
            </w:r>
          </w:p>
        </w:tc>
        <w:tc>
          <w:tcPr>
            <w:tcW w:w="2126" w:type="dxa"/>
            <w:shd w:val="clear" w:color="auto" w:fill="auto"/>
            <w:vAlign w:val="bottom"/>
          </w:tcPr>
          <w:p w14:paraId="52EE8A00" w14:textId="77777777" w:rsidR="00B4269F" w:rsidRPr="00776859" w:rsidRDefault="00B4269F" w:rsidP="00E318BA">
            <w:pPr>
              <w:jc w:val="right"/>
              <w:rPr>
                <w:rFonts w:cs="Calibri"/>
                <w:color w:val="000000"/>
              </w:rPr>
            </w:pPr>
            <w:r w:rsidRPr="00776859">
              <w:rPr>
                <w:rFonts w:cs="Calibri"/>
                <w:color w:val="000000"/>
              </w:rPr>
              <w:t>95.9</w:t>
            </w:r>
          </w:p>
        </w:tc>
        <w:tc>
          <w:tcPr>
            <w:tcW w:w="2078" w:type="dxa"/>
            <w:shd w:val="clear" w:color="auto" w:fill="auto"/>
            <w:vAlign w:val="bottom"/>
          </w:tcPr>
          <w:p w14:paraId="243106EE" w14:textId="77777777" w:rsidR="00B4269F" w:rsidRPr="00776859" w:rsidRDefault="00B4269F" w:rsidP="00E318BA">
            <w:pPr>
              <w:jc w:val="right"/>
              <w:rPr>
                <w:rFonts w:cs="Calibri"/>
                <w:color w:val="000000"/>
              </w:rPr>
            </w:pPr>
            <w:r w:rsidRPr="00776859">
              <w:rPr>
                <w:rFonts w:cs="Calibri"/>
                <w:color w:val="000000"/>
              </w:rPr>
              <w:t>37.5%</w:t>
            </w:r>
          </w:p>
        </w:tc>
      </w:tr>
      <w:tr w:rsidR="00B4269F" w:rsidRPr="00677489" w14:paraId="75E7AD33" w14:textId="77777777" w:rsidTr="00E318BA">
        <w:tc>
          <w:tcPr>
            <w:tcW w:w="4815" w:type="dxa"/>
            <w:shd w:val="clear" w:color="auto" w:fill="auto"/>
            <w:vAlign w:val="bottom"/>
          </w:tcPr>
          <w:p w14:paraId="43563B80" w14:textId="77777777" w:rsidR="00B4269F" w:rsidRPr="00776859" w:rsidRDefault="00B4269F" w:rsidP="00E318BA">
            <w:r w:rsidRPr="00776859">
              <w:rPr>
                <w:rFonts w:cs="Calibri"/>
                <w:color w:val="000000"/>
              </w:rPr>
              <w:t>03.08.02 - Internal Adhesives</w:t>
            </w:r>
          </w:p>
        </w:tc>
        <w:tc>
          <w:tcPr>
            <w:tcW w:w="2126" w:type="dxa"/>
            <w:shd w:val="clear" w:color="auto" w:fill="auto"/>
            <w:vAlign w:val="bottom"/>
          </w:tcPr>
          <w:p w14:paraId="5E357CCF" w14:textId="77777777" w:rsidR="00B4269F" w:rsidRPr="00776859" w:rsidRDefault="00B4269F" w:rsidP="00E318BA">
            <w:pPr>
              <w:jc w:val="right"/>
              <w:rPr>
                <w:rFonts w:cs="Calibri"/>
                <w:color w:val="000000"/>
              </w:rPr>
            </w:pPr>
            <w:r w:rsidRPr="00776859">
              <w:rPr>
                <w:rFonts w:cs="Calibri"/>
                <w:color w:val="000000"/>
              </w:rPr>
              <w:t>43.0</w:t>
            </w:r>
          </w:p>
        </w:tc>
        <w:tc>
          <w:tcPr>
            <w:tcW w:w="2078" w:type="dxa"/>
            <w:shd w:val="clear" w:color="auto" w:fill="auto"/>
            <w:vAlign w:val="bottom"/>
          </w:tcPr>
          <w:p w14:paraId="4501ECD6" w14:textId="77777777" w:rsidR="00B4269F" w:rsidRPr="00776859" w:rsidRDefault="00B4269F" w:rsidP="00E318BA">
            <w:pPr>
              <w:jc w:val="right"/>
              <w:rPr>
                <w:rFonts w:cs="Calibri"/>
                <w:color w:val="000000"/>
              </w:rPr>
            </w:pPr>
            <w:r w:rsidRPr="00776859">
              <w:rPr>
                <w:rFonts w:cs="Calibri"/>
                <w:color w:val="000000"/>
              </w:rPr>
              <w:t>16.8%</w:t>
            </w:r>
          </w:p>
        </w:tc>
      </w:tr>
      <w:tr w:rsidR="00B4269F" w:rsidRPr="00677489" w14:paraId="2B6694E9" w14:textId="77777777" w:rsidTr="00E318BA">
        <w:tc>
          <w:tcPr>
            <w:tcW w:w="4815" w:type="dxa"/>
            <w:shd w:val="clear" w:color="auto" w:fill="auto"/>
            <w:vAlign w:val="bottom"/>
          </w:tcPr>
          <w:p w14:paraId="53EC671A" w14:textId="77777777" w:rsidR="00B4269F" w:rsidRPr="00776859" w:rsidRDefault="00B4269F" w:rsidP="00E318BA">
            <w:r w:rsidRPr="00776859">
              <w:rPr>
                <w:rFonts w:cs="Calibri"/>
                <w:color w:val="000000"/>
              </w:rPr>
              <w:t>03.05.05 - Matrix</w:t>
            </w:r>
          </w:p>
        </w:tc>
        <w:tc>
          <w:tcPr>
            <w:tcW w:w="2126" w:type="dxa"/>
            <w:shd w:val="clear" w:color="auto" w:fill="auto"/>
            <w:vAlign w:val="bottom"/>
          </w:tcPr>
          <w:p w14:paraId="2F3C27BD" w14:textId="77777777" w:rsidR="00B4269F" w:rsidRPr="00776859" w:rsidRDefault="00B4269F" w:rsidP="00E318BA">
            <w:pPr>
              <w:jc w:val="right"/>
              <w:rPr>
                <w:rFonts w:cs="Calibri"/>
                <w:color w:val="000000"/>
              </w:rPr>
            </w:pPr>
            <w:r w:rsidRPr="00776859">
              <w:rPr>
                <w:rFonts w:cs="Calibri"/>
                <w:color w:val="000000"/>
              </w:rPr>
              <w:t>30.3</w:t>
            </w:r>
          </w:p>
        </w:tc>
        <w:tc>
          <w:tcPr>
            <w:tcW w:w="2078" w:type="dxa"/>
            <w:shd w:val="clear" w:color="auto" w:fill="auto"/>
            <w:vAlign w:val="bottom"/>
          </w:tcPr>
          <w:p w14:paraId="31CD4897" w14:textId="77777777" w:rsidR="00B4269F" w:rsidRPr="00776859" w:rsidRDefault="00B4269F" w:rsidP="00E318BA">
            <w:pPr>
              <w:jc w:val="right"/>
              <w:rPr>
                <w:rFonts w:cs="Calibri"/>
                <w:color w:val="000000"/>
              </w:rPr>
            </w:pPr>
            <w:r w:rsidRPr="00776859">
              <w:rPr>
                <w:rFonts w:cs="Calibri"/>
                <w:color w:val="000000"/>
              </w:rPr>
              <w:t>11.9%</w:t>
            </w:r>
          </w:p>
        </w:tc>
      </w:tr>
      <w:tr w:rsidR="00B4269F" w:rsidRPr="00677489" w14:paraId="7639F41F" w14:textId="77777777" w:rsidTr="00E318BA">
        <w:tc>
          <w:tcPr>
            <w:tcW w:w="4815" w:type="dxa"/>
            <w:shd w:val="clear" w:color="auto" w:fill="auto"/>
            <w:vAlign w:val="bottom"/>
          </w:tcPr>
          <w:p w14:paraId="196B7022" w14:textId="77777777" w:rsidR="00B4269F" w:rsidRPr="00776859" w:rsidRDefault="00B4269F" w:rsidP="00E318BA">
            <w:r w:rsidRPr="00776859">
              <w:rPr>
                <w:rFonts w:cs="Calibri"/>
                <w:color w:val="000000"/>
              </w:rPr>
              <w:t>All other GM groups</w:t>
            </w:r>
          </w:p>
        </w:tc>
        <w:tc>
          <w:tcPr>
            <w:tcW w:w="2126" w:type="dxa"/>
            <w:shd w:val="clear" w:color="auto" w:fill="auto"/>
            <w:vAlign w:val="bottom"/>
          </w:tcPr>
          <w:p w14:paraId="49B998C0" w14:textId="77777777" w:rsidR="00B4269F" w:rsidRPr="00776859" w:rsidRDefault="00B4269F" w:rsidP="00E318BA">
            <w:pPr>
              <w:jc w:val="right"/>
              <w:rPr>
                <w:rFonts w:cs="Calibri"/>
                <w:color w:val="000000"/>
              </w:rPr>
            </w:pPr>
            <w:r w:rsidRPr="00776859">
              <w:rPr>
                <w:rFonts w:cs="Calibri"/>
                <w:color w:val="000000"/>
              </w:rPr>
              <w:t>86.4</w:t>
            </w:r>
          </w:p>
        </w:tc>
        <w:tc>
          <w:tcPr>
            <w:tcW w:w="2078" w:type="dxa"/>
            <w:shd w:val="clear" w:color="auto" w:fill="auto"/>
            <w:vAlign w:val="bottom"/>
          </w:tcPr>
          <w:p w14:paraId="7025D3C4" w14:textId="77777777" w:rsidR="00B4269F" w:rsidRPr="00776859" w:rsidRDefault="00B4269F" w:rsidP="00E318BA">
            <w:pPr>
              <w:jc w:val="right"/>
              <w:rPr>
                <w:rFonts w:cs="Calibri"/>
                <w:color w:val="000000"/>
              </w:rPr>
            </w:pPr>
            <w:r w:rsidRPr="00776859">
              <w:rPr>
                <w:rFonts w:cs="Calibri"/>
                <w:color w:val="000000"/>
              </w:rPr>
              <w:t>33.8%</w:t>
            </w:r>
          </w:p>
        </w:tc>
      </w:tr>
      <w:tr w:rsidR="00B4269F" w:rsidRPr="00677489" w14:paraId="5F8CD5A9" w14:textId="77777777" w:rsidTr="00E318BA">
        <w:tc>
          <w:tcPr>
            <w:tcW w:w="4815" w:type="dxa"/>
            <w:shd w:val="clear" w:color="auto" w:fill="D2D2DA" w:themeFill="text1" w:themeFillTint="33"/>
            <w:vAlign w:val="bottom"/>
          </w:tcPr>
          <w:p w14:paraId="28573516" w14:textId="77777777" w:rsidR="00B4269F" w:rsidRPr="00776859" w:rsidRDefault="00B4269F" w:rsidP="00E318BA">
            <w:pPr>
              <w:rPr>
                <w:rFonts w:cs="Calibri"/>
                <w:b/>
                <w:color w:val="000000"/>
              </w:rPr>
            </w:pPr>
            <w:r w:rsidRPr="00776859">
              <w:rPr>
                <w:rFonts w:cs="Calibri"/>
                <w:b/>
                <w:color w:val="000000"/>
              </w:rPr>
              <w:t>Total GM category</w:t>
            </w:r>
          </w:p>
        </w:tc>
        <w:tc>
          <w:tcPr>
            <w:tcW w:w="2126" w:type="dxa"/>
            <w:shd w:val="clear" w:color="auto" w:fill="D2D2DA" w:themeFill="text1" w:themeFillTint="33"/>
            <w:vAlign w:val="bottom"/>
          </w:tcPr>
          <w:p w14:paraId="349C4F28" w14:textId="77777777" w:rsidR="00B4269F" w:rsidRPr="00776859" w:rsidRDefault="00B4269F" w:rsidP="00E318BA">
            <w:pPr>
              <w:jc w:val="right"/>
              <w:rPr>
                <w:rFonts w:cs="Calibri"/>
                <w:b/>
                <w:color w:val="000000"/>
              </w:rPr>
            </w:pPr>
            <w:r w:rsidRPr="00776859">
              <w:rPr>
                <w:rFonts w:cs="Calibri"/>
                <w:b/>
                <w:color w:val="000000"/>
              </w:rPr>
              <w:t>255.6</w:t>
            </w:r>
          </w:p>
        </w:tc>
        <w:tc>
          <w:tcPr>
            <w:tcW w:w="2078" w:type="dxa"/>
            <w:shd w:val="clear" w:color="auto" w:fill="D2D2DA" w:themeFill="text1" w:themeFillTint="33"/>
            <w:vAlign w:val="bottom"/>
          </w:tcPr>
          <w:p w14:paraId="6B9573EA" w14:textId="77777777" w:rsidR="00B4269F" w:rsidRPr="00776859" w:rsidRDefault="00B4269F" w:rsidP="00E318BA">
            <w:pPr>
              <w:jc w:val="right"/>
              <w:rPr>
                <w:rFonts w:cs="Calibri"/>
                <w:b/>
                <w:color w:val="000000"/>
              </w:rPr>
            </w:pPr>
            <w:r w:rsidRPr="00776859">
              <w:rPr>
                <w:rFonts w:cs="Calibri"/>
                <w:b/>
                <w:color w:val="000000"/>
              </w:rPr>
              <w:t>100.0%</w:t>
            </w:r>
          </w:p>
        </w:tc>
      </w:tr>
    </w:tbl>
    <w:p w14:paraId="38EDA5C3" w14:textId="77777777" w:rsidR="00B4269F" w:rsidRDefault="00B4269F" w:rsidP="00B4269F">
      <w:pPr>
        <w:pStyle w:val="Caption"/>
      </w:pPr>
    </w:p>
    <w:p w14:paraId="0FFCFCDD" w14:textId="26A01BDD" w:rsidR="00B4269F" w:rsidRDefault="00B4269F" w:rsidP="00B4269F">
      <w:pPr>
        <w:pStyle w:val="Caption"/>
      </w:pPr>
      <w:bookmarkStart w:id="12" w:name="_Ref39850461"/>
      <w:r>
        <w:t xml:space="preserve">Table </w:t>
      </w:r>
      <w:r w:rsidR="00FC6370">
        <w:fldChar w:fldCharType="begin"/>
      </w:r>
      <w:r w:rsidR="00FC6370">
        <w:instrText xml:space="preserve"> SEQ Table \* ARABIC </w:instrText>
      </w:r>
      <w:r w:rsidR="00FC6370">
        <w:fldChar w:fldCharType="separate"/>
      </w:r>
      <w:r w:rsidR="00784DE2">
        <w:rPr>
          <w:noProof/>
        </w:rPr>
        <w:t>2</w:t>
      </w:r>
      <w:r w:rsidR="00FC6370">
        <w:rPr>
          <w:noProof/>
        </w:rPr>
        <w:fldChar w:fldCharType="end"/>
      </w:r>
      <w:bookmarkEnd w:id="12"/>
      <w:r>
        <w:t xml:space="preserve"> – Growth in total benefits paid</w:t>
      </w:r>
      <w:r>
        <w:rPr>
          <w:rStyle w:val="FootnoteReference"/>
        </w:rPr>
        <w:footnoteReference w:id="3"/>
      </w:r>
      <w:r>
        <w:t xml:space="preserve"> for GM items on the PL from FY14 to FY19</w:t>
      </w:r>
    </w:p>
    <w:tbl>
      <w:tblPr>
        <w:tblStyle w:val="TableGrid"/>
        <w:tblW w:w="0" w:type="auto"/>
        <w:tblBorders>
          <w:top w:val="single" w:sz="4" w:space="0" w:color="000000" w:themeColor="background2"/>
          <w:left w:val="single" w:sz="4" w:space="0" w:color="000000" w:themeColor="background2"/>
          <w:bottom w:val="single" w:sz="4" w:space="0" w:color="000000" w:themeColor="background2"/>
          <w:right w:val="single" w:sz="4" w:space="0" w:color="000000" w:themeColor="background2"/>
          <w:insideH w:val="single" w:sz="4" w:space="0" w:color="000000" w:themeColor="background2"/>
          <w:insideV w:val="single" w:sz="4" w:space="0" w:color="000000" w:themeColor="background2"/>
        </w:tblBorders>
        <w:tblLook w:val="04A0" w:firstRow="1" w:lastRow="0" w:firstColumn="1" w:lastColumn="0" w:noHBand="0" w:noVBand="1"/>
        <w:tblCaption w:val="Table 2 - Growth in total benefits paid for GM items on the PL from FY14 to FY19"/>
        <w:tblDescription w:val="This table shows the growth in total benefits paid for General Miscellaneous Items on the Prostheses List from FY14 to FY19 using the HCP1 dataset. Total benefits for the General Miscellaneous Category has increased from $165.6 million in FY14 to $255.6 million in FY19, equating to a Compound Annual Growth Rate of 9.1%."/>
      </w:tblPr>
      <w:tblGrid>
        <w:gridCol w:w="3143"/>
        <w:gridCol w:w="1282"/>
        <w:gridCol w:w="1282"/>
        <w:gridCol w:w="1615"/>
        <w:gridCol w:w="1697"/>
      </w:tblGrid>
      <w:tr w:rsidR="00B4269F" w:rsidRPr="00677489" w14:paraId="26241697" w14:textId="77777777" w:rsidTr="00AF1D4E">
        <w:trPr>
          <w:tblHeader/>
        </w:trPr>
        <w:tc>
          <w:tcPr>
            <w:tcW w:w="3143" w:type="dxa"/>
            <w:shd w:val="clear" w:color="auto" w:fill="FFE600" w:themeFill="text2"/>
            <w:vAlign w:val="center"/>
          </w:tcPr>
          <w:p w14:paraId="777D67A6" w14:textId="77777777" w:rsidR="00B4269F" w:rsidRPr="00AF1D4E" w:rsidRDefault="00B4269F" w:rsidP="00E318BA">
            <w:pPr>
              <w:rPr>
                <w:rFonts w:cs="Calibri"/>
                <w:b/>
              </w:rPr>
            </w:pPr>
            <w:r w:rsidRPr="00AF1D4E">
              <w:rPr>
                <w:rFonts w:cs="Calibri"/>
                <w:b/>
              </w:rPr>
              <w:t>Product Group</w:t>
            </w:r>
          </w:p>
        </w:tc>
        <w:tc>
          <w:tcPr>
            <w:tcW w:w="1282" w:type="dxa"/>
            <w:shd w:val="clear" w:color="auto" w:fill="FFE600" w:themeFill="text2"/>
            <w:vAlign w:val="center"/>
          </w:tcPr>
          <w:p w14:paraId="20FE4271" w14:textId="77777777" w:rsidR="00B4269F" w:rsidRPr="00AF1D4E" w:rsidRDefault="00B4269F" w:rsidP="00E318BA">
            <w:pPr>
              <w:rPr>
                <w:rFonts w:cs="Calibri"/>
                <w:b/>
              </w:rPr>
            </w:pPr>
            <w:r w:rsidRPr="00AF1D4E">
              <w:rPr>
                <w:rFonts w:cs="Calibri"/>
                <w:b/>
              </w:rPr>
              <w:t xml:space="preserve">Total PL benefits FY14 </w:t>
            </w:r>
            <w:r w:rsidRPr="00AF1D4E">
              <w:rPr>
                <w:rFonts w:cs="Calibri"/>
              </w:rPr>
              <w:t>($m)</w:t>
            </w:r>
          </w:p>
        </w:tc>
        <w:tc>
          <w:tcPr>
            <w:tcW w:w="1282" w:type="dxa"/>
            <w:shd w:val="clear" w:color="auto" w:fill="FFE600" w:themeFill="text2"/>
            <w:vAlign w:val="center"/>
          </w:tcPr>
          <w:p w14:paraId="5547BBB2" w14:textId="77777777" w:rsidR="00B4269F" w:rsidRPr="00AF1D4E" w:rsidRDefault="00B4269F" w:rsidP="00E318BA">
            <w:pPr>
              <w:rPr>
                <w:rFonts w:cs="Calibri"/>
                <w:b/>
              </w:rPr>
            </w:pPr>
            <w:r w:rsidRPr="00AF1D4E">
              <w:rPr>
                <w:rFonts w:cs="Calibri"/>
                <w:b/>
              </w:rPr>
              <w:t xml:space="preserve">Total PL benefits FY19 </w:t>
            </w:r>
            <w:r w:rsidRPr="00AF1D4E">
              <w:rPr>
                <w:rFonts w:cs="Calibri"/>
              </w:rPr>
              <w:t>($m)</w:t>
            </w:r>
          </w:p>
        </w:tc>
        <w:tc>
          <w:tcPr>
            <w:tcW w:w="1615" w:type="dxa"/>
            <w:shd w:val="clear" w:color="auto" w:fill="FFE600" w:themeFill="text2"/>
            <w:vAlign w:val="center"/>
          </w:tcPr>
          <w:p w14:paraId="3BF882EA" w14:textId="77777777" w:rsidR="00B4269F" w:rsidRPr="00AF1D4E" w:rsidRDefault="00B4269F" w:rsidP="00E318BA">
            <w:pPr>
              <w:rPr>
                <w:rFonts w:cs="Calibri"/>
                <w:b/>
              </w:rPr>
            </w:pPr>
            <w:r w:rsidRPr="00AF1D4E">
              <w:rPr>
                <w:rFonts w:cs="Calibri"/>
                <w:b/>
              </w:rPr>
              <w:t>Compound Annual Growth Rate (CAGR)</w:t>
            </w:r>
          </w:p>
        </w:tc>
        <w:tc>
          <w:tcPr>
            <w:tcW w:w="1697" w:type="dxa"/>
            <w:shd w:val="clear" w:color="auto" w:fill="FFE600" w:themeFill="text2"/>
            <w:vAlign w:val="center"/>
          </w:tcPr>
          <w:p w14:paraId="47C33063" w14:textId="77777777" w:rsidR="00B4269F" w:rsidRPr="00AF1D4E" w:rsidRDefault="00B4269F" w:rsidP="00E318BA">
            <w:pPr>
              <w:rPr>
                <w:rFonts w:cs="Calibri"/>
                <w:b/>
              </w:rPr>
            </w:pPr>
            <w:r w:rsidRPr="00AF1D4E">
              <w:rPr>
                <w:rFonts w:cs="Calibri"/>
                <w:b/>
              </w:rPr>
              <w:t xml:space="preserve">Proportion of growth in GM benefits </w:t>
            </w:r>
            <w:r w:rsidRPr="00AF1D4E">
              <w:rPr>
                <w:rFonts w:cs="Calibri"/>
              </w:rPr>
              <w:t>(%)</w:t>
            </w:r>
          </w:p>
        </w:tc>
      </w:tr>
      <w:tr w:rsidR="00B4269F" w:rsidRPr="00677489" w14:paraId="4A3F305D" w14:textId="77777777" w:rsidTr="00E318BA">
        <w:tc>
          <w:tcPr>
            <w:tcW w:w="3143" w:type="dxa"/>
            <w:shd w:val="clear" w:color="auto" w:fill="auto"/>
            <w:vAlign w:val="bottom"/>
          </w:tcPr>
          <w:p w14:paraId="5183636A" w14:textId="77777777" w:rsidR="00B4269F" w:rsidRPr="00776859" w:rsidRDefault="00B4269F" w:rsidP="00E318BA">
            <w:r w:rsidRPr="00776859">
              <w:rPr>
                <w:rFonts w:cs="Calibri"/>
                <w:color w:val="000000"/>
              </w:rPr>
              <w:t>03.08.04 - Staples &amp; Tackers</w:t>
            </w:r>
          </w:p>
        </w:tc>
        <w:tc>
          <w:tcPr>
            <w:tcW w:w="1282" w:type="dxa"/>
            <w:vAlign w:val="bottom"/>
          </w:tcPr>
          <w:p w14:paraId="3889BB11" w14:textId="77777777" w:rsidR="00B4269F" w:rsidRPr="00776859" w:rsidRDefault="00B4269F" w:rsidP="00E318BA">
            <w:pPr>
              <w:jc w:val="right"/>
              <w:rPr>
                <w:rFonts w:cs="Calibri"/>
                <w:color w:val="000000"/>
              </w:rPr>
            </w:pPr>
            <w:r w:rsidRPr="00776859">
              <w:rPr>
                <w:rFonts w:cs="Calibri"/>
                <w:color w:val="000000"/>
              </w:rPr>
              <w:t>56.9</w:t>
            </w:r>
          </w:p>
        </w:tc>
        <w:tc>
          <w:tcPr>
            <w:tcW w:w="1282" w:type="dxa"/>
            <w:vAlign w:val="bottom"/>
          </w:tcPr>
          <w:p w14:paraId="16DA41B0" w14:textId="77777777" w:rsidR="00B4269F" w:rsidRPr="00776859" w:rsidRDefault="00B4269F" w:rsidP="00E318BA">
            <w:pPr>
              <w:jc w:val="right"/>
              <w:rPr>
                <w:rFonts w:cs="Calibri"/>
                <w:color w:val="000000"/>
              </w:rPr>
            </w:pPr>
            <w:r w:rsidRPr="00776859">
              <w:rPr>
                <w:rFonts w:cs="Calibri"/>
                <w:color w:val="000000"/>
              </w:rPr>
              <w:t>95.9</w:t>
            </w:r>
          </w:p>
        </w:tc>
        <w:tc>
          <w:tcPr>
            <w:tcW w:w="1615" w:type="dxa"/>
            <w:shd w:val="clear" w:color="auto" w:fill="auto"/>
            <w:vAlign w:val="bottom"/>
          </w:tcPr>
          <w:p w14:paraId="4E16AD7E" w14:textId="77777777" w:rsidR="00B4269F" w:rsidRPr="00776859" w:rsidRDefault="00B4269F" w:rsidP="00E318BA">
            <w:pPr>
              <w:jc w:val="right"/>
              <w:rPr>
                <w:rFonts w:cs="Calibri"/>
                <w:color w:val="000000"/>
              </w:rPr>
            </w:pPr>
            <w:r w:rsidRPr="00776859">
              <w:rPr>
                <w:rFonts w:cs="Calibri"/>
                <w:color w:val="000000"/>
              </w:rPr>
              <w:t>11.0%</w:t>
            </w:r>
          </w:p>
        </w:tc>
        <w:tc>
          <w:tcPr>
            <w:tcW w:w="1697" w:type="dxa"/>
            <w:shd w:val="clear" w:color="auto" w:fill="auto"/>
            <w:vAlign w:val="bottom"/>
          </w:tcPr>
          <w:p w14:paraId="570A8939" w14:textId="77777777" w:rsidR="00B4269F" w:rsidRPr="00AF1D4E" w:rsidRDefault="00B4269F" w:rsidP="00E318BA">
            <w:pPr>
              <w:jc w:val="right"/>
              <w:rPr>
                <w:rFonts w:cs="Calibri"/>
                <w:color w:val="000000"/>
              </w:rPr>
            </w:pPr>
            <w:r w:rsidRPr="002D23FB">
              <w:rPr>
                <w:rFonts w:cs="Calibri"/>
                <w:color w:val="000000"/>
              </w:rPr>
              <w:t>43</w:t>
            </w:r>
            <w:r w:rsidR="00BB70E3" w:rsidRPr="00AF1D4E">
              <w:rPr>
                <w:rFonts w:cs="Calibri"/>
                <w:color w:val="000000"/>
              </w:rPr>
              <w:t>.4</w:t>
            </w:r>
            <w:r w:rsidRPr="002D23FB">
              <w:rPr>
                <w:rFonts w:cs="Calibri"/>
                <w:color w:val="000000"/>
              </w:rPr>
              <w:t>%</w:t>
            </w:r>
          </w:p>
        </w:tc>
      </w:tr>
      <w:tr w:rsidR="00B4269F" w:rsidRPr="00677489" w14:paraId="23DC24FA" w14:textId="77777777" w:rsidTr="00E318BA">
        <w:tc>
          <w:tcPr>
            <w:tcW w:w="3143" w:type="dxa"/>
            <w:shd w:val="clear" w:color="auto" w:fill="auto"/>
            <w:vAlign w:val="bottom"/>
          </w:tcPr>
          <w:p w14:paraId="752F45C2" w14:textId="77777777" w:rsidR="00B4269F" w:rsidRPr="00776859" w:rsidRDefault="00B4269F" w:rsidP="00E318BA">
            <w:r w:rsidRPr="00776859">
              <w:rPr>
                <w:rFonts w:cs="Calibri"/>
                <w:color w:val="000000"/>
              </w:rPr>
              <w:t>03.08.02 - Internal Adhesives</w:t>
            </w:r>
          </w:p>
        </w:tc>
        <w:tc>
          <w:tcPr>
            <w:tcW w:w="1282" w:type="dxa"/>
            <w:vAlign w:val="bottom"/>
          </w:tcPr>
          <w:p w14:paraId="31942BD9" w14:textId="77777777" w:rsidR="00B4269F" w:rsidRPr="00776859" w:rsidRDefault="00B4269F" w:rsidP="00E318BA">
            <w:pPr>
              <w:jc w:val="right"/>
              <w:rPr>
                <w:rFonts w:cs="Calibri"/>
                <w:color w:val="000000"/>
              </w:rPr>
            </w:pPr>
            <w:r w:rsidRPr="00776859">
              <w:rPr>
                <w:rFonts w:cs="Calibri"/>
                <w:color w:val="000000"/>
              </w:rPr>
              <w:t>12.4</w:t>
            </w:r>
          </w:p>
        </w:tc>
        <w:tc>
          <w:tcPr>
            <w:tcW w:w="1282" w:type="dxa"/>
            <w:vAlign w:val="bottom"/>
          </w:tcPr>
          <w:p w14:paraId="1C62EDCA" w14:textId="77777777" w:rsidR="00B4269F" w:rsidRPr="00776859" w:rsidRDefault="00B4269F" w:rsidP="00E318BA">
            <w:pPr>
              <w:jc w:val="right"/>
              <w:rPr>
                <w:rFonts w:cs="Calibri"/>
                <w:color w:val="000000"/>
              </w:rPr>
            </w:pPr>
            <w:r w:rsidRPr="00776859">
              <w:rPr>
                <w:rFonts w:cs="Calibri"/>
                <w:color w:val="000000"/>
              </w:rPr>
              <w:t>43.0</w:t>
            </w:r>
          </w:p>
        </w:tc>
        <w:tc>
          <w:tcPr>
            <w:tcW w:w="1615" w:type="dxa"/>
            <w:shd w:val="clear" w:color="auto" w:fill="auto"/>
            <w:vAlign w:val="bottom"/>
          </w:tcPr>
          <w:p w14:paraId="1A491C93" w14:textId="77777777" w:rsidR="00B4269F" w:rsidRPr="00776859" w:rsidRDefault="00B4269F" w:rsidP="00E318BA">
            <w:pPr>
              <w:jc w:val="right"/>
              <w:rPr>
                <w:rFonts w:cs="Calibri"/>
                <w:color w:val="000000"/>
              </w:rPr>
            </w:pPr>
            <w:r w:rsidRPr="00776859">
              <w:rPr>
                <w:rFonts w:cs="Calibri"/>
                <w:color w:val="000000"/>
              </w:rPr>
              <w:t>28.1%</w:t>
            </w:r>
          </w:p>
        </w:tc>
        <w:tc>
          <w:tcPr>
            <w:tcW w:w="1697" w:type="dxa"/>
            <w:shd w:val="clear" w:color="auto" w:fill="auto"/>
            <w:vAlign w:val="bottom"/>
          </w:tcPr>
          <w:p w14:paraId="01DA041B" w14:textId="77777777" w:rsidR="00B4269F" w:rsidRPr="00776859" w:rsidRDefault="00BB70E3" w:rsidP="00E318BA">
            <w:pPr>
              <w:jc w:val="right"/>
              <w:rPr>
                <w:rFonts w:cs="Calibri"/>
                <w:color w:val="000000"/>
              </w:rPr>
            </w:pPr>
            <w:r w:rsidRPr="00AF1D4E">
              <w:rPr>
                <w:rFonts w:cs="Calibri"/>
                <w:color w:val="000000"/>
              </w:rPr>
              <w:t>33.9%</w:t>
            </w:r>
          </w:p>
        </w:tc>
      </w:tr>
      <w:tr w:rsidR="00B4269F" w:rsidRPr="00677489" w14:paraId="05534329" w14:textId="77777777" w:rsidTr="00E318BA">
        <w:tc>
          <w:tcPr>
            <w:tcW w:w="3143" w:type="dxa"/>
            <w:shd w:val="clear" w:color="auto" w:fill="auto"/>
            <w:vAlign w:val="bottom"/>
          </w:tcPr>
          <w:p w14:paraId="4F8341E5" w14:textId="77777777" w:rsidR="00B4269F" w:rsidRPr="00776859" w:rsidRDefault="00B4269F" w:rsidP="00E318BA">
            <w:r w:rsidRPr="00776859">
              <w:rPr>
                <w:rFonts w:cs="Calibri"/>
                <w:color w:val="000000"/>
              </w:rPr>
              <w:t>03.05.05 - Matrix</w:t>
            </w:r>
          </w:p>
        </w:tc>
        <w:tc>
          <w:tcPr>
            <w:tcW w:w="1282" w:type="dxa"/>
            <w:vAlign w:val="bottom"/>
          </w:tcPr>
          <w:p w14:paraId="7983CC13" w14:textId="77777777" w:rsidR="00B4269F" w:rsidRPr="00776859" w:rsidRDefault="00B4269F" w:rsidP="00E318BA">
            <w:pPr>
              <w:jc w:val="right"/>
              <w:rPr>
                <w:rFonts w:cs="Calibri"/>
                <w:color w:val="000000"/>
              </w:rPr>
            </w:pPr>
            <w:r w:rsidRPr="00776859">
              <w:rPr>
                <w:rFonts w:cs="Calibri"/>
                <w:color w:val="000000"/>
              </w:rPr>
              <w:t>14.8</w:t>
            </w:r>
          </w:p>
        </w:tc>
        <w:tc>
          <w:tcPr>
            <w:tcW w:w="1282" w:type="dxa"/>
            <w:vAlign w:val="bottom"/>
          </w:tcPr>
          <w:p w14:paraId="5038E598" w14:textId="77777777" w:rsidR="00B4269F" w:rsidRPr="00776859" w:rsidRDefault="00B4269F" w:rsidP="00E318BA">
            <w:pPr>
              <w:jc w:val="right"/>
              <w:rPr>
                <w:rFonts w:cs="Calibri"/>
                <w:color w:val="000000"/>
              </w:rPr>
            </w:pPr>
            <w:r w:rsidRPr="00776859">
              <w:rPr>
                <w:rFonts w:cs="Calibri"/>
                <w:color w:val="000000"/>
              </w:rPr>
              <w:t>30.3</w:t>
            </w:r>
          </w:p>
        </w:tc>
        <w:tc>
          <w:tcPr>
            <w:tcW w:w="1615" w:type="dxa"/>
            <w:shd w:val="clear" w:color="auto" w:fill="auto"/>
            <w:vAlign w:val="bottom"/>
          </w:tcPr>
          <w:p w14:paraId="31CCD941" w14:textId="77777777" w:rsidR="00B4269F" w:rsidRPr="00776859" w:rsidRDefault="00B4269F" w:rsidP="00E318BA">
            <w:pPr>
              <w:jc w:val="right"/>
              <w:rPr>
                <w:rFonts w:cs="Calibri"/>
                <w:color w:val="000000"/>
              </w:rPr>
            </w:pPr>
            <w:r w:rsidRPr="00776859">
              <w:rPr>
                <w:rFonts w:cs="Calibri"/>
                <w:color w:val="000000"/>
              </w:rPr>
              <w:t>15.4%</w:t>
            </w:r>
          </w:p>
        </w:tc>
        <w:tc>
          <w:tcPr>
            <w:tcW w:w="1697" w:type="dxa"/>
            <w:shd w:val="clear" w:color="auto" w:fill="auto"/>
            <w:vAlign w:val="bottom"/>
          </w:tcPr>
          <w:p w14:paraId="1AB74EB5" w14:textId="77777777" w:rsidR="00B4269F" w:rsidRPr="00776859" w:rsidRDefault="00B4269F" w:rsidP="00E318BA">
            <w:pPr>
              <w:jc w:val="right"/>
              <w:rPr>
                <w:rFonts w:cs="Calibri"/>
                <w:color w:val="000000"/>
              </w:rPr>
            </w:pPr>
            <w:r w:rsidRPr="002D23FB">
              <w:rPr>
                <w:rFonts w:cs="Calibri"/>
                <w:color w:val="000000"/>
              </w:rPr>
              <w:t>17</w:t>
            </w:r>
            <w:r w:rsidR="00BB70E3" w:rsidRPr="00AF1D4E">
              <w:rPr>
                <w:rFonts w:cs="Calibri"/>
                <w:color w:val="000000"/>
              </w:rPr>
              <w:t>.2</w:t>
            </w:r>
            <w:r w:rsidRPr="002D23FB">
              <w:rPr>
                <w:rFonts w:cs="Calibri"/>
                <w:color w:val="000000"/>
              </w:rPr>
              <w:t>%</w:t>
            </w:r>
          </w:p>
        </w:tc>
      </w:tr>
      <w:tr w:rsidR="00B4269F" w:rsidRPr="00677489" w14:paraId="0C24B474" w14:textId="77777777" w:rsidTr="00E318BA">
        <w:tc>
          <w:tcPr>
            <w:tcW w:w="3143" w:type="dxa"/>
            <w:shd w:val="clear" w:color="auto" w:fill="auto"/>
            <w:vAlign w:val="bottom"/>
          </w:tcPr>
          <w:p w14:paraId="6644215B" w14:textId="77777777" w:rsidR="00B4269F" w:rsidRPr="00776859" w:rsidRDefault="00B4269F" w:rsidP="00E318BA">
            <w:r w:rsidRPr="00776859">
              <w:rPr>
                <w:rFonts w:cs="Calibri"/>
                <w:color w:val="000000"/>
              </w:rPr>
              <w:t>All other GM groups</w:t>
            </w:r>
          </w:p>
        </w:tc>
        <w:tc>
          <w:tcPr>
            <w:tcW w:w="1282" w:type="dxa"/>
            <w:vAlign w:val="bottom"/>
          </w:tcPr>
          <w:p w14:paraId="5EC0995E" w14:textId="77777777" w:rsidR="00B4269F" w:rsidRPr="00776859" w:rsidRDefault="00B4269F" w:rsidP="00E318BA">
            <w:pPr>
              <w:jc w:val="right"/>
              <w:rPr>
                <w:rFonts w:cs="Calibri"/>
                <w:color w:val="000000"/>
              </w:rPr>
            </w:pPr>
            <w:r w:rsidRPr="00776859">
              <w:rPr>
                <w:rFonts w:cs="Calibri"/>
                <w:color w:val="000000"/>
              </w:rPr>
              <w:t>81.5</w:t>
            </w:r>
          </w:p>
        </w:tc>
        <w:tc>
          <w:tcPr>
            <w:tcW w:w="1282" w:type="dxa"/>
            <w:vAlign w:val="bottom"/>
          </w:tcPr>
          <w:p w14:paraId="1DC887E9" w14:textId="77777777" w:rsidR="00B4269F" w:rsidRPr="00776859" w:rsidRDefault="00B4269F" w:rsidP="00E318BA">
            <w:pPr>
              <w:jc w:val="right"/>
              <w:rPr>
                <w:rFonts w:cs="Calibri"/>
                <w:color w:val="000000"/>
              </w:rPr>
            </w:pPr>
            <w:r w:rsidRPr="00776859">
              <w:rPr>
                <w:rFonts w:cs="Calibri"/>
                <w:color w:val="000000"/>
              </w:rPr>
              <w:t>86.4</w:t>
            </w:r>
          </w:p>
        </w:tc>
        <w:tc>
          <w:tcPr>
            <w:tcW w:w="1615" w:type="dxa"/>
            <w:shd w:val="clear" w:color="auto" w:fill="auto"/>
            <w:vAlign w:val="bottom"/>
          </w:tcPr>
          <w:p w14:paraId="3112CA8A" w14:textId="77777777" w:rsidR="00B4269F" w:rsidRPr="00776859" w:rsidRDefault="00B4269F" w:rsidP="00E318BA">
            <w:pPr>
              <w:jc w:val="right"/>
              <w:rPr>
                <w:rFonts w:cs="Calibri"/>
                <w:color w:val="000000"/>
              </w:rPr>
            </w:pPr>
            <w:r w:rsidRPr="00776859">
              <w:rPr>
                <w:rFonts w:cs="Calibri"/>
                <w:color w:val="000000"/>
              </w:rPr>
              <w:t>1.2%</w:t>
            </w:r>
          </w:p>
        </w:tc>
        <w:tc>
          <w:tcPr>
            <w:tcW w:w="1697" w:type="dxa"/>
            <w:shd w:val="clear" w:color="auto" w:fill="auto"/>
            <w:vAlign w:val="bottom"/>
          </w:tcPr>
          <w:p w14:paraId="38F0E241" w14:textId="77777777" w:rsidR="00B4269F" w:rsidRPr="00776859" w:rsidRDefault="00B4269F" w:rsidP="00E318BA">
            <w:pPr>
              <w:jc w:val="right"/>
              <w:rPr>
                <w:rFonts w:cs="Calibri"/>
                <w:color w:val="000000"/>
              </w:rPr>
            </w:pPr>
            <w:r w:rsidRPr="002D23FB">
              <w:rPr>
                <w:rFonts w:cs="Calibri"/>
                <w:color w:val="000000"/>
              </w:rPr>
              <w:t>5</w:t>
            </w:r>
            <w:r w:rsidR="00BB70E3" w:rsidRPr="00AF1D4E">
              <w:rPr>
                <w:rFonts w:cs="Calibri"/>
                <w:color w:val="000000"/>
              </w:rPr>
              <w:t>.4</w:t>
            </w:r>
            <w:r w:rsidRPr="002D23FB">
              <w:rPr>
                <w:rFonts w:cs="Calibri"/>
                <w:color w:val="000000"/>
              </w:rPr>
              <w:t>%</w:t>
            </w:r>
          </w:p>
        </w:tc>
      </w:tr>
      <w:tr w:rsidR="00B4269F" w:rsidRPr="00677489" w14:paraId="0B64F2F5" w14:textId="77777777" w:rsidTr="00E318BA">
        <w:tc>
          <w:tcPr>
            <w:tcW w:w="3143" w:type="dxa"/>
            <w:shd w:val="clear" w:color="auto" w:fill="D2D2DA" w:themeFill="text1" w:themeFillTint="33"/>
            <w:vAlign w:val="bottom"/>
          </w:tcPr>
          <w:p w14:paraId="772B7BA3" w14:textId="77777777" w:rsidR="00B4269F" w:rsidRPr="00776859" w:rsidRDefault="00B4269F" w:rsidP="00E318BA">
            <w:pPr>
              <w:rPr>
                <w:rFonts w:cs="Calibri"/>
                <w:b/>
                <w:color w:val="000000"/>
              </w:rPr>
            </w:pPr>
            <w:r w:rsidRPr="00776859">
              <w:rPr>
                <w:rFonts w:cs="Calibri"/>
                <w:b/>
                <w:color w:val="000000"/>
              </w:rPr>
              <w:t>Total GM category</w:t>
            </w:r>
          </w:p>
        </w:tc>
        <w:tc>
          <w:tcPr>
            <w:tcW w:w="1282" w:type="dxa"/>
            <w:shd w:val="clear" w:color="auto" w:fill="D2D2DA" w:themeFill="text1" w:themeFillTint="33"/>
            <w:vAlign w:val="bottom"/>
          </w:tcPr>
          <w:p w14:paraId="5A331094" w14:textId="77777777" w:rsidR="00B4269F" w:rsidRPr="00776859" w:rsidRDefault="00B4269F" w:rsidP="00E318BA">
            <w:pPr>
              <w:jc w:val="right"/>
              <w:rPr>
                <w:rFonts w:cs="Calibri"/>
                <w:b/>
                <w:color w:val="000000"/>
              </w:rPr>
            </w:pPr>
            <w:r w:rsidRPr="00776859">
              <w:rPr>
                <w:rFonts w:cs="Calibri"/>
                <w:b/>
                <w:color w:val="000000"/>
              </w:rPr>
              <w:t>165.6</w:t>
            </w:r>
          </w:p>
        </w:tc>
        <w:tc>
          <w:tcPr>
            <w:tcW w:w="1282" w:type="dxa"/>
            <w:shd w:val="clear" w:color="auto" w:fill="D2D2DA" w:themeFill="text1" w:themeFillTint="33"/>
            <w:vAlign w:val="bottom"/>
          </w:tcPr>
          <w:p w14:paraId="740FDB0C" w14:textId="77777777" w:rsidR="00B4269F" w:rsidRPr="00776859" w:rsidRDefault="00B4269F" w:rsidP="00E318BA">
            <w:pPr>
              <w:jc w:val="right"/>
              <w:rPr>
                <w:rFonts w:cs="Calibri"/>
                <w:b/>
                <w:color w:val="000000"/>
              </w:rPr>
            </w:pPr>
            <w:r w:rsidRPr="00776859">
              <w:rPr>
                <w:rFonts w:cs="Calibri"/>
                <w:b/>
                <w:color w:val="000000"/>
              </w:rPr>
              <w:t>255.6</w:t>
            </w:r>
          </w:p>
        </w:tc>
        <w:tc>
          <w:tcPr>
            <w:tcW w:w="1615" w:type="dxa"/>
            <w:shd w:val="clear" w:color="auto" w:fill="D2D2DA" w:themeFill="text1" w:themeFillTint="33"/>
            <w:vAlign w:val="bottom"/>
          </w:tcPr>
          <w:p w14:paraId="1F536109" w14:textId="77777777" w:rsidR="00B4269F" w:rsidRPr="00776859" w:rsidRDefault="00B4269F" w:rsidP="00E318BA">
            <w:pPr>
              <w:jc w:val="right"/>
              <w:rPr>
                <w:rFonts w:cs="Calibri"/>
                <w:b/>
                <w:color w:val="000000"/>
              </w:rPr>
            </w:pPr>
            <w:r w:rsidRPr="00776859">
              <w:rPr>
                <w:rFonts w:cs="Calibri"/>
                <w:b/>
                <w:color w:val="000000"/>
              </w:rPr>
              <w:t>9.1%</w:t>
            </w:r>
          </w:p>
        </w:tc>
        <w:tc>
          <w:tcPr>
            <w:tcW w:w="1697" w:type="dxa"/>
            <w:shd w:val="clear" w:color="auto" w:fill="D2D2DA" w:themeFill="text1" w:themeFillTint="33"/>
            <w:vAlign w:val="bottom"/>
          </w:tcPr>
          <w:p w14:paraId="5CBE4B8B" w14:textId="77777777" w:rsidR="00B4269F" w:rsidRPr="00776859" w:rsidRDefault="00B4269F" w:rsidP="00E318BA">
            <w:pPr>
              <w:jc w:val="right"/>
              <w:rPr>
                <w:rFonts w:cs="Calibri"/>
                <w:b/>
                <w:color w:val="000000"/>
              </w:rPr>
            </w:pPr>
            <w:r w:rsidRPr="00776859">
              <w:rPr>
                <w:rFonts w:cs="Calibri"/>
                <w:b/>
                <w:color w:val="000000"/>
              </w:rPr>
              <w:t>100%</w:t>
            </w:r>
          </w:p>
        </w:tc>
      </w:tr>
    </w:tbl>
    <w:p w14:paraId="5B166932" w14:textId="61D7EFC5" w:rsidR="00B4269F" w:rsidRDefault="00E318BA" w:rsidP="00D43530">
      <w:pPr>
        <w:pStyle w:val="Bodytextwithparaspace"/>
        <w:spacing w:before="240"/>
      </w:pPr>
      <w:r>
        <w:t>The same three groups</w:t>
      </w:r>
      <w:r w:rsidR="00BB70E3">
        <w:t xml:space="preserve"> </w:t>
      </w:r>
      <w:r w:rsidR="00245707">
        <w:t xml:space="preserve">were </w:t>
      </w:r>
      <w:r w:rsidR="00BB70E3">
        <w:t>responsible for over 65% of total benefits paid and nearly 95% of the growth in the GM category since FY14. At an item level, t</w:t>
      </w:r>
      <w:r w:rsidR="00B4269F">
        <w:t xml:space="preserve">here </w:t>
      </w:r>
      <w:r w:rsidR="00245707">
        <w:t xml:space="preserve">were </w:t>
      </w:r>
      <w:r w:rsidR="00B4269F">
        <w:t xml:space="preserve">ten items which </w:t>
      </w:r>
      <w:r w:rsidR="00245707">
        <w:t xml:space="preserve">were </w:t>
      </w:r>
      <w:r w:rsidR="00B4269F">
        <w:t>responsible for 70% of the growth observed.</w:t>
      </w:r>
    </w:p>
    <w:p w14:paraId="05CE8D7E" w14:textId="77777777" w:rsidR="00B4269F" w:rsidRDefault="00B4269F" w:rsidP="00B4269F">
      <w:pPr>
        <w:pStyle w:val="Bodytextwithparaspace"/>
      </w:pPr>
      <w:r>
        <w:t>In addition to high raw usage, the following was observed:</w:t>
      </w:r>
    </w:p>
    <w:p w14:paraId="6016C495" w14:textId="6F3432E9" w:rsidR="00B4269F" w:rsidRPr="00AF1D4E" w:rsidRDefault="00B4269F" w:rsidP="008E4696">
      <w:pPr>
        <w:pStyle w:val="Bodytextwithparaspace"/>
        <w:numPr>
          <w:ilvl w:val="1"/>
          <w:numId w:val="11"/>
        </w:numPr>
        <w:ind w:left="709"/>
      </w:pPr>
      <w:r>
        <w:t>Increased usage per separation –</w:t>
      </w:r>
      <w:r w:rsidR="001968AF">
        <w:t xml:space="preserve"> </w:t>
      </w:r>
      <w:r>
        <w:t xml:space="preserve">the increase in usage </w:t>
      </w:r>
      <w:r w:rsidR="00245707">
        <w:t xml:space="preserve">was </w:t>
      </w:r>
      <w:r>
        <w:t xml:space="preserve">not only driven by increased numbers of procedures. </w:t>
      </w:r>
      <w:r w:rsidRPr="00AF1D4E">
        <w:t>Specific examples include</w:t>
      </w:r>
      <w:r w:rsidR="00BB70E3" w:rsidRPr="00AF1D4E">
        <w:t xml:space="preserve"> Staples &amp; Tackers (03.08.04), Internal Adhesives (03.08.02), Infusion pumps </w:t>
      </w:r>
      <w:r w:rsidR="00BB70E3" w:rsidRPr="003E158A">
        <w:t>(03.02.03),</w:t>
      </w:r>
      <w:r w:rsidR="00BB70E3" w:rsidRPr="00AF1D4E">
        <w:t xml:space="preserve"> Powder (03.05.02) and Matrix (03.05.05) items.</w:t>
      </w:r>
    </w:p>
    <w:p w14:paraId="64806F9A" w14:textId="5488C7EA" w:rsidR="00BB70E3" w:rsidRDefault="00B4269F" w:rsidP="008E4696">
      <w:pPr>
        <w:pStyle w:val="Bodytextwithparaspace"/>
        <w:numPr>
          <w:ilvl w:val="1"/>
          <w:numId w:val="11"/>
        </w:numPr>
        <w:ind w:left="709"/>
      </w:pPr>
      <w:r>
        <w:t xml:space="preserve">Usage </w:t>
      </w:r>
      <w:r w:rsidR="00245707">
        <w:t xml:space="preserve">tended </w:t>
      </w:r>
      <w:r>
        <w:t xml:space="preserve">to be </w:t>
      </w:r>
      <w:r w:rsidR="00783FB0">
        <w:t xml:space="preserve">very </w:t>
      </w:r>
      <w:r>
        <w:t xml:space="preserve">skewed towards more expensive </w:t>
      </w:r>
      <w:r w:rsidR="0070660F">
        <w:t>types</w:t>
      </w:r>
      <w:r>
        <w:t xml:space="preserve"> of items</w:t>
      </w:r>
      <w:r w:rsidR="00227257">
        <w:t>,</w:t>
      </w:r>
      <w:r w:rsidR="00151385">
        <w:t xml:space="preserve"> even</w:t>
      </w:r>
      <w:r w:rsidR="00237857">
        <w:t xml:space="preserve"> though</w:t>
      </w:r>
      <w:r w:rsidR="00BA4589">
        <w:t xml:space="preserve"> </w:t>
      </w:r>
      <w:r w:rsidR="00FB445F">
        <w:t xml:space="preserve">it could be </w:t>
      </w:r>
      <w:r w:rsidR="00F7118F">
        <w:t>expected that</w:t>
      </w:r>
      <w:r w:rsidR="00BA4589">
        <w:t xml:space="preserve"> </w:t>
      </w:r>
      <w:r w:rsidR="00237857">
        <w:t xml:space="preserve">for </w:t>
      </w:r>
      <w:r w:rsidR="00BA4589">
        <w:t xml:space="preserve">a reasonable proportion of </w:t>
      </w:r>
      <w:r w:rsidR="00237857">
        <w:t xml:space="preserve">these </w:t>
      </w:r>
      <w:r w:rsidR="00BA4589">
        <w:t>procedures a cheaper version would be clinically</w:t>
      </w:r>
      <w:r>
        <w:t xml:space="preserve"> </w:t>
      </w:r>
      <w:r w:rsidR="007E4EE9">
        <w:t xml:space="preserve">sufficient </w:t>
      </w:r>
      <w:r>
        <w:t xml:space="preserve">(for example, </w:t>
      </w:r>
      <w:r w:rsidR="00BA4589">
        <w:t xml:space="preserve">there </w:t>
      </w:r>
      <w:r w:rsidR="002F3313">
        <w:t>wa</w:t>
      </w:r>
      <w:r w:rsidR="00BA4589">
        <w:t xml:space="preserve">s a consistent large skew towards the usage of </w:t>
      </w:r>
      <w:r>
        <w:t xml:space="preserve">larger </w:t>
      </w:r>
      <w:r w:rsidR="00726925">
        <w:t xml:space="preserve">volume/area items </w:t>
      </w:r>
      <w:r>
        <w:t xml:space="preserve">rather than smaller items). </w:t>
      </w:r>
      <w:r w:rsidRPr="00AF1D4E">
        <w:t>Specific examples include</w:t>
      </w:r>
      <w:r w:rsidR="005B543B">
        <w:t>d</w:t>
      </w:r>
      <w:r w:rsidR="00BB70E3" w:rsidRPr="00AF1D4E">
        <w:t xml:space="preserve"> </w:t>
      </w:r>
      <w:r w:rsidR="00BB70E3" w:rsidRPr="00F05AE9">
        <w:t>Internal Adhesives (03.08.02)</w:t>
      </w:r>
      <w:r w:rsidR="00BB70E3">
        <w:t>, Pliable Patches (03.05.04) and Matrix (03.05.05) items.</w:t>
      </w:r>
    </w:p>
    <w:p w14:paraId="2E46613B" w14:textId="6DD79645" w:rsidR="00B4269F" w:rsidRPr="00832E76" w:rsidRDefault="00581405" w:rsidP="008E4696">
      <w:pPr>
        <w:pStyle w:val="Bodytextwithparaspace"/>
        <w:numPr>
          <w:ilvl w:val="1"/>
          <w:numId w:val="11"/>
        </w:numPr>
        <w:ind w:left="709"/>
      </w:pPr>
      <w:r>
        <w:t>Usage of s</w:t>
      </w:r>
      <w:r w:rsidR="00B4269F">
        <w:t xml:space="preserve">ome items </w:t>
      </w:r>
      <w:r w:rsidR="00B84666">
        <w:t>grew suddenly</w:t>
      </w:r>
      <w:r w:rsidR="00B4269F">
        <w:t xml:space="preserve"> </w:t>
      </w:r>
      <w:r>
        <w:t>following</w:t>
      </w:r>
      <w:r w:rsidR="00B4269F">
        <w:t xml:space="preserve"> listing, potentially indicating </w:t>
      </w:r>
      <w:r w:rsidR="00B4269F" w:rsidRPr="00A45646">
        <w:t>that</w:t>
      </w:r>
      <w:r w:rsidR="00B4269F">
        <w:t xml:space="preserve"> the growth </w:t>
      </w:r>
      <w:r w:rsidR="005B543B">
        <w:t>wa</w:t>
      </w:r>
      <w:r w:rsidR="00B4269F">
        <w:t>s driven by its availability on the PL and not due to changes in clinical needs.</w:t>
      </w:r>
    </w:p>
    <w:p w14:paraId="5D0CD8B1" w14:textId="02ACC2C4" w:rsidR="00B4269F" w:rsidRPr="00832E76" w:rsidRDefault="00B4269F" w:rsidP="008E4696">
      <w:pPr>
        <w:pStyle w:val="Bodytextwithparaspace"/>
        <w:numPr>
          <w:ilvl w:val="1"/>
          <w:numId w:val="11"/>
        </w:numPr>
        <w:ind w:left="709"/>
      </w:pPr>
      <w:r w:rsidRPr="00832E76">
        <w:t xml:space="preserve">A disconnect between the usage of Infusion Pump Accessories </w:t>
      </w:r>
      <w:r w:rsidR="003E158A">
        <w:t xml:space="preserve">(03.02.05) </w:t>
      </w:r>
      <w:r w:rsidRPr="00832E76">
        <w:t>and Infusion Pumps</w:t>
      </w:r>
      <w:r w:rsidR="003E158A">
        <w:t xml:space="preserve"> (03.02.03)</w:t>
      </w:r>
      <w:r w:rsidR="00BA4589">
        <w:t xml:space="preserve"> whereby high growth in the usage of accessories </w:t>
      </w:r>
      <w:r w:rsidR="005B543B">
        <w:t xml:space="preserve">was </w:t>
      </w:r>
      <w:r w:rsidR="00BA4589">
        <w:t>not mirrored in associated pumps</w:t>
      </w:r>
      <w:r w:rsidR="003E158A">
        <w:t>.</w:t>
      </w:r>
    </w:p>
    <w:p w14:paraId="50E1EA59" w14:textId="77777777" w:rsidR="00B4269F" w:rsidRPr="003E158A" w:rsidRDefault="00B4269F" w:rsidP="00DC636B">
      <w:pPr>
        <w:pStyle w:val="Subheading"/>
      </w:pPr>
      <w:r>
        <w:t xml:space="preserve">Benefit amount </w:t>
      </w:r>
      <w:r w:rsidR="004A2E57">
        <w:t>observations</w:t>
      </w:r>
    </w:p>
    <w:p w14:paraId="69F41245" w14:textId="3A9FDB2F" w:rsidR="00281E82" w:rsidRPr="002E0D4C" w:rsidRDefault="005B543B" w:rsidP="00281E82">
      <w:pPr>
        <w:pStyle w:val="Bodytextwithparaspace"/>
      </w:pPr>
      <w:r>
        <w:t>There was</w:t>
      </w:r>
      <w:r w:rsidR="00CA50A0" w:rsidRPr="00EA0F5A">
        <w:t xml:space="preserve"> </w:t>
      </w:r>
      <w:r w:rsidR="00281E82" w:rsidRPr="00EA0F5A">
        <w:t>clear evidence</w:t>
      </w:r>
      <w:r w:rsidR="00281E82" w:rsidRPr="000A4B75">
        <w:t xml:space="preserve"> of significant increases in benefit amounts for items </w:t>
      </w:r>
      <w:r w:rsidR="00281E82" w:rsidRPr="00CB6B17">
        <w:t xml:space="preserve">in long-standing use that </w:t>
      </w:r>
      <w:r w:rsidR="00281E82" w:rsidRPr="002E0D4C">
        <w:t>have not changed. In each case, usage increased following the increase in benefit amount.</w:t>
      </w:r>
    </w:p>
    <w:p w14:paraId="376C5892" w14:textId="2930C204" w:rsidR="003E158A" w:rsidRPr="003E158A" w:rsidRDefault="00B4269F" w:rsidP="00B4269F">
      <w:pPr>
        <w:pStyle w:val="Bodytextwithparaspace"/>
      </w:pPr>
      <w:r>
        <w:t xml:space="preserve">In addition, </w:t>
      </w:r>
      <w:r w:rsidR="00BF33C0" w:rsidRPr="00A26B3B">
        <w:t xml:space="preserve">there </w:t>
      </w:r>
      <w:r w:rsidR="005B543B">
        <w:t>we</w:t>
      </w:r>
      <w:r w:rsidR="00B967B3">
        <w:t>re</w:t>
      </w:r>
      <w:r w:rsidR="00B967B3" w:rsidRPr="00A26B3B">
        <w:t xml:space="preserve"> </w:t>
      </w:r>
      <w:r w:rsidR="00B967B3">
        <w:t>several</w:t>
      </w:r>
      <w:r w:rsidR="00BF33C0" w:rsidRPr="00A26B3B">
        <w:t xml:space="preserve"> cases where the pricing relativities between products </w:t>
      </w:r>
      <w:r w:rsidR="00BF33C0">
        <w:t>appear</w:t>
      </w:r>
      <w:r w:rsidR="005B543B">
        <w:t>ed</w:t>
      </w:r>
      <w:r w:rsidR="00BF33C0">
        <w:t xml:space="preserve"> at odds with differences in their clinical functionality</w:t>
      </w:r>
      <w:r w:rsidR="00BF33C0" w:rsidRPr="00A26B3B">
        <w:t xml:space="preserve">. </w:t>
      </w:r>
      <w:r w:rsidRPr="003E158A">
        <w:t xml:space="preserve">Again, usage </w:t>
      </w:r>
      <w:r w:rsidR="005B543B">
        <w:t>wa</w:t>
      </w:r>
      <w:r w:rsidR="005B543B" w:rsidRPr="003E158A">
        <w:t xml:space="preserve">s </w:t>
      </w:r>
      <w:r w:rsidRPr="003E158A">
        <w:t>often skewed towards the more expensive versions.</w:t>
      </w:r>
    </w:p>
    <w:p w14:paraId="528EB593" w14:textId="7EC0B3C2" w:rsidR="003E158A" w:rsidRPr="00540FFF" w:rsidRDefault="003E158A" w:rsidP="00AF1D4E">
      <w:pPr>
        <w:pStyle w:val="Bodytextwithparaspace"/>
      </w:pPr>
      <w:r w:rsidRPr="00AF1D4E">
        <w:t xml:space="preserve">Examples </w:t>
      </w:r>
      <w:r w:rsidR="0046049B">
        <w:t>where these issues occu</w:t>
      </w:r>
      <w:r w:rsidR="005B543B">
        <w:t>r</w:t>
      </w:r>
      <w:r w:rsidR="0046049B">
        <w:t>r</w:t>
      </w:r>
      <w:r w:rsidR="005B543B">
        <w:t>ed</w:t>
      </w:r>
      <w:r w:rsidRPr="00AF1D4E">
        <w:t xml:space="preserve"> include</w:t>
      </w:r>
      <w:r w:rsidR="0046049B">
        <w:t xml:space="preserve"> within</w:t>
      </w:r>
      <w:r w:rsidRPr="00AF1D4E">
        <w:t xml:space="preserve"> </w:t>
      </w:r>
      <w:r w:rsidRPr="003E158A">
        <w:t xml:space="preserve">Internal Adhesives </w:t>
      </w:r>
      <w:r w:rsidRPr="00DB7650">
        <w:t xml:space="preserve">- adhesive accessories and adhesives ≤2ml (03.08.02), </w:t>
      </w:r>
      <w:r w:rsidRPr="002D23FB">
        <w:t>Infusion Pumps</w:t>
      </w:r>
      <w:r w:rsidRPr="000671F1">
        <w:t>,</w:t>
      </w:r>
      <w:r w:rsidRPr="00221A0A">
        <w:t xml:space="preserve"> Balloon Based</w:t>
      </w:r>
      <w:r w:rsidRPr="001362CC">
        <w:t xml:space="preserve"> (03.02.02</w:t>
      </w:r>
      <w:r w:rsidRPr="001A5D2D">
        <w:t xml:space="preserve">.01), </w:t>
      </w:r>
      <w:r w:rsidR="00685195">
        <w:t xml:space="preserve">and </w:t>
      </w:r>
      <w:r w:rsidRPr="001A5D2D">
        <w:t>Pliable Patches (03.05.04)</w:t>
      </w:r>
      <w:r w:rsidRPr="00A0023E">
        <w:t>.</w:t>
      </w:r>
    </w:p>
    <w:p w14:paraId="47D8AEC1" w14:textId="28A180F1" w:rsidR="00B4269F" w:rsidRDefault="00B4269F" w:rsidP="00B4269F">
      <w:pPr>
        <w:pStyle w:val="Bodytextwithparaspace"/>
      </w:pPr>
      <w:r w:rsidRPr="005F4673">
        <w:t xml:space="preserve">Overall, the </w:t>
      </w:r>
      <w:r w:rsidR="001968AF">
        <w:t xml:space="preserve">benchmarking </w:t>
      </w:r>
      <w:r w:rsidRPr="005F4673">
        <w:t xml:space="preserve">analysis </w:t>
      </w:r>
      <w:r w:rsidR="001968AF">
        <w:t xml:space="preserve">against the prices paid by public hospitals in two Australian jurisdictions </w:t>
      </w:r>
      <w:r w:rsidR="005B543B" w:rsidRPr="005F4673">
        <w:t>d</w:t>
      </w:r>
      <w:r w:rsidR="005B543B">
        <w:t>id</w:t>
      </w:r>
      <w:r w:rsidR="005B543B" w:rsidRPr="005F4673">
        <w:t xml:space="preserve"> </w:t>
      </w:r>
      <w:r w:rsidRPr="005F4673">
        <w:t xml:space="preserve">not suggest that GM items on the PL </w:t>
      </w:r>
      <w:r w:rsidR="005B543B" w:rsidRPr="005F4673">
        <w:t>ha</w:t>
      </w:r>
      <w:r w:rsidR="005B543B">
        <w:t>d</w:t>
      </w:r>
      <w:r w:rsidR="005B543B" w:rsidRPr="005F4673">
        <w:t xml:space="preserve"> </w:t>
      </w:r>
      <w:r w:rsidRPr="005F4673">
        <w:t>significantly higher benefit prices than in the public system</w:t>
      </w:r>
      <w:r>
        <w:t xml:space="preserve">. However, this </w:t>
      </w:r>
      <w:r w:rsidR="005B543B">
        <w:t xml:space="preserve">was </w:t>
      </w:r>
      <w:r>
        <w:t xml:space="preserve">partly circular for these items as the public system looked to the PL for a benchmark. Where the public system </w:t>
      </w:r>
      <w:r w:rsidR="005B543B">
        <w:t xml:space="preserve">could </w:t>
      </w:r>
      <w:r>
        <w:t xml:space="preserve">achieve lower prices than the PL, this </w:t>
      </w:r>
      <w:r w:rsidR="005B543B">
        <w:t xml:space="preserve">was </w:t>
      </w:r>
      <w:r>
        <w:t>usually a result of a tendering process and volume-based discounts, which the PL does not allow.</w:t>
      </w:r>
    </w:p>
    <w:bookmarkEnd w:id="10"/>
    <w:p w14:paraId="5EB50099" w14:textId="0220876A" w:rsidR="00687D65" w:rsidRDefault="00CB6B17" w:rsidP="00CB6B17">
      <w:pPr>
        <w:pStyle w:val="EYHeading4"/>
      </w:pPr>
      <w:r>
        <w:t>Causes</w:t>
      </w:r>
    </w:p>
    <w:p w14:paraId="2CABD2D9" w14:textId="4DC59BAD" w:rsidR="00281E82" w:rsidRDefault="00281E82" w:rsidP="00281E82">
      <w:pPr>
        <w:pStyle w:val="Bodytextwithparaspace"/>
        <w:rPr>
          <w:b/>
        </w:rPr>
      </w:pPr>
      <w:r w:rsidRPr="002E0D4C">
        <w:rPr>
          <w:b/>
        </w:rPr>
        <w:t>PL as a funding mechanism</w:t>
      </w:r>
    </w:p>
    <w:p w14:paraId="40D704D2" w14:textId="7014B363" w:rsidR="00281E82" w:rsidRDefault="00404E33" w:rsidP="00281E82">
      <w:pPr>
        <w:pStyle w:val="Bodytextwithparaspace"/>
      </w:pPr>
      <w:r>
        <w:t>There</w:t>
      </w:r>
      <w:r w:rsidR="00281E82">
        <w:t xml:space="preserve"> is a clear separation between the guaranteed funder of GM items (insurers), the chooser of the items (clinicians) and the provider of the items (private hospitals). This </w:t>
      </w:r>
      <w:r w:rsidR="00881739">
        <w:t xml:space="preserve">separation </w:t>
      </w:r>
      <w:r w:rsidR="00281E82">
        <w:t xml:space="preserve">means that the value of the items is not a direct consideration when selecting which (and how many) GM items should be used in a procedure – i.e. there </w:t>
      </w:r>
      <w:r w:rsidR="00CD085A">
        <w:t>is no dis</w:t>
      </w:r>
      <w:r w:rsidR="00281E82">
        <w:t xml:space="preserve">incentive </w:t>
      </w:r>
      <w:r w:rsidR="00FF6A2D">
        <w:t xml:space="preserve">to the clinician </w:t>
      </w:r>
      <w:r w:rsidR="00281E82">
        <w:t>to use more items of higher cost, even if the clinical benefit of doing so is negligible.</w:t>
      </w:r>
      <w:r w:rsidR="003537A8">
        <w:t xml:space="preserve"> Conversely, manufacturers and private hospitals operate in a commercial market and have more of an incentive to maximise use of devices that are available through the PL.</w:t>
      </w:r>
    </w:p>
    <w:p w14:paraId="13E0CFA6" w14:textId="6828DC4C" w:rsidR="00281E82" w:rsidRDefault="00281E82" w:rsidP="00281E82">
      <w:pPr>
        <w:pStyle w:val="Bodytextwithparaspace"/>
      </w:pPr>
      <w:r>
        <w:t>Whilst this can be argued for all items on the PL, it is particularly true for GM items because:</w:t>
      </w:r>
    </w:p>
    <w:p w14:paraId="328AC13D" w14:textId="7F60BA7E" w:rsidR="00281E82" w:rsidRDefault="00726925" w:rsidP="008E4696">
      <w:pPr>
        <w:pStyle w:val="Bodytextwithparaspace"/>
        <w:numPr>
          <w:ilvl w:val="1"/>
          <w:numId w:val="11"/>
        </w:numPr>
        <w:ind w:left="709"/>
      </w:pPr>
      <w:r>
        <w:t>T</w:t>
      </w:r>
      <w:r w:rsidR="00BB4A07">
        <w:t xml:space="preserve">hey </w:t>
      </w:r>
      <w:r w:rsidR="00281E82">
        <w:t>are available at a range of price points (</w:t>
      </w:r>
      <w:r w:rsidR="00A22129">
        <w:t xml:space="preserve">due to, </w:t>
      </w:r>
      <w:r w:rsidR="00281E82">
        <w:t xml:space="preserve">for example, </w:t>
      </w:r>
      <w:r w:rsidR="00A22129">
        <w:t xml:space="preserve">varying </w:t>
      </w:r>
      <w:r w:rsidR="00281E82">
        <w:t>sizes or additional features);</w:t>
      </w:r>
    </w:p>
    <w:p w14:paraId="0FF4D3C6" w14:textId="24A8995D" w:rsidR="00281E82" w:rsidRDefault="00726925" w:rsidP="008E4696">
      <w:pPr>
        <w:pStyle w:val="Bodytextwithparaspace"/>
        <w:numPr>
          <w:ilvl w:val="1"/>
          <w:numId w:val="11"/>
        </w:numPr>
        <w:ind w:left="709"/>
      </w:pPr>
      <w:r>
        <w:t>T</w:t>
      </w:r>
      <w:r w:rsidR="00BB4A07">
        <w:t xml:space="preserve">hey </w:t>
      </w:r>
      <w:r w:rsidR="00281E82">
        <w:t xml:space="preserve">are often of low cost and so the marginal impact of additional use is </w:t>
      </w:r>
      <w:r w:rsidR="00FF6A2D">
        <w:t>minimal</w:t>
      </w:r>
      <w:r w:rsidR="00281E82">
        <w:t>; and/or</w:t>
      </w:r>
    </w:p>
    <w:p w14:paraId="43DAED86" w14:textId="3071188B" w:rsidR="00281E82" w:rsidRPr="00DC636B" w:rsidRDefault="00726925" w:rsidP="008E4696">
      <w:pPr>
        <w:pStyle w:val="Bodytextwithparaspace"/>
        <w:numPr>
          <w:ilvl w:val="1"/>
          <w:numId w:val="11"/>
        </w:numPr>
        <w:ind w:left="709"/>
      </w:pPr>
      <w:r>
        <w:t>M</w:t>
      </w:r>
      <w:r w:rsidR="00BB4A07">
        <w:t xml:space="preserve">ultiple quantities of the item </w:t>
      </w:r>
      <w:r w:rsidR="00281E82" w:rsidDel="006446CC">
        <w:t>can be used</w:t>
      </w:r>
      <w:r w:rsidR="00281E82">
        <w:t xml:space="preserve"> in a single procedure</w:t>
      </w:r>
      <w:r w:rsidR="0026311A">
        <w:t xml:space="preserve"> and so there is no natural upper limit to how many could be used (as opposed to, say, a prosthetic hip)</w:t>
      </w:r>
      <w:r w:rsidR="00281E82">
        <w:t>.</w:t>
      </w:r>
    </w:p>
    <w:p w14:paraId="67015BD2" w14:textId="22BF180A" w:rsidR="00281E82" w:rsidRDefault="00281E82" w:rsidP="00281E82">
      <w:pPr>
        <w:pStyle w:val="Bodytextwithparaspace"/>
        <w:rPr>
          <w:b/>
        </w:rPr>
      </w:pPr>
      <w:r w:rsidRPr="002E0D4C">
        <w:rPr>
          <w:b/>
        </w:rPr>
        <w:t>Listing process</w:t>
      </w:r>
      <w:r>
        <w:rPr>
          <w:b/>
        </w:rPr>
        <w:t>es</w:t>
      </w:r>
    </w:p>
    <w:p w14:paraId="2E0FD265" w14:textId="49E159E9" w:rsidR="00281E82" w:rsidRDefault="00281E82" w:rsidP="00281E82">
      <w:pPr>
        <w:pStyle w:val="Bodytextwithparaspace"/>
        <w:rPr>
          <w:b/>
        </w:rPr>
      </w:pPr>
      <w:r>
        <w:t>There is a lack of rigour</w:t>
      </w:r>
      <w:r w:rsidR="0026311A">
        <w:t xml:space="preserve"> and</w:t>
      </w:r>
      <w:r>
        <w:t xml:space="preserve"> robustness in the processes</w:t>
      </w:r>
      <w:r w:rsidR="00367DC8">
        <w:t xml:space="preserve"> wh</w:t>
      </w:r>
      <w:r w:rsidR="002C70D5">
        <w:t>ich surround:</w:t>
      </w:r>
      <w:r>
        <w:t xml:space="preserve"> </w:t>
      </w:r>
      <w:r w:rsidR="002511FE">
        <w:t xml:space="preserve">assessing </w:t>
      </w:r>
      <w:r w:rsidR="00562E11">
        <w:t>items</w:t>
      </w:r>
      <w:r>
        <w:t xml:space="preserve"> for inclusion on the PL</w:t>
      </w:r>
      <w:r w:rsidR="002C70D5">
        <w:t xml:space="preserve">; </w:t>
      </w:r>
      <w:r w:rsidR="00D74054">
        <w:t>changing classifications (and benefit amounts) once an item is on the PL</w:t>
      </w:r>
      <w:r w:rsidR="002C70D5">
        <w:t>;</w:t>
      </w:r>
      <w:r w:rsidR="00D74054">
        <w:t xml:space="preserve"> and monitoring and enforcing appropriate levels of usage of items on the PL.</w:t>
      </w:r>
    </w:p>
    <w:p w14:paraId="7FA7A6D8" w14:textId="17B2227D" w:rsidR="00281E82" w:rsidRPr="00753BC9" w:rsidRDefault="00281E82" w:rsidP="00DC636B">
      <w:pPr>
        <w:pStyle w:val="Bodytextwithparaspace"/>
      </w:pPr>
      <w:r w:rsidRPr="002E0D4C">
        <w:rPr>
          <w:b/>
        </w:rPr>
        <w:t xml:space="preserve">Listing </w:t>
      </w:r>
      <w:r>
        <w:rPr>
          <w:b/>
        </w:rPr>
        <w:t>criteria</w:t>
      </w:r>
    </w:p>
    <w:p w14:paraId="066CAE28" w14:textId="654324DF" w:rsidR="00D74054" w:rsidRPr="002E0D4C" w:rsidRDefault="00D74054" w:rsidP="00D74054">
      <w:pPr>
        <w:pStyle w:val="Bodytextwithparaspace"/>
      </w:pPr>
      <w:r w:rsidRPr="002E0D4C">
        <w:t xml:space="preserve">There are </w:t>
      </w:r>
      <w:r w:rsidR="00AB1A97">
        <w:t>some</w:t>
      </w:r>
      <w:r w:rsidRPr="002E0D4C">
        <w:t xml:space="preserve"> grey areas around the boundary for inclusion under criterion 4a. Specific issues arise from:</w:t>
      </w:r>
    </w:p>
    <w:p w14:paraId="1261F379" w14:textId="77777777" w:rsidR="00D74054" w:rsidRPr="002E0D4C" w:rsidRDefault="00D74054" w:rsidP="008E4696">
      <w:pPr>
        <w:pStyle w:val="Bodytextwithparaspace"/>
        <w:numPr>
          <w:ilvl w:val="1"/>
          <w:numId w:val="11"/>
        </w:numPr>
        <w:ind w:left="709"/>
      </w:pPr>
      <w:r w:rsidRPr="002E0D4C">
        <w:t>The lack of a clear definition for a ‘prosthetic’ item;</w:t>
      </w:r>
    </w:p>
    <w:p w14:paraId="52C6329C" w14:textId="77777777" w:rsidR="00D74054" w:rsidRPr="002E0D4C" w:rsidRDefault="00D74054" w:rsidP="008E4696">
      <w:pPr>
        <w:pStyle w:val="Bodytextwithparaspace"/>
        <w:numPr>
          <w:ilvl w:val="1"/>
          <w:numId w:val="11"/>
        </w:numPr>
        <w:ind w:left="709"/>
      </w:pPr>
      <w:r w:rsidRPr="002E0D4C">
        <w:t>Ambiguity in the term ‘implantable’ – in particular, whether this should be long-term/permanent; and</w:t>
      </w:r>
    </w:p>
    <w:p w14:paraId="189079B8" w14:textId="77777777" w:rsidR="00D74054" w:rsidRPr="002E0D4C" w:rsidRDefault="00D74054" w:rsidP="008E4696">
      <w:pPr>
        <w:pStyle w:val="Bodytextwithparaspace"/>
        <w:numPr>
          <w:ilvl w:val="1"/>
          <w:numId w:val="11"/>
        </w:numPr>
        <w:ind w:left="709"/>
      </w:pPr>
      <w:r w:rsidRPr="002E0D4C">
        <w:t>Ambiguity in the terms ‘pathological process’ and ‘physiological process’ – for example, whether these include processes such as bleeding which can result from the surgery itself but are not the main reason for the surgery in the first place.</w:t>
      </w:r>
    </w:p>
    <w:p w14:paraId="1340E2C6" w14:textId="6FE789D4" w:rsidR="00CB6B17" w:rsidRPr="00753BC9" w:rsidRDefault="00D74054" w:rsidP="00DC636B">
      <w:pPr>
        <w:pStyle w:val="Bodytextwithparaspace"/>
      </w:pPr>
      <w:r w:rsidRPr="002E0D4C">
        <w:t>Similarly, criteria 4b and 4c are open to interpretation since they do not require an explicit link to implantable devices to be specified, nor the extent to which it aids or continues to be critical to the implantable device.</w:t>
      </w:r>
    </w:p>
    <w:p w14:paraId="3F8C3845" w14:textId="0CF7568F" w:rsidR="00D74054" w:rsidRDefault="000D54CC" w:rsidP="00DC636B">
      <w:pPr>
        <w:pStyle w:val="EYHeading3"/>
      </w:pPr>
      <w:r>
        <w:t>Next steps</w:t>
      </w:r>
    </w:p>
    <w:p w14:paraId="2D415C2F" w14:textId="075CFCBD" w:rsidR="000D54CC" w:rsidRDefault="00D74054" w:rsidP="004C037A">
      <w:pPr>
        <w:pStyle w:val="Bodytextwithparaspace"/>
      </w:pPr>
      <w:r>
        <w:t xml:space="preserve">The recommendations below focus on directly addressing these </w:t>
      </w:r>
      <w:r w:rsidR="00C77E15">
        <w:t>issues</w:t>
      </w:r>
      <w:r>
        <w:t>.</w:t>
      </w:r>
      <w:r w:rsidR="000D54CC">
        <w:t xml:space="preserve"> </w:t>
      </w:r>
    </w:p>
    <w:tbl>
      <w:tblPr>
        <w:tblStyle w:val="TableGrid"/>
        <w:tblW w:w="0" w:type="auto"/>
        <w:tblLook w:val="04A0" w:firstRow="1" w:lastRow="0" w:firstColumn="1" w:lastColumn="0" w:noHBand="0" w:noVBand="1"/>
        <w:tblCaption w:val="Recommendation 1: Remove the 'High' Priority GM items from the PL"/>
        <w:tblDescription w:val="This table describes Recommendation 1:&#10;&#10;Recommendation 1: remove the ‘High’ priority GM items from the PL&#10;The following groups of items should be transitioned away from the PL and instead funded through case based or bundled fee arrangements:&#10;03.02 Drug Delivery Devices;&#10;03.05 Haemostatic Devices;&#10;03.08 Closure Devices, specifically:&#10;03.08.01 Adhesion Barriers;&#10;03.08.02 Internal Adhesives;&#10;03.08.03 Ligating Devices;&#10;03.08.04 Staples &amp; Tackers;&#10;03.08.05 Polypropylene/Polyester Mesh; and&#10;03.08.11 Dynamic Wound Closure Devices."/>
      </w:tblPr>
      <w:tblGrid>
        <w:gridCol w:w="9019"/>
      </w:tblGrid>
      <w:tr w:rsidR="00D74054" w14:paraId="254F8523" w14:textId="77777777" w:rsidTr="00C77FCE">
        <w:trPr>
          <w:tblHeader/>
        </w:trPr>
        <w:tc>
          <w:tcPr>
            <w:tcW w:w="9019" w:type="dxa"/>
            <w:shd w:val="clear" w:color="auto" w:fill="FFE600"/>
          </w:tcPr>
          <w:p w14:paraId="67EC36C2" w14:textId="77777777" w:rsidR="00E04D69" w:rsidRDefault="00E04D69" w:rsidP="00E04D69">
            <w:pPr>
              <w:pStyle w:val="Bodytextwithparaspace"/>
              <w:rPr>
                <w:b/>
              </w:rPr>
            </w:pPr>
            <w:r>
              <w:rPr>
                <w:b/>
              </w:rPr>
              <w:t>Recommendation 1: remove the ‘High’ priority GM items from the PL</w:t>
            </w:r>
          </w:p>
          <w:p w14:paraId="6BFD9388" w14:textId="77777777" w:rsidR="00E04D69" w:rsidRDefault="00E04D69" w:rsidP="00E04D69">
            <w:pPr>
              <w:pStyle w:val="Bodytextwithparaspace"/>
            </w:pPr>
            <w:r>
              <w:t>The following groups of items should be transitioned away from the PL and instead funded through case based or bundled fee arrangements:</w:t>
            </w:r>
          </w:p>
          <w:p w14:paraId="7A11A730" w14:textId="77777777" w:rsidR="00E04D69" w:rsidRPr="00781162" w:rsidRDefault="00E04D69" w:rsidP="00E04D69">
            <w:pPr>
              <w:pStyle w:val="BulletedText1"/>
            </w:pPr>
            <w:r w:rsidRPr="00781162">
              <w:t>03.02 Drug Delivery Devices</w:t>
            </w:r>
            <w:r>
              <w:t>;</w:t>
            </w:r>
          </w:p>
          <w:p w14:paraId="1247D41A" w14:textId="77777777" w:rsidR="00E04D69" w:rsidRPr="00781162" w:rsidRDefault="00E04D69" w:rsidP="00E04D69">
            <w:pPr>
              <w:pStyle w:val="BulletedText1"/>
            </w:pPr>
            <w:r w:rsidRPr="00781162">
              <w:t>03.05 Haemostatic Devices</w:t>
            </w:r>
            <w:r>
              <w:t>;</w:t>
            </w:r>
          </w:p>
          <w:p w14:paraId="68A0A011" w14:textId="77777777" w:rsidR="00E04D69" w:rsidRPr="00781162" w:rsidRDefault="00E04D69" w:rsidP="00E04D69">
            <w:pPr>
              <w:pStyle w:val="BulletedText1"/>
            </w:pPr>
            <w:r w:rsidRPr="00781162">
              <w:t xml:space="preserve">03.08 Closure Devices, </w:t>
            </w:r>
            <w:r w:rsidRPr="00DD1D88">
              <w:t>specifically</w:t>
            </w:r>
            <w:r w:rsidRPr="00781162">
              <w:t>:</w:t>
            </w:r>
          </w:p>
          <w:p w14:paraId="752995F9" w14:textId="77777777" w:rsidR="00E04D69" w:rsidRPr="00781162" w:rsidRDefault="00E04D69" w:rsidP="00E04D69">
            <w:pPr>
              <w:pStyle w:val="BulletedText3"/>
            </w:pPr>
            <w:r w:rsidRPr="00781162">
              <w:t>03.08.01 Adhesion Barriers</w:t>
            </w:r>
            <w:r>
              <w:t>;</w:t>
            </w:r>
          </w:p>
          <w:p w14:paraId="576B5D94" w14:textId="77777777" w:rsidR="00E04D69" w:rsidRPr="00781162" w:rsidRDefault="00E04D69" w:rsidP="00E04D69">
            <w:pPr>
              <w:pStyle w:val="BulletedText3"/>
            </w:pPr>
            <w:r w:rsidRPr="00781162">
              <w:t>03.08.02 Internal Adhesives</w:t>
            </w:r>
            <w:r>
              <w:t>;</w:t>
            </w:r>
          </w:p>
          <w:p w14:paraId="4CF1D4CD" w14:textId="77777777" w:rsidR="00E04D69" w:rsidRPr="00781162" w:rsidRDefault="00E04D69" w:rsidP="00E04D69">
            <w:pPr>
              <w:pStyle w:val="BulletedText3"/>
            </w:pPr>
            <w:r w:rsidRPr="00781162">
              <w:t>03.08.03 Ligating Devices</w:t>
            </w:r>
            <w:r>
              <w:t>;</w:t>
            </w:r>
          </w:p>
          <w:p w14:paraId="747D94BC" w14:textId="77777777" w:rsidR="00E04D69" w:rsidRPr="00781162" w:rsidRDefault="00E04D69" w:rsidP="00E04D69">
            <w:pPr>
              <w:pStyle w:val="BulletedText3"/>
            </w:pPr>
            <w:r w:rsidRPr="00781162">
              <w:t>03.08.04 Staples &amp; Tacker</w:t>
            </w:r>
            <w:r>
              <w:t>s;</w:t>
            </w:r>
          </w:p>
          <w:p w14:paraId="10BFEF74" w14:textId="77777777" w:rsidR="00E04D69" w:rsidRPr="00781162" w:rsidRDefault="00E04D69" w:rsidP="00E04D69">
            <w:pPr>
              <w:pStyle w:val="BulletedText3"/>
            </w:pPr>
            <w:r w:rsidRPr="00781162">
              <w:t>03.08.05 Polypropylene/Polyester Mesh</w:t>
            </w:r>
            <w:r>
              <w:t>; and</w:t>
            </w:r>
          </w:p>
          <w:p w14:paraId="711DF511" w14:textId="2E51F20F" w:rsidR="00D74054" w:rsidRPr="002E0D4C" w:rsidRDefault="00E04D69" w:rsidP="00E04D69">
            <w:pPr>
              <w:pStyle w:val="BulletedText3"/>
            </w:pPr>
            <w:r w:rsidRPr="00781162">
              <w:t>03.08.11 Dynamic Wound Closure Devices</w:t>
            </w:r>
            <w:r>
              <w:t>.</w:t>
            </w:r>
          </w:p>
        </w:tc>
      </w:tr>
    </w:tbl>
    <w:p w14:paraId="63C6D5B5" w14:textId="00077DAF" w:rsidR="005B543B" w:rsidRDefault="005B543B" w:rsidP="000C7ECB">
      <w:pPr>
        <w:pStyle w:val="Bodytextwithparaspace"/>
        <w:spacing w:before="240"/>
      </w:pPr>
      <w:r>
        <w:t xml:space="preserve">There is no suggestion that any of these items do not serve a clinical purpose in </w:t>
      </w:r>
      <w:r w:rsidR="00144014">
        <w:t>sup</w:t>
      </w:r>
      <w:r w:rsidR="00726925">
        <w:t>p</w:t>
      </w:r>
      <w:r w:rsidR="00144014">
        <w:t>orting</w:t>
      </w:r>
      <w:r>
        <w:t xml:space="preserve"> </w:t>
      </w:r>
      <w:r w:rsidR="00726925">
        <w:t>improved</w:t>
      </w:r>
      <w:r>
        <w:t xml:space="preserve"> patient </w:t>
      </w:r>
      <w:r w:rsidR="00726925">
        <w:t xml:space="preserve">health </w:t>
      </w:r>
      <w:r w:rsidRPr="00707467">
        <w:t>outcomes.</w:t>
      </w:r>
      <w:r>
        <w:t xml:space="preserve"> As such, the transition considerations discussed below should be given due attention in order to avoid unintended consequences.</w:t>
      </w:r>
    </w:p>
    <w:p w14:paraId="4374D302" w14:textId="312D4739" w:rsidR="001B5E4F" w:rsidRDefault="001B5E4F" w:rsidP="000C7ECB">
      <w:pPr>
        <w:pStyle w:val="Bodytextwithparaspace"/>
        <w:spacing w:before="240"/>
      </w:pPr>
      <w:r>
        <w:t xml:space="preserve">The main alternative to funding these items through the PL would be for them to be included within </w:t>
      </w:r>
      <w:r w:rsidR="00801C91">
        <w:t>case based or bundled payments, such as</w:t>
      </w:r>
      <w:r w:rsidR="00591EAB">
        <w:t xml:space="preserve"> </w:t>
      </w:r>
      <w:r w:rsidR="00801C91">
        <w:t>DRG based payments or banded theatre fees relating to the nature of the procedure being performed under the National Procedure Banding schedule</w:t>
      </w:r>
      <w:r>
        <w:t xml:space="preserve">. The precise mechanism by which insurers </w:t>
      </w:r>
      <w:r w:rsidR="00801C91">
        <w:t xml:space="preserve">reimburse </w:t>
      </w:r>
      <w:r>
        <w:t xml:space="preserve">these fees would depend on the arrangements between insurers and hospitals. Clearly, the specifications and associated prices relating to the </w:t>
      </w:r>
      <w:r w:rsidR="00801C91">
        <w:t>case based or bundled fees</w:t>
      </w:r>
      <w:r>
        <w:t xml:space="preserve"> would need to be reviewed and updated to reflect their increased scope.</w:t>
      </w:r>
    </w:p>
    <w:p w14:paraId="51EB3C73" w14:textId="143E5EEB" w:rsidR="001B5E4F" w:rsidRDefault="001B5E4F" w:rsidP="001B5E4F">
      <w:pPr>
        <w:pStyle w:val="Bodytextwithparaspace"/>
      </w:pPr>
      <w:r>
        <w:t xml:space="preserve">Theatre fees are intended to </w:t>
      </w:r>
      <w:r w:rsidR="00801C91">
        <w:t>include</w:t>
      </w:r>
      <w:r w:rsidR="00801C91" w:rsidRPr="00E30473">
        <w:t xml:space="preserve"> </w:t>
      </w:r>
      <w:r>
        <w:t>consumables</w:t>
      </w:r>
      <w:r w:rsidR="00801C91">
        <w:t xml:space="preserve"> and</w:t>
      </w:r>
      <w:r>
        <w:t xml:space="preserve"> disposable instruments. Including these items within such a group of costs and setting an overall single price for the group of costs that is related to the overall procedure is conceptually similar to Activity-based Funding (ABF) for public hospital services, except that it is at the scale of the operation.</w:t>
      </w:r>
    </w:p>
    <w:p w14:paraId="28000825" w14:textId="0A321E4F" w:rsidR="001B5E4F" w:rsidRDefault="00D74054" w:rsidP="00D74054">
      <w:pPr>
        <w:pStyle w:val="Bodytextwithparaspace"/>
      </w:pPr>
      <w:r>
        <w:t>The efficiency benefits that ABF enables</w:t>
      </w:r>
      <w:r w:rsidR="00AB20F8">
        <w:t xml:space="preserve"> in the public hospital setting</w:t>
      </w:r>
      <w:r>
        <w:t xml:space="preserve"> are well documented and arise because of the resulting cost-risk sharing between the hospitals, clinicians and funders. The Independent Hospital Pricing Authority (IHPA) has found that ABF “provides a powerful incentive for hospitals to perform as efficiently as possible”</w:t>
      </w:r>
      <w:r>
        <w:rPr>
          <w:rStyle w:val="FootnoteReference"/>
        </w:rPr>
        <w:footnoteReference w:id="4"/>
      </w:r>
      <w:r>
        <w:t xml:space="preserve"> and has been successfully driving improved efficiency by transitioning towards ABF for public hospitals. This was based on earlier findings of the National Health and Hospitals Reform Commission (NHHRC) relating to both public and private hospitals, which recommended “the use of ‘activity-based funding’ for both public and private hospitals using case</w:t>
      </w:r>
      <w:r w:rsidR="002E5B8A">
        <w:t xml:space="preserve"> </w:t>
      </w:r>
      <w:r>
        <w:t>mix classifications”.</w:t>
      </w:r>
      <w:r>
        <w:rPr>
          <w:rStyle w:val="FootnoteReference"/>
        </w:rPr>
        <w:footnoteReference w:id="5"/>
      </w:r>
    </w:p>
    <w:p w14:paraId="24453BC0" w14:textId="3112116D" w:rsidR="001B5E4F" w:rsidRDefault="00AB20F8" w:rsidP="001B5E4F">
      <w:pPr>
        <w:pStyle w:val="Bodytextwithparaspace"/>
      </w:pPr>
      <w:r>
        <w:t xml:space="preserve">In the private hospital setting, there are similar case mix funding arrangements between hospitals and insurers. </w:t>
      </w:r>
      <w:r w:rsidR="001B5E4F">
        <w:t xml:space="preserve">However, it is important to acknowledge that, in </w:t>
      </w:r>
      <w:r>
        <w:t>this</w:t>
      </w:r>
      <w:r w:rsidR="001B5E4F">
        <w:t xml:space="preserve"> setting, the cost-risk sharing dynamics </w:t>
      </w:r>
      <w:r>
        <w:t>are</w:t>
      </w:r>
      <w:r w:rsidR="001B5E4F">
        <w:t xml:space="preserve"> less immediate because the hospitals have limited control over clinicians’ choices in the operating theatre, and hospitals and clinicians do not have the same financial incentives driven by a shared profit bottom line. For efficiency benefits to be realised, hospitals would need to engage</w:t>
      </w:r>
      <w:r w:rsidR="009134B2">
        <w:t xml:space="preserve"> proactively</w:t>
      </w:r>
      <w:r w:rsidR="001B5E4F">
        <w:t xml:space="preserve"> with their clinicians regarding procurement and usage of the items.</w:t>
      </w:r>
    </w:p>
    <w:p w14:paraId="69F027F9" w14:textId="0CDDFE49" w:rsidR="00D74054" w:rsidRDefault="00ED5554" w:rsidP="00D74054">
      <w:pPr>
        <w:pStyle w:val="Bodytextwithparaspace"/>
      </w:pPr>
      <w:r>
        <w:t>In addition to</w:t>
      </w:r>
      <w:r w:rsidR="006348E9">
        <w:t xml:space="preserve"> incentivising efficiency, t</w:t>
      </w:r>
      <w:r>
        <w:t>hese</w:t>
      </w:r>
      <w:r w:rsidR="00726925">
        <w:t xml:space="preserve"> cost-</w:t>
      </w:r>
      <w:r w:rsidR="00D74054">
        <w:t>risk</w:t>
      </w:r>
      <w:r w:rsidR="00726925">
        <w:t xml:space="preserve"> </w:t>
      </w:r>
      <w:r w:rsidR="00D74054">
        <w:t>sharing</w:t>
      </w:r>
      <w:r w:rsidR="003E10AB">
        <w:t xml:space="preserve"> arrangements</w:t>
      </w:r>
      <w:r w:rsidR="00D74054">
        <w:t xml:space="preserve"> </w:t>
      </w:r>
      <w:r w:rsidR="00FC7BC7">
        <w:t xml:space="preserve">can </w:t>
      </w:r>
      <w:r w:rsidR="006348E9">
        <w:t>also</w:t>
      </w:r>
      <w:r w:rsidR="00FC7BC7">
        <w:t xml:space="preserve"> mean a</w:t>
      </w:r>
      <w:r w:rsidR="006348E9">
        <w:t xml:space="preserve"> </w:t>
      </w:r>
      <w:r w:rsidR="00D74054">
        <w:t xml:space="preserve">reduced administrative burden </w:t>
      </w:r>
      <w:r w:rsidR="00E80C40">
        <w:t>f</w:t>
      </w:r>
      <w:r w:rsidR="00B32531">
        <w:t>o</w:t>
      </w:r>
      <w:r w:rsidR="00E80C40">
        <w:t>r</w:t>
      </w:r>
      <w:r w:rsidR="00B32531">
        <w:t xml:space="preserve"> hospitals</w:t>
      </w:r>
      <w:r w:rsidR="00E80C40">
        <w:t xml:space="preserve"> as</w:t>
      </w:r>
      <w:r w:rsidR="00A617BD">
        <w:t xml:space="preserve"> it enables the </w:t>
      </w:r>
      <w:r w:rsidR="00D74054">
        <w:t>review</w:t>
      </w:r>
      <w:r w:rsidR="00B71343">
        <w:t xml:space="preserve"> of</w:t>
      </w:r>
      <w:r w:rsidR="00D74054">
        <w:t xml:space="preserve"> </w:t>
      </w:r>
      <w:r w:rsidR="00DF0758">
        <w:t xml:space="preserve">a group of </w:t>
      </w:r>
      <w:r w:rsidR="00D74054">
        <w:t xml:space="preserve">fees in aggregate rather than needing to reassess </w:t>
      </w:r>
      <w:r w:rsidR="005F6BF5">
        <w:t xml:space="preserve">regularly </w:t>
      </w:r>
      <w:r w:rsidR="00D74054">
        <w:t>the individual price points for all of the constituent costs.</w:t>
      </w:r>
    </w:p>
    <w:p w14:paraId="06BDFE8C" w14:textId="37CC0E13" w:rsidR="00D74054" w:rsidRDefault="000D54CC" w:rsidP="00D74054">
      <w:pPr>
        <w:pStyle w:val="Bodytextwithparaspace"/>
      </w:pPr>
      <w:r>
        <w:t>Since m</w:t>
      </w:r>
      <w:r w:rsidR="00D74054">
        <w:t xml:space="preserve">ost, if not all, of the items in this review can be considered disposable and/or consumable, it would be more consistent for these items to be included in </w:t>
      </w:r>
      <w:r w:rsidR="00801C91">
        <w:t xml:space="preserve">case based or bundled payments </w:t>
      </w:r>
      <w:r w:rsidR="00D74054">
        <w:t>with other disposable and consumable items.</w:t>
      </w:r>
    </w:p>
    <w:p w14:paraId="58215E6C" w14:textId="753F7815" w:rsidR="00B32531" w:rsidRDefault="00F73EAB" w:rsidP="00B32531">
      <w:pPr>
        <w:pStyle w:val="Bodytextwithparaspace"/>
      </w:pPr>
      <w:r>
        <w:t>T</w:t>
      </w:r>
      <w:r w:rsidR="00AB20F8">
        <w:t>his approach would</w:t>
      </w:r>
      <w:r>
        <w:t xml:space="preserve"> also</w:t>
      </w:r>
      <w:r w:rsidR="00AB20F8">
        <w:t xml:space="preserve"> be consistent with the </w:t>
      </w:r>
      <w:r w:rsidR="00B96DC3">
        <w:t>way</w:t>
      </w:r>
      <w:r w:rsidR="00AB20F8">
        <w:t xml:space="preserve"> </w:t>
      </w:r>
      <w:r w:rsidR="00B32531">
        <w:t>other private funders such as Workers Compensation schemes, Compulsory Third Party insurers and the Department of Veteran Affairs</w:t>
      </w:r>
      <w:r w:rsidR="00AB20F8">
        <w:t xml:space="preserve"> </w:t>
      </w:r>
      <w:r w:rsidR="00F836C1">
        <w:t xml:space="preserve">treat </w:t>
      </w:r>
      <w:r w:rsidR="00AB20F8">
        <w:t>consumable and disposable items</w:t>
      </w:r>
      <w:r w:rsidR="00F836C1">
        <w:t xml:space="preserve"> which</w:t>
      </w:r>
      <w:r w:rsidR="00AB20F8">
        <w:t xml:space="preserve"> are typically included</w:t>
      </w:r>
      <w:r w:rsidR="00B32531">
        <w:t xml:space="preserve"> within </w:t>
      </w:r>
      <w:r w:rsidR="002B3FCB">
        <w:t xml:space="preserve">case based payments or bundled </w:t>
      </w:r>
      <w:r w:rsidR="00B32531">
        <w:t xml:space="preserve">theatre fees, </w:t>
      </w:r>
      <w:r w:rsidR="00AB20F8">
        <w:t>with additional fees for high cost items only in exceptional circumstances.</w:t>
      </w:r>
      <w:r w:rsidR="00AB20F8">
        <w:rPr>
          <w:rStyle w:val="FootnoteReference"/>
        </w:rPr>
        <w:footnoteReference w:id="6"/>
      </w:r>
    </w:p>
    <w:p w14:paraId="07856C17" w14:textId="63EB647F" w:rsidR="00D74054" w:rsidRDefault="00B32531" w:rsidP="00753BC9">
      <w:pPr>
        <w:pStyle w:val="Bodytextwithparaspace"/>
      </w:pPr>
      <w:r>
        <w:t xml:space="preserve">For the lower cost items where a range of alternative products might be able to perform similar clinical roles, the change in funding mechanism should not impact the volume and range of items stocked by hospitals and should therefore have limited impact on clinicians’ choices. </w:t>
      </w:r>
      <w:r w:rsidR="000D54CC">
        <w:t>As some</w:t>
      </w:r>
      <w:r w:rsidR="00D74054">
        <w:t xml:space="preserve"> of these items have been previously funded in this way</w:t>
      </w:r>
      <w:r w:rsidR="000D54CC">
        <w:t xml:space="preserve">, </w:t>
      </w:r>
      <w:r w:rsidR="00D74054">
        <w:t>i</w:t>
      </w:r>
      <w:r w:rsidR="000D54CC">
        <w:t>t i</w:t>
      </w:r>
      <w:r w:rsidR="00D74054">
        <w:t>s</w:t>
      </w:r>
      <w:r w:rsidR="000D54CC">
        <w:t xml:space="preserve"> clearly</w:t>
      </w:r>
      <w:r w:rsidR="00D74054">
        <w:t xml:space="preserve"> a feasible option.</w:t>
      </w:r>
    </w:p>
    <w:tbl>
      <w:tblPr>
        <w:tblStyle w:val="TableGrid"/>
        <w:tblW w:w="0" w:type="auto"/>
        <w:tblLook w:val="04A0" w:firstRow="1" w:lastRow="0" w:firstColumn="1" w:lastColumn="0" w:noHBand="0" w:noVBand="1"/>
        <w:tblCaption w:val="Recommendation 2: tighten listing criteria"/>
        <w:tblDescription w:val="This table describes Recommendation 2.&#10;&#10;Recommendation 2: tighten listing criteria&#10;Amend the listing criteria in the Prostheses List Guidelines to include an overall intention for the PL and to remove any ambiguities.&#10;"/>
      </w:tblPr>
      <w:tblGrid>
        <w:gridCol w:w="9019"/>
      </w:tblGrid>
      <w:tr w:rsidR="00D74054" w14:paraId="77C8B313" w14:textId="77777777" w:rsidTr="00C77FCE">
        <w:trPr>
          <w:tblHeader/>
        </w:trPr>
        <w:tc>
          <w:tcPr>
            <w:tcW w:w="9019" w:type="dxa"/>
            <w:shd w:val="clear" w:color="auto" w:fill="FFE600"/>
          </w:tcPr>
          <w:p w14:paraId="24905BB0" w14:textId="77777777" w:rsidR="00D74054" w:rsidRDefault="00D74054" w:rsidP="006B5605">
            <w:pPr>
              <w:pStyle w:val="Bodytextwithparaspace"/>
              <w:rPr>
                <w:b/>
              </w:rPr>
            </w:pPr>
            <w:r>
              <w:rPr>
                <w:b/>
              </w:rPr>
              <w:t>Recommendation 2: tighten listing criteria</w:t>
            </w:r>
          </w:p>
          <w:p w14:paraId="511A44A8" w14:textId="77777777" w:rsidR="00D74054" w:rsidRPr="00226B44" w:rsidRDefault="00D74054" w:rsidP="006B5605">
            <w:pPr>
              <w:pStyle w:val="Bodytextwithparaspace"/>
            </w:pPr>
            <w:r>
              <w:t>Amend the listing criteria in the Prostheses List Guidelines to include an overall intention for the PL and to remove any ambiguities.</w:t>
            </w:r>
          </w:p>
        </w:tc>
      </w:tr>
    </w:tbl>
    <w:p w14:paraId="2EFE3D93" w14:textId="587B360D" w:rsidR="00F0317C" w:rsidRDefault="00D74054" w:rsidP="00D74054">
      <w:pPr>
        <w:pStyle w:val="Bodytextwithparaspace"/>
        <w:spacing w:before="240"/>
      </w:pPr>
      <w:r w:rsidRPr="002E0D4C">
        <w:t>As well as being the means to achieve Recommendation 1, this will limit the potential for future ‘creep’ in the nature of the items included on the PL. By including an overall intention for the PL, it will be more apparent when items on the PL are inconsistent with this intention.</w:t>
      </w:r>
      <w:r w:rsidR="00F0317C">
        <w:t xml:space="preserve"> This should describe how the PL is intended to enable patients to have access to safe, clinically effective and cost effective prosthetic items through guaranteeing appropriate funding levels towards those prosthetic items that are critical and specific to meeting certain patients’ needs – with these latter circumstances expanded on depending on the Department’s views.</w:t>
      </w:r>
    </w:p>
    <w:p w14:paraId="698ADC22" w14:textId="65975E85" w:rsidR="00D74054" w:rsidRDefault="00D74054" w:rsidP="00D74054">
      <w:pPr>
        <w:pStyle w:val="Bodytextwithparaspace"/>
        <w:spacing w:before="240"/>
      </w:pPr>
      <w:r w:rsidRPr="002E0D4C">
        <w:t xml:space="preserve">In addition, </w:t>
      </w:r>
      <w:r w:rsidR="00D01493">
        <w:t>including</w:t>
      </w:r>
      <w:r w:rsidR="00D01493" w:rsidRPr="002E0D4C">
        <w:t xml:space="preserve"> </w:t>
      </w:r>
      <w:r w:rsidR="00D01493">
        <w:t>further</w:t>
      </w:r>
      <w:r w:rsidRPr="002E0D4C">
        <w:t xml:space="preserve"> details and definitions to clarify the specific ambiguity issues described </w:t>
      </w:r>
      <w:r w:rsidR="00746872">
        <w:t xml:space="preserve">above </w:t>
      </w:r>
      <w:r w:rsidRPr="002E0D4C">
        <w:t xml:space="preserve">will enable a more objective assessment of an item’s eligibility (or otherwise) for inclusion. </w:t>
      </w:r>
    </w:p>
    <w:tbl>
      <w:tblPr>
        <w:tblStyle w:val="TableGrid"/>
        <w:tblW w:w="0" w:type="auto"/>
        <w:tblLook w:val="04A0" w:firstRow="1" w:lastRow="0" w:firstColumn="1" w:lastColumn="0" w:noHBand="0" w:noVBand="1"/>
        <w:tblCaption w:val="Recommendation 3: improve listing process"/>
        <w:tblDescription w:val="This table describes recommendation 3.&#10;&#10;Recommendation 3: improve listing processes&#10;Improve robustness of listing processes, including: assessments for inclusion; assessments for reclassification; monitoring of appropriateness of usage; and regular assessments of clinical value.&#10;"/>
      </w:tblPr>
      <w:tblGrid>
        <w:gridCol w:w="9019"/>
      </w:tblGrid>
      <w:tr w:rsidR="00D74054" w14:paraId="0CF9ED2A" w14:textId="77777777" w:rsidTr="00C77FCE">
        <w:trPr>
          <w:tblHeader/>
        </w:trPr>
        <w:tc>
          <w:tcPr>
            <w:tcW w:w="9019" w:type="dxa"/>
            <w:shd w:val="clear" w:color="auto" w:fill="FFE600"/>
          </w:tcPr>
          <w:p w14:paraId="0F2BE47D" w14:textId="77777777" w:rsidR="00D74054" w:rsidRDefault="00D74054" w:rsidP="006B5605">
            <w:pPr>
              <w:pStyle w:val="Bodytextwithparaspace"/>
              <w:rPr>
                <w:b/>
              </w:rPr>
            </w:pPr>
            <w:r>
              <w:rPr>
                <w:b/>
              </w:rPr>
              <w:t>Recommendation 3: improve listing processes</w:t>
            </w:r>
          </w:p>
          <w:p w14:paraId="21E9449D" w14:textId="09D5695E" w:rsidR="00D74054" w:rsidRPr="002E0D4C" w:rsidRDefault="00D74054" w:rsidP="006B5605">
            <w:pPr>
              <w:pStyle w:val="Bodytextwithparaspace"/>
            </w:pPr>
            <w:r>
              <w:t>Improve robustness of listing processes, including</w:t>
            </w:r>
            <w:r w:rsidR="00741906">
              <w:t>:</w:t>
            </w:r>
            <w:r>
              <w:t xml:space="preserve"> assessments for inclusion; assessments for reclassification; monitoring of appropriateness of usage; and regular assessments of clinical value.</w:t>
            </w:r>
          </w:p>
        </w:tc>
      </w:tr>
    </w:tbl>
    <w:p w14:paraId="6B0C2B96" w14:textId="77777777" w:rsidR="00D74054" w:rsidRDefault="00D74054" w:rsidP="00D74054">
      <w:pPr>
        <w:pStyle w:val="Bodytextwithparaspace"/>
        <w:spacing w:before="240" w:after="0"/>
      </w:pPr>
      <w:r>
        <w:t>Ideally the assessment processes for inclusion and reclassification on the list would include a comprehensive assessment that considers:</w:t>
      </w:r>
    </w:p>
    <w:p w14:paraId="4CF116B2" w14:textId="05EF6BC7" w:rsidR="00D74054" w:rsidRPr="0091590E" w:rsidRDefault="004846C2" w:rsidP="008E4696">
      <w:pPr>
        <w:pStyle w:val="Bodytextwithparaspace"/>
        <w:numPr>
          <w:ilvl w:val="1"/>
          <w:numId w:val="11"/>
        </w:numPr>
        <w:spacing w:before="240"/>
        <w:ind w:left="709"/>
      </w:pPr>
      <w:r>
        <w:t>W</w:t>
      </w:r>
      <w:r w:rsidR="00D74054" w:rsidRPr="0091590E">
        <w:t>hether it meets the (more objective) listing criteria;</w:t>
      </w:r>
    </w:p>
    <w:p w14:paraId="4B5970EA" w14:textId="0832584E" w:rsidR="00FE507F" w:rsidRDefault="004846C2" w:rsidP="008E4696">
      <w:pPr>
        <w:pStyle w:val="Bodytextwithparaspace"/>
        <w:numPr>
          <w:ilvl w:val="1"/>
          <w:numId w:val="11"/>
        </w:numPr>
        <w:ind w:left="709"/>
      </w:pPr>
      <w:r>
        <w:t>T</w:t>
      </w:r>
      <w:r w:rsidR="00FE507F">
        <w:t>ransparent tendering processes – i.e. opening up the process so that other manufacturers can simultaneously propose benefit amounts for their own similar products;</w:t>
      </w:r>
    </w:p>
    <w:p w14:paraId="58009895" w14:textId="534A76F8" w:rsidR="00D74054" w:rsidRPr="009764C6" w:rsidRDefault="004846C2" w:rsidP="008E4696">
      <w:pPr>
        <w:pStyle w:val="Bodytextwithparaspace"/>
        <w:numPr>
          <w:ilvl w:val="1"/>
          <w:numId w:val="11"/>
        </w:numPr>
        <w:ind w:left="709"/>
      </w:pPr>
      <w:r>
        <w:t>T</w:t>
      </w:r>
      <w:r w:rsidR="00D74054" w:rsidRPr="0091590E">
        <w:t>he clinical value of the product relative to its proposed benefit amount and the benefit amounts of similar products (i</w:t>
      </w:r>
      <w:r w:rsidR="00D74054" w:rsidRPr="009764C6">
        <w:t>ncluding</w:t>
      </w:r>
      <w:r w:rsidR="00FE507F">
        <w:t xml:space="preserve"> other products included in the tendering process as noted above, and also other</w:t>
      </w:r>
      <w:r w:rsidR="00D74054" w:rsidRPr="009764C6">
        <w:t xml:space="preserve"> products that are on the PL and not on the PL); and</w:t>
      </w:r>
    </w:p>
    <w:p w14:paraId="29EA77E1" w14:textId="50D585D5" w:rsidR="00D74054" w:rsidRPr="009764C6" w:rsidRDefault="004846C2" w:rsidP="008E4696">
      <w:pPr>
        <w:pStyle w:val="Bodytextwithparaspace"/>
        <w:numPr>
          <w:ilvl w:val="1"/>
          <w:numId w:val="11"/>
        </w:numPr>
        <w:ind w:left="709"/>
      </w:pPr>
      <w:r>
        <w:t>W</w:t>
      </w:r>
      <w:r w:rsidR="00D74054" w:rsidRPr="009764C6">
        <w:t>hether more efficient funding mechanisms might exist.</w:t>
      </w:r>
    </w:p>
    <w:p w14:paraId="2305ADDC" w14:textId="77777777" w:rsidR="00D74054" w:rsidRPr="002E0D4C" w:rsidRDefault="00D74054" w:rsidP="00D74054">
      <w:pPr>
        <w:pStyle w:val="Bodytextwithparaspace"/>
      </w:pPr>
      <w:r w:rsidRPr="002E0D4C">
        <w:t>Ideally these assessments would be performed by an independent panel comprising members with a range of clinical and health economics backgrounds.</w:t>
      </w:r>
    </w:p>
    <w:p w14:paraId="2BEB9076" w14:textId="7B12102B" w:rsidR="00D74054" w:rsidRPr="002E0D4C" w:rsidRDefault="0055505D" w:rsidP="00D74054">
      <w:pPr>
        <w:pStyle w:val="Bodytextwithparaspace"/>
      </w:pPr>
      <w:r>
        <w:t>R</w:t>
      </w:r>
      <w:r w:rsidR="00D74054" w:rsidRPr="002E0D4C">
        <w:t>egular and formal monitoring of usage and compliance with the criteria should</w:t>
      </w:r>
      <w:r>
        <w:t xml:space="preserve"> also</w:t>
      </w:r>
      <w:r w:rsidR="00D74054" w:rsidRPr="002E0D4C">
        <w:t xml:space="preserve"> be performed and reported to the panel.</w:t>
      </w:r>
      <w:r w:rsidR="00D74054">
        <w:t xml:space="preserve"> The panel should also have a framework in place for reviewing and assessing the clinical value of items on the PL.</w:t>
      </w:r>
    </w:p>
    <w:p w14:paraId="0711D9E9" w14:textId="77777777" w:rsidR="00D74054" w:rsidRPr="00187ED8" w:rsidRDefault="00D74054" w:rsidP="00DC636B">
      <w:pPr>
        <w:pStyle w:val="Bodytextwithoutparaspace"/>
        <w:spacing w:after="240"/>
      </w:pPr>
      <w:r w:rsidRPr="00DC636B">
        <w:rPr>
          <w:b/>
        </w:rPr>
        <w:t>Transition considerations</w:t>
      </w:r>
    </w:p>
    <w:p w14:paraId="52E1675B" w14:textId="6532BE85" w:rsidR="00D74054" w:rsidRDefault="00D74054" w:rsidP="00D74054">
      <w:pPr>
        <w:pStyle w:val="Bodytextwithoutparaspace"/>
      </w:pPr>
      <w:r>
        <w:t xml:space="preserve">As noted above, there is no suggestion that any of these items do not serve a clinical purpose in providing for optimal patient </w:t>
      </w:r>
      <w:r w:rsidRPr="00707467">
        <w:t>outcomes</w:t>
      </w:r>
      <w:r w:rsidR="00FE507F">
        <w:t xml:space="preserve">, even though there </w:t>
      </w:r>
      <w:r w:rsidR="003537A8">
        <w:t>are indications</w:t>
      </w:r>
      <w:r w:rsidR="00FE507F">
        <w:t xml:space="preserve"> that </w:t>
      </w:r>
      <w:r w:rsidR="005E49FF">
        <w:t xml:space="preserve">some usage may be beyond what is clinically required. </w:t>
      </w:r>
      <w:r>
        <w:t>As such, it would be an adverse outcome if removal from the PL led to a</w:t>
      </w:r>
      <w:r w:rsidR="005E49FF">
        <w:t>n increased cost burden for clinically essential items and/or a</w:t>
      </w:r>
      <w:r>
        <w:t xml:space="preserve"> reduction in usage to the extent that clinical outcomes for patients were compromised.</w:t>
      </w:r>
    </w:p>
    <w:p w14:paraId="2C46F23D" w14:textId="77777777" w:rsidR="00D74054" w:rsidRDefault="00D74054" w:rsidP="00D74054">
      <w:pPr>
        <w:pStyle w:val="Bodytextwithparaspace"/>
        <w:spacing w:before="240"/>
      </w:pPr>
      <w:r>
        <w:t>A range of implementation issues should be considered in order to avoid unintended consequences from the removal of any items.</w:t>
      </w:r>
    </w:p>
    <w:p w14:paraId="38C7E261" w14:textId="2A44CB4A" w:rsidR="00D74054" w:rsidRDefault="00D74054" w:rsidP="00D74054">
      <w:pPr>
        <w:pStyle w:val="Bodytextwithparaspace"/>
      </w:pPr>
      <w:r>
        <w:t xml:space="preserve">Most importantly, the processes and contractual mechanisms for including these items within </w:t>
      </w:r>
      <w:r w:rsidR="00801C91">
        <w:t>case based or bundled payments</w:t>
      </w:r>
      <w:r>
        <w:t xml:space="preserve"> will need to be developed and tested so that there are no short-term adverse impacts on clinical outcomes and the cost of services.</w:t>
      </w:r>
      <w:r w:rsidR="00AB20F8">
        <w:t xml:space="preserve"> </w:t>
      </w:r>
      <w:r w:rsidR="00984F18">
        <w:t>In particular</w:t>
      </w:r>
      <w:r w:rsidR="00AB20F8">
        <w:t xml:space="preserve">, hospitals and clinicians </w:t>
      </w:r>
      <w:r w:rsidR="00984F18">
        <w:t xml:space="preserve">will need </w:t>
      </w:r>
      <w:r w:rsidR="00AB20F8">
        <w:t xml:space="preserve">to </w:t>
      </w:r>
      <w:r w:rsidR="00984F18">
        <w:t xml:space="preserve">properly </w:t>
      </w:r>
      <w:r w:rsidR="00AB20F8">
        <w:t xml:space="preserve">develop, test and implement </w:t>
      </w:r>
      <w:r w:rsidR="00984F18">
        <w:t>procurement and usage monitoring processes and, given the clinical importance and volume of usage of these items, appropriate transition time should be allowed for this.</w:t>
      </w:r>
    </w:p>
    <w:p w14:paraId="64AE3053" w14:textId="39F99DBE" w:rsidR="0077768C" w:rsidRPr="00AF1D4E" w:rsidRDefault="00D74054" w:rsidP="00DC636B">
      <w:pPr>
        <w:pStyle w:val="Bodytextwithparaspace"/>
      </w:pPr>
      <w:r>
        <w:t xml:space="preserve">Other transitional arrangements to consider include </w:t>
      </w:r>
      <w:r w:rsidRPr="005F4673">
        <w:t xml:space="preserve">for existing </w:t>
      </w:r>
      <w:r>
        <w:t xml:space="preserve">contractual </w:t>
      </w:r>
      <w:r w:rsidRPr="005F4673">
        <w:t>arrangements</w:t>
      </w:r>
      <w:r>
        <w:t xml:space="preserve"> and other agreements</w:t>
      </w:r>
      <w:r w:rsidRPr="005F4673">
        <w:t xml:space="preserve"> to expire and for new arrangements to be agreed</w:t>
      </w:r>
      <w:r>
        <w:t>.</w:t>
      </w:r>
    </w:p>
    <w:p w14:paraId="0980CD2D" w14:textId="77777777" w:rsidR="00F36B86" w:rsidRPr="00D759EF" w:rsidRDefault="00687D65" w:rsidP="00AF1D4E">
      <w:pPr>
        <w:pStyle w:val="EYHeading3"/>
      </w:pPr>
      <w:bookmarkStart w:id="13" w:name="_Ref39587916"/>
      <w:r>
        <w:t>Reliances and l</w:t>
      </w:r>
      <w:r w:rsidR="00F36B86" w:rsidRPr="00D759EF">
        <w:t>imitations</w:t>
      </w:r>
      <w:bookmarkEnd w:id="13"/>
    </w:p>
    <w:p w14:paraId="2D4BF5D7" w14:textId="77777777" w:rsidR="00F36B86" w:rsidRPr="00F36B86" w:rsidRDefault="00C95AEB" w:rsidP="00C73219">
      <w:pPr>
        <w:pStyle w:val="Bodytextwithparaspace"/>
      </w:pPr>
      <w:r>
        <w:t>EY</w:t>
      </w:r>
      <w:r w:rsidR="00832E76">
        <w:t xml:space="preserve"> have</w:t>
      </w:r>
      <w:r w:rsidR="00796FBF">
        <w:t xml:space="preserve"> relied on the data provided by the </w:t>
      </w:r>
      <w:r w:rsidR="00796FBF" w:rsidRPr="00484FBA">
        <w:t>Department</w:t>
      </w:r>
      <w:r w:rsidR="00484FBA" w:rsidRPr="00484FBA">
        <w:t xml:space="preserve">, </w:t>
      </w:r>
      <w:r w:rsidR="00293A22">
        <w:t xml:space="preserve">by </w:t>
      </w:r>
      <w:r w:rsidR="00484FBA" w:rsidRPr="00484FBA">
        <w:t>public hospital organisations</w:t>
      </w:r>
      <w:r w:rsidR="00E76E37">
        <w:t xml:space="preserve"> from two Australian jurisdictions</w:t>
      </w:r>
      <w:r w:rsidR="00484FBA" w:rsidRPr="00484FBA">
        <w:t xml:space="preserve">, </w:t>
      </w:r>
      <w:r w:rsidR="009A1BAD" w:rsidRPr="00484FBA">
        <w:t>as well</w:t>
      </w:r>
      <w:r w:rsidR="009A1BAD">
        <w:t xml:space="preserve"> as </w:t>
      </w:r>
      <w:r w:rsidR="009B6E87">
        <w:t xml:space="preserve">stakeholder feedback </w:t>
      </w:r>
      <w:r w:rsidR="009A1BAD">
        <w:t>and</w:t>
      </w:r>
      <w:r w:rsidR="009B6E87">
        <w:t xml:space="preserve"> other</w:t>
      </w:r>
      <w:r w:rsidR="009A1BAD">
        <w:t xml:space="preserve"> publicly available information</w:t>
      </w:r>
      <w:r w:rsidR="00796FBF">
        <w:t xml:space="preserve">. EY has not sought to verify the accuracy of the data, third party reports, or the information and explanations provided by </w:t>
      </w:r>
      <w:r w:rsidR="00E76E37">
        <w:t xml:space="preserve">the </w:t>
      </w:r>
      <w:r w:rsidR="00796FBF">
        <w:t>Department, nor do</w:t>
      </w:r>
      <w:r>
        <w:t>es EY</w:t>
      </w:r>
      <w:r w:rsidR="00796FBF">
        <w:t xml:space="preserve"> </w:t>
      </w:r>
      <w:r w:rsidR="009A1BAD">
        <w:t>make</w:t>
      </w:r>
      <w:r w:rsidR="00796FBF">
        <w:t xml:space="preserve"> any representations as to the reliability or completeness of the information provided. Any data limitations realised in the</w:t>
      </w:r>
      <w:r w:rsidR="00880CBB">
        <w:t xml:space="preserve"> review process have been identified and highlighted in this report.</w:t>
      </w:r>
    </w:p>
    <w:p w14:paraId="5622FF50" w14:textId="77777777" w:rsidR="00BA02C8" w:rsidRPr="00F36B86" w:rsidRDefault="00293A22" w:rsidP="00C73219">
      <w:pPr>
        <w:pStyle w:val="Bodytextwithparaspace"/>
      </w:pPr>
      <w:r>
        <w:t xml:space="preserve">As requested by the Department, </w:t>
      </w:r>
      <w:r w:rsidR="00BA02C8">
        <w:t xml:space="preserve">EY has taken a prioritised approach in </w:t>
      </w:r>
      <w:r w:rsidR="005D7C84">
        <w:t>the</w:t>
      </w:r>
      <w:r w:rsidR="00BA02C8">
        <w:t xml:space="preserve"> review of the items on the list, meaning that not all items in the GM category have been reviewed. </w:t>
      </w:r>
      <w:r w:rsidR="00F17580">
        <w:t>As such, o</w:t>
      </w:r>
      <w:r w:rsidR="00BA02C8">
        <w:t xml:space="preserve">ur analysis and findings </w:t>
      </w:r>
      <w:r w:rsidR="00F82DCB">
        <w:t>have focused on</w:t>
      </w:r>
      <w:r w:rsidR="00BA02C8">
        <w:t xml:space="preserve"> </w:t>
      </w:r>
      <w:r w:rsidR="00F17580">
        <w:t xml:space="preserve">the ‘High’ priority items that </w:t>
      </w:r>
      <w:r>
        <w:t xml:space="preserve">the Department identified </w:t>
      </w:r>
      <w:r w:rsidR="00F17580">
        <w:t>are primarily responsible for usage and changes in usage across the GM category, as well as cases where significant changes in usage or benefit amount</w:t>
      </w:r>
      <w:r w:rsidR="00C95AEB">
        <w:t xml:space="preserve"> have been observed</w:t>
      </w:r>
      <w:r w:rsidR="00F17580">
        <w:t>.</w:t>
      </w:r>
      <w:r w:rsidR="00F82DCB">
        <w:t xml:space="preserve"> </w:t>
      </w:r>
      <w:r w:rsidR="00C95AEB">
        <w:t>The</w:t>
      </w:r>
      <w:r w:rsidR="00F82DCB">
        <w:t xml:space="preserve"> analysis and findings should not be interpreted as reflecting the experience of all items in the GM category. </w:t>
      </w:r>
    </w:p>
    <w:p w14:paraId="370A564D" w14:textId="1804AF2B" w:rsidR="00746872" w:rsidRPr="00A26B3B" w:rsidRDefault="00F85E03" w:rsidP="00746872">
      <w:pPr>
        <w:pStyle w:val="Bodytextwithparaspace"/>
      </w:pPr>
      <w:r>
        <w:t xml:space="preserve">Additionally, </w:t>
      </w:r>
      <w:r w:rsidR="00F5319D">
        <w:t xml:space="preserve">EY </w:t>
      </w:r>
      <w:r w:rsidR="006C1C71">
        <w:t>and the Department were not able to perform the</w:t>
      </w:r>
      <w:r w:rsidR="00FB4C48">
        <w:t xml:space="preserve"> entire</w:t>
      </w:r>
      <w:r w:rsidR="006C1C71">
        <w:t xml:space="preserve"> consultation</w:t>
      </w:r>
      <w:r w:rsidR="00327377">
        <w:t xml:space="preserve"> process with external stakeholders</w:t>
      </w:r>
      <w:r w:rsidR="00FB4C48">
        <w:t xml:space="preserve"> that was initially envisioned.</w:t>
      </w:r>
      <w:r w:rsidR="00BB1531">
        <w:t xml:space="preserve"> </w:t>
      </w:r>
      <w:r w:rsidR="00746872">
        <w:t xml:space="preserve">As such, it is possible that there are specific circumstances that are not immediately apparent in the data that may go some way to explaining some of the observations made in this review. However, given the range of different interests of different stakeholder groups (see, for example, Section </w:t>
      </w:r>
      <w:r w:rsidR="00746872">
        <w:fldChar w:fldCharType="begin"/>
      </w:r>
      <w:r w:rsidR="00746872">
        <w:instrText xml:space="preserve"> REF _Ref41309361 \r \h </w:instrText>
      </w:r>
      <w:r w:rsidR="00746872">
        <w:fldChar w:fldCharType="separate"/>
      </w:r>
      <w:r w:rsidR="00784DE2">
        <w:t>2.4</w:t>
      </w:r>
      <w:r w:rsidR="00746872">
        <w:fldChar w:fldCharType="end"/>
      </w:r>
      <w:r w:rsidR="00746872">
        <w:t xml:space="preserve">) and the strength and breadth of observations made, it is </w:t>
      </w:r>
      <w:r w:rsidR="003537A8">
        <w:t>not clear if</w:t>
      </w:r>
      <w:r w:rsidR="00746872">
        <w:t xml:space="preserve"> there are many objective explanations that materially alter the conclusions.</w:t>
      </w:r>
    </w:p>
    <w:p w14:paraId="5CD8B787" w14:textId="27A53EF7" w:rsidR="00F36B86" w:rsidRPr="00F36B86" w:rsidRDefault="00687D65" w:rsidP="00F36B86">
      <w:pPr>
        <w:pStyle w:val="Bodytextwithparaspace"/>
      </w:pPr>
      <w:r>
        <w:t xml:space="preserve">Additional detail on limitations to </w:t>
      </w:r>
      <w:r w:rsidR="005D7C84">
        <w:t>the</w:t>
      </w:r>
      <w:r>
        <w:t xml:space="preserve"> approach can be found in Section </w:t>
      </w:r>
      <w:r>
        <w:fldChar w:fldCharType="begin"/>
      </w:r>
      <w:r>
        <w:instrText xml:space="preserve"> REF _Ref39649978 \r \h </w:instrText>
      </w:r>
      <w:r>
        <w:fldChar w:fldCharType="separate"/>
      </w:r>
      <w:r w:rsidR="00784DE2">
        <w:t>3.3</w:t>
      </w:r>
      <w:r>
        <w:fldChar w:fldCharType="end"/>
      </w:r>
      <w:r>
        <w:t xml:space="preserve">, with further reliances and limitations described in Section </w:t>
      </w:r>
      <w:r>
        <w:fldChar w:fldCharType="begin"/>
      </w:r>
      <w:r>
        <w:instrText xml:space="preserve"> REF _Ref39650005 \r \h </w:instrText>
      </w:r>
      <w:r>
        <w:fldChar w:fldCharType="separate"/>
      </w:r>
      <w:r w:rsidR="00784DE2">
        <w:t>6.2.2</w:t>
      </w:r>
      <w:r>
        <w:fldChar w:fldCharType="end"/>
      </w:r>
      <w:r>
        <w:t>.</w:t>
      </w:r>
      <w:r w:rsidR="001C5C13">
        <w:t xml:space="preserve"> </w:t>
      </w:r>
      <w:r w:rsidR="00F5319D">
        <w:t xml:space="preserve"> </w:t>
      </w:r>
    </w:p>
    <w:p w14:paraId="01059535" w14:textId="77777777" w:rsidR="0071744E" w:rsidRDefault="0071744E" w:rsidP="0071744E">
      <w:pPr>
        <w:pStyle w:val="EYHeading1"/>
      </w:pPr>
      <w:bookmarkStart w:id="14" w:name="_Toc59015956"/>
      <w:r>
        <w:t>Background and context</w:t>
      </w:r>
      <w:bookmarkEnd w:id="14"/>
    </w:p>
    <w:p w14:paraId="4E39B997" w14:textId="77777777" w:rsidR="00F36B86" w:rsidRPr="004F77FC" w:rsidRDefault="00F24211" w:rsidP="00F36B86">
      <w:pPr>
        <w:pStyle w:val="EYHeading2"/>
      </w:pPr>
      <w:bookmarkStart w:id="15" w:name="_Ref39676567"/>
      <w:bookmarkStart w:id="16" w:name="_Toc59015957"/>
      <w:r>
        <w:t>P</w:t>
      </w:r>
      <w:r w:rsidR="001726BC">
        <w:t xml:space="preserve">rostheses </w:t>
      </w:r>
      <w:r>
        <w:t>L</w:t>
      </w:r>
      <w:r w:rsidR="001726BC">
        <w:t>ist</w:t>
      </w:r>
      <w:r w:rsidR="00F36B86" w:rsidRPr="004F77FC">
        <w:t xml:space="preserve"> </w:t>
      </w:r>
      <w:r w:rsidR="00C73219" w:rsidRPr="004F77FC">
        <w:t>o</w:t>
      </w:r>
      <w:r w:rsidR="00F36B86" w:rsidRPr="004F77FC">
        <w:t>verview</w:t>
      </w:r>
      <w:bookmarkEnd w:id="15"/>
      <w:bookmarkEnd w:id="16"/>
    </w:p>
    <w:p w14:paraId="1791BD8F" w14:textId="053AB46B" w:rsidR="00C0707B" w:rsidRDefault="00C0707B" w:rsidP="00C0707B">
      <w:pPr>
        <w:pStyle w:val="Bodytextwithparaspace"/>
      </w:pPr>
      <w:r w:rsidRPr="004F77FC">
        <w:t>T</w:t>
      </w:r>
      <w:r>
        <w:t xml:space="preserve">he Prostheses List (PL) is a legislated list of prosthetic items and associated benefit amounts. It requires private health insurers to pay for prostheses that are provided to a privately insured person as part of an episode of hospital treatment. </w:t>
      </w:r>
      <w:r w:rsidR="0040409D">
        <w:t xml:space="preserve">In doing so, it guarantees that </w:t>
      </w:r>
      <w:r w:rsidR="00334A1B">
        <w:t xml:space="preserve">private health </w:t>
      </w:r>
      <w:r w:rsidR="0040409D">
        <w:t xml:space="preserve">insurers </w:t>
      </w:r>
      <w:r w:rsidR="00334A1B">
        <w:t xml:space="preserve">(insurers) </w:t>
      </w:r>
      <w:r w:rsidR="0040409D">
        <w:t>will pay hospitals a set amount for every item used, with the intention of ensuring that patients have access to safe, clinically effective and cost effective prosthetic items.</w:t>
      </w:r>
    </w:p>
    <w:p w14:paraId="4D21E4E0" w14:textId="77777777" w:rsidR="00C0707B" w:rsidRDefault="00C0707B" w:rsidP="00C0707B">
      <w:pPr>
        <w:pStyle w:val="Bodytextwithparaspace"/>
      </w:pPr>
      <w:r>
        <w:t>There are around 11,000 items on the PL, representing the diverse nature of prosthetic items available to clinicians. These are separated into 13 ‘categories’, one of which is the ’03 – General Miscellaneous’ (GM) category.</w:t>
      </w:r>
    </w:p>
    <w:p w14:paraId="28563B9F" w14:textId="77777777" w:rsidR="00C0707B" w:rsidRDefault="00C0707B" w:rsidP="00C0707B">
      <w:pPr>
        <w:pStyle w:val="Bodytextwithparaspace"/>
      </w:pPr>
      <w:r>
        <w:t>The GM category includes a wide range of surgical items which can be grouped into two broad types:</w:t>
      </w:r>
    </w:p>
    <w:p w14:paraId="49F1C143" w14:textId="77777777" w:rsidR="00DE56FC" w:rsidRDefault="00DE56FC" w:rsidP="00DE56FC">
      <w:pPr>
        <w:pStyle w:val="Bodytextwithparaspace"/>
        <w:numPr>
          <w:ilvl w:val="0"/>
          <w:numId w:val="10"/>
        </w:numPr>
      </w:pPr>
      <w:r>
        <w:t>Prosthetic items that are designed for a specific purpose which is central to certain types of surgical procedure, but that do not fit neatly into the other 12 categories of the PL. Brachytherapy and gastric band devices are examples of these ‘</w:t>
      </w:r>
      <w:r w:rsidRPr="00B35FE4">
        <w:rPr>
          <w:b/>
        </w:rPr>
        <w:t>m</w:t>
      </w:r>
      <w:r>
        <w:rPr>
          <w:b/>
        </w:rPr>
        <w:t>iscellaneous</w:t>
      </w:r>
      <w:r>
        <w:t xml:space="preserve">’ items. </w:t>
      </w:r>
    </w:p>
    <w:p w14:paraId="3E0CEF4E" w14:textId="6272B1AA" w:rsidR="00C0707B" w:rsidRDefault="00DE56FC" w:rsidP="00DE56FC">
      <w:pPr>
        <w:pStyle w:val="Bodytextwithparaspace"/>
        <w:numPr>
          <w:ilvl w:val="0"/>
          <w:numId w:val="10"/>
        </w:numPr>
      </w:pPr>
      <w:r>
        <w:t>Other medical items which are used to support a range of different types of surgical procedure which are either inserted into the body or assist other items that are inserted into the body. Drug delivery devices, haemostatic devices and closure devices are examples of these ‘</w:t>
      </w:r>
      <w:r>
        <w:rPr>
          <w:b/>
        </w:rPr>
        <w:t>general</w:t>
      </w:r>
      <w:r>
        <w:t>’ items.</w:t>
      </w:r>
    </w:p>
    <w:p w14:paraId="114565F2" w14:textId="77777777" w:rsidR="00F36B86" w:rsidRPr="004F77FC" w:rsidRDefault="00F36B86" w:rsidP="00F36B86">
      <w:pPr>
        <w:pStyle w:val="EYHeading2"/>
      </w:pPr>
      <w:bookmarkStart w:id="17" w:name="_Ref39676576"/>
      <w:bookmarkStart w:id="18" w:name="_Toc59015958"/>
      <w:r w:rsidRPr="004F77FC">
        <w:t xml:space="preserve">Challenges in </w:t>
      </w:r>
      <w:r w:rsidR="0088017C">
        <w:t>the</w:t>
      </w:r>
      <w:r w:rsidRPr="004F77FC">
        <w:t xml:space="preserve"> </w:t>
      </w:r>
      <w:r w:rsidR="00F24211">
        <w:t>G</w:t>
      </w:r>
      <w:r w:rsidR="001726BC">
        <w:t xml:space="preserve">eneral </w:t>
      </w:r>
      <w:r w:rsidR="00F24211">
        <w:t>M</w:t>
      </w:r>
      <w:r w:rsidR="001726BC">
        <w:t>iscellaneous</w:t>
      </w:r>
      <w:r w:rsidRPr="004F77FC">
        <w:t xml:space="preserve"> </w:t>
      </w:r>
      <w:r w:rsidR="00C73219" w:rsidRPr="004F77FC">
        <w:t>c</w:t>
      </w:r>
      <w:r w:rsidRPr="004F77FC">
        <w:t>ategory</w:t>
      </w:r>
      <w:bookmarkEnd w:id="17"/>
      <w:bookmarkEnd w:id="18"/>
    </w:p>
    <w:p w14:paraId="2E64A9E4" w14:textId="77777777" w:rsidR="00C0707B" w:rsidRDefault="00C0707B" w:rsidP="00C0707B">
      <w:pPr>
        <w:pStyle w:val="Bodytextwithparaspace"/>
      </w:pPr>
      <w:r>
        <w:t>The current PL arrangement were established to control significant increases in the benefits paid for prostheses. In the early 2000s, the Department observed that while the number of private hospital services involving prostheses was decreasing, there was a significant increase in underlying prostheses cost and benefits paid.</w:t>
      </w:r>
    </w:p>
    <w:p w14:paraId="66D65369" w14:textId="77777777" w:rsidR="00C0707B" w:rsidRDefault="00C0707B" w:rsidP="00C0707B">
      <w:pPr>
        <w:pStyle w:val="Bodytextwithparaspace"/>
      </w:pPr>
      <w:r>
        <w:t>This inflation in prostheses expenditure contributed to increases in premium costs, making private health insurance less affordable for Australian citizens. In response, the Department has introduced reforms aimed at moderating the rate of increase and controlling private health expenditure through legislative arrangements. The legislation, in the form of the PL, took effect in October 2005.</w:t>
      </w:r>
    </w:p>
    <w:p w14:paraId="474ADD34" w14:textId="2048AA0D" w:rsidR="002F0F1A" w:rsidRDefault="002F0F1A" w:rsidP="002F0F1A">
      <w:pPr>
        <w:pStyle w:val="Bodytextwithparaspace"/>
      </w:pPr>
      <w:r>
        <w:t>In 2017, Health Minister Greg Hunt reached an agreement with medical device manufacturers to bring down the costs of their products</w:t>
      </w:r>
      <w:r w:rsidR="00BB4A07">
        <w:t>.</w:t>
      </w:r>
      <w:r w:rsidR="00BB4A07">
        <w:rPr>
          <w:rStyle w:val="FootnoteReference"/>
        </w:rPr>
        <w:footnoteReference w:id="7"/>
      </w:r>
      <w:r w:rsidR="00BB4A07">
        <w:t xml:space="preserve"> This was at least in part in response to complaints</w:t>
      </w:r>
      <w:r>
        <w:t xml:space="preserve"> that prices on the list were significantly higher than what was being paid in the public sector and in comparable countries. However, </w:t>
      </w:r>
      <w:r w:rsidR="004F7232">
        <w:t xml:space="preserve">with usage continuing to increase, there is </w:t>
      </w:r>
      <w:r w:rsidR="003537A8">
        <w:t xml:space="preserve">some </w:t>
      </w:r>
      <w:r w:rsidR="004F7232">
        <w:t>debate whether the intended savings have been delivered.</w:t>
      </w:r>
    </w:p>
    <w:p w14:paraId="1E14E99C" w14:textId="2BED76F5" w:rsidR="009B6E87" w:rsidRDefault="00C0707B" w:rsidP="00C0707B">
      <w:pPr>
        <w:pStyle w:val="Bodytextwithparaspace"/>
      </w:pPr>
      <w:r>
        <w:t xml:space="preserve">The GM category of the PL </w:t>
      </w:r>
      <w:r w:rsidR="000E737C">
        <w:t>saw</w:t>
      </w:r>
      <w:r>
        <w:t xml:space="preserve"> significant increases in utilisation and total benefits paid each year over the period from FY14 through to FY19. In this period, there </w:t>
      </w:r>
      <w:r w:rsidR="000E737C">
        <w:t>was</w:t>
      </w:r>
      <w:r>
        <w:t xml:space="preserve"> an 11% compound annual growth rate (CAGR) in the number of items used per year and a 9% CAGR in the total benefits paid over the period. More recently, from FY18 to FY19 the growth in utilisation of items in the GM category was 15%, although the corresponding growth in total benefits paid was lower, at 3%</w:t>
      </w:r>
      <w:r w:rsidR="009B6E87">
        <w:t xml:space="preserve">. The lower average benefit amount paid per item </w:t>
      </w:r>
      <w:r w:rsidR="000E737C">
        <w:t xml:space="preserve">was </w:t>
      </w:r>
      <w:r w:rsidR="009B6E87">
        <w:t>partly due to benefit amount reductions and partly from high usage for new</w:t>
      </w:r>
      <w:r w:rsidR="004F7232">
        <w:t xml:space="preserve"> items on the PL with</w:t>
      </w:r>
      <w:r w:rsidR="009B6E87">
        <w:t xml:space="preserve"> lower benefit amount</w:t>
      </w:r>
      <w:r w:rsidR="004F7232">
        <w:t>s</w:t>
      </w:r>
      <w:r>
        <w:t>.</w:t>
      </w:r>
    </w:p>
    <w:p w14:paraId="2352D7B8" w14:textId="77777777" w:rsidR="0070449C" w:rsidRPr="004F77FC" w:rsidRDefault="0070449C" w:rsidP="0070449C">
      <w:pPr>
        <w:pStyle w:val="EYHeading2"/>
      </w:pPr>
      <w:bookmarkStart w:id="19" w:name="_Toc59015959"/>
      <w:r w:rsidRPr="004F77FC">
        <w:t xml:space="preserve">Basis for </w:t>
      </w:r>
      <w:r>
        <w:t xml:space="preserve">this </w:t>
      </w:r>
      <w:r w:rsidRPr="004F77FC">
        <w:t xml:space="preserve">review of </w:t>
      </w:r>
      <w:r>
        <w:t>the General Miscellaneous</w:t>
      </w:r>
      <w:r w:rsidRPr="004F77FC">
        <w:t xml:space="preserve"> category</w:t>
      </w:r>
      <w:bookmarkEnd w:id="19"/>
    </w:p>
    <w:p w14:paraId="3C2A83B6" w14:textId="4FF952F8" w:rsidR="009B6E87" w:rsidRDefault="009B6E87" w:rsidP="009B6E87">
      <w:pPr>
        <w:pStyle w:val="Bodytextwithparaspace"/>
      </w:pPr>
      <w:r>
        <w:t xml:space="preserve">The </w:t>
      </w:r>
      <w:r w:rsidR="00DB435D">
        <w:t>concern which is the basis</w:t>
      </w:r>
      <w:r>
        <w:t xml:space="preserve"> for this review is that using PL as a funding mechanism (which guarantees that insurers will pay a set amount for every item used) for low cost high usage items may not send a direct price signal to hospitals, and so:</w:t>
      </w:r>
    </w:p>
    <w:p w14:paraId="460BBD1A" w14:textId="11CBAE4A" w:rsidR="009B6E87" w:rsidRDefault="0005742E" w:rsidP="008E4696">
      <w:pPr>
        <w:pStyle w:val="Bodytextwithparaspace"/>
        <w:numPr>
          <w:ilvl w:val="1"/>
          <w:numId w:val="11"/>
        </w:numPr>
        <w:ind w:left="709"/>
      </w:pPr>
      <w:r>
        <w:t>U</w:t>
      </w:r>
      <w:r w:rsidR="009B6E87">
        <w:t xml:space="preserve">sage of the item over and above the minimum level necessary to ensure patient outcomes </w:t>
      </w:r>
      <w:r w:rsidR="004846C2">
        <w:t>is</w:t>
      </w:r>
      <w:r>
        <w:t xml:space="preserve"> </w:t>
      </w:r>
      <w:r w:rsidR="009B6E87">
        <w:t>not disincentivised; and/or</w:t>
      </w:r>
    </w:p>
    <w:p w14:paraId="4B625C12" w14:textId="75C89A63" w:rsidR="009B6E87" w:rsidRDefault="0005742E" w:rsidP="008E4696">
      <w:pPr>
        <w:pStyle w:val="Bodytextwithparaspace"/>
        <w:numPr>
          <w:ilvl w:val="1"/>
          <w:numId w:val="11"/>
        </w:numPr>
        <w:ind w:left="709"/>
      </w:pPr>
      <w:r>
        <w:t>T</w:t>
      </w:r>
      <w:r w:rsidR="009B6E87">
        <w:t>here may be higher than necessary usage of more expensive versions of equivalent products, including when they provide little/no clinical benefit over cheaper alternatives</w:t>
      </w:r>
      <w:r w:rsidR="0040409D">
        <w:t>.</w:t>
      </w:r>
    </w:p>
    <w:p w14:paraId="1772FF46" w14:textId="31121A3B" w:rsidR="009B6E87" w:rsidRDefault="009B6E87" w:rsidP="009B6E87">
      <w:pPr>
        <w:pStyle w:val="Bodytextwithparaspace"/>
      </w:pPr>
      <w:r>
        <w:t>As a result, the Department has requested that this review focus on 19 ‘High’ priority GM groups that are ‘</w:t>
      </w:r>
      <w:r w:rsidR="003970E4">
        <w:t xml:space="preserve">general </w:t>
      </w:r>
      <w:r>
        <w:t>use’ items.</w:t>
      </w:r>
    </w:p>
    <w:p w14:paraId="31B7E703" w14:textId="77777777" w:rsidR="00C0707B" w:rsidRPr="00A26B3B" w:rsidRDefault="009B6E87" w:rsidP="009B6E87">
      <w:pPr>
        <w:pStyle w:val="Bodytextwithparaspace"/>
      </w:pPr>
      <w:r>
        <w:t>The following figures show the total number of PL items used and total PL benefits paid for the GM category from FY14 to FY19, split by the contribution from the 19 ‘High’ priority groups and the remaining ‘Low’ priority groups.</w:t>
      </w:r>
      <w:r w:rsidR="00C0707B">
        <w:t xml:space="preserve"> </w:t>
      </w:r>
    </w:p>
    <w:tbl>
      <w:tblPr>
        <w:tblStyle w:val="TableGrid"/>
        <w:tblW w:w="9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Figure 3 and Figure 4"/>
        <w:tblDescription w:val="This table includes two Figures: Figure 3 - GM - Total Prosthetic Items and Figure 4 - FM - Total Prostheses Benefits."/>
      </w:tblPr>
      <w:tblGrid>
        <w:gridCol w:w="5019"/>
        <w:gridCol w:w="4754"/>
      </w:tblGrid>
      <w:tr w:rsidR="00C0707B" w14:paraId="3D8D82D6" w14:textId="77777777" w:rsidTr="00C77FCE">
        <w:trPr>
          <w:trHeight w:val="248"/>
          <w:tblHeader/>
        </w:trPr>
        <w:tc>
          <w:tcPr>
            <w:tcW w:w="5019" w:type="dxa"/>
          </w:tcPr>
          <w:p w14:paraId="77263BF9" w14:textId="5C972D3B" w:rsidR="00C0707B" w:rsidRDefault="00C0707B" w:rsidP="002F0F1A">
            <w:pPr>
              <w:pStyle w:val="Caption"/>
              <w:spacing w:after="0"/>
            </w:pPr>
            <w:r>
              <w:t xml:space="preserve">Figure </w:t>
            </w:r>
            <w:r w:rsidR="00FC6370">
              <w:fldChar w:fldCharType="begin"/>
            </w:r>
            <w:r w:rsidR="00FC6370">
              <w:instrText xml:space="preserve"> SEQ Figure \* ARABIC </w:instrText>
            </w:r>
            <w:r w:rsidR="00FC6370">
              <w:fldChar w:fldCharType="separate"/>
            </w:r>
            <w:r w:rsidR="00784DE2">
              <w:rPr>
                <w:noProof/>
              </w:rPr>
              <w:t>3</w:t>
            </w:r>
            <w:r w:rsidR="00FC6370">
              <w:rPr>
                <w:noProof/>
              </w:rPr>
              <w:fldChar w:fldCharType="end"/>
            </w:r>
            <w:r>
              <w:t xml:space="preserve"> – GM – Total Prosthe</w:t>
            </w:r>
            <w:r w:rsidR="00DB435D">
              <w:t>tic</w:t>
            </w:r>
            <w:r>
              <w:t xml:space="preserve"> Items</w:t>
            </w:r>
          </w:p>
        </w:tc>
        <w:tc>
          <w:tcPr>
            <w:tcW w:w="4754" w:type="dxa"/>
          </w:tcPr>
          <w:p w14:paraId="10D7B027" w14:textId="17BD5C89" w:rsidR="00C0707B" w:rsidRDefault="00C0707B" w:rsidP="002F0F1A">
            <w:pPr>
              <w:pStyle w:val="Caption"/>
              <w:keepNext/>
              <w:spacing w:after="0"/>
            </w:pPr>
            <w:r>
              <w:t xml:space="preserve">Figure </w:t>
            </w:r>
            <w:r w:rsidR="00FC6370">
              <w:fldChar w:fldCharType="begin"/>
            </w:r>
            <w:r w:rsidR="00FC6370">
              <w:instrText xml:space="preserve"> SEQ Figure \* ARABIC </w:instrText>
            </w:r>
            <w:r w:rsidR="00FC6370">
              <w:fldChar w:fldCharType="separate"/>
            </w:r>
            <w:r w:rsidR="00784DE2">
              <w:rPr>
                <w:noProof/>
              </w:rPr>
              <w:t>4</w:t>
            </w:r>
            <w:r w:rsidR="00FC6370">
              <w:rPr>
                <w:noProof/>
              </w:rPr>
              <w:fldChar w:fldCharType="end"/>
            </w:r>
            <w:r>
              <w:t xml:space="preserve"> – GM – Total Prostheses Benefits</w:t>
            </w:r>
          </w:p>
        </w:tc>
      </w:tr>
      <w:tr w:rsidR="00C0707B" w14:paraId="7426A15C" w14:textId="77777777" w:rsidTr="002F0F1A">
        <w:trPr>
          <w:trHeight w:val="2955"/>
        </w:trPr>
        <w:tc>
          <w:tcPr>
            <w:tcW w:w="5019" w:type="dxa"/>
          </w:tcPr>
          <w:p w14:paraId="78E12E32" w14:textId="4C58BBA2" w:rsidR="00C0707B" w:rsidRDefault="00C0707B" w:rsidP="002F0F1A">
            <w:pPr>
              <w:keepNext/>
            </w:pPr>
            <w:r>
              <w:rPr>
                <w:noProof/>
                <w:lang w:val="en-AU" w:eastAsia="en-AU"/>
              </w:rPr>
              <w:drawing>
                <wp:inline distT="0" distB="0" distL="0" distR="0" wp14:anchorId="1DAAD882" wp14:editId="490D99D3">
                  <wp:extent cx="2896301" cy="1952625"/>
                  <wp:effectExtent l="0" t="0" r="0" b="0"/>
                  <wp:docPr id="123053224" name="Picture 123053224" descr="Figure 3 - GM - Total Prosthetic Items&#10;&#10;This figure shows the number of General Miscellaneous PL items used in FY14 - FY14, split into high and low priority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12490" cy="1963540"/>
                          </a:xfrm>
                          <a:prstGeom prst="rect">
                            <a:avLst/>
                          </a:prstGeom>
                          <a:noFill/>
                        </pic:spPr>
                      </pic:pic>
                    </a:graphicData>
                  </a:graphic>
                </wp:inline>
              </w:drawing>
            </w:r>
          </w:p>
        </w:tc>
        <w:tc>
          <w:tcPr>
            <w:tcW w:w="4754" w:type="dxa"/>
          </w:tcPr>
          <w:p w14:paraId="71B627ED" w14:textId="03231DC8" w:rsidR="00C0707B" w:rsidRDefault="00C0707B" w:rsidP="002F0F1A">
            <w:r>
              <w:rPr>
                <w:noProof/>
                <w:lang w:val="en-AU" w:eastAsia="en-AU"/>
              </w:rPr>
              <w:drawing>
                <wp:inline distT="0" distB="0" distL="0" distR="0" wp14:anchorId="52228F3C" wp14:editId="760D1AF9">
                  <wp:extent cx="2882173" cy="1943100"/>
                  <wp:effectExtent l="0" t="0" r="0" b="0"/>
                  <wp:docPr id="123053225" name="Picture 123053225" descr="Figure 4 - GM - Total Prostheses Benefits&#10;&#10;This figure shows the total prostheses benefits for General Miscellaneous items split into high and low priority groups from FY14 - FY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93496" cy="1950734"/>
                          </a:xfrm>
                          <a:prstGeom prst="rect">
                            <a:avLst/>
                          </a:prstGeom>
                          <a:noFill/>
                        </pic:spPr>
                      </pic:pic>
                    </a:graphicData>
                  </a:graphic>
                </wp:inline>
              </w:drawing>
            </w:r>
          </w:p>
        </w:tc>
      </w:tr>
    </w:tbl>
    <w:p w14:paraId="43ECF99D" w14:textId="29C0E3E5" w:rsidR="00592A16" w:rsidRDefault="00592A16" w:rsidP="00717063">
      <w:pPr>
        <w:pStyle w:val="Bodytextwithparaspace"/>
        <w:spacing w:before="240"/>
      </w:pPr>
      <w:r>
        <w:t xml:space="preserve">To address some of the issues regarding low-value, high-volume items on the </w:t>
      </w:r>
      <w:r w:rsidR="008C76D1">
        <w:t>PL</w:t>
      </w:r>
      <w:r>
        <w:t xml:space="preserve">, the Department of Health resolved to undertake a review of the </w:t>
      </w:r>
      <w:r w:rsidR="008C76D1">
        <w:t>GM</w:t>
      </w:r>
      <w:r>
        <w:t xml:space="preserve"> category of the </w:t>
      </w:r>
      <w:r w:rsidR="008C76D1">
        <w:t xml:space="preserve">PL </w:t>
      </w:r>
      <w:r>
        <w:t xml:space="preserve">to determine whether items in that category (or a subset of items) should continue to be listed on the </w:t>
      </w:r>
      <w:r w:rsidR="008C76D1">
        <w:t>PL</w:t>
      </w:r>
      <w:r>
        <w:t>. This</w:t>
      </w:r>
      <w:r w:rsidR="0089388A">
        <w:t xml:space="preserve"> particular</w:t>
      </w:r>
      <w:r>
        <w:t xml:space="preserve"> review </w:t>
      </w:r>
      <w:r w:rsidR="000E737C">
        <w:t>also considers whether</w:t>
      </w:r>
      <w:r>
        <w:t xml:space="preserve"> the cost of these devices is appropriate and </w:t>
      </w:r>
      <w:r w:rsidR="000E737C">
        <w:t xml:space="preserve">whether </w:t>
      </w:r>
      <w:r>
        <w:t>suppliers are appropriately bundling items together.</w:t>
      </w:r>
    </w:p>
    <w:p w14:paraId="7530D426" w14:textId="71303757" w:rsidR="00F36B86" w:rsidRPr="004F77FC" w:rsidRDefault="00F36B86" w:rsidP="00F36B86">
      <w:pPr>
        <w:pStyle w:val="EYHeading2"/>
      </w:pPr>
      <w:bookmarkStart w:id="20" w:name="_Ref41309361"/>
      <w:bookmarkStart w:id="21" w:name="_Toc59015960"/>
      <w:r w:rsidRPr="004F77FC">
        <w:t xml:space="preserve">Feedback from </w:t>
      </w:r>
      <w:r w:rsidR="00C73219" w:rsidRPr="004F77FC">
        <w:t>industry</w:t>
      </w:r>
      <w:bookmarkEnd w:id="20"/>
      <w:bookmarkEnd w:id="21"/>
    </w:p>
    <w:p w14:paraId="6D47A705" w14:textId="789E0234" w:rsidR="00C73219" w:rsidRDefault="002506C3" w:rsidP="00484FBA">
      <w:pPr>
        <w:pStyle w:val="Bodytextwithparaspace"/>
      </w:pPr>
      <w:r>
        <w:t>Following</w:t>
      </w:r>
      <w:r w:rsidR="0089388A">
        <w:t xml:space="preserve"> the </w:t>
      </w:r>
      <w:r w:rsidR="00F1137B">
        <w:t>announcement of the</w:t>
      </w:r>
      <w:r w:rsidR="0089388A">
        <w:t xml:space="preserve"> GM</w:t>
      </w:r>
      <w:r w:rsidR="00F1137B">
        <w:t xml:space="preserve"> review, </w:t>
      </w:r>
      <w:r w:rsidR="00913C1A">
        <w:t xml:space="preserve">and during the development of the Terms of Reference for the review, </w:t>
      </w:r>
      <w:r w:rsidR="00F1137B">
        <w:t xml:space="preserve">the Department received </w:t>
      </w:r>
      <w:r w:rsidR="00C77E15">
        <w:t xml:space="preserve">a variety of </w:t>
      </w:r>
      <w:r w:rsidR="00F1137B">
        <w:t xml:space="preserve">feedback from representative peak bodies and constituents in the private health insurance, medical device manufacturing, and private hospital industries. </w:t>
      </w:r>
    </w:p>
    <w:p w14:paraId="67BDB0CB" w14:textId="60BCE1E0" w:rsidR="0049061F" w:rsidRPr="004F77FC" w:rsidRDefault="0049061F" w:rsidP="00484FBA">
      <w:pPr>
        <w:pStyle w:val="Bodytextwithparaspace"/>
      </w:pPr>
      <w:r>
        <w:t>The following sections summarise the feedback received</w:t>
      </w:r>
      <w:r w:rsidR="00FE6367">
        <w:t xml:space="preserve"> </w:t>
      </w:r>
      <w:r w:rsidR="00C77E15">
        <w:t>prior to the review being undertaken</w:t>
      </w:r>
      <w:r w:rsidR="00FE6367">
        <w:t>.</w:t>
      </w:r>
    </w:p>
    <w:p w14:paraId="70DF5656" w14:textId="77777777" w:rsidR="00F36B86" w:rsidRPr="004F77FC" w:rsidRDefault="00F36B86" w:rsidP="00F36B86">
      <w:pPr>
        <w:pStyle w:val="EYHeading3"/>
      </w:pPr>
      <w:r w:rsidRPr="004F77FC">
        <w:t xml:space="preserve">Private </w:t>
      </w:r>
      <w:r w:rsidR="008371A9">
        <w:t>h</w:t>
      </w:r>
      <w:r w:rsidR="008371A9" w:rsidRPr="004F77FC">
        <w:t xml:space="preserve">ealth </w:t>
      </w:r>
      <w:r w:rsidR="008371A9">
        <w:t>i</w:t>
      </w:r>
      <w:r w:rsidR="008371A9" w:rsidRPr="004F77FC">
        <w:t>nsurers</w:t>
      </w:r>
    </w:p>
    <w:p w14:paraId="43001442" w14:textId="3D811646" w:rsidR="00541E21" w:rsidRDefault="00F1137B" w:rsidP="00484FBA">
      <w:pPr>
        <w:pStyle w:val="Bodytextwithparaspace"/>
      </w:pPr>
      <w:r>
        <w:t xml:space="preserve">Overall, private health insurers in Australia </w:t>
      </w:r>
      <w:r w:rsidR="000E737C">
        <w:t xml:space="preserve">were </w:t>
      </w:r>
      <w:r>
        <w:t xml:space="preserve">supportive of the review, due to pricing discrepancies between the prices paid in the public and private sectors, </w:t>
      </w:r>
      <w:r w:rsidR="00541E21">
        <w:t xml:space="preserve">and </w:t>
      </w:r>
      <w:r w:rsidR="00C77E15">
        <w:t xml:space="preserve">their perception of </w:t>
      </w:r>
      <w:r w:rsidR="002F0F1A">
        <w:t>over</w:t>
      </w:r>
      <w:r w:rsidR="00C77E15">
        <w:t>-</w:t>
      </w:r>
      <w:r w:rsidR="002F0F1A">
        <w:t xml:space="preserve">utilisation </w:t>
      </w:r>
      <w:r>
        <w:t>and excessive benefit levels for low-cost items</w:t>
      </w:r>
      <w:r w:rsidR="00541E21">
        <w:t xml:space="preserve">, which is damaging the affordability of private health insurance in Australia. Industry constituents conveyed </w:t>
      </w:r>
      <w:r w:rsidR="00C77E15">
        <w:t>a view</w:t>
      </w:r>
      <w:r w:rsidR="00541E21">
        <w:t xml:space="preserve"> that the current reimbursement mechanisms </w:t>
      </w:r>
      <w:r w:rsidR="000E737C">
        <w:t xml:space="preserve">has </w:t>
      </w:r>
      <w:r w:rsidR="00541E21">
        <w:t xml:space="preserve">led to perverse incentives for device manufacturers (such as exploitation of the list through </w:t>
      </w:r>
      <w:r w:rsidR="00C77E15">
        <w:t>combining products into a single item on the PL</w:t>
      </w:r>
      <w:r w:rsidR="00541E21">
        <w:t>), and an overall failure in the market.</w:t>
      </w:r>
    </w:p>
    <w:p w14:paraId="7515FAEB" w14:textId="03A8851A" w:rsidR="00541E21" w:rsidRDefault="00541E21" w:rsidP="00484FBA">
      <w:pPr>
        <w:pStyle w:val="Bodytextwithparaspace"/>
      </w:pPr>
      <w:r>
        <w:t xml:space="preserve">Private health insurers contended that the existence or current use of a product should not guarantee its funding through the </w:t>
      </w:r>
      <w:r w:rsidR="008C76D1">
        <w:t>PL</w:t>
      </w:r>
      <w:r>
        <w:t xml:space="preserve">, and that devices should be able to demonstrate clinical and cost effectiveness worthy of their listed price. In addition, other funding mechanisms do exist which have previously funded items that are currently on the </w:t>
      </w:r>
      <w:r w:rsidR="008C76D1">
        <w:t>PL</w:t>
      </w:r>
      <w:r w:rsidR="009842DD">
        <w:t xml:space="preserve"> and continue to fund comparable items</w:t>
      </w:r>
      <w:r w:rsidR="0040444E">
        <w:t xml:space="preserve">. </w:t>
      </w:r>
      <w:r w:rsidR="00F1137B">
        <w:t xml:space="preserve">Many endorsed a transparent, data-driven and evidence-based approach to value-based policy reform, as </w:t>
      </w:r>
      <w:r w:rsidR="00C77E15">
        <w:t xml:space="preserve">their view </w:t>
      </w:r>
      <w:r w:rsidR="00201EA4">
        <w:t>wa</w:t>
      </w:r>
      <w:r w:rsidR="00C77E15">
        <w:t>s</w:t>
      </w:r>
      <w:r w:rsidR="00F1137B">
        <w:t xml:space="preserve"> that many parties with vested financial interests may be </w:t>
      </w:r>
      <w:r w:rsidR="003537A8">
        <w:t xml:space="preserve">less willing </w:t>
      </w:r>
      <w:r w:rsidR="00F1137B">
        <w:t>to engage in the substance of the reform.</w:t>
      </w:r>
    </w:p>
    <w:p w14:paraId="67480C7E" w14:textId="77777777" w:rsidR="00F36B86" w:rsidRPr="004F77FC" w:rsidRDefault="00F36B86" w:rsidP="00F36B86">
      <w:pPr>
        <w:pStyle w:val="EYHeading3"/>
      </w:pPr>
      <w:r w:rsidRPr="004F77FC">
        <w:t xml:space="preserve">Medical </w:t>
      </w:r>
      <w:r w:rsidR="008371A9">
        <w:t>d</w:t>
      </w:r>
      <w:r w:rsidR="008371A9" w:rsidRPr="004F77FC">
        <w:t xml:space="preserve">evice </w:t>
      </w:r>
      <w:r w:rsidR="008371A9">
        <w:t>m</w:t>
      </w:r>
      <w:r w:rsidR="008371A9" w:rsidRPr="004F77FC">
        <w:t>anufacturers</w:t>
      </w:r>
    </w:p>
    <w:p w14:paraId="5214392E" w14:textId="7306D649" w:rsidR="00AD0434" w:rsidRDefault="00F1137B" w:rsidP="00484FBA">
      <w:pPr>
        <w:pStyle w:val="Bodytextwithparaspace"/>
      </w:pPr>
      <w:r>
        <w:t xml:space="preserve">Many medical device manufacturers </w:t>
      </w:r>
      <w:r w:rsidR="00201EA4">
        <w:t xml:space="preserve">were </w:t>
      </w:r>
      <w:r>
        <w:t>unsupportive of the review</w:t>
      </w:r>
      <w:r w:rsidR="004675A0">
        <w:t>. Generally, they believe</w:t>
      </w:r>
      <w:r w:rsidR="00201EA4">
        <w:t>d</w:t>
      </w:r>
      <w:r>
        <w:t xml:space="preserve"> that the anticipated savings under the 2017 Agreement with the </w:t>
      </w:r>
      <w:r w:rsidR="007076BC">
        <w:t>Medical Technology Association of Australia (</w:t>
      </w:r>
      <w:r>
        <w:t>MTAA</w:t>
      </w:r>
      <w:r w:rsidR="007076BC">
        <w:t>)</w:t>
      </w:r>
      <w:r>
        <w:t xml:space="preserve"> are being achieved</w:t>
      </w:r>
      <w:r w:rsidR="004675A0">
        <w:t xml:space="preserve">. Where private health insurance industry and other research </w:t>
      </w:r>
      <w:r w:rsidR="00201EA4">
        <w:t xml:space="preserve">have </w:t>
      </w:r>
      <w:r w:rsidR="004675A0">
        <w:t>suggested that savings are not being appropriately realised</w:t>
      </w:r>
      <w:r>
        <w:t xml:space="preserve">, </w:t>
      </w:r>
      <w:r w:rsidR="004675A0">
        <w:t xml:space="preserve">some manufacturers claim that this </w:t>
      </w:r>
      <w:r w:rsidR="00201EA4">
        <w:t>wa</w:t>
      </w:r>
      <w:r w:rsidR="004675A0">
        <w:t>s based</w:t>
      </w:r>
      <w:r>
        <w:t xml:space="preserve"> on incorrect assertions and inaccurate data. They </w:t>
      </w:r>
      <w:r w:rsidR="00201EA4">
        <w:t xml:space="preserve">were </w:t>
      </w:r>
      <w:r>
        <w:t xml:space="preserve">concerned that removing items from the </w:t>
      </w:r>
      <w:r w:rsidR="00F24211">
        <w:t>PL</w:t>
      </w:r>
      <w:r>
        <w:t xml:space="preserve"> would constitute a b</w:t>
      </w:r>
      <w:r w:rsidR="001509B8">
        <w:t>r</w:t>
      </w:r>
      <w:r>
        <w:t xml:space="preserve">each by the </w:t>
      </w:r>
      <w:r w:rsidR="001968FB">
        <w:t xml:space="preserve">Department </w:t>
      </w:r>
      <w:r>
        <w:t xml:space="preserve">of the Agreement and would have significant consequences for the private health system. </w:t>
      </w:r>
    </w:p>
    <w:p w14:paraId="6CE279C4" w14:textId="7CF554F7" w:rsidR="00AD0434" w:rsidRPr="004F77FC" w:rsidRDefault="00F1137B" w:rsidP="00484FBA">
      <w:pPr>
        <w:pStyle w:val="Bodytextwithparaspace"/>
      </w:pPr>
      <w:r>
        <w:t xml:space="preserve">Some </w:t>
      </w:r>
      <w:r w:rsidR="00AD0434">
        <w:t xml:space="preserve">industry constituents </w:t>
      </w:r>
      <w:r>
        <w:t xml:space="preserve">criticised private health insurers for seeking to reduce benefit payments </w:t>
      </w:r>
      <w:r w:rsidR="004675A0">
        <w:t>to improve their own profit</w:t>
      </w:r>
      <w:r>
        <w:t>.</w:t>
      </w:r>
      <w:r w:rsidR="00AD0434">
        <w:t xml:space="preserve"> Furthermore, they voiced concern that the review of the </w:t>
      </w:r>
      <w:r w:rsidR="008C76D1">
        <w:t>GM</w:t>
      </w:r>
      <w:r w:rsidR="00AD0434">
        <w:t xml:space="preserve"> category may set a preceden</w:t>
      </w:r>
      <w:r w:rsidR="009F3472">
        <w:t>t</w:t>
      </w:r>
      <w:r w:rsidR="00AD0434">
        <w:t xml:space="preserve"> for reviews or adjustments to the listing criteria of other categories on the </w:t>
      </w:r>
      <w:r w:rsidR="008C76D1">
        <w:t>PL</w:t>
      </w:r>
      <w:r w:rsidR="00AD0434">
        <w:t>. They believe</w:t>
      </w:r>
      <w:r w:rsidR="00D25E1F">
        <w:t>d</w:t>
      </w:r>
      <w:r w:rsidR="00AD0434">
        <w:t xml:space="preserve"> that doing so would represent a disservice to the </w:t>
      </w:r>
      <w:r w:rsidR="008C76D1">
        <w:t>PL</w:t>
      </w:r>
      <w:r w:rsidR="00AD0434">
        <w:t xml:space="preserve"> mechanism, which provides no gap payments and certainty</w:t>
      </w:r>
      <w:r w:rsidR="00C77E15">
        <w:t xml:space="preserve"> of access</w:t>
      </w:r>
      <w:r w:rsidR="00AD0434">
        <w:t xml:space="preserve"> to innovative products for privately</w:t>
      </w:r>
      <w:r w:rsidR="00B87D96">
        <w:t xml:space="preserve"> </w:t>
      </w:r>
      <w:r w:rsidR="00AD0434">
        <w:t>insured Australian citizens.</w:t>
      </w:r>
    </w:p>
    <w:p w14:paraId="47664F29" w14:textId="77777777" w:rsidR="00F36B86" w:rsidRDefault="00F36B86" w:rsidP="00F36B86">
      <w:pPr>
        <w:pStyle w:val="EYHeading3"/>
      </w:pPr>
      <w:r w:rsidRPr="004F77FC">
        <w:t xml:space="preserve">Private </w:t>
      </w:r>
      <w:r w:rsidR="008371A9">
        <w:t>h</w:t>
      </w:r>
      <w:r w:rsidR="008371A9" w:rsidRPr="004F77FC">
        <w:t>ospitals</w:t>
      </w:r>
    </w:p>
    <w:p w14:paraId="3AF7B495" w14:textId="54B23FC9" w:rsidR="00177ECD" w:rsidRDefault="001D22BB" w:rsidP="00484FBA">
      <w:pPr>
        <w:pStyle w:val="Bodytextwithparaspace"/>
      </w:pPr>
      <w:r>
        <w:t xml:space="preserve">Australian private hospitals </w:t>
      </w:r>
      <w:r w:rsidR="00D25E1F">
        <w:t xml:space="preserve">were </w:t>
      </w:r>
      <w:r w:rsidR="008E4696">
        <w:t>generally</w:t>
      </w:r>
      <w:r>
        <w:t xml:space="preserve"> supportive of a careful, considered and evidence-based reform to the </w:t>
      </w:r>
      <w:r w:rsidR="008C76D1">
        <w:t>PL</w:t>
      </w:r>
      <w:r>
        <w:t xml:space="preserve">, but </w:t>
      </w:r>
      <w:r w:rsidR="00D25E1F">
        <w:t>we</w:t>
      </w:r>
      <w:r w:rsidR="00C77E15">
        <w:t xml:space="preserve">re </w:t>
      </w:r>
      <w:r w:rsidR="006840E9">
        <w:t xml:space="preserve">very </w:t>
      </w:r>
      <w:r w:rsidR="00C77E15">
        <w:t xml:space="preserve">concerned </w:t>
      </w:r>
      <w:r>
        <w:t xml:space="preserve">that this review may involve arbitrary cuts to the items on the </w:t>
      </w:r>
      <w:r w:rsidR="008C76D1">
        <w:t xml:space="preserve">PL </w:t>
      </w:r>
      <w:r>
        <w:t xml:space="preserve">based on pricing. </w:t>
      </w:r>
      <w:r w:rsidR="00E655E7">
        <w:t xml:space="preserve">Some </w:t>
      </w:r>
      <w:r w:rsidR="00D25E1F">
        <w:t xml:space="preserve">were </w:t>
      </w:r>
      <w:r w:rsidR="00E655E7">
        <w:t xml:space="preserve">concerned that the removal of items </w:t>
      </w:r>
      <w:r w:rsidR="00D25E1F">
        <w:t xml:space="preserve">would </w:t>
      </w:r>
      <w:r w:rsidR="00E655E7">
        <w:t xml:space="preserve">be detrimental to the provision of hospital services that could </w:t>
      </w:r>
      <w:r w:rsidR="00C77E15">
        <w:t xml:space="preserve">even </w:t>
      </w:r>
      <w:r w:rsidR="00E655E7">
        <w:t>threaten the closure of some hospitals.</w:t>
      </w:r>
      <w:r w:rsidR="00177ECD">
        <w:t xml:space="preserve"> </w:t>
      </w:r>
    </w:p>
    <w:p w14:paraId="4BD7860E" w14:textId="26E42D47" w:rsidR="00E655E7" w:rsidRDefault="00177ECD" w:rsidP="00484FBA">
      <w:pPr>
        <w:pStyle w:val="Bodytextwithparaspace"/>
      </w:pPr>
      <w:r>
        <w:t xml:space="preserve">Furthermore, </w:t>
      </w:r>
      <w:r w:rsidR="003537A8">
        <w:t xml:space="preserve">some hospitals suggested that </w:t>
      </w:r>
      <w:r>
        <w:t xml:space="preserve">such removal could </w:t>
      </w:r>
      <w:r w:rsidR="00C77E15">
        <w:t xml:space="preserve">limit </w:t>
      </w:r>
      <w:r>
        <w:t>surgeon choice or compromise clinical outcomes for patients.</w:t>
      </w:r>
      <w:r w:rsidR="00E655E7">
        <w:t xml:space="preserve"> In feedback to the Department, it </w:t>
      </w:r>
      <w:r w:rsidR="00D25E1F">
        <w:t>was</w:t>
      </w:r>
      <w:r w:rsidR="00E655E7">
        <w:t xml:space="preserve"> highlighted that private hospitals would be required to absorb the cost of items not covered by the benefits on the </w:t>
      </w:r>
      <w:r w:rsidR="008C76D1">
        <w:t>PL</w:t>
      </w:r>
      <w:r w:rsidR="00D10485">
        <w:t xml:space="preserve"> or</w:t>
      </w:r>
      <w:r w:rsidR="00E655E7">
        <w:t xml:space="preserve"> pass costs onto patients</w:t>
      </w:r>
      <w:r>
        <w:t xml:space="preserve"> through increased benefit outlays</w:t>
      </w:r>
      <w:r w:rsidR="00E655E7">
        <w:t>.</w:t>
      </w:r>
    </w:p>
    <w:p w14:paraId="263E9D55" w14:textId="77777777" w:rsidR="0071744E" w:rsidRDefault="0071744E" w:rsidP="0071744E">
      <w:pPr>
        <w:pStyle w:val="EYHeading1"/>
      </w:pPr>
      <w:bookmarkStart w:id="22" w:name="_Toc59015961"/>
      <w:r>
        <w:t>Scope and Approach</w:t>
      </w:r>
      <w:bookmarkEnd w:id="22"/>
    </w:p>
    <w:p w14:paraId="4B267BFA" w14:textId="77777777" w:rsidR="00C73219" w:rsidRPr="00484FBA" w:rsidRDefault="00C73219" w:rsidP="009A1BAD">
      <w:pPr>
        <w:pStyle w:val="EYHeading2"/>
      </w:pPr>
      <w:bookmarkStart w:id="23" w:name="_Ref37845476"/>
      <w:bookmarkStart w:id="24" w:name="_Toc59015962"/>
      <w:r w:rsidRPr="00484FBA">
        <w:t xml:space="preserve">Scope </w:t>
      </w:r>
      <w:r w:rsidR="001726BC">
        <w:t xml:space="preserve">and purpose </w:t>
      </w:r>
      <w:r w:rsidRPr="00484FBA">
        <w:t>of the review</w:t>
      </w:r>
      <w:bookmarkEnd w:id="23"/>
      <w:bookmarkEnd w:id="24"/>
    </w:p>
    <w:p w14:paraId="1E6F0535" w14:textId="06BB8426" w:rsidR="001726BC" w:rsidRDefault="00574AF6" w:rsidP="009A1BAD">
      <w:pPr>
        <w:pStyle w:val="Bodytextwithparaspace"/>
      </w:pPr>
      <w:r>
        <w:t xml:space="preserve">The scope for this project </w:t>
      </w:r>
      <w:r w:rsidR="00D25E1F">
        <w:t xml:space="preserve">was </w:t>
      </w:r>
      <w:r w:rsidR="001726BC">
        <w:t>to</w:t>
      </w:r>
      <w:r>
        <w:t xml:space="preserve"> review the </w:t>
      </w:r>
      <w:r w:rsidR="00F24211">
        <w:t>GM</w:t>
      </w:r>
      <w:r>
        <w:t xml:space="preserve"> category of the </w:t>
      </w:r>
      <w:r w:rsidR="00F24211">
        <w:t>PL</w:t>
      </w:r>
      <w:r>
        <w:t>. Details on th</w:t>
      </w:r>
      <w:r w:rsidR="001726BC">
        <w:t xml:space="preserve">e PL and the GM category are included in Sections </w:t>
      </w:r>
      <w:r w:rsidR="001726BC">
        <w:fldChar w:fldCharType="begin"/>
      </w:r>
      <w:r w:rsidR="001726BC">
        <w:instrText xml:space="preserve"> REF _Ref39676567 \r \h </w:instrText>
      </w:r>
      <w:r w:rsidR="001726BC">
        <w:fldChar w:fldCharType="separate"/>
      </w:r>
      <w:r w:rsidR="00784DE2">
        <w:t>2.1</w:t>
      </w:r>
      <w:r w:rsidR="001726BC">
        <w:fldChar w:fldCharType="end"/>
      </w:r>
      <w:r w:rsidR="001726BC">
        <w:t xml:space="preserve"> and </w:t>
      </w:r>
      <w:r w:rsidR="001726BC">
        <w:fldChar w:fldCharType="begin"/>
      </w:r>
      <w:r w:rsidR="001726BC">
        <w:instrText xml:space="preserve"> REF _Ref39676576 \r \h </w:instrText>
      </w:r>
      <w:r w:rsidR="001726BC">
        <w:fldChar w:fldCharType="separate"/>
      </w:r>
      <w:r w:rsidR="00784DE2">
        <w:t>2.2</w:t>
      </w:r>
      <w:r w:rsidR="001726BC">
        <w:fldChar w:fldCharType="end"/>
      </w:r>
      <w:r w:rsidR="001726BC">
        <w:t>.</w:t>
      </w:r>
    </w:p>
    <w:p w14:paraId="24277E80" w14:textId="19C1835F" w:rsidR="009A1BAD" w:rsidRDefault="001726BC" w:rsidP="009A1BAD">
      <w:pPr>
        <w:pStyle w:val="Bodytextwithparaspace"/>
      </w:pPr>
      <w:r>
        <w:t xml:space="preserve">The </w:t>
      </w:r>
      <w:r w:rsidR="00D25E1F">
        <w:t xml:space="preserve">report </w:t>
      </w:r>
      <w:r>
        <w:t xml:space="preserve">presents evidence and commentary on specific items within the GM category of the PL and provides considerations around whether their inclusion on the PL appropriate. The Terms of Reference for the review </w:t>
      </w:r>
      <w:r w:rsidR="00727EEA">
        <w:t>we</w:t>
      </w:r>
      <w:r>
        <w:t>re to:</w:t>
      </w:r>
    </w:p>
    <w:p w14:paraId="1A2CA97A" w14:textId="77777777" w:rsidR="001726BC" w:rsidRDefault="001726BC" w:rsidP="008E4696">
      <w:pPr>
        <w:pStyle w:val="EY1Number"/>
        <w:numPr>
          <w:ilvl w:val="0"/>
          <w:numId w:val="15"/>
        </w:numPr>
      </w:pPr>
      <w:r>
        <w:t>Consider whether items listed in the GM category meet the current criteria for listing of prostheses on the PL as set out in legislation and guidance documents;</w:t>
      </w:r>
    </w:p>
    <w:p w14:paraId="3E6E70E8" w14:textId="77777777" w:rsidR="001726BC" w:rsidRDefault="001726BC" w:rsidP="008E4696">
      <w:pPr>
        <w:pStyle w:val="EY1Number"/>
        <w:numPr>
          <w:ilvl w:val="0"/>
          <w:numId w:val="15"/>
        </w:numPr>
      </w:pPr>
      <w:r>
        <w:t>Examine Hospital Casemix data to identify trends in use and expenditure in the GM Category;</w:t>
      </w:r>
    </w:p>
    <w:p w14:paraId="2DEE47FA" w14:textId="77777777" w:rsidR="001726BC" w:rsidRDefault="001726BC" w:rsidP="008E4696">
      <w:pPr>
        <w:pStyle w:val="EY1Number"/>
        <w:numPr>
          <w:ilvl w:val="0"/>
          <w:numId w:val="15"/>
        </w:numPr>
      </w:pPr>
      <w:r>
        <w:t>Consider whether items listed in the GM category are also funded through other private health insurance payments;</w:t>
      </w:r>
    </w:p>
    <w:p w14:paraId="294C178A" w14:textId="77777777" w:rsidR="001726BC" w:rsidRDefault="001726BC" w:rsidP="008E4696">
      <w:pPr>
        <w:pStyle w:val="EY1Number"/>
        <w:numPr>
          <w:ilvl w:val="0"/>
          <w:numId w:val="15"/>
        </w:numPr>
      </w:pPr>
      <w:r>
        <w:t>Consider whether for reasons of improved efficiency, items in the GM category should be removed from the PL and funded by private health insurers through other mechanisms;</w:t>
      </w:r>
    </w:p>
    <w:p w14:paraId="672FDB2D" w14:textId="77777777" w:rsidR="001726BC" w:rsidRDefault="001726BC" w:rsidP="008E4696">
      <w:pPr>
        <w:pStyle w:val="EY1Number"/>
        <w:numPr>
          <w:ilvl w:val="0"/>
          <w:numId w:val="15"/>
        </w:numPr>
      </w:pPr>
      <w:r>
        <w:t>Consider whether there would be unintended consequences should any items in the GM category be removed from the PL; and</w:t>
      </w:r>
    </w:p>
    <w:p w14:paraId="31F84994" w14:textId="77777777" w:rsidR="001726BC" w:rsidRDefault="001726BC" w:rsidP="008E4696">
      <w:pPr>
        <w:pStyle w:val="EY1Number"/>
        <w:numPr>
          <w:ilvl w:val="0"/>
          <w:numId w:val="15"/>
        </w:numPr>
      </w:pPr>
      <w:r>
        <w:t>Consider whether any items listed in the GM category should undergo a health technology assessment to determine their comparative value.</w:t>
      </w:r>
    </w:p>
    <w:p w14:paraId="6EA233C1" w14:textId="632ABD0A" w:rsidR="003970E4" w:rsidRDefault="00C514FD" w:rsidP="009A1BAD">
      <w:pPr>
        <w:pStyle w:val="Bodytextwithparaspace"/>
      </w:pPr>
      <w:r>
        <w:t xml:space="preserve">It was determined by the Department that the review would consider all products within the </w:t>
      </w:r>
      <w:r w:rsidR="00451756">
        <w:t>GM</w:t>
      </w:r>
      <w:r>
        <w:t xml:space="preserve"> category, but that the priority focus would be placed on</w:t>
      </w:r>
      <w:r w:rsidR="00BE15D1">
        <w:t xml:space="preserve"> the ‘</w:t>
      </w:r>
      <w:r w:rsidR="003970E4">
        <w:t>g</w:t>
      </w:r>
      <w:r w:rsidR="00BE15D1">
        <w:t>eneral</w:t>
      </w:r>
      <w:r w:rsidR="003970E4">
        <w:t xml:space="preserve"> use</w:t>
      </w:r>
      <w:r w:rsidR="00BE15D1">
        <w:t>’ product groups</w:t>
      </w:r>
      <w:r w:rsidR="003970E4">
        <w:t xml:space="preserve"> </w:t>
      </w:r>
      <w:r w:rsidR="00BE15D1">
        <w:t>as opposed to the ‘Miscellaneous’ items</w:t>
      </w:r>
      <w:r w:rsidR="003970E4">
        <w:t xml:space="preserve"> (see Section </w:t>
      </w:r>
      <w:r w:rsidR="003970E4">
        <w:fldChar w:fldCharType="begin"/>
      </w:r>
      <w:r w:rsidR="003970E4">
        <w:instrText xml:space="preserve"> REF _Ref39676567 \r \h </w:instrText>
      </w:r>
      <w:r w:rsidR="003970E4">
        <w:fldChar w:fldCharType="separate"/>
      </w:r>
      <w:r w:rsidR="00784DE2">
        <w:t>2.1</w:t>
      </w:r>
      <w:r w:rsidR="003970E4">
        <w:fldChar w:fldCharType="end"/>
      </w:r>
      <w:r w:rsidR="003970E4">
        <w:t xml:space="preserve"> for definitions of these terms)</w:t>
      </w:r>
      <w:r w:rsidR="00BE15D1">
        <w:t>. This would enable a more targeted</w:t>
      </w:r>
      <w:r>
        <w:t xml:space="preserve"> review that could have a greater impact in addressing the issues with high-volume, low-value items</w:t>
      </w:r>
      <w:r w:rsidR="00BE15D1">
        <w:t xml:space="preserve"> on the </w:t>
      </w:r>
      <w:r w:rsidR="006D769A">
        <w:t>PL</w:t>
      </w:r>
      <w:r w:rsidR="00BE15D1">
        <w:t>.</w:t>
      </w:r>
    </w:p>
    <w:p w14:paraId="1D2B92C0" w14:textId="2FD9A63C" w:rsidR="00C514FD" w:rsidRPr="009A1BAD" w:rsidRDefault="009842DD" w:rsidP="009A1BAD">
      <w:pPr>
        <w:pStyle w:val="Bodytextwithparaspace"/>
      </w:pPr>
      <w:r>
        <w:t xml:space="preserve">Although the </w:t>
      </w:r>
      <w:r w:rsidR="003970E4">
        <w:t>r</w:t>
      </w:r>
      <w:r>
        <w:t xml:space="preserve">eview </w:t>
      </w:r>
      <w:r w:rsidR="00D25E1F">
        <w:t xml:space="preserve">was </w:t>
      </w:r>
      <w:r>
        <w:t>confined to the GM category</w:t>
      </w:r>
      <w:r w:rsidR="003970E4">
        <w:t>,</w:t>
      </w:r>
      <w:r>
        <w:t xml:space="preserve"> there a</w:t>
      </w:r>
      <w:r w:rsidR="002A2090">
        <w:t>r</w:t>
      </w:r>
      <w:r>
        <w:t xml:space="preserve">e other </w:t>
      </w:r>
      <w:r w:rsidR="003970E4">
        <w:t>‘</w:t>
      </w:r>
      <w:r w:rsidR="002A2090">
        <w:t>general use</w:t>
      </w:r>
      <w:r w:rsidR="003970E4">
        <w:t>’</w:t>
      </w:r>
      <w:r w:rsidR="002A2090">
        <w:t xml:space="preserve"> i</w:t>
      </w:r>
      <w:r>
        <w:t>tems that sit in other categories of the PL</w:t>
      </w:r>
      <w:r w:rsidR="003970E4">
        <w:t>,</w:t>
      </w:r>
      <w:r>
        <w:t xml:space="preserve"> and hence </w:t>
      </w:r>
      <w:r w:rsidR="003970E4">
        <w:t xml:space="preserve">the </w:t>
      </w:r>
      <w:r>
        <w:t xml:space="preserve">outcomes of the </w:t>
      </w:r>
      <w:r w:rsidR="003970E4">
        <w:t>r</w:t>
      </w:r>
      <w:r>
        <w:t>eview may</w:t>
      </w:r>
      <w:r w:rsidR="003970E4">
        <w:t xml:space="preserve"> also</w:t>
      </w:r>
      <w:r>
        <w:t xml:space="preserve"> have implication for those items. </w:t>
      </w:r>
    </w:p>
    <w:p w14:paraId="2BA99D61" w14:textId="34B82B19" w:rsidR="005561AD" w:rsidRDefault="005561AD" w:rsidP="001968FB">
      <w:pPr>
        <w:pStyle w:val="Bodytextwithparaspace"/>
      </w:pPr>
      <w:r>
        <w:t xml:space="preserve">The review </w:t>
      </w:r>
      <w:r w:rsidR="00D25E1F">
        <w:t xml:space="preserve">sought </w:t>
      </w:r>
      <w:r>
        <w:t>to contribute to</w:t>
      </w:r>
      <w:r w:rsidR="001726BC">
        <w:t>wards</w:t>
      </w:r>
      <w:r>
        <w:t xml:space="preserve"> the Department</w:t>
      </w:r>
      <w:r w:rsidR="005B6DC7">
        <w:t xml:space="preserve">’s </w:t>
      </w:r>
      <w:r w:rsidR="00B42150">
        <w:t xml:space="preserve">strategic </w:t>
      </w:r>
      <w:r>
        <w:t xml:space="preserve">review and </w:t>
      </w:r>
      <w:r w:rsidR="00B42150">
        <w:t>delineation</w:t>
      </w:r>
      <w:r>
        <w:t xml:space="preserve"> of the overall purpose for the </w:t>
      </w:r>
      <w:r w:rsidR="00DA694B">
        <w:t>PL</w:t>
      </w:r>
      <w:r>
        <w:t>.</w:t>
      </w:r>
      <w:r w:rsidR="00B42150">
        <w:t xml:space="preserve"> This broader piece of work attempts to align many of the activities being undertaken by the Department in this key time of its </w:t>
      </w:r>
      <w:r w:rsidR="00DA694B">
        <w:t xml:space="preserve">PL </w:t>
      </w:r>
      <w:r w:rsidR="00B42150">
        <w:t>reform actions to support sector stability, sustainability, safety, transparency and innovation.</w:t>
      </w:r>
    </w:p>
    <w:p w14:paraId="25074C9C" w14:textId="77777777" w:rsidR="0071744E" w:rsidRDefault="0071744E" w:rsidP="0071744E">
      <w:pPr>
        <w:pStyle w:val="EYHeading2"/>
      </w:pPr>
      <w:bookmarkStart w:id="25" w:name="_Toc59015963"/>
      <w:r>
        <w:t>Approach</w:t>
      </w:r>
      <w:bookmarkEnd w:id="25"/>
    </w:p>
    <w:p w14:paraId="2412C342" w14:textId="185A1F1F" w:rsidR="00966AF2" w:rsidRDefault="00966AF2" w:rsidP="00966AF2">
      <w:pPr>
        <w:pStyle w:val="Bodytextwithparaspace"/>
      </w:pPr>
      <w:r>
        <w:t xml:space="preserve">The approach to this review covered six </w:t>
      </w:r>
      <w:r w:rsidR="005E7023">
        <w:t>sequential</w:t>
      </w:r>
      <w:r>
        <w:t xml:space="preserve"> phases:</w:t>
      </w:r>
    </w:p>
    <w:p w14:paraId="7ED9727F" w14:textId="780B772E" w:rsidR="00966AF2" w:rsidRDefault="00966AF2" w:rsidP="00463B2D">
      <w:pPr>
        <w:pStyle w:val="EY1Number"/>
        <w:numPr>
          <w:ilvl w:val="0"/>
          <w:numId w:val="65"/>
        </w:numPr>
      </w:pPr>
      <w:r w:rsidRPr="000E26E3">
        <w:rPr>
          <w:b/>
          <w:bCs/>
        </w:rPr>
        <w:t>Kick-off:</w:t>
      </w:r>
      <w:r>
        <w:t xml:space="preserve"> </w:t>
      </w:r>
      <w:r w:rsidR="00E22A72">
        <w:t xml:space="preserve">an </w:t>
      </w:r>
      <w:r>
        <w:t xml:space="preserve">initial two-week </w:t>
      </w:r>
      <w:r w:rsidR="006E328C">
        <w:t>mobilisation</w:t>
      </w:r>
      <w:r>
        <w:t xml:space="preserve"> period, </w:t>
      </w:r>
      <w:r w:rsidR="00E22A72">
        <w:t xml:space="preserve">which </w:t>
      </w:r>
      <w:r>
        <w:t>includ</w:t>
      </w:r>
      <w:r w:rsidR="00E22A72">
        <w:t>ed</w:t>
      </w:r>
      <w:r>
        <w:t xml:space="preserve"> </w:t>
      </w:r>
      <w:r w:rsidR="00B76EBD">
        <w:t xml:space="preserve">a </w:t>
      </w:r>
      <w:r>
        <w:t xml:space="preserve">planning workshop with key </w:t>
      </w:r>
      <w:r w:rsidR="00DD3866">
        <w:t>Departmental</w:t>
      </w:r>
      <w:r w:rsidR="007D13D9">
        <w:t xml:space="preserve"> </w:t>
      </w:r>
      <w:r w:rsidR="00C661BF">
        <w:t xml:space="preserve">personnel </w:t>
      </w:r>
      <w:r>
        <w:t xml:space="preserve">to inform the </w:t>
      </w:r>
      <w:r w:rsidR="006E328C">
        <w:t xml:space="preserve">overall </w:t>
      </w:r>
      <w:r>
        <w:t xml:space="preserve">project </w:t>
      </w:r>
      <w:r w:rsidR="009D3951">
        <w:t>charter</w:t>
      </w:r>
      <w:r w:rsidR="006E328C">
        <w:t xml:space="preserve"> and stakeholder</w:t>
      </w:r>
      <w:r w:rsidR="00C661BF">
        <w:t xml:space="preserve"> engagement plan</w:t>
      </w:r>
      <w:r w:rsidR="009D3951">
        <w:t>;</w:t>
      </w:r>
    </w:p>
    <w:p w14:paraId="770A62D3" w14:textId="00D02909" w:rsidR="00B10580" w:rsidRPr="000E26E3" w:rsidRDefault="00F04B5E" w:rsidP="00463B2D">
      <w:pPr>
        <w:pStyle w:val="EY1Number"/>
        <w:numPr>
          <w:ilvl w:val="0"/>
          <w:numId w:val="65"/>
        </w:numPr>
      </w:pPr>
      <w:r w:rsidRPr="000E26E3">
        <w:rPr>
          <w:b/>
          <w:bCs/>
        </w:rPr>
        <w:t xml:space="preserve">Initial </w:t>
      </w:r>
      <w:r w:rsidR="00795FBC" w:rsidRPr="000E26E3">
        <w:rPr>
          <w:b/>
          <w:bCs/>
        </w:rPr>
        <w:t>s</w:t>
      </w:r>
      <w:r w:rsidR="00B10580" w:rsidRPr="000E26E3">
        <w:rPr>
          <w:b/>
          <w:bCs/>
        </w:rPr>
        <w:t xml:space="preserve">takeholder </w:t>
      </w:r>
      <w:r w:rsidR="00795FBC" w:rsidRPr="009B2E2E">
        <w:rPr>
          <w:b/>
          <w:bCs/>
        </w:rPr>
        <w:t>c</w:t>
      </w:r>
      <w:r w:rsidR="00B10580" w:rsidRPr="005E2FCA">
        <w:rPr>
          <w:b/>
          <w:bCs/>
        </w:rPr>
        <w:t>onsultation:</w:t>
      </w:r>
      <w:r w:rsidR="00B10580" w:rsidRPr="00B90337">
        <w:t xml:space="preserve"> </w:t>
      </w:r>
      <w:r w:rsidR="00E33A83">
        <w:t>a</w:t>
      </w:r>
      <w:r w:rsidR="00305AB5">
        <w:t xml:space="preserve"> </w:t>
      </w:r>
      <w:r w:rsidR="003E0F1B">
        <w:t>Department</w:t>
      </w:r>
      <w:r w:rsidR="004F7232">
        <w:t>-</w:t>
      </w:r>
      <w:r w:rsidR="007D13D9">
        <w:t xml:space="preserve">led </w:t>
      </w:r>
      <w:r w:rsidR="00B10580" w:rsidRPr="00B90337">
        <w:t>stakeholder c</w:t>
      </w:r>
      <w:r w:rsidR="00B10580" w:rsidRPr="006F370E">
        <w:t>o</w:t>
      </w:r>
      <w:r w:rsidR="00B10580" w:rsidRPr="002814B5">
        <w:t xml:space="preserve">nsultation </w:t>
      </w:r>
      <w:r w:rsidR="00E33A83">
        <w:t xml:space="preserve">process which was facilitated </w:t>
      </w:r>
      <w:r w:rsidR="00B10580" w:rsidRPr="00B90337">
        <w:t>through</w:t>
      </w:r>
      <w:r w:rsidR="00B10580">
        <w:t xml:space="preserve"> a</w:t>
      </w:r>
      <w:r w:rsidR="00B10580" w:rsidRPr="00B90337">
        <w:t xml:space="preserve"> PHI </w:t>
      </w:r>
      <w:r w:rsidR="00B10580">
        <w:t>c</w:t>
      </w:r>
      <w:r w:rsidR="00B10580" w:rsidRPr="00B90337">
        <w:t>ircular</w:t>
      </w:r>
      <w:r w:rsidR="004F7232">
        <w:t xml:space="preserve">. This was in addition to the preliminary feedback described in Section </w:t>
      </w:r>
      <w:r w:rsidR="004F7232">
        <w:fldChar w:fldCharType="begin"/>
      </w:r>
      <w:r w:rsidR="004F7232">
        <w:instrText xml:space="preserve"> REF _Ref41309361 \r \h </w:instrText>
      </w:r>
      <w:r w:rsidR="004F7232">
        <w:fldChar w:fldCharType="separate"/>
      </w:r>
      <w:r w:rsidR="00784DE2">
        <w:t>2.4</w:t>
      </w:r>
      <w:r w:rsidR="004F7232">
        <w:fldChar w:fldCharType="end"/>
      </w:r>
      <w:r w:rsidR="00B10580" w:rsidRPr="000E26E3">
        <w:t>;</w:t>
      </w:r>
    </w:p>
    <w:p w14:paraId="647E400C" w14:textId="6DDA1073" w:rsidR="00966AF2" w:rsidRDefault="00966AF2" w:rsidP="00463B2D">
      <w:pPr>
        <w:pStyle w:val="EY1Number"/>
        <w:numPr>
          <w:ilvl w:val="0"/>
          <w:numId w:val="65"/>
        </w:numPr>
      </w:pPr>
      <w:r w:rsidRPr="000E26E3">
        <w:rPr>
          <w:b/>
          <w:bCs/>
        </w:rPr>
        <w:t xml:space="preserve">HCP </w:t>
      </w:r>
      <w:r w:rsidR="00795FBC" w:rsidRPr="000E26E3">
        <w:rPr>
          <w:b/>
          <w:bCs/>
        </w:rPr>
        <w:t>d</w:t>
      </w:r>
      <w:r w:rsidRPr="008B1A27">
        <w:rPr>
          <w:b/>
          <w:bCs/>
        </w:rPr>
        <w:t xml:space="preserve">ata </w:t>
      </w:r>
      <w:r w:rsidR="00795FBC" w:rsidRPr="00280AA9">
        <w:rPr>
          <w:b/>
          <w:bCs/>
        </w:rPr>
        <w:t>a</w:t>
      </w:r>
      <w:r w:rsidRPr="00DB435D">
        <w:rPr>
          <w:b/>
          <w:bCs/>
        </w:rPr>
        <w:t>nalysis:</w:t>
      </w:r>
      <w:r>
        <w:t xml:space="preserve"> identification and analysis of trends in benefit amounts and usage, </w:t>
      </w:r>
      <w:r w:rsidR="00110E5D">
        <w:t>including analysis into usage with other items on the PL,</w:t>
      </w:r>
      <w:r w:rsidR="00955840">
        <w:t xml:space="preserve"> the medical procedures </w:t>
      </w:r>
      <w:r w:rsidR="00DE200F">
        <w:t>for which items were being used</w:t>
      </w:r>
      <w:r w:rsidR="009111E5">
        <w:t xml:space="preserve"> and variations of usage between hospital owners</w:t>
      </w:r>
      <w:r w:rsidR="009D3951">
        <w:t>;</w:t>
      </w:r>
    </w:p>
    <w:p w14:paraId="5A6BEEE4" w14:textId="77777777" w:rsidR="00966AF2" w:rsidRDefault="00966AF2" w:rsidP="00463B2D">
      <w:pPr>
        <w:pStyle w:val="EY1Number"/>
        <w:numPr>
          <w:ilvl w:val="0"/>
          <w:numId w:val="65"/>
        </w:numPr>
      </w:pPr>
      <w:r w:rsidRPr="000E26E3">
        <w:rPr>
          <w:b/>
          <w:bCs/>
        </w:rPr>
        <w:t>Benchmarking:</w:t>
      </w:r>
      <w:r w:rsidRPr="00463B2D">
        <w:rPr>
          <w:b/>
          <w:bCs/>
        </w:rPr>
        <w:t xml:space="preserve"> </w:t>
      </w:r>
      <w:r>
        <w:t xml:space="preserve">utilisation of benchmarking data to undertake a pricing comparison </w:t>
      </w:r>
      <w:r w:rsidR="00BC669F">
        <w:t>between the PL and the public hospital system in two Australian jurisdictions</w:t>
      </w:r>
      <w:r w:rsidR="009D3951">
        <w:t>;</w:t>
      </w:r>
    </w:p>
    <w:p w14:paraId="79B87532" w14:textId="68D0B687" w:rsidR="00966AF2" w:rsidRDefault="00966AF2" w:rsidP="00463B2D">
      <w:pPr>
        <w:pStyle w:val="EY1Number"/>
        <w:numPr>
          <w:ilvl w:val="0"/>
          <w:numId w:val="65"/>
        </w:numPr>
      </w:pPr>
      <w:r w:rsidRPr="000E26E3">
        <w:rPr>
          <w:b/>
          <w:bCs/>
        </w:rPr>
        <w:t>Inputs</w:t>
      </w:r>
      <w:r w:rsidR="001968FB" w:rsidRPr="000E26E3">
        <w:rPr>
          <w:b/>
          <w:bCs/>
        </w:rPr>
        <w:t xml:space="preserve"> from clinical </w:t>
      </w:r>
      <w:r w:rsidR="00DB435D">
        <w:rPr>
          <w:b/>
          <w:bCs/>
        </w:rPr>
        <w:t>subject matter resources</w:t>
      </w:r>
      <w:r w:rsidRPr="000E26E3">
        <w:rPr>
          <w:b/>
          <w:bCs/>
        </w:rPr>
        <w:t>:</w:t>
      </w:r>
      <w:r>
        <w:t xml:space="preserve"> a review of the current state including clinical usage, funding methods, impact of listing and benefit amount</w:t>
      </w:r>
      <w:r w:rsidR="000803FE">
        <w:t xml:space="preserve">s from </w:t>
      </w:r>
      <w:r w:rsidR="007F4EF6">
        <w:t>EY’s</w:t>
      </w:r>
      <w:r w:rsidR="000803FE">
        <w:t xml:space="preserve"> </w:t>
      </w:r>
      <w:r w:rsidR="00DB435D">
        <w:t>subject matter resources</w:t>
      </w:r>
      <w:r w:rsidR="009D3951">
        <w:t>;</w:t>
      </w:r>
      <w:r w:rsidR="00B10580">
        <w:t xml:space="preserve"> and</w:t>
      </w:r>
    </w:p>
    <w:p w14:paraId="3474ED3C" w14:textId="29F74D42" w:rsidR="00966AF2" w:rsidRDefault="009D3951" w:rsidP="00463B2D">
      <w:pPr>
        <w:pStyle w:val="EY1Number"/>
        <w:numPr>
          <w:ilvl w:val="0"/>
          <w:numId w:val="65"/>
        </w:numPr>
      </w:pPr>
      <w:r w:rsidRPr="000E26E3">
        <w:rPr>
          <w:b/>
          <w:bCs/>
        </w:rPr>
        <w:t xml:space="preserve">Review and </w:t>
      </w:r>
      <w:r w:rsidR="00795FBC" w:rsidRPr="000E26E3">
        <w:rPr>
          <w:b/>
          <w:bCs/>
        </w:rPr>
        <w:t>r</w:t>
      </w:r>
      <w:r w:rsidR="00966AF2" w:rsidRPr="000E26E3">
        <w:rPr>
          <w:b/>
          <w:bCs/>
        </w:rPr>
        <w:t>eporting:</w:t>
      </w:r>
      <w:r w:rsidR="00966AF2">
        <w:t xml:space="preserve"> </w:t>
      </w:r>
      <w:r w:rsidR="001C6187">
        <w:t>review of the draft report by the Department</w:t>
      </w:r>
      <w:r w:rsidR="00B90337">
        <w:t xml:space="preserve"> </w:t>
      </w:r>
      <w:r w:rsidR="001C6187">
        <w:t>prior to finalisation of the report</w:t>
      </w:r>
      <w:r>
        <w:t>.</w:t>
      </w:r>
    </w:p>
    <w:p w14:paraId="04BDEA32" w14:textId="2DF6642C" w:rsidR="005F78A3" w:rsidRPr="00966AF2" w:rsidRDefault="002443DC" w:rsidP="006F0514">
      <w:pPr>
        <w:pStyle w:val="Bodytextwithparaspace"/>
      </w:pPr>
      <w:r>
        <w:t xml:space="preserve">Due to the onset and disruption </w:t>
      </w:r>
      <w:r w:rsidR="004A1D3C">
        <w:t>caused by</w:t>
      </w:r>
      <w:r>
        <w:t xml:space="preserve"> COVID-19</w:t>
      </w:r>
      <w:r w:rsidR="004A1D3C">
        <w:t xml:space="preserve"> to the Australian Health</w:t>
      </w:r>
      <w:r w:rsidR="005F03F6">
        <w:t>care</w:t>
      </w:r>
      <w:r w:rsidR="004A1D3C">
        <w:t xml:space="preserve"> industry</w:t>
      </w:r>
      <w:r>
        <w:t xml:space="preserve">, it was not possible for </w:t>
      </w:r>
      <w:r w:rsidR="004A1D3C">
        <w:t xml:space="preserve">later </w:t>
      </w:r>
      <w:r>
        <w:t>round</w:t>
      </w:r>
      <w:r w:rsidR="004A1D3C">
        <w:t>s</w:t>
      </w:r>
      <w:r>
        <w:t xml:space="preserve"> of consultation to be run</w:t>
      </w:r>
      <w:r w:rsidR="00B10580">
        <w:t xml:space="preserve"> as had been the initial intention</w:t>
      </w:r>
      <w:r>
        <w:t>.</w:t>
      </w:r>
    </w:p>
    <w:p w14:paraId="04CE3A03" w14:textId="77777777" w:rsidR="001C4FFE" w:rsidRPr="005561AD" w:rsidRDefault="004B2C0A" w:rsidP="001C4FFE">
      <w:pPr>
        <w:pStyle w:val="EYHeading3"/>
      </w:pPr>
      <w:r>
        <w:t>Structure of analysis</w:t>
      </w:r>
    </w:p>
    <w:p w14:paraId="76944141" w14:textId="77777777" w:rsidR="005F78A3" w:rsidRDefault="005D7C84" w:rsidP="005F78A3">
      <w:pPr>
        <w:pStyle w:val="Bodytextwithparaspace"/>
      </w:pPr>
      <w:bookmarkStart w:id="26" w:name="_Ref37863084"/>
      <w:r>
        <w:t>The</w:t>
      </w:r>
      <w:r w:rsidR="005F78A3" w:rsidRPr="00A26B3B">
        <w:t xml:space="preserve"> analysis and findings have been grouped in the report based on </w:t>
      </w:r>
      <w:r w:rsidR="005F78A3">
        <w:t>the following potential key types of issues:</w:t>
      </w:r>
    </w:p>
    <w:p w14:paraId="30985559" w14:textId="6B655937" w:rsidR="005F78A3" w:rsidRDefault="005F78A3" w:rsidP="00342882">
      <w:pPr>
        <w:pStyle w:val="EY1Number"/>
        <w:numPr>
          <w:ilvl w:val="0"/>
          <w:numId w:val="22"/>
        </w:numPr>
      </w:pPr>
      <w:r>
        <w:t xml:space="preserve">Issues with the listing criteria and categorisation approach – Section </w:t>
      </w:r>
      <w:r>
        <w:fldChar w:fldCharType="begin"/>
      </w:r>
      <w:r>
        <w:instrText xml:space="preserve"> REF _Ref39591275 \r \h </w:instrText>
      </w:r>
      <w:r w:rsidR="00BE0669">
        <w:instrText xml:space="preserve"> \* MERGEFORMAT </w:instrText>
      </w:r>
      <w:r>
        <w:fldChar w:fldCharType="separate"/>
      </w:r>
      <w:r w:rsidR="00784DE2">
        <w:t>4.3</w:t>
      </w:r>
      <w:r>
        <w:fldChar w:fldCharType="end"/>
      </w:r>
      <w:r w:rsidR="00E403B5">
        <w:t>. This component is intended to address the Terms of Reference item 1.</w:t>
      </w:r>
    </w:p>
    <w:p w14:paraId="5F0EFF30" w14:textId="24642DF7" w:rsidR="005F78A3" w:rsidRDefault="005F78A3" w:rsidP="00342882">
      <w:pPr>
        <w:pStyle w:val="EY1Number"/>
        <w:numPr>
          <w:ilvl w:val="0"/>
          <w:numId w:val="22"/>
        </w:numPr>
      </w:pPr>
      <w:r>
        <w:t xml:space="preserve">Issues relating to </w:t>
      </w:r>
      <w:r w:rsidR="00DE7B40">
        <w:t xml:space="preserve">high and/or highly growing </w:t>
      </w:r>
      <w:r>
        <w:t xml:space="preserve">usage – Section </w:t>
      </w:r>
      <w:r>
        <w:fldChar w:fldCharType="begin"/>
      </w:r>
      <w:r>
        <w:instrText xml:space="preserve"> REF _Ref39602441 \r \h </w:instrText>
      </w:r>
      <w:r w:rsidR="00E403B5">
        <w:instrText xml:space="preserve"> \* MERGEFORMAT </w:instrText>
      </w:r>
      <w:r>
        <w:fldChar w:fldCharType="separate"/>
      </w:r>
      <w:r w:rsidR="00784DE2">
        <w:t>4.4</w:t>
      </w:r>
      <w:r>
        <w:fldChar w:fldCharType="end"/>
      </w:r>
      <w:r w:rsidR="00E403B5">
        <w:t>. This component is intended to address the Terms of Reference item 2.</w:t>
      </w:r>
    </w:p>
    <w:p w14:paraId="5D60B5B1" w14:textId="7AE9137F" w:rsidR="005F78A3" w:rsidRDefault="005F78A3" w:rsidP="00342882">
      <w:pPr>
        <w:pStyle w:val="EY1Number"/>
        <w:numPr>
          <w:ilvl w:val="0"/>
          <w:numId w:val="22"/>
        </w:numPr>
      </w:pPr>
      <w:r>
        <w:t xml:space="preserve">Issues relating to benefit amounts – Section </w:t>
      </w:r>
      <w:r>
        <w:fldChar w:fldCharType="begin"/>
      </w:r>
      <w:r>
        <w:instrText xml:space="preserve"> REF _Ref39602485 \r \h </w:instrText>
      </w:r>
      <w:r w:rsidR="00E403B5">
        <w:instrText xml:space="preserve"> \* MERGEFORMAT </w:instrText>
      </w:r>
      <w:r>
        <w:fldChar w:fldCharType="separate"/>
      </w:r>
      <w:r w:rsidR="00784DE2">
        <w:t>4.5</w:t>
      </w:r>
      <w:r>
        <w:fldChar w:fldCharType="end"/>
      </w:r>
      <w:r w:rsidR="00E403B5">
        <w:t>.</w:t>
      </w:r>
    </w:p>
    <w:p w14:paraId="62273EA9" w14:textId="77777777" w:rsidR="004B2C0A" w:rsidRDefault="004B2C0A" w:rsidP="005F78A3">
      <w:pPr>
        <w:pStyle w:val="Bodytextwithparaspace"/>
      </w:pPr>
      <w:r>
        <w:t xml:space="preserve">Further details on </w:t>
      </w:r>
      <w:r w:rsidR="005D7C84">
        <w:t>the</w:t>
      </w:r>
      <w:r w:rsidR="005F78A3">
        <w:t xml:space="preserve"> investigation</w:t>
      </w:r>
      <w:r>
        <w:t xml:space="preserve"> approach is included at the start of each of these sections.</w:t>
      </w:r>
    </w:p>
    <w:p w14:paraId="169BC0CC" w14:textId="2E76B4B9" w:rsidR="00E403B5" w:rsidRPr="003934F6" w:rsidRDefault="004B2C0A" w:rsidP="00E403B5">
      <w:pPr>
        <w:pStyle w:val="Bodytextwithparaspace"/>
      </w:pPr>
      <w:r>
        <w:t xml:space="preserve">In Section </w:t>
      </w:r>
      <w:r>
        <w:fldChar w:fldCharType="begin"/>
      </w:r>
      <w:r>
        <w:instrText xml:space="preserve"> REF _Ref39231684 \r \h </w:instrText>
      </w:r>
      <w:r>
        <w:fldChar w:fldCharType="separate"/>
      </w:r>
      <w:r w:rsidR="00784DE2">
        <w:t>4.6</w:t>
      </w:r>
      <w:r>
        <w:fldChar w:fldCharType="end"/>
      </w:r>
      <w:r w:rsidR="00C95AEB">
        <w:t>,</w:t>
      </w:r>
      <w:r>
        <w:t xml:space="preserve"> </w:t>
      </w:r>
      <w:r w:rsidR="00C95AEB">
        <w:t>it is</w:t>
      </w:r>
      <w:r>
        <w:t xml:space="preserve"> consider</w:t>
      </w:r>
      <w:r w:rsidR="00C95AEB">
        <w:t>ed</w:t>
      </w:r>
      <w:r>
        <w:t xml:space="preserve"> whether a</w:t>
      </w:r>
      <w:r w:rsidRPr="00DF164D">
        <w:t>lternative (non-</w:t>
      </w:r>
      <w:r>
        <w:t>PL</w:t>
      </w:r>
      <w:r w:rsidRPr="00DF164D">
        <w:t>) funding mechanisms are available for the same items</w:t>
      </w:r>
      <w:r>
        <w:t xml:space="preserve"> analysed in Sections </w:t>
      </w:r>
      <w:r>
        <w:fldChar w:fldCharType="begin"/>
      </w:r>
      <w:r>
        <w:instrText xml:space="preserve"> REF _Ref39604813 \r \h </w:instrText>
      </w:r>
      <w:r>
        <w:fldChar w:fldCharType="separate"/>
      </w:r>
      <w:r w:rsidR="00784DE2">
        <w:t>4.4</w:t>
      </w:r>
      <w:r>
        <w:fldChar w:fldCharType="end"/>
      </w:r>
      <w:r>
        <w:t xml:space="preserve"> and </w:t>
      </w:r>
      <w:r>
        <w:fldChar w:fldCharType="begin"/>
      </w:r>
      <w:r>
        <w:instrText xml:space="preserve"> REF _Ref39604822 \r \h </w:instrText>
      </w:r>
      <w:r>
        <w:fldChar w:fldCharType="separate"/>
      </w:r>
      <w:r w:rsidR="00784DE2">
        <w:t>4.5</w:t>
      </w:r>
      <w:r>
        <w:fldChar w:fldCharType="end"/>
      </w:r>
      <w:r w:rsidRPr="00DF164D">
        <w:t xml:space="preserve">, </w:t>
      </w:r>
      <w:r>
        <w:t>and whether the use of these mechanisms might have the potential to r</w:t>
      </w:r>
      <w:r w:rsidRPr="00DF164D">
        <w:t>educe overall costs.</w:t>
      </w:r>
      <w:r w:rsidR="00E403B5">
        <w:t xml:space="preserve"> This component is intended to address the Terms of Reference items 3.</w:t>
      </w:r>
    </w:p>
    <w:p w14:paraId="70401F0F" w14:textId="77777777" w:rsidR="00E403B5" w:rsidRDefault="005F78A3" w:rsidP="005F78A3">
      <w:pPr>
        <w:pStyle w:val="Bodytextwithparaspace"/>
      </w:pPr>
      <w:r>
        <w:t>S</w:t>
      </w:r>
      <w:r w:rsidRPr="00A26B3B">
        <w:t xml:space="preserve">ection 5 </w:t>
      </w:r>
      <w:r>
        <w:t xml:space="preserve">then </w:t>
      </w:r>
      <w:r w:rsidRPr="00A26B3B">
        <w:t xml:space="preserve">highlights key case studies where products on the PL have </w:t>
      </w:r>
      <w:r>
        <w:t>potential issues across more than one of these areas</w:t>
      </w:r>
      <w:r w:rsidRPr="00A26B3B">
        <w:t>.</w:t>
      </w:r>
    </w:p>
    <w:p w14:paraId="66F47131" w14:textId="16009084" w:rsidR="005F78A3" w:rsidRDefault="005F78A3" w:rsidP="005F78A3">
      <w:pPr>
        <w:pStyle w:val="Bodytextwithparaspace"/>
      </w:pPr>
      <w:r>
        <w:t xml:space="preserve">Section 6 provides a summary of </w:t>
      </w:r>
      <w:r w:rsidR="005D7C84">
        <w:t>the</w:t>
      </w:r>
      <w:r>
        <w:t xml:space="preserve"> findings with </w:t>
      </w:r>
      <w:r w:rsidR="003970E4">
        <w:t xml:space="preserve">recommendations </w:t>
      </w:r>
      <w:r w:rsidR="001968FB">
        <w:t>for improvement that the Department should consider</w:t>
      </w:r>
      <w:r>
        <w:t>.</w:t>
      </w:r>
      <w:r w:rsidR="003970E4">
        <w:t xml:space="preserve"> This component is intended to address the Terms of Reference items 4 and 5.</w:t>
      </w:r>
    </w:p>
    <w:p w14:paraId="4AA7509F" w14:textId="77777777" w:rsidR="0071744E" w:rsidRPr="00C15151" w:rsidRDefault="0071744E" w:rsidP="00C73219">
      <w:pPr>
        <w:pStyle w:val="EYHeading3"/>
      </w:pPr>
      <w:bookmarkStart w:id="27" w:name="_Ref39672211"/>
      <w:r w:rsidRPr="00C15151">
        <w:t>Data</w:t>
      </w:r>
      <w:bookmarkEnd w:id="26"/>
      <w:bookmarkEnd w:id="27"/>
    </w:p>
    <w:p w14:paraId="0FCCCC37" w14:textId="77777777" w:rsidR="0071744E" w:rsidRPr="00A26B3B" w:rsidRDefault="0071744E" w:rsidP="002766B2">
      <w:pPr>
        <w:pStyle w:val="EYHeading4"/>
      </w:pPr>
      <w:bookmarkStart w:id="28" w:name="_Ref39497096"/>
      <w:r w:rsidRPr="00A26B3B">
        <w:t>H</w:t>
      </w:r>
      <w:r w:rsidR="00BE0669">
        <w:t xml:space="preserve">ospital </w:t>
      </w:r>
      <w:r w:rsidRPr="00A26B3B">
        <w:t>C</w:t>
      </w:r>
      <w:r w:rsidR="00BE0669">
        <w:t xml:space="preserve">asemix </w:t>
      </w:r>
      <w:r w:rsidRPr="00A26B3B">
        <w:t>P</w:t>
      </w:r>
      <w:r w:rsidR="00BE0669">
        <w:t>rotocol</w:t>
      </w:r>
      <w:r w:rsidRPr="00A26B3B">
        <w:t xml:space="preserve"> data</w:t>
      </w:r>
      <w:bookmarkEnd w:id="28"/>
    </w:p>
    <w:p w14:paraId="3EC31566" w14:textId="5AA00EA6" w:rsidR="00C36117" w:rsidRPr="00C55D30" w:rsidRDefault="00C36117" w:rsidP="00C36117">
      <w:pPr>
        <w:pStyle w:val="Bodytextwithparaspace"/>
      </w:pPr>
      <w:r w:rsidRPr="00C55D30">
        <w:t>The HCP</w:t>
      </w:r>
      <w:r>
        <w:t>1</w:t>
      </w:r>
      <w:r w:rsidRPr="00C55D30">
        <w:t xml:space="preserve"> dataset was used to provide information on the benefits paid and total usage of items on the PL, as well as information related to the associated episode</w:t>
      </w:r>
      <w:r>
        <w:t>s</w:t>
      </w:r>
      <w:r w:rsidRPr="00C55D30">
        <w:t xml:space="preserve"> of care. This dataset </w:t>
      </w:r>
      <w:r w:rsidR="00D25E1F" w:rsidRPr="00C55D30">
        <w:t>include</w:t>
      </w:r>
      <w:r w:rsidR="00D25E1F">
        <w:t>s</w:t>
      </w:r>
      <w:r w:rsidR="00D25E1F" w:rsidRPr="00C55D30">
        <w:t xml:space="preserve"> </w:t>
      </w:r>
      <w:r w:rsidRPr="00C55D30">
        <w:t xml:space="preserve">episode-level data on the items charged to private health insurers that were from the </w:t>
      </w:r>
      <w:r w:rsidR="004C2680">
        <w:t>PL</w:t>
      </w:r>
      <w:r w:rsidRPr="00C55D30">
        <w:t>, the amount charged, the benefit paid, and other demographic information relating to the episode.</w:t>
      </w:r>
    </w:p>
    <w:p w14:paraId="5D18C577" w14:textId="77777777" w:rsidR="00BE0669" w:rsidRDefault="00C36117" w:rsidP="00C36117">
      <w:pPr>
        <w:pStyle w:val="Bodytextwithparaspace"/>
      </w:pPr>
      <w:r w:rsidRPr="00C55D30">
        <w:t xml:space="preserve">The completeness of the </w:t>
      </w:r>
      <w:r w:rsidR="00BE0669">
        <w:t xml:space="preserve">HCP1 </w:t>
      </w:r>
      <w:r w:rsidRPr="00C55D30">
        <w:t>data was</w:t>
      </w:r>
      <w:r>
        <w:t xml:space="preserve"> assessed by comparison to APRA</w:t>
      </w:r>
      <w:r w:rsidR="00BE0669">
        <w:t>’s</w:t>
      </w:r>
      <w:r>
        <w:t xml:space="preserve"> private health insurance statistic figures for prostheses usage. </w:t>
      </w:r>
      <w:r w:rsidR="00BE0669">
        <w:t xml:space="preserve">APRA’s statistics represent a complete picture of all payments by insurers for PL items at an aggregated level. </w:t>
      </w:r>
    </w:p>
    <w:p w14:paraId="1A5C5726" w14:textId="495EEE7D" w:rsidR="00C36117" w:rsidRDefault="00C36117" w:rsidP="00C36117">
      <w:pPr>
        <w:pStyle w:val="Bodytextwithparaspace"/>
      </w:pPr>
      <w:r>
        <w:t xml:space="preserve">Specifically, the total number of </w:t>
      </w:r>
      <w:r w:rsidR="00DB435D">
        <w:t xml:space="preserve">prosthetic </w:t>
      </w:r>
      <w:r>
        <w:t xml:space="preserve">items used was compared between the HCP1 and APRA datasets to provide a completeness percentage for private and day hospitals and public hospitals, separately. The average prostheses benefit amount paid in each year was also compared </w:t>
      </w:r>
      <w:r w:rsidR="001968FB">
        <w:t>to give an indication of the representativeness of the HCP1 dataset.</w:t>
      </w:r>
      <w:r>
        <w:t xml:space="preserve"> </w:t>
      </w:r>
    </w:p>
    <w:p w14:paraId="77B58B54" w14:textId="77777777" w:rsidR="00C36117" w:rsidRPr="00151D4C" w:rsidRDefault="00C36117" w:rsidP="00C36117">
      <w:pPr>
        <w:pStyle w:val="Bodytextwithparaspace"/>
        <w:rPr>
          <w:b/>
          <w:bCs/>
        </w:rPr>
      </w:pPr>
      <w:r>
        <w:rPr>
          <w:b/>
          <w:bCs/>
        </w:rPr>
        <w:t>Completeness of the data</w:t>
      </w:r>
    </w:p>
    <w:p w14:paraId="0AAF0A68" w14:textId="62807BD9" w:rsidR="001968FB" w:rsidRDefault="00C36117" w:rsidP="00C36117">
      <w:pPr>
        <w:pStyle w:val="Bodytextwithparaspace"/>
      </w:pPr>
      <w:r>
        <w:fldChar w:fldCharType="begin"/>
      </w:r>
      <w:r>
        <w:instrText xml:space="preserve"> REF _Ref37838527 \h </w:instrText>
      </w:r>
      <w:r>
        <w:fldChar w:fldCharType="separate"/>
      </w:r>
      <w:r w:rsidR="00784DE2">
        <w:t xml:space="preserve">Table </w:t>
      </w:r>
      <w:r w:rsidR="00784DE2">
        <w:rPr>
          <w:noProof/>
        </w:rPr>
        <w:t>3</w:t>
      </w:r>
      <w:r>
        <w:fldChar w:fldCharType="end"/>
      </w:r>
      <w:r>
        <w:t xml:space="preserve"> summarises the results of this comparison between the HCP1 and APRA datasets. </w:t>
      </w:r>
      <w:r w:rsidRPr="00C55D30">
        <w:t>The HCP</w:t>
      </w:r>
      <w:r>
        <w:t>1</w:t>
      </w:r>
      <w:r w:rsidRPr="00C55D30">
        <w:t xml:space="preserve"> </w:t>
      </w:r>
      <w:r>
        <w:t xml:space="preserve">prostheses </w:t>
      </w:r>
      <w:r w:rsidRPr="00C55D30">
        <w:t xml:space="preserve">dataset </w:t>
      </w:r>
      <w:r>
        <w:t>was</w:t>
      </w:r>
      <w:r w:rsidRPr="00C55D30">
        <w:t xml:space="preserve"> </w:t>
      </w:r>
      <w:r>
        <w:t xml:space="preserve">deemed </w:t>
      </w:r>
      <w:r w:rsidRPr="00C55D30">
        <w:t>close to ‘complete’</w:t>
      </w:r>
      <w:r>
        <w:t xml:space="preserve"> for private and day hospitals</w:t>
      </w:r>
      <w:r w:rsidR="001968FB">
        <w:t>,</w:t>
      </w:r>
      <w:r>
        <w:t xml:space="preserve"> with 91% overall completeness over the period from FY11 through FY19</w:t>
      </w:r>
      <w:r w:rsidRPr="00C55D30">
        <w:t>.</w:t>
      </w:r>
    </w:p>
    <w:p w14:paraId="782EF90A" w14:textId="0887022F" w:rsidR="001968FB" w:rsidRDefault="00C36117" w:rsidP="00C36117">
      <w:pPr>
        <w:pStyle w:val="Bodytextwithparaspace"/>
      </w:pPr>
      <w:r>
        <w:t>It is noted</w:t>
      </w:r>
      <w:r w:rsidR="001968FB">
        <w:t xml:space="preserve"> </w:t>
      </w:r>
      <w:r>
        <w:t xml:space="preserve">that completeness for private prostheses usage in public hospitals </w:t>
      </w:r>
      <w:r w:rsidR="00D25E1F">
        <w:t>was</w:t>
      </w:r>
      <w:r>
        <w:t xml:space="preserve"> significantly lower</w:t>
      </w:r>
      <w:r w:rsidR="00D25E1F">
        <w:t xml:space="preserve"> than private hospitals, </w:t>
      </w:r>
      <w:r>
        <w:t xml:space="preserve">with 49% overall completeness for the same period. </w:t>
      </w:r>
      <w:r w:rsidR="00D25E1F">
        <w:t xml:space="preserve">Usage of prostheses </w:t>
      </w:r>
      <w:r w:rsidR="00334A1B">
        <w:t xml:space="preserve">in public hospitals but </w:t>
      </w:r>
      <w:r w:rsidR="00D25E1F">
        <w:t>funded through the PL</w:t>
      </w:r>
      <w:r>
        <w:t>, however, represent</w:t>
      </w:r>
      <w:r w:rsidR="00334A1B">
        <w:t>ed</w:t>
      </w:r>
      <w:r>
        <w:t xml:space="preserve"> a relatively small p</w:t>
      </w:r>
      <w:r w:rsidR="00D25E1F">
        <w:t>rop</w:t>
      </w:r>
      <w:r>
        <w:t xml:space="preserve">ortion of total </w:t>
      </w:r>
      <w:r w:rsidR="00D25E1F">
        <w:t xml:space="preserve">PL-funded </w:t>
      </w:r>
      <w:r>
        <w:t xml:space="preserve">prostheses usage </w:t>
      </w:r>
      <w:r w:rsidR="00D25E1F">
        <w:t xml:space="preserve">- </w:t>
      </w:r>
      <w:r>
        <w:t>approximately 10% based on the APRA-reported figures</w:t>
      </w:r>
      <w:r w:rsidR="00D25E1F">
        <w:t>.</w:t>
      </w:r>
      <w:r>
        <w:t xml:space="preserve"> </w:t>
      </w:r>
      <w:r w:rsidR="00D25E1F">
        <w:t>The</w:t>
      </w:r>
      <w:r>
        <w:t xml:space="preserve"> overall ‘completeness’ </w:t>
      </w:r>
      <w:r w:rsidR="00D25E1F">
        <w:t xml:space="preserve">of the HCP1 dataset </w:t>
      </w:r>
      <w:r>
        <w:t xml:space="preserve">across all hospitals </w:t>
      </w:r>
      <w:r w:rsidR="00D25E1F">
        <w:t xml:space="preserve">was </w:t>
      </w:r>
      <w:r>
        <w:t>87% for FY11 – FY19.</w:t>
      </w:r>
    </w:p>
    <w:p w14:paraId="3D14FCDA" w14:textId="345CC449" w:rsidR="00C36117" w:rsidRDefault="004B18F6" w:rsidP="00C36117">
      <w:pPr>
        <w:pStyle w:val="Bodytextwithparaspace"/>
      </w:pPr>
      <w:r>
        <w:t xml:space="preserve">The impact </w:t>
      </w:r>
      <w:r w:rsidR="00D25E1F">
        <w:t xml:space="preserve">of the small proportion of incomplete HCP1 data </w:t>
      </w:r>
      <w:r>
        <w:t xml:space="preserve">on the average prostheses benefit paid </w:t>
      </w:r>
      <w:r w:rsidR="00334A1B">
        <w:t>wa</w:t>
      </w:r>
      <w:r>
        <w:t xml:space="preserve">s minimal, with </w:t>
      </w:r>
      <w:r w:rsidR="00AA14A7">
        <w:t xml:space="preserve">the average PL benefit amount from </w:t>
      </w:r>
      <w:r>
        <w:t>HCP</w:t>
      </w:r>
      <w:r w:rsidR="00AA14A7">
        <w:t>1</w:t>
      </w:r>
      <w:r>
        <w:t xml:space="preserve"> being within approximately 1% or less of the APRA-reported amounts. </w:t>
      </w:r>
    </w:p>
    <w:p w14:paraId="693519B9" w14:textId="50884E5B" w:rsidR="00C36117" w:rsidRDefault="00C36117" w:rsidP="00C36117">
      <w:pPr>
        <w:pStyle w:val="Caption"/>
        <w:keepNext/>
      </w:pPr>
      <w:bookmarkStart w:id="29" w:name="_Ref37838527"/>
      <w:r>
        <w:t xml:space="preserve">Table </w:t>
      </w:r>
      <w:r w:rsidR="00FC6370">
        <w:fldChar w:fldCharType="begin"/>
      </w:r>
      <w:r w:rsidR="00FC6370">
        <w:instrText xml:space="preserve"> SEQ Table \* ARABIC </w:instrText>
      </w:r>
      <w:r w:rsidR="00FC6370">
        <w:fldChar w:fldCharType="separate"/>
      </w:r>
      <w:r w:rsidR="00784DE2">
        <w:rPr>
          <w:noProof/>
        </w:rPr>
        <w:t>3</w:t>
      </w:r>
      <w:r w:rsidR="00FC6370">
        <w:rPr>
          <w:noProof/>
        </w:rPr>
        <w:fldChar w:fldCharType="end"/>
      </w:r>
      <w:bookmarkEnd w:id="29"/>
      <w:r>
        <w:t xml:space="preserve"> – Comparison of HCP1 and APRA prostheses data</w:t>
      </w:r>
    </w:p>
    <w:tbl>
      <w:tblPr>
        <w:tblW w:w="5000" w:type="pct"/>
        <w:tblBorders>
          <w:top w:val="dotted" w:sz="8" w:space="0" w:color="7F7E82"/>
          <w:left w:val="dotted" w:sz="8" w:space="0" w:color="7F7E82"/>
          <w:bottom w:val="dotted" w:sz="8" w:space="0" w:color="7F7E82"/>
          <w:right w:val="dotted" w:sz="8" w:space="0" w:color="7F7E82"/>
          <w:insideH w:val="dotted" w:sz="8" w:space="0" w:color="7F7E82"/>
          <w:insideV w:val="dotted" w:sz="8" w:space="0" w:color="7F7E82"/>
        </w:tblBorders>
        <w:tblCellMar>
          <w:left w:w="57" w:type="dxa"/>
          <w:right w:w="57" w:type="dxa"/>
        </w:tblCellMar>
        <w:tblLook w:val="0000" w:firstRow="0" w:lastRow="0" w:firstColumn="0" w:lastColumn="0" w:noHBand="0" w:noVBand="0"/>
      </w:tblPr>
      <w:tblGrid>
        <w:gridCol w:w="1266"/>
        <w:gridCol w:w="1559"/>
        <w:gridCol w:w="1701"/>
        <w:gridCol w:w="1418"/>
        <w:gridCol w:w="1559"/>
        <w:gridCol w:w="1506"/>
      </w:tblGrid>
      <w:tr w:rsidR="00C36117" w:rsidRPr="00151D4C" w14:paraId="6773A77B" w14:textId="77777777" w:rsidTr="00AF1D4E">
        <w:trPr>
          <w:trHeight w:val="20"/>
          <w:tblHeader/>
        </w:trPr>
        <w:tc>
          <w:tcPr>
            <w:tcW w:w="703" w:type="pct"/>
            <w:vMerge w:val="restart"/>
            <w:shd w:val="clear" w:color="auto" w:fill="FFE600" w:themeFill="text2"/>
            <w:vAlign w:val="center"/>
          </w:tcPr>
          <w:p w14:paraId="3528C8F1" w14:textId="77777777" w:rsidR="00C36117" w:rsidRPr="001968FB" w:rsidRDefault="00C36117" w:rsidP="001968FB">
            <w:pPr>
              <w:pStyle w:val="Tabletextbold"/>
              <w:spacing w:after="0"/>
              <w:rPr>
                <w:rFonts w:eastAsia="Arial Unicode MS"/>
                <w:szCs w:val="18"/>
              </w:rPr>
            </w:pPr>
            <w:r w:rsidRPr="001968FB">
              <w:rPr>
                <w:bCs/>
                <w:szCs w:val="18"/>
              </w:rPr>
              <w:t>Financial Year</w:t>
            </w:r>
          </w:p>
        </w:tc>
        <w:tc>
          <w:tcPr>
            <w:tcW w:w="2596" w:type="pct"/>
            <w:gridSpan w:val="3"/>
            <w:shd w:val="clear" w:color="auto" w:fill="FFE600" w:themeFill="text2"/>
            <w:vAlign w:val="center"/>
          </w:tcPr>
          <w:p w14:paraId="78B18D41" w14:textId="63EFEA1D" w:rsidR="00C36117" w:rsidRPr="001968FB" w:rsidRDefault="00C36117" w:rsidP="00463B2D">
            <w:pPr>
              <w:pStyle w:val="Tabletextbold"/>
              <w:spacing w:after="0"/>
              <w:jc w:val="center"/>
              <w:rPr>
                <w:rFonts w:eastAsia="Arial Unicode MS"/>
                <w:bCs/>
                <w:color w:val="FFFFFF" w:themeColor="background1"/>
                <w:szCs w:val="18"/>
              </w:rPr>
            </w:pPr>
            <w:r w:rsidRPr="001968FB">
              <w:rPr>
                <w:bCs/>
                <w:szCs w:val="18"/>
              </w:rPr>
              <w:t xml:space="preserve">Completeness of number of </w:t>
            </w:r>
            <w:r w:rsidR="00DB435D" w:rsidRPr="001968FB">
              <w:rPr>
                <w:bCs/>
                <w:szCs w:val="18"/>
              </w:rPr>
              <w:t>prosthe</w:t>
            </w:r>
            <w:r w:rsidR="00DB435D">
              <w:rPr>
                <w:bCs/>
                <w:szCs w:val="18"/>
              </w:rPr>
              <w:t>tic</w:t>
            </w:r>
            <w:r w:rsidR="00DB435D" w:rsidRPr="001968FB">
              <w:rPr>
                <w:bCs/>
                <w:szCs w:val="18"/>
              </w:rPr>
              <w:t xml:space="preserve"> </w:t>
            </w:r>
            <w:r w:rsidRPr="001968FB">
              <w:rPr>
                <w:bCs/>
                <w:szCs w:val="18"/>
              </w:rPr>
              <w:t>items used (HCP1 vs APRA)</w:t>
            </w:r>
          </w:p>
        </w:tc>
        <w:tc>
          <w:tcPr>
            <w:tcW w:w="1701" w:type="pct"/>
            <w:gridSpan w:val="2"/>
            <w:shd w:val="clear" w:color="auto" w:fill="FFE600" w:themeFill="text2"/>
            <w:vAlign w:val="center"/>
          </w:tcPr>
          <w:p w14:paraId="4E84F04C" w14:textId="77777777" w:rsidR="00C36117" w:rsidRPr="001968FB" w:rsidRDefault="00C36117" w:rsidP="00463B2D">
            <w:pPr>
              <w:pStyle w:val="Bodytextwithparaspace"/>
              <w:spacing w:after="0"/>
              <w:jc w:val="center"/>
              <w:rPr>
                <w:b/>
                <w:bCs/>
                <w:sz w:val="18"/>
                <w:szCs w:val="18"/>
              </w:rPr>
            </w:pPr>
            <w:r w:rsidRPr="001968FB">
              <w:rPr>
                <w:b/>
                <w:bCs/>
                <w:sz w:val="18"/>
                <w:szCs w:val="18"/>
              </w:rPr>
              <w:t>Average Prostheses Benefit Paid</w:t>
            </w:r>
          </w:p>
          <w:p w14:paraId="5D036CD9" w14:textId="77777777" w:rsidR="00C36117" w:rsidRPr="001968FB" w:rsidRDefault="00C36117" w:rsidP="00463B2D">
            <w:pPr>
              <w:pStyle w:val="Tabletextbold"/>
              <w:spacing w:after="0"/>
              <w:jc w:val="center"/>
              <w:rPr>
                <w:rFonts w:eastAsia="Arial Unicode MS"/>
                <w:bCs/>
                <w:color w:val="FFFFFF" w:themeColor="background1"/>
                <w:szCs w:val="18"/>
              </w:rPr>
            </w:pPr>
            <w:r w:rsidRPr="001968FB">
              <w:rPr>
                <w:bCs/>
                <w:szCs w:val="18"/>
              </w:rPr>
              <w:t>(All hospitals)</w:t>
            </w:r>
          </w:p>
        </w:tc>
      </w:tr>
      <w:tr w:rsidR="00C36117" w:rsidRPr="00151D4C" w14:paraId="652C4725" w14:textId="77777777" w:rsidTr="00AF1D4E">
        <w:trPr>
          <w:trHeight w:val="20"/>
          <w:tblHeader/>
        </w:trPr>
        <w:tc>
          <w:tcPr>
            <w:tcW w:w="703" w:type="pct"/>
            <w:vMerge/>
            <w:shd w:val="clear" w:color="auto" w:fill="FFE600" w:themeFill="text2"/>
            <w:vAlign w:val="center"/>
          </w:tcPr>
          <w:p w14:paraId="5AED140A" w14:textId="77777777" w:rsidR="00C36117" w:rsidRPr="001968FB" w:rsidRDefault="00C36117" w:rsidP="001968FB">
            <w:pPr>
              <w:pStyle w:val="Tabletextbold"/>
              <w:rPr>
                <w:rFonts w:eastAsia="Arial Unicode MS"/>
                <w:szCs w:val="18"/>
              </w:rPr>
            </w:pPr>
          </w:p>
        </w:tc>
        <w:tc>
          <w:tcPr>
            <w:tcW w:w="865" w:type="pct"/>
            <w:shd w:val="clear" w:color="auto" w:fill="FFE600" w:themeFill="text2"/>
            <w:vAlign w:val="center"/>
          </w:tcPr>
          <w:p w14:paraId="5426B539" w14:textId="77777777" w:rsidR="00C36117" w:rsidRPr="001968FB" w:rsidRDefault="00C36117" w:rsidP="00463B2D">
            <w:pPr>
              <w:pStyle w:val="Tabletextbold"/>
              <w:jc w:val="center"/>
              <w:rPr>
                <w:rFonts w:eastAsia="Arial Unicode MS"/>
                <w:color w:val="FFFFFF" w:themeColor="background1"/>
                <w:szCs w:val="18"/>
              </w:rPr>
            </w:pPr>
            <w:r w:rsidRPr="00AF1D4E">
              <w:rPr>
                <w:bCs/>
                <w:szCs w:val="18"/>
              </w:rPr>
              <w:t>Private and day hospitals</w:t>
            </w:r>
          </w:p>
        </w:tc>
        <w:tc>
          <w:tcPr>
            <w:tcW w:w="944" w:type="pct"/>
            <w:shd w:val="clear" w:color="auto" w:fill="FFE600" w:themeFill="text2"/>
            <w:vAlign w:val="center"/>
          </w:tcPr>
          <w:p w14:paraId="6C0333A1" w14:textId="77777777" w:rsidR="00C36117" w:rsidRPr="001968FB" w:rsidRDefault="00C36117" w:rsidP="00463B2D">
            <w:pPr>
              <w:pStyle w:val="Tabletextbold"/>
              <w:jc w:val="center"/>
              <w:rPr>
                <w:rFonts w:eastAsia="Arial Unicode MS"/>
                <w:color w:val="FFFFFF" w:themeColor="background1"/>
                <w:szCs w:val="18"/>
              </w:rPr>
            </w:pPr>
            <w:r w:rsidRPr="00AF1D4E">
              <w:rPr>
                <w:bCs/>
                <w:szCs w:val="18"/>
              </w:rPr>
              <w:t>Public hospitals (Private treatment)</w:t>
            </w:r>
          </w:p>
        </w:tc>
        <w:tc>
          <w:tcPr>
            <w:tcW w:w="787" w:type="pct"/>
            <w:shd w:val="clear" w:color="auto" w:fill="FFE600" w:themeFill="text2"/>
            <w:vAlign w:val="center"/>
          </w:tcPr>
          <w:p w14:paraId="51E0A538" w14:textId="77777777" w:rsidR="00C36117" w:rsidRPr="001968FB" w:rsidRDefault="00C36117" w:rsidP="00463B2D">
            <w:pPr>
              <w:pStyle w:val="Tabletextbold"/>
              <w:jc w:val="center"/>
              <w:rPr>
                <w:rFonts w:eastAsia="Arial Unicode MS"/>
                <w:color w:val="FFFFFF" w:themeColor="background1"/>
                <w:szCs w:val="18"/>
              </w:rPr>
            </w:pPr>
            <w:r w:rsidRPr="00AF1D4E">
              <w:rPr>
                <w:bCs/>
                <w:szCs w:val="18"/>
              </w:rPr>
              <w:t>All hospitals</w:t>
            </w:r>
          </w:p>
        </w:tc>
        <w:tc>
          <w:tcPr>
            <w:tcW w:w="865" w:type="pct"/>
            <w:shd w:val="clear" w:color="auto" w:fill="FFE600" w:themeFill="text2"/>
            <w:vAlign w:val="center"/>
          </w:tcPr>
          <w:p w14:paraId="322F2764" w14:textId="77777777" w:rsidR="00C36117" w:rsidRPr="001968FB" w:rsidRDefault="00C36117" w:rsidP="00463B2D">
            <w:pPr>
              <w:pStyle w:val="Tabletextbold"/>
              <w:jc w:val="center"/>
              <w:rPr>
                <w:rFonts w:eastAsia="Arial Unicode MS"/>
                <w:color w:val="FFFFFF" w:themeColor="background1"/>
                <w:szCs w:val="18"/>
              </w:rPr>
            </w:pPr>
            <w:r w:rsidRPr="00AF1D4E">
              <w:rPr>
                <w:bCs/>
                <w:szCs w:val="18"/>
              </w:rPr>
              <w:t>HCP1</w:t>
            </w:r>
          </w:p>
        </w:tc>
        <w:tc>
          <w:tcPr>
            <w:tcW w:w="836" w:type="pct"/>
            <w:shd w:val="clear" w:color="auto" w:fill="FFE600" w:themeFill="text2"/>
            <w:vAlign w:val="center"/>
          </w:tcPr>
          <w:p w14:paraId="5606FD32" w14:textId="77777777" w:rsidR="00C36117" w:rsidRPr="001968FB" w:rsidRDefault="00C36117" w:rsidP="00463B2D">
            <w:pPr>
              <w:pStyle w:val="Tabletextbold"/>
              <w:jc w:val="center"/>
              <w:rPr>
                <w:rFonts w:eastAsia="Arial Unicode MS"/>
                <w:color w:val="FFFFFF" w:themeColor="background1"/>
                <w:szCs w:val="18"/>
              </w:rPr>
            </w:pPr>
            <w:r w:rsidRPr="00AF1D4E">
              <w:rPr>
                <w:bCs/>
                <w:szCs w:val="18"/>
              </w:rPr>
              <w:t>APRA</w:t>
            </w:r>
          </w:p>
        </w:tc>
      </w:tr>
      <w:tr w:rsidR="00C36117" w:rsidRPr="00151D4C" w14:paraId="09C70C8E" w14:textId="77777777" w:rsidTr="009B50BD">
        <w:trPr>
          <w:trHeight w:val="20"/>
          <w:tblHeader/>
        </w:trPr>
        <w:tc>
          <w:tcPr>
            <w:tcW w:w="703" w:type="pct"/>
            <w:shd w:val="clear" w:color="auto" w:fill="auto"/>
          </w:tcPr>
          <w:p w14:paraId="6EB24A6E" w14:textId="77777777" w:rsidR="00C36117" w:rsidRPr="00151D4C" w:rsidRDefault="00C36117" w:rsidP="009B50BD">
            <w:pPr>
              <w:pStyle w:val="Tabletextbold"/>
              <w:rPr>
                <w:rFonts w:eastAsia="Arial Unicode MS"/>
                <w:szCs w:val="18"/>
              </w:rPr>
            </w:pPr>
            <w:r w:rsidRPr="00151D4C">
              <w:rPr>
                <w:szCs w:val="18"/>
              </w:rPr>
              <w:t>FY11</w:t>
            </w:r>
          </w:p>
        </w:tc>
        <w:tc>
          <w:tcPr>
            <w:tcW w:w="865" w:type="pct"/>
            <w:shd w:val="clear" w:color="auto" w:fill="auto"/>
            <w:vAlign w:val="bottom"/>
          </w:tcPr>
          <w:p w14:paraId="48DE3EB1" w14:textId="77777777" w:rsidR="00C36117" w:rsidRPr="00151D4C" w:rsidRDefault="00C36117" w:rsidP="00463B2D">
            <w:pPr>
              <w:pStyle w:val="Tabletextbold"/>
              <w:jc w:val="center"/>
              <w:rPr>
                <w:rFonts w:eastAsia="Arial Unicode MS"/>
                <w:b w:val="0"/>
                <w:bCs/>
                <w:color w:val="FFFFFF" w:themeColor="background1"/>
                <w:szCs w:val="18"/>
              </w:rPr>
            </w:pPr>
            <w:r w:rsidRPr="00151D4C">
              <w:rPr>
                <w:rFonts w:cs="Calibri"/>
                <w:b w:val="0"/>
                <w:bCs/>
                <w:color w:val="000000"/>
                <w:szCs w:val="18"/>
              </w:rPr>
              <w:t>83%</w:t>
            </w:r>
          </w:p>
        </w:tc>
        <w:tc>
          <w:tcPr>
            <w:tcW w:w="944" w:type="pct"/>
            <w:shd w:val="clear" w:color="auto" w:fill="auto"/>
            <w:vAlign w:val="bottom"/>
          </w:tcPr>
          <w:p w14:paraId="1117F953" w14:textId="77777777" w:rsidR="00C36117" w:rsidRPr="00151D4C" w:rsidRDefault="00C36117" w:rsidP="00463B2D">
            <w:pPr>
              <w:pStyle w:val="Tabletextbold"/>
              <w:jc w:val="center"/>
              <w:rPr>
                <w:rFonts w:eastAsia="Arial Unicode MS"/>
                <w:b w:val="0"/>
                <w:bCs/>
                <w:color w:val="FFFFFF" w:themeColor="background1"/>
                <w:szCs w:val="18"/>
              </w:rPr>
            </w:pPr>
            <w:r w:rsidRPr="00151D4C">
              <w:rPr>
                <w:rFonts w:cs="Calibri"/>
                <w:b w:val="0"/>
                <w:bCs/>
                <w:color w:val="000000"/>
                <w:szCs w:val="18"/>
              </w:rPr>
              <w:t>57%</w:t>
            </w:r>
          </w:p>
        </w:tc>
        <w:tc>
          <w:tcPr>
            <w:tcW w:w="787" w:type="pct"/>
            <w:shd w:val="clear" w:color="auto" w:fill="auto"/>
            <w:vAlign w:val="bottom"/>
          </w:tcPr>
          <w:p w14:paraId="5FC4A3A4" w14:textId="77777777" w:rsidR="00C36117" w:rsidRPr="00151D4C" w:rsidRDefault="00C36117" w:rsidP="00463B2D">
            <w:pPr>
              <w:pStyle w:val="Tabletextbold"/>
              <w:jc w:val="center"/>
              <w:rPr>
                <w:rFonts w:eastAsia="Arial Unicode MS"/>
                <w:b w:val="0"/>
                <w:bCs/>
                <w:color w:val="FFFFFF" w:themeColor="background1"/>
                <w:szCs w:val="18"/>
              </w:rPr>
            </w:pPr>
            <w:r w:rsidRPr="00151D4C">
              <w:rPr>
                <w:rFonts w:cs="Calibri"/>
                <w:b w:val="0"/>
                <w:bCs/>
                <w:color w:val="000000"/>
                <w:szCs w:val="18"/>
              </w:rPr>
              <w:t>81%</w:t>
            </w:r>
          </w:p>
        </w:tc>
        <w:tc>
          <w:tcPr>
            <w:tcW w:w="865" w:type="pct"/>
            <w:shd w:val="clear" w:color="auto" w:fill="auto"/>
            <w:vAlign w:val="bottom"/>
          </w:tcPr>
          <w:p w14:paraId="15C6B727" w14:textId="77777777" w:rsidR="00C36117" w:rsidRPr="00151D4C" w:rsidRDefault="00C36117" w:rsidP="00463B2D">
            <w:pPr>
              <w:pStyle w:val="Tabletextbold"/>
              <w:jc w:val="center"/>
              <w:rPr>
                <w:rFonts w:eastAsia="Arial Unicode MS"/>
                <w:b w:val="0"/>
                <w:bCs/>
                <w:color w:val="FFFFFF" w:themeColor="background1"/>
                <w:szCs w:val="18"/>
              </w:rPr>
            </w:pPr>
            <w:r w:rsidRPr="00151D4C">
              <w:rPr>
                <w:rFonts w:cs="Calibri"/>
                <w:b w:val="0"/>
                <w:bCs/>
                <w:color w:val="000000"/>
                <w:szCs w:val="18"/>
              </w:rPr>
              <w:t>$785</w:t>
            </w:r>
          </w:p>
        </w:tc>
        <w:tc>
          <w:tcPr>
            <w:tcW w:w="836" w:type="pct"/>
            <w:shd w:val="clear" w:color="auto" w:fill="auto"/>
            <w:vAlign w:val="bottom"/>
          </w:tcPr>
          <w:p w14:paraId="036D0E37" w14:textId="77777777" w:rsidR="00C36117" w:rsidRPr="00151D4C" w:rsidRDefault="00C36117" w:rsidP="00463B2D">
            <w:pPr>
              <w:pStyle w:val="Tabletextbold"/>
              <w:jc w:val="center"/>
              <w:rPr>
                <w:rFonts w:eastAsia="Arial Unicode MS"/>
                <w:b w:val="0"/>
                <w:bCs/>
                <w:color w:val="FFFFFF" w:themeColor="background1"/>
                <w:szCs w:val="18"/>
              </w:rPr>
            </w:pPr>
            <w:r w:rsidRPr="00151D4C">
              <w:rPr>
                <w:rFonts w:cs="Calibri"/>
                <w:b w:val="0"/>
                <w:bCs/>
                <w:color w:val="000000"/>
                <w:szCs w:val="18"/>
              </w:rPr>
              <w:t>$784</w:t>
            </w:r>
          </w:p>
        </w:tc>
      </w:tr>
      <w:tr w:rsidR="00C36117" w:rsidRPr="00151D4C" w14:paraId="7A3AD3C5" w14:textId="77777777" w:rsidTr="009B50BD">
        <w:trPr>
          <w:trHeight w:val="20"/>
          <w:tblHeader/>
        </w:trPr>
        <w:tc>
          <w:tcPr>
            <w:tcW w:w="703" w:type="pct"/>
            <w:shd w:val="clear" w:color="auto" w:fill="auto"/>
          </w:tcPr>
          <w:p w14:paraId="34395C62" w14:textId="77777777" w:rsidR="00C36117" w:rsidRPr="00151D4C" w:rsidRDefault="00C36117" w:rsidP="009B50BD">
            <w:pPr>
              <w:pStyle w:val="Tabletextbold"/>
              <w:rPr>
                <w:rFonts w:eastAsia="Arial Unicode MS"/>
                <w:szCs w:val="18"/>
              </w:rPr>
            </w:pPr>
            <w:r w:rsidRPr="00151D4C">
              <w:rPr>
                <w:szCs w:val="18"/>
              </w:rPr>
              <w:t>FY12</w:t>
            </w:r>
          </w:p>
        </w:tc>
        <w:tc>
          <w:tcPr>
            <w:tcW w:w="865" w:type="pct"/>
            <w:shd w:val="clear" w:color="auto" w:fill="auto"/>
            <w:vAlign w:val="bottom"/>
          </w:tcPr>
          <w:p w14:paraId="1799E94E" w14:textId="77777777" w:rsidR="00C36117" w:rsidRPr="00151D4C" w:rsidRDefault="00C36117" w:rsidP="00463B2D">
            <w:pPr>
              <w:pStyle w:val="Tabletextbold"/>
              <w:jc w:val="center"/>
              <w:rPr>
                <w:rFonts w:eastAsia="Arial Unicode MS"/>
                <w:b w:val="0"/>
                <w:bCs/>
                <w:color w:val="FFFFFF" w:themeColor="background1"/>
                <w:szCs w:val="18"/>
              </w:rPr>
            </w:pPr>
            <w:r w:rsidRPr="00151D4C">
              <w:rPr>
                <w:rFonts w:cs="Calibri"/>
                <w:b w:val="0"/>
                <w:bCs/>
                <w:color w:val="000000"/>
                <w:szCs w:val="18"/>
              </w:rPr>
              <w:t>85%</w:t>
            </w:r>
          </w:p>
        </w:tc>
        <w:tc>
          <w:tcPr>
            <w:tcW w:w="944" w:type="pct"/>
            <w:shd w:val="clear" w:color="auto" w:fill="auto"/>
            <w:vAlign w:val="bottom"/>
          </w:tcPr>
          <w:p w14:paraId="069816AD" w14:textId="77777777" w:rsidR="00C36117" w:rsidRPr="00151D4C" w:rsidRDefault="00C36117" w:rsidP="00463B2D">
            <w:pPr>
              <w:pStyle w:val="Tabletextbold"/>
              <w:jc w:val="center"/>
              <w:rPr>
                <w:rFonts w:eastAsia="Arial Unicode MS"/>
                <w:b w:val="0"/>
                <w:bCs/>
                <w:color w:val="FFFFFF" w:themeColor="background1"/>
                <w:szCs w:val="18"/>
              </w:rPr>
            </w:pPr>
            <w:r w:rsidRPr="00151D4C">
              <w:rPr>
                <w:rFonts w:cs="Calibri"/>
                <w:b w:val="0"/>
                <w:bCs/>
                <w:color w:val="000000"/>
                <w:szCs w:val="18"/>
              </w:rPr>
              <w:t>60%</w:t>
            </w:r>
          </w:p>
        </w:tc>
        <w:tc>
          <w:tcPr>
            <w:tcW w:w="787" w:type="pct"/>
            <w:shd w:val="clear" w:color="auto" w:fill="auto"/>
            <w:vAlign w:val="bottom"/>
          </w:tcPr>
          <w:p w14:paraId="13AAAD50" w14:textId="77777777" w:rsidR="00C36117" w:rsidRPr="00151D4C" w:rsidRDefault="00C36117" w:rsidP="00463B2D">
            <w:pPr>
              <w:pStyle w:val="Tabletextbold"/>
              <w:jc w:val="center"/>
              <w:rPr>
                <w:rFonts w:eastAsia="Arial Unicode MS"/>
                <w:b w:val="0"/>
                <w:bCs/>
                <w:color w:val="FFFFFF" w:themeColor="background1"/>
                <w:szCs w:val="18"/>
              </w:rPr>
            </w:pPr>
            <w:r w:rsidRPr="00151D4C">
              <w:rPr>
                <w:rFonts w:cs="Calibri"/>
                <w:b w:val="0"/>
                <w:bCs/>
                <w:color w:val="000000"/>
                <w:szCs w:val="18"/>
              </w:rPr>
              <w:t>83%</w:t>
            </w:r>
          </w:p>
        </w:tc>
        <w:tc>
          <w:tcPr>
            <w:tcW w:w="865" w:type="pct"/>
            <w:shd w:val="clear" w:color="auto" w:fill="auto"/>
            <w:vAlign w:val="bottom"/>
          </w:tcPr>
          <w:p w14:paraId="15C78DF6" w14:textId="77777777" w:rsidR="00C36117" w:rsidRPr="00151D4C" w:rsidRDefault="00C36117" w:rsidP="00463B2D">
            <w:pPr>
              <w:pStyle w:val="Tabletextbold"/>
              <w:jc w:val="center"/>
              <w:rPr>
                <w:rFonts w:eastAsia="Arial Unicode MS"/>
                <w:b w:val="0"/>
                <w:bCs/>
                <w:color w:val="FFFFFF" w:themeColor="background1"/>
                <w:szCs w:val="18"/>
              </w:rPr>
            </w:pPr>
            <w:r w:rsidRPr="00151D4C">
              <w:rPr>
                <w:rFonts w:cs="Calibri"/>
                <w:b w:val="0"/>
                <w:bCs/>
                <w:color w:val="000000"/>
                <w:szCs w:val="18"/>
              </w:rPr>
              <w:t>$773</w:t>
            </w:r>
          </w:p>
        </w:tc>
        <w:tc>
          <w:tcPr>
            <w:tcW w:w="836" w:type="pct"/>
            <w:shd w:val="clear" w:color="auto" w:fill="auto"/>
            <w:vAlign w:val="bottom"/>
          </w:tcPr>
          <w:p w14:paraId="239DDD2D" w14:textId="77777777" w:rsidR="00C36117" w:rsidRPr="00151D4C" w:rsidRDefault="00C36117" w:rsidP="00463B2D">
            <w:pPr>
              <w:pStyle w:val="Tabletextbold"/>
              <w:jc w:val="center"/>
              <w:rPr>
                <w:rFonts w:eastAsia="Arial Unicode MS"/>
                <w:b w:val="0"/>
                <w:bCs/>
                <w:color w:val="FFFFFF" w:themeColor="background1"/>
                <w:szCs w:val="18"/>
              </w:rPr>
            </w:pPr>
            <w:r w:rsidRPr="00151D4C">
              <w:rPr>
                <w:rFonts w:cs="Calibri"/>
                <w:b w:val="0"/>
                <w:bCs/>
                <w:color w:val="000000"/>
                <w:szCs w:val="18"/>
              </w:rPr>
              <w:t>$771</w:t>
            </w:r>
          </w:p>
        </w:tc>
      </w:tr>
      <w:tr w:rsidR="00C36117" w:rsidRPr="00151D4C" w14:paraId="20B2D004" w14:textId="77777777" w:rsidTr="009B50BD">
        <w:trPr>
          <w:trHeight w:val="20"/>
          <w:tblHeader/>
        </w:trPr>
        <w:tc>
          <w:tcPr>
            <w:tcW w:w="703" w:type="pct"/>
            <w:shd w:val="clear" w:color="auto" w:fill="auto"/>
          </w:tcPr>
          <w:p w14:paraId="3DDB3742" w14:textId="77777777" w:rsidR="00C36117" w:rsidRPr="00151D4C" w:rsidRDefault="00C36117" w:rsidP="009B50BD">
            <w:pPr>
              <w:pStyle w:val="Tabletextbold"/>
              <w:rPr>
                <w:rFonts w:eastAsia="Arial Unicode MS"/>
                <w:szCs w:val="18"/>
              </w:rPr>
            </w:pPr>
            <w:r w:rsidRPr="00151D4C">
              <w:rPr>
                <w:szCs w:val="18"/>
              </w:rPr>
              <w:t>FY13</w:t>
            </w:r>
          </w:p>
        </w:tc>
        <w:tc>
          <w:tcPr>
            <w:tcW w:w="865" w:type="pct"/>
            <w:shd w:val="clear" w:color="auto" w:fill="auto"/>
            <w:vAlign w:val="bottom"/>
          </w:tcPr>
          <w:p w14:paraId="1DE3C136" w14:textId="77777777" w:rsidR="00C36117" w:rsidRPr="00151D4C" w:rsidRDefault="00C36117" w:rsidP="00463B2D">
            <w:pPr>
              <w:pStyle w:val="Tabletextbold"/>
              <w:jc w:val="center"/>
              <w:rPr>
                <w:rFonts w:eastAsia="Arial Unicode MS"/>
                <w:b w:val="0"/>
                <w:bCs/>
                <w:color w:val="FFFFFF" w:themeColor="background1"/>
                <w:szCs w:val="18"/>
              </w:rPr>
            </w:pPr>
            <w:r w:rsidRPr="00151D4C">
              <w:rPr>
                <w:rFonts w:cs="Calibri"/>
                <w:b w:val="0"/>
                <w:bCs/>
                <w:color w:val="000000"/>
                <w:szCs w:val="18"/>
              </w:rPr>
              <w:t>92%</w:t>
            </w:r>
          </w:p>
        </w:tc>
        <w:tc>
          <w:tcPr>
            <w:tcW w:w="944" w:type="pct"/>
            <w:shd w:val="clear" w:color="auto" w:fill="auto"/>
            <w:vAlign w:val="bottom"/>
          </w:tcPr>
          <w:p w14:paraId="4577ED1D" w14:textId="77777777" w:rsidR="00C36117" w:rsidRPr="00151D4C" w:rsidRDefault="00C36117" w:rsidP="00463B2D">
            <w:pPr>
              <w:pStyle w:val="Tabletextbold"/>
              <w:jc w:val="center"/>
              <w:rPr>
                <w:rFonts w:eastAsia="Arial Unicode MS"/>
                <w:b w:val="0"/>
                <w:bCs/>
                <w:color w:val="FFFFFF" w:themeColor="background1"/>
                <w:szCs w:val="18"/>
              </w:rPr>
            </w:pPr>
            <w:r w:rsidRPr="00151D4C">
              <w:rPr>
                <w:rFonts w:cs="Calibri"/>
                <w:b w:val="0"/>
                <w:bCs/>
                <w:color w:val="000000"/>
                <w:szCs w:val="18"/>
              </w:rPr>
              <w:t>52%</w:t>
            </w:r>
          </w:p>
        </w:tc>
        <w:tc>
          <w:tcPr>
            <w:tcW w:w="787" w:type="pct"/>
            <w:shd w:val="clear" w:color="auto" w:fill="auto"/>
            <w:vAlign w:val="bottom"/>
          </w:tcPr>
          <w:p w14:paraId="24D049BA" w14:textId="77777777" w:rsidR="00C36117" w:rsidRPr="00151D4C" w:rsidRDefault="00C36117" w:rsidP="00463B2D">
            <w:pPr>
              <w:pStyle w:val="Tabletextbold"/>
              <w:jc w:val="center"/>
              <w:rPr>
                <w:rFonts w:eastAsia="Arial Unicode MS"/>
                <w:b w:val="0"/>
                <w:bCs/>
                <w:color w:val="FFFFFF" w:themeColor="background1"/>
                <w:szCs w:val="18"/>
              </w:rPr>
            </w:pPr>
            <w:r w:rsidRPr="00151D4C">
              <w:rPr>
                <w:rFonts w:cs="Calibri"/>
                <w:b w:val="0"/>
                <w:bCs/>
                <w:color w:val="000000"/>
                <w:szCs w:val="18"/>
              </w:rPr>
              <w:t>88%</w:t>
            </w:r>
          </w:p>
        </w:tc>
        <w:tc>
          <w:tcPr>
            <w:tcW w:w="865" w:type="pct"/>
            <w:shd w:val="clear" w:color="auto" w:fill="auto"/>
            <w:vAlign w:val="bottom"/>
          </w:tcPr>
          <w:p w14:paraId="65A93664" w14:textId="77777777" w:rsidR="00C36117" w:rsidRPr="00151D4C" w:rsidRDefault="00C36117" w:rsidP="00463B2D">
            <w:pPr>
              <w:pStyle w:val="Tabletextbold"/>
              <w:jc w:val="center"/>
              <w:rPr>
                <w:rFonts w:eastAsia="Arial Unicode MS"/>
                <w:b w:val="0"/>
                <w:bCs/>
                <w:color w:val="FFFFFF" w:themeColor="background1"/>
                <w:szCs w:val="18"/>
              </w:rPr>
            </w:pPr>
            <w:r w:rsidRPr="00151D4C">
              <w:rPr>
                <w:rFonts w:cs="Calibri"/>
                <w:b w:val="0"/>
                <w:bCs/>
                <w:color w:val="000000"/>
                <w:szCs w:val="18"/>
              </w:rPr>
              <w:t>$774</w:t>
            </w:r>
          </w:p>
        </w:tc>
        <w:tc>
          <w:tcPr>
            <w:tcW w:w="836" w:type="pct"/>
            <w:shd w:val="clear" w:color="auto" w:fill="auto"/>
            <w:vAlign w:val="bottom"/>
          </w:tcPr>
          <w:p w14:paraId="279881A8" w14:textId="77777777" w:rsidR="00C36117" w:rsidRPr="00151D4C" w:rsidRDefault="00C36117" w:rsidP="00463B2D">
            <w:pPr>
              <w:pStyle w:val="Tabletextbold"/>
              <w:jc w:val="center"/>
              <w:rPr>
                <w:rFonts w:eastAsia="Arial Unicode MS"/>
                <w:b w:val="0"/>
                <w:bCs/>
                <w:color w:val="FFFFFF" w:themeColor="background1"/>
                <w:szCs w:val="18"/>
              </w:rPr>
            </w:pPr>
            <w:r w:rsidRPr="00151D4C">
              <w:rPr>
                <w:rFonts w:cs="Calibri"/>
                <w:b w:val="0"/>
                <w:bCs/>
                <w:color w:val="000000"/>
                <w:szCs w:val="18"/>
              </w:rPr>
              <w:t>$765</w:t>
            </w:r>
          </w:p>
        </w:tc>
      </w:tr>
      <w:tr w:rsidR="00C36117" w:rsidRPr="00151D4C" w14:paraId="3034AF14" w14:textId="77777777" w:rsidTr="009B50BD">
        <w:trPr>
          <w:trHeight w:val="20"/>
          <w:tblHeader/>
        </w:trPr>
        <w:tc>
          <w:tcPr>
            <w:tcW w:w="703" w:type="pct"/>
            <w:shd w:val="clear" w:color="auto" w:fill="auto"/>
          </w:tcPr>
          <w:p w14:paraId="06E2F5F5" w14:textId="77777777" w:rsidR="00C36117" w:rsidRPr="00151D4C" w:rsidRDefault="00C36117" w:rsidP="009B50BD">
            <w:pPr>
              <w:pStyle w:val="Tabletextbold"/>
              <w:rPr>
                <w:rFonts w:eastAsia="Arial Unicode MS"/>
                <w:szCs w:val="18"/>
              </w:rPr>
            </w:pPr>
            <w:r w:rsidRPr="00151D4C">
              <w:rPr>
                <w:szCs w:val="18"/>
              </w:rPr>
              <w:t>FY14</w:t>
            </w:r>
          </w:p>
        </w:tc>
        <w:tc>
          <w:tcPr>
            <w:tcW w:w="865" w:type="pct"/>
            <w:shd w:val="clear" w:color="auto" w:fill="auto"/>
            <w:vAlign w:val="bottom"/>
          </w:tcPr>
          <w:p w14:paraId="4C027CF0" w14:textId="77777777" w:rsidR="00C36117" w:rsidRPr="00151D4C" w:rsidRDefault="00C36117" w:rsidP="00463B2D">
            <w:pPr>
              <w:pStyle w:val="Tabletextbold"/>
              <w:jc w:val="center"/>
              <w:rPr>
                <w:rFonts w:eastAsia="Arial Unicode MS"/>
                <w:b w:val="0"/>
                <w:bCs/>
                <w:color w:val="FFFFFF" w:themeColor="background1"/>
                <w:szCs w:val="18"/>
              </w:rPr>
            </w:pPr>
            <w:r w:rsidRPr="00151D4C">
              <w:rPr>
                <w:rFonts w:cs="Calibri"/>
                <w:b w:val="0"/>
                <w:bCs/>
                <w:color w:val="000000"/>
                <w:szCs w:val="18"/>
              </w:rPr>
              <w:t>87%</w:t>
            </w:r>
          </w:p>
        </w:tc>
        <w:tc>
          <w:tcPr>
            <w:tcW w:w="944" w:type="pct"/>
            <w:shd w:val="clear" w:color="auto" w:fill="auto"/>
            <w:vAlign w:val="bottom"/>
          </w:tcPr>
          <w:p w14:paraId="167FE13A" w14:textId="77777777" w:rsidR="00C36117" w:rsidRPr="00151D4C" w:rsidRDefault="00C36117" w:rsidP="00463B2D">
            <w:pPr>
              <w:pStyle w:val="Tabletextbold"/>
              <w:jc w:val="center"/>
              <w:rPr>
                <w:rFonts w:eastAsia="Arial Unicode MS"/>
                <w:b w:val="0"/>
                <w:bCs/>
                <w:color w:val="FFFFFF" w:themeColor="background1"/>
                <w:szCs w:val="18"/>
              </w:rPr>
            </w:pPr>
            <w:r w:rsidRPr="00151D4C">
              <w:rPr>
                <w:rFonts w:cs="Calibri"/>
                <w:b w:val="0"/>
                <w:bCs/>
                <w:color w:val="000000"/>
                <w:szCs w:val="18"/>
              </w:rPr>
              <w:t>47%</w:t>
            </w:r>
          </w:p>
        </w:tc>
        <w:tc>
          <w:tcPr>
            <w:tcW w:w="787" w:type="pct"/>
            <w:shd w:val="clear" w:color="auto" w:fill="auto"/>
            <w:vAlign w:val="bottom"/>
          </w:tcPr>
          <w:p w14:paraId="42F01FF9" w14:textId="77777777" w:rsidR="00C36117" w:rsidRPr="00151D4C" w:rsidRDefault="00C36117" w:rsidP="00463B2D">
            <w:pPr>
              <w:pStyle w:val="Tabletextbold"/>
              <w:jc w:val="center"/>
              <w:rPr>
                <w:rFonts w:eastAsia="Arial Unicode MS"/>
                <w:b w:val="0"/>
                <w:bCs/>
                <w:color w:val="FFFFFF" w:themeColor="background1"/>
                <w:szCs w:val="18"/>
              </w:rPr>
            </w:pPr>
            <w:r w:rsidRPr="00151D4C">
              <w:rPr>
                <w:rFonts w:cs="Calibri"/>
                <w:b w:val="0"/>
                <w:bCs/>
                <w:color w:val="000000"/>
                <w:szCs w:val="18"/>
              </w:rPr>
              <w:t>83%</w:t>
            </w:r>
          </w:p>
        </w:tc>
        <w:tc>
          <w:tcPr>
            <w:tcW w:w="865" w:type="pct"/>
            <w:shd w:val="clear" w:color="auto" w:fill="auto"/>
            <w:vAlign w:val="bottom"/>
          </w:tcPr>
          <w:p w14:paraId="11076C40" w14:textId="77777777" w:rsidR="00C36117" w:rsidRPr="00151D4C" w:rsidRDefault="00C36117" w:rsidP="00463B2D">
            <w:pPr>
              <w:pStyle w:val="Tabletextbold"/>
              <w:jc w:val="center"/>
              <w:rPr>
                <w:rFonts w:eastAsia="Arial Unicode MS"/>
                <w:b w:val="0"/>
                <w:bCs/>
                <w:color w:val="FFFFFF" w:themeColor="background1"/>
                <w:szCs w:val="18"/>
              </w:rPr>
            </w:pPr>
            <w:r w:rsidRPr="00151D4C">
              <w:rPr>
                <w:rFonts w:cs="Calibri"/>
                <w:b w:val="0"/>
                <w:bCs/>
                <w:color w:val="000000"/>
                <w:szCs w:val="18"/>
              </w:rPr>
              <w:t>$774</w:t>
            </w:r>
          </w:p>
        </w:tc>
        <w:tc>
          <w:tcPr>
            <w:tcW w:w="836" w:type="pct"/>
            <w:shd w:val="clear" w:color="auto" w:fill="auto"/>
            <w:vAlign w:val="bottom"/>
          </w:tcPr>
          <w:p w14:paraId="64D09017" w14:textId="77777777" w:rsidR="00C36117" w:rsidRPr="00151D4C" w:rsidRDefault="00C36117" w:rsidP="00463B2D">
            <w:pPr>
              <w:pStyle w:val="Tabletextbold"/>
              <w:jc w:val="center"/>
              <w:rPr>
                <w:rFonts w:eastAsia="Arial Unicode MS"/>
                <w:b w:val="0"/>
                <w:bCs/>
                <w:color w:val="FFFFFF" w:themeColor="background1"/>
                <w:szCs w:val="18"/>
              </w:rPr>
            </w:pPr>
            <w:r w:rsidRPr="00151D4C">
              <w:rPr>
                <w:rFonts w:cs="Calibri"/>
                <w:b w:val="0"/>
                <w:bCs/>
                <w:color w:val="000000"/>
                <w:szCs w:val="18"/>
              </w:rPr>
              <w:t>$765</w:t>
            </w:r>
          </w:p>
        </w:tc>
      </w:tr>
      <w:tr w:rsidR="00C36117" w:rsidRPr="00151D4C" w14:paraId="0F865B5F" w14:textId="77777777" w:rsidTr="009B50BD">
        <w:trPr>
          <w:trHeight w:val="20"/>
          <w:tblHeader/>
        </w:trPr>
        <w:tc>
          <w:tcPr>
            <w:tcW w:w="703" w:type="pct"/>
            <w:shd w:val="clear" w:color="auto" w:fill="auto"/>
          </w:tcPr>
          <w:p w14:paraId="702D5B3E" w14:textId="77777777" w:rsidR="00C36117" w:rsidRPr="00151D4C" w:rsidRDefault="00C36117" w:rsidP="009B50BD">
            <w:pPr>
              <w:pStyle w:val="Tabletextbold"/>
              <w:rPr>
                <w:rFonts w:eastAsia="Arial Unicode MS"/>
                <w:szCs w:val="18"/>
              </w:rPr>
            </w:pPr>
            <w:r w:rsidRPr="00151D4C">
              <w:rPr>
                <w:szCs w:val="18"/>
              </w:rPr>
              <w:t>FY15</w:t>
            </w:r>
          </w:p>
        </w:tc>
        <w:tc>
          <w:tcPr>
            <w:tcW w:w="865" w:type="pct"/>
            <w:shd w:val="clear" w:color="auto" w:fill="auto"/>
            <w:vAlign w:val="bottom"/>
          </w:tcPr>
          <w:p w14:paraId="17125695" w14:textId="77777777" w:rsidR="00C36117" w:rsidRPr="00151D4C" w:rsidRDefault="00C36117" w:rsidP="00463B2D">
            <w:pPr>
              <w:pStyle w:val="Tabletextbold"/>
              <w:jc w:val="center"/>
              <w:rPr>
                <w:rFonts w:eastAsia="Arial Unicode MS"/>
                <w:b w:val="0"/>
                <w:bCs/>
                <w:color w:val="FFFFFF" w:themeColor="background1"/>
                <w:szCs w:val="18"/>
              </w:rPr>
            </w:pPr>
            <w:r w:rsidRPr="00151D4C">
              <w:rPr>
                <w:rFonts w:cs="Calibri"/>
                <w:b w:val="0"/>
                <w:bCs/>
                <w:color w:val="000000"/>
                <w:szCs w:val="18"/>
              </w:rPr>
              <w:t>93%</w:t>
            </w:r>
          </w:p>
        </w:tc>
        <w:tc>
          <w:tcPr>
            <w:tcW w:w="944" w:type="pct"/>
            <w:shd w:val="clear" w:color="auto" w:fill="auto"/>
            <w:vAlign w:val="bottom"/>
          </w:tcPr>
          <w:p w14:paraId="35904BC0" w14:textId="77777777" w:rsidR="00C36117" w:rsidRPr="00151D4C" w:rsidRDefault="00C36117" w:rsidP="00463B2D">
            <w:pPr>
              <w:pStyle w:val="Tabletextbold"/>
              <w:jc w:val="center"/>
              <w:rPr>
                <w:rFonts w:eastAsia="Arial Unicode MS"/>
                <w:b w:val="0"/>
                <w:bCs/>
                <w:color w:val="FFFFFF" w:themeColor="background1"/>
                <w:szCs w:val="18"/>
              </w:rPr>
            </w:pPr>
            <w:r w:rsidRPr="00151D4C">
              <w:rPr>
                <w:rFonts w:cs="Calibri"/>
                <w:b w:val="0"/>
                <w:bCs/>
                <w:color w:val="000000"/>
                <w:szCs w:val="18"/>
              </w:rPr>
              <w:t>47%</w:t>
            </w:r>
          </w:p>
        </w:tc>
        <w:tc>
          <w:tcPr>
            <w:tcW w:w="787" w:type="pct"/>
            <w:shd w:val="clear" w:color="auto" w:fill="auto"/>
            <w:vAlign w:val="bottom"/>
          </w:tcPr>
          <w:p w14:paraId="7BB6D25F" w14:textId="77777777" w:rsidR="00C36117" w:rsidRPr="00151D4C" w:rsidRDefault="00C36117" w:rsidP="00463B2D">
            <w:pPr>
              <w:pStyle w:val="Tabletextbold"/>
              <w:jc w:val="center"/>
              <w:rPr>
                <w:rFonts w:eastAsia="Arial Unicode MS"/>
                <w:b w:val="0"/>
                <w:bCs/>
                <w:color w:val="FFFFFF" w:themeColor="background1"/>
                <w:szCs w:val="18"/>
              </w:rPr>
            </w:pPr>
            <w:r w:rsidRPr="00151D4C">
              <w:rPr>
                <w:rFonts w:cs="Calibri"/>
                <w:b w:val="0"/>
                <w:bCs/>
                <w:color w:val="000000"/>
                <w:szCs w:val="18"/>
              </w:rPr>
              <w:t>88%</w:t>
            </w:r>
          </w:p>
        </w:tc>
        <w:tc>
          <w:tcPr>
            <w:tcW w:w="865" w:type="pct"/>
            <w:shd w:val="clear" w:color="auto" w:fill="auto"/>
            <w:vAlign w:val="bottom"/>
          </w:tcPr>
          <w:p w14:paraId="2FB18D9C" w14:textId="77777777" w:rsidR="00C36117" w:rsidRPr="00151D4C" w:rsidRDefault="00C36117" w:rsidP="00463B2D">
            <w:pPr>
              <w:pStyle w:val="Tabletextbold"/>
              <w:jc w:val="center"/>
              <w:rPr>
                <w:rFonts w:eastAsia="Arial Unicode MS"/>
                <w:b w:val="0"/>
                <w:bCs/>
                <w:color w:val="FFFFFF" w:themeColor="background1"/>
                <w:szCs w:val="18"/>
              </w:rPr>
            </w:pPr>
            <w:r w:rsidRPr="00151D4C">
              <w:rPr>
                <w:rFonts w:cs="Calibri"/>
                <w:b w:val="0"/>
                <w:bCs/>
                <w:color w:val="000000"/>
                <w:szCs w:val="18"/>
              </w:rPr>
              <w:t>$773</w:t>
            </w:r>
          </w:p>
        </w:tc>
        <w:tc>
          <w:tcPr>
            <w:tcW w:w="836" w:type="pct"/>
            <w:shd w:val="clear" w:color="auto" w:fill="auto"/>
            <w:vAlign w:val="bottom"/>
          </w:tcPr>
          <w:p w14:paraId="49926054" w14:textId="77777777" w:rsidR="00C36117" w:rsidRPr="00151D4C" w:rsidRDefault="00C36117" w:rsidP="00463B2D">
            <w:pPr>
              <w:pStyle w:val="Tabletextbold"/>
              <w:jc w:val="center"/>
              <w:rPr>
                <w:rFonts w:eastAsia="Arial Unicode MS"/>
                <w:b w:val="0"/>
                <w:bCs/>
                <w:color w:val="FFFFFF" w:themeColor="background1"/>
                <w:szCs w:val="18"/>
              </w:rPr>
            </w:pPr>
            <w:r w:rsidRPr="00151D4C">
              <w:rPr>
                <w:rFonts w:cs="Calibri"/>
                <w:b w:val="0"/>
                <w:bCs/>
                <w:color w:val="000000"/>
                <w:szCs w:val="18"/>
              </w:rPr>
              <w:t>$776</w:t>
            </w:r>
          </w:p>
        </w:tc>
      </w:tr>
      <w:tr w:rsidR="00C36117" w:rsidRPr="00151D4C" w14:paraId="49CDF959" w14:textId="77777777" w:rsidTr="009B50BD">
        <w:trPr>
          <w:trHeight w:val="20"/>
          <w:tblHeader/>
        </w:trPr>
        <w:tc>
          <w:tcPr>
            <w:tcW w:w="703" w:type="pct"/>
            <w:shd w:val="clear" w:color="auto" w:fill="auto"/>
          </w:tcPr>
          <w:p w14:paraId="306C11B9" w14:textId="77777777" w:rsidR="00C36117" w:rsidRPr="00151D4C" w:rsidRDefault="00C36117" w:rsidP="009B50BD">
            <w:pPr>
              <w:pStyle w:val="Tabletextbold"/>
              <w:rPr>
                <w:rFonts w:eastAsia="Arial Unicode MS"/>
                <w:szCs w:val="18"/>
              </w:rPr>
            </w:pPr>
            <w:r w:rsidRPr="00151D4C">
              <w:rPr>
                <w:szCs w:val="18"/>
              </w:rPr>
              <w:t>FY16</w:t>
            </w:r>
          </w:p>
        </w:tc>
        <w:tc>
          <w:tcPr>
            <w:tcW w:w="865" w:type="pct"/>
            <w:shd w:val="clear" w:color="auto" w:fill="auto"/>
            <w:vAlign w:val="bottom"/>
          </w:tcPr>
          <w:p w14:paraId="3CF0A140" w14:textId="77777777" w:rsidR="00C36117" w:rsidRPr="00151D4C" w:rsidRDefault="00C36117" w:rsidP="00463B2D">
            <w:pPr>
              <w:pStyle w:val="Tabletextbold"/>
              <w:jc w:val="center"/>
              <w:rPr>
                <w:rFonts w:eastAsia="Arial Unicode MS"/>
                <w:b w:val="0"/>
                <w:bCs/>
                <w:color w:val="FFFFFF" w:themeColor="background1"/>
                <w:szCs w:val="18"/>
              </w:rPr>
            </w:pPr>
            <w:r w:rsidRPr="00151D4C">
              <w:rPr>
                <w:rFonts w:cs="Calibri"/>
                <w:b w:val="0"/>
                <w:bCs/>
                <w:color w:val="000000"/>
                <w:szCs w:val="18"/>
              </w:rPr>
              <w:t>92%</w:t>
            </w:r>
          </w:p>
        </w:tc>
        <w:tc>
          <w:tcPr>
            <w:tcW w:w="944" w:type="pct"/>
            <w:shd w:val="clear" w:color="auto" w:fill="auto"/>
            <w:vAlign w:val="bottom"/>
          </w:tcPr>
          <w:p w14:paraId="7666F32E" w14:textId="77777777" w:rsidR="00C36117" w:rsidRPr="00151D4C" w:rsidRDefault="00C36117" w:rsidP="00463B2D">
            <w:pPr>
              <w:pStyle w:val="Tabletextbold"/>
              <w:jc w:val="center"/>
              <w:rPr>
                <w:rFonts w:eastAsia="Arial Unicode MS"/>
                <w:b w:val="0"/>
                <w:bCs/>
                <w:color w:val="FFFFFF" w:themeColor="background1"/>
                <w:szCs w:val="18"/>
              </w:rPr>
            </w:pPr>
            <w:r w:rsidRPr="00151D4C">
              <w:rPr>
                <w:rFonts w:cs="Calibri"/>
                <w:b w:val="0"/>
                <w:bCs/>
                <w:color w:val="000000"/>
                <w:szCs w:val="18"/>
              </w:rPr>
              <w:t>48%</w:t>
            </w:r>
          </w:p>
        </w:tc>
        <w:tc>
          <w:tcPr>
            <w:tcW w:w="787" w:type="pct"/>
            <w:shd w:val="clear" w:color="auto" w:fill="auto"/>
            <w:vAlign w:val="bottom"/>
          </w:tcPr>
          <w:p w14:paraId="668C313B" w14:textId="77777777" w:rsidR="00C36117" w:rsidRPr="00151D4C" w:rsidRDefault="00C36117" w:rsidP="00463B2D">
            <w:pPr>
              <w:pStyle w:val="Tabletextbold"/>
              <w:jc w:val="center"/>
              <w:rPr>
                <w:rFonts w:eastAsia="Arial Unicode MS"/>
                <w:b w:val="0"/>
                <w:bCs/>
                <w:color w:val="FFFFFF" w:themeColor="background1"/>
                <w:szCs w:val="18"/>
              </w:rPr>
            </w:pPr>
            <w:r w:rsidRPr="00151D4C">
              <w:rPr>
                <w:rFonts w:cs="Calibri"/>
                <w:b w:val="0"/>
                <w:bCs/>
                <w:color w:val="000000"/>
                <w:szCs w:val="18"/>
              </w:rPr>
              <w:t>87%</w:t>
            </w:r>
          </w:p>
        </w:tc>
        <w:tc>
          <w:tcPr>
            <w:tcW w:w="865" w:type="pct"/>
            <w:shd w:val="clear" w:color="auto" w:fill="auto"/>
            <w:vAlign w:val="bottom"/>
          </w:tcPr>
          <w:p w14:paraId="2B4998A6" w14:textId="77777777" w:rsidR="00C36117" w:rsidRPr="00151D4C" w:rsidRDefault="00C36117" w:rsidP="00463B2D">
            <w:pPr>
              <w:pStyle w:val="Tabletextbold"/>
              <w:jc w:val="center"/>
              <w:rPr>
                <w:rFonts w:eastAsia="Arial Unicode MS"/>
                <w:b w:val="0"/>
                <w:bCs/>
                <w:color w:val="FFFFFF" w:themeColor="background1"/>
                <w:szCs w:val="18"/>
              </w:rPr>
            </w:pPr>
            <w:r w:rsidRPr="00151D4C">
              <w:rPr>
                <w:rFonts w:cs="Calibri"/>
                <w:b w:val="0"/>
                <w:bCs/>
                <w:color w:val="000000"/>
                <w:szCs w:val="18"/>
              </w:rPr>
              <w:t>$788</w:t>
            </w:r>
          </w:p>
        </w:tc>
        <w:tc>
          <w:tcPr>
            <w:tcW w:w="836" w:type="pct"/>
            <w:shd w:val="clear" w:color="auto" w:fill="auto"/>
            <w:vAlign w:val="bottom"/>
          </w:tcPr>
          <w:p w14:paraId="4171E794" w14:textId="77777777" w:rsidR="00C36117" w:rsidRPr="00151D4C" w:rsidRDefault="00C36117" w:rsidP="00463B2D">
            <w:pPr>
              <w:pStyle w:val="Tabletextbold"/>
              <w:jc w:val="center"/>
              <w:rPr>
                <w:rFonts w:eastAsia="Arial Unicode MS"/>
                <w:b w:val="0"/>
                <w:bCs/>
                <w:color w:val="FFFFFF" w:themeColor="background1"/>
                <w:szCs w:val="18"/>
              </w:rPr>
            </w:pPr>
            <w:r w:rsidRPr="00151D4C">
              <w:rPr>
                <w:rFonts w:cs="Calibri"/>
                <w:b w:val="0"/>
                <w:bCs/>
                <w:color w:val="000000"/>
                <w:szCs w:val="18"/>
              </w:rPr>
              <w:t>$789</w:t>
            </w:r>
          </w:p>
        </w:tc>
      </w:tr>
      <w:tr w:rsidR="00C36117" w:rsidRPr="00151D4C" w14:paraId="00568B93" w14:textId="77777777" w:rsidTr="009B50BD">
        <w:trPr>
          <w:trHeight w:val="20"/>
          <w:tblHeader/>
        </w:trPr>
        <w:tc>
          <w:tcPr>
            <w:tcW w:w="703" w:type="pct"/>
            <w:shd w:val="clear" w:color="auto" w:fill="auto"/>
          </w:tcPr>
          <w:p w14:paraId="7DE3AA56" w14:textId="77777777" w:rsidR="00C36117" w:rsidRPr="00151D4C" w:rsidRDefault="00C36117" w:rsidP="009B50BD">
            <w:pPr>
              <w:pStyle w:val="Tabletextbold"/>
              <w:rPr>
                <w:rFonts w:eastAsia="Arial Unicode MS"/>
                <w:szCs w:val="18"/>
              </w:rPr>
            </w:pPr>
            <w:r w:rsidRPr="00151D4C">
              <w:rPr>
                <w:szCs w:val="18"/>
              </w:rPr>
              <w:t>FY17</w:t>
            </w:r>
          </w:p>
        </w:tc>
        <w:tc>
          <w:tcPr>
            <w:tcW w:w="865" w:type="pct"/>
            <w:shd w:val="clear" w:color="auto" w:fill="auto"/>
            <w:vAlign w:val="bottom"/>
          </w:tcPr>
          <w:p w14:paraId="220AB1BC" w14:textId="77777777" w:rsidR="00C36117" w:rsidRPr="00151D4C" w:rsidRDefault="00C36117" w:rsidP="00463B2D">
            <w:pPr>
              <w:pStyle w:val="Tabletextbold"/>
              <w:jc w:val="center"/>
              <w:rPr>
                <w:rFonts w:eastAsia="Arial Unicode MS"/>
                <w:b w:val="0"/>
                <w:bCs/>
                <w:color w:val="FFFFFF" w:themeColor="background1"/>
                <w:szCs w:val="18"/>
              </w:rPr>
            </w:pPr>
            <w:r w:rsidRPr="00151D4C">
              <w:rPr>
                <w:rFonts w:cs="Calibri"/>
                <w:b w:val="0"/>
                <w:bCs/>
                <w:color w:val="000000"/>
                <w:szCs w:val="18"/>
              </w:rPr>
              <w:t>94%</w:t>
            </w:r>
          </w:p>
        </w:tc>
        <w:tc>
          <w:tcPr>
            <w:tcW w:w="944" w:type="pct"/>
            <w:shd w:val="clear" w:color="auto" w:fill="auto"/>
            <w:vAlign w:val="bottom"/>
          </w:tcPr>
          <w:p w14:paraId="0F5142F4" w14:textId="77777777" w:rsidR="00C36117" w:rsidRPr="00151D4C" w:rsidRDefault="00C36117" w:rsidP="00463B2D">
            <w:pPr>
              <w:pStyle w:val="Tabletextbold"/>
              <w:jc w:val="center"/>
              <w:rPr>
                <w:rFonts w:eastAsia="Arial Unicode MS"/>
                <w:b w:val="0"/>
                <w:bCs/>
                <w:color w:val="FFFFFF" w:themeColor="background1"/>
                <w:szCs w:val="18"/>
              </w:rPr>
            </w:pPr>
            <w:r w:rsidRPr="00151D4C">
              <w:rPr>
                <w:rFonts w:cs="Calibri"/>
                <w:b w:val="0"/>
                <w:bCs/>
                <w:color w:val="000000"/>
                <w:szCs w:val="18"/>
              </w:rPr>
              <w:t>48%</w:t>
            </w:r>
          </w:p>
        </w:tc>
        <w:tc>
          <w:tcPr>
            <w:tcW w:w="787" w:type="pct"/>
            <w:shd w:val="clear" w:color="auto" w:fill="auto"/>
            <w:vAlign w:val="bottom"/>
          </w:tcPr>
          <w:p w14:paraId="3B825352" w14:textId="77777777" w:rsidR="00C36117" w:rsidRPr="00151D4C" w:rsidRDefault="00C36117" w:rsidP="00463B2D">
            <w:pPr>
              <w:pStyle w:val="Tabletextbold"/>
              <w:jc w:val="center"/>
              <w:rPr>
                <w:rFonts w:eastAsia="Arial Unicode MS"/>
                <w:b w:val="0"/>
                <w:bCs/>
                <w:color w:val="FFFFFF" w:themeColor="background1"/>
                <w:szCs w:val="18"/>
              </w:rPr>
            </w:pPr>
            <w:r w:rsidRPr="00151D4C">
              <w:rPr>
                <w:rFonts w:cs="Calibri"/>
                <w:b w:val="0"/>
                <w:bCs/>
                <w:color w:val="000000"/>
                <w:szCs w:val="18"/>
              </w:rPr>
              <w:t>89%</w:t>
            </w:r>
          </w:p>
        </w:tc>
        <w:tc>
          <w:tcPr>
            <w:tcW w:w="865" w:type="pct"/>
            <w:shd w:val="clear" w:color="auto" w:fill="auto"/>
            <w:vAlign w:val="bottom"/>
          </w:tcPr>
          <w:p w14:paraId="11C351F9" w14:textId="77777777" w:rsidR="00C36117" w:rsidRPr="00151D4C" w:rsidRDefault="00C36117" w:rsidP="00463B2D">
            <w:pPr>
              <w:pStyle w:val="Tabletextbold"/>
              <w:jc w:val="center"/>
              <w:rPr>
                <w:rFonts w:eastAsia="Arial Unicode MS"/>
                <w:b w:val="0"/>
                <w:bCs/>
                <w:color w:val="FFFFFF" w:themeColor="background1"/>
                <w:szCs w:val="18"/>
              </w:rPr>
            </w:pPr>
            <w:r w:rsidRPr="00151D4C">
              <w:rPr>
                <w:rFonts w:cs="Calibri"/>
                <w:b w:val="0"/>
                <w:bCs/>
                <w:color w:val="000000"/>
                <w:szCs w:val="18"/>
              </w:rPr>
              <w:t>$776</w:t>
            </w:r>
          </w:p>
        </w:tc>
        <w:tc>
          <w:tcPr>
            <w:tcW w:w="836" w:type="pct"/>
            <w:shd w:val="clear" w:color="auto" w:fill="auto"/>
            <w:vAlign w:val="bottom"/>
          </w:tcPr>
          <w:p w14:paraId="0D2C877D" w14:textId="77777777" w:rsidR="00C36117" w:rsidRPr="00151D4C" w:rsidRDefault="00C36117" w:rsidP="00463B2D">
            <w:pPr>
              <w:pStyle w:val="Tabletextbold"/>
              <w:jc w:val="center"/>
              <w:rPr>
                <w:rFonts w:eastAsia="Arial Unicode MS"/>
                <w:b w:val="0"/>
                <w:bCs/>
                <w:color w:val="FFFFFF" w:themeColor="background1"/>
                <w:szCs w:val="18"/>
              </w:rPr>
            </w:pPr>
            <w:r w:rsidRPr="00151D4C">
              <w:rPr>
                <w:rFonts w:cs="Calibri"/>
                <w:b w:val="0"/>
                <w:bCs/>
                <w:color w:val="000000"/>
                <w:szCs w:val="18"/>
              </w:rPr>
              <w:t>$775</w:t>
            </w:r>
          </w:p>
        </w:tc>
      </w:tr>
      <w:tr w:rsidR="00C36117" w:rsidRPr="00151D4C" w14:paraId="6AB15923" w14:textId="77777777" w:rsidTr="009B50BD">
        <w:trPr>
          <w:trHeight w:val="20"/>
          <w:tblHeader/>
        </w:trPr>
        <w:tc>
          <w:tcPr>
            <w:tcW w:w="703" w:type="pct"/>
            <w:shd w:val="clear" w:color="auto" w:fill="auto"/>
          </w:tcPr>
          <w:p w14:paraId="13352C9E" w14:textId="77777777" w:rsidR="00C36117" w:rsidRPr="00151D4C" w:rsidRDefault="00C36117" w:rsidP="009B50BD">
            <w:pPr>
              <w:pStyle w:val="Tabletextbold"/>
              <w:rPr>
                <w:rFonts w:eastAsia="Arial Unicode MS"/>
                <w:szCs w:val="18"/>
              </w:rPr>
            </w:pPr>
            <w:r w:rsidRPr="00151D4C">
              <w:rPr>
                <w:szCs w:val="18"/>
              </w:rPr>
              <w:t>FY18</w:t>
            </w:r>
          </w:p>
        </w:tc>
        <w:tc>
          <w:tcPr>
            <w:tcW w:w="865" w:type="pct"/>
            <w:shd w:val="clear" w:color="auto" w:fill="auto"/>
            <w:vAlign w:val="bottom"/>
          </w:tcPr>
          <w:p w14:paraId="79FD754D" w14:textId="77777777" w:rsidR="00C36117" w:rsidRPr="00151D4C" w:rsidRDefault="00C36117" w:rsidP="00463B2D">
            <w:pPr>
              <w:pStyle w:val="Tabletextbold"/>
              <w:jc w:val="center"/>
              <w:rPr>
                <w:rFonts w:eastAsia="Arial Unicode MS"/>
                <w:b w:val="0"/>
                <w:bCs/>
                <w:color w:val="FFFFFF" w:themeColor="background1"/>
                <w:szCs w:val="18"/>
              </w:rPr>
            </w:pPr>
            <w:r w:rsidRPr="00151D4C">
              <w:rPr>
                <w:rFonts w:cs="Calibri"/>
                <w:b w:val="0"/>
                <w:bCs/>
                <w:color w:val="000000"/>
                <w:szCs w:val="18"/>
              </w:rPr>
              <w:t>94%</w:t>
            </w:r>
          </w:p>
        </w:tc>
        <w:tc>
          <w:tcPr>
            <w:tcW w:w="944" w:type="pct"/>
            <w:shd w:val="clear" w:color="auto" w:fill="auto"/>
            <w:vAlign w:val="bottom"/>
          </w:tcPr>
          <w:p w14:paraId="0B89F342" w14:textId="77777777" w:rsidR="00C36117" w:rsidRPr="00151D4C" w:rsidRDefault="00C36117" w:rsidP="00463B2D">
            <w:pPr>
              <w:pStyle w:val="Tabletextbold"/>
              <w:jc w:val="center"/>
              <w:rPr>
                <w:rFonts w:eastAsia="Arial Unicode MS"/>
                <w:b w:val="0"/>
                <w:bCs/>
                <w:color w:val="FFFFFF" w:themeColor="background1"/>
                <w:szCs w:val="18"/>
              </w:rPr>
            </w:pPr>
            <w:r w:rsidRPr="00151D4C">
              <w:rPr>
                <w:rFonts w:cs="Calibri"/>
                <w:b w:val="0"/>
                <w:bCs/>
                <w:color w:val="000000"/>
                <w:szCs w:val="18"/>
              </w:rPr>
              <w:t>47%</w:t>
            </w:r>
          </w:p>
        </w:tc>
        <w:tc>
          <w:tcPr>
            <w:tcW w:w="787" w:type="pct"/>
            <w:shd w:val="clear" w:color="auto" w:fill="auto"/>
            <w:vAlign w:val="bottom"/>
          </w:tcPr>
          <w:p w14:paraId="4645E066" w14:textId="77777777" w:rsidR="00C36117" w:rsidRPr="00151D4C" w:rsidRDefault="00C36117" w:rsidP="00463B2D">
            <w:pPr>
              <w:pStyle w:val="Tabletextbold"/>
              <w:jc w:val="center"/>
              <w:rPr>
                <w:rFonts w:eastAsia="Arial Unicode MS"/>
                <w:b w:val="0"/>
                <w:bCs/>
                <w:color w:val="FFFFFF" w:themeColor="background1"/>
                <w:szCs w:val="18"/>
              </w:rPr>
            </w:pPr>
            <w:r w:rsidRPr="00151D4C">
              <w:rPr>
                <w:rFonts w:cs="Calibri"/>
                <w:b w:val="0"/>
                <w:bCs/>
                <w:color w:val="000000"/>
                <w:szCs w:val="18"/>
              </w:rPr>
              <w:t>89%</w:t>
            </w:r>
          </w:p>
        </w:tc>
        <w:tc>
          <w:tcPr>
            <w:tcW w:w="865" w:type="pct"/>
            <w:shd w:val="clear" w:color="auto" w:fill="auto"/>
            <w:vAlign w:val="bottom"/>
          </w:tcPr>
          <w:p w14:paraId="01BE9674" w14:textId="77777777" w:rsidR="00C36117" w:rsidRPr="00151D4C" w:rsidRDefault="00C36117" w:rsidP="00463B2D">
            <w:pPr>
              <w:pStyle w:val="Tabletextbold"/>
              <w:jc w:val="center"/>
              <w:rPr>
                <w:rFonts w:eastAsia="Arial Unicode MS"/>
                <w:b w:val="0"/>
                <w:bCs/>
                <w:color w:val="FFFFFF" w:themeColor="background1"/>
                <w:szCs w:val="18"/>
              </w:rPr>
            </w:pPr>
            <w:r w:rsidRPr="00151D4C">
              <w:rPr>
                <w:rFonts w:cs="Calibri"/>
                <w:b w:val="0"/>
                <w:bCs/>
                <w:color w:val="000000"/>
                <w:szCs w:val="18"/>
              </w:rPr>
              <w:t>$727</w:t>
            </w:r>
          </w:p>
        </w:tc>
        <w:tc>
          <w:tcPr>
            <w:tcW w:w="836" w:type="pct"/>
            <w:shd w:val="clear" w:color="auto" w:fill="auto"/>
            <w:vAlign w:val="bottom"/>
          </w:tcPr>
          <w:p w14:paraId="079E9B1D" w14:textId="77777777" w:rsidR="00C36117" w:rsidRPr="00151D4C" w:rsidRDefault="00C36117" w:rsidP="00463B2D">
            <w:pPr>
              <w:pStyle w:val="Tabletextbold"/>
              <w:jc w:val="center"/>
              <w:rPr>
                <w:rFonts w:eastAsia="Arial Unicode MS"/>
                <w:b w:val="0"/>
                <w:bCs/>
                <w:color w:val="FFFFFF" w:themeColor="background1"/>
                <w:szCs w:val="18"/>
              </w:rPr>
            </w:pPr>
            <w:r w:rsidRPr="00151D4C">
              <w:rPr>
                <w:rFonts w:cs="Calibri"/>
                <w:b w:val="0"/>
                <w:bCs/>
                <w:color w:val="000000"/>
                <w:szCs w:val="18"/>
              </w:rPr>
              <w:t>$733</w:t>
            </w:r>
          </w:p>
        </w:tc>
      </w:tr>
      <w:tr w:rsidR="00C36117" w:rsidRPr="00151D4C" w14:paraId="4E9D6908" w14:textId="77777777" w:rsidTr="009B50BD">
        <w:trPr>
          <w:trHeight w:val="20"/>
          <w:tblHeader/>
        </w:trPr>
        <w:tc>
          <w:tcPr>
            <w:tcW w:w="703" w:type="pct"/>
            <w:shd w:val="clear" w:color="auto" w:fill="auto"/>
          </w:tcPr>
          <w:p w14:paraId="30B58DFD" w14:textId="77777777" w:rsidR="00C36117" w:rsidRPr="00151D4C" w:rsidRDefault="00C36117" w:rsidP="009B50BD">
            <w:pPr>
              <w:pStyle w:val="Tabletextbold"/>
              <w:rPr>
                <w:rFonts w:eastAsia="Arial Unicode MS"/>
                <w:szCs w:val="18"/>
              </w:rPr>
            </w:pPr>
            <w:r w:rsidRPr="00151D4C">
              <w:rPr>
                <w:szCs w:val="18"/>
              </w:rPr>
              <w:t>FY19</w:t>
            </w:r>
          </w:p>
        </w:tc>
        <w:tc>
          <w:tcPr>
            <w:tcW w:w="865" w:type="pct"/>
            <w:shd w:val="clear" w:color="auto" w:fill="auto"/>
            <w:vAlign w:val="bottom"/>
          </w:tcPr>
          <w:p w14:paraId="4014FE40" w14:textId="77777777" w:rsidR="00C36117" w:rsidRPr="00151D4C" w:rsidRDefault="00C36117" w:rsidP="00463B2D">
            <w:pPr>
              <w:pStyle w:val="Tabletextbold"/>
              <w:jc w:val="center"/>
              <w:rPr>
                <w:rFonts w:eastAsia="Arial Unicode MS"/>
                <w:b w:val="0"/>
                <w:bCs/>
                <w:color w:val="FFFFFF" w:themeColor="background1"/>
                <w:szCs w:val="18"/>
              </w:rPr>
            </w:pPr>
            <w:r w:rsidRPr="00151D4C">
              <w:rPr>
                <w:rFonts w:cs="Calibri"/>
                <w:b w:val="0"/>
                <w:bCs/>
                <w:color w:val="000000"/>
                <w:szCs w:val="18"/>
              </w:rPr>
              <w:t>95%</w:t>
            </w:r>
          </w:p>
        </w:tc>
        <w:tc>
          <w:tcPr>
            <w:tcW w:w="944" w:type="pct"/>
            <w:shd w:val="clear" w:color="auto" w:fill="auto"/>
            <w:vAlign w:val="bottom"/>
          </w:tcPr>
          <w:p w14:paraId="006AA0D7" w14:textId="77777777" w:rsidR="00C36117" w:rsidRPr="00151D4C" w:rsidRDefault="00C36117" w:rsidP="00463B2D">
            <w:pPr>
              <w:pStyle w:val="Tabletextbold"/>
              <w:jc w:val="center"/>
              <w:rPr>
                <w:rFonts w:eastAsia="Arial Unicode MS"/>
                <w:b w:val="0"/>
                <w:bCs/>
                <w:color w:val="FFFFFF" w:themeColor="background1"/>
                <w:szCs w:val="18"/>
              </w:rPr>
            </w:pPr>
            <w:r w:rsidRPr="00151D4C">
              <w:rPr>
                <w:rFonts w:cs="Calibri"/>
                <w:b w:val="0"/>
                <w:bCs/>
                <w:color w:val="000000"/>
                <w:szCs w:val="18"/>
              </w:rPr>
              <w:t>46%</w:t>
            </w:r>
          </w:p>
        </w:tc>
        <w:tc>
          <w:tcPr>
            <w:tcW w:w="787" w:type="pct"/>
            <w:shd w:val="clear" w:color="auto" w:fill="auto"/>
            <w:vAlign w:val="bottom"/>
          </w:tcPr>
          <w:p w14:paraId="15A90571" w14:textId="77777777" w:rsidR="00C36117" w:rsidRPr="00151D4C" w:rsidRDefault="00C36117" w:rsidP="00463B2D">
            <w:pPr>
              <w:pStyle w:val="Tabletextbold"/>
              <w:jc w:val="center"/>
              <w:rPr>
                <w:rFonts w:eastAsia="Arial Unicode MS"/>
                <w:b w:val="0"/>
                <w:bCs/>
                <w:color w:val="FFFFFF" w:themeColor="background1"/>
                <w:szCs w:val="18"/>
              </w:rPr>
            </w:pPr>
            <w:r w:rsidRPr="00151D4C">
              <w:rPr>
                <w:rFonts w:cs="Calibri"/>
                <w:b w:val="0"/>
                <w:bCs/>
                <w:color w:val="000000"/>
                <w:szCs w:val="18"/>
              </w:rPr>
              <w:t>90%</w:t>
            </w:r>
          </w:p>
        </w:tc>
        <w:tc>
          <w:tcPr>
            <w:tcW w:w="865" w:type="pct"/>
            <w:shd w:val="clear" w:color="auto" w:fill="auto"/>
            <w:vAlign w:val="bottom"/>
          </w:tcPr>
          <w:p w14:paraId="10426F69" w14:textId="77777777" w:rsidR="00C36117" w:rsidRPr="00151D4C" w:rsidRDefault="00C36117" w:rsidP="00463B2D">
            <w:pPr>
              <w:pStyle w:val="Tabletextbold"/>
              <w:jc w:val="center"/>
              <w:rPr>
                <w:rFonts w:eastAsia="Arial Unicode MS"/>
                <w:b w:val="0"/>
                <w:bCs/>
                <w:color w:val="FFFFFF" w:themeColor="background1"/>
                <w:szCs w:val="18"/>
              </w:rPr>
            </w:pPr>
            <w:r w:rsidRPr="00151D4C">
              <w:rPr>
                <w:rFonts w:cs="Calibri"/>
                <w:b w:val="0"/>
                <w:bCs/>
                <w:color w:val="000000"/>
                <w:szCs w:val="18"/>
              </w:rPr>
              <w:t>$665</w:t>
            </w:r>
          </w:p>
        </w:tc>
        <w:tc>
          <w:tcPr>
            <w:tcW w:w="836" w:type="pct"/>
            <w:shd w:val="clear" w:color="auto" w:fill="auto"/>
            <w:vAlign w:val="bottom"/>
          </w:tcPr>
          <w:p w14:paraId="5FB8C654" w14:textId="77777777" w:rsidR="00C36117" w:rsidRPr="00151D4C" w:rsidRDefault="00C36117" w:rsidP="00463B2D">
            <w:pPr>
              <w:pStyle w:val="Tabletextbold"/>
              <w:jc w:val="center"/>
              <w:rPr>
                <w:rFonts w:eastAsia="Arial Unicode MS"/>
                <w:b w:val="0"/>
                <w:bCs/>
                <w:color w:val="FFFFFF" w:themeColor="background1"/>
                <w:szCs w:val="18"/>
              </w:rPr>
            </w:pPr>
            <w:r w:rsidRPr="00151D4C">
              <w:rPr>
                <w:rFonts w:cs="Calibri"/>
                <w:b w:val="0"/>
                <w:bCs/>
                <w:color w:val="000000"/>
                <w:szCs w:val="18"/>
              </w:rPr>
              <w:t>$670</w:t>
            </w:r>
          </w:p>
        </w:tc>
      </w:tr>
      <w:tr w:rsidR="00C36117" w:rsidRPr="00151D4C" w14:paraId="68266155" w14:textId="77777777" w:rsidTr="00463B2D">
        <w:trPr>
          <w:trHeight w:val="20"/>
          <w:tblHeader/>
        </w:trPr>
        <w:tc>
          <w:tcPr>
            <w:tcW w:w="703" w:type="pct"/>
            <w:shd w:val="clear" w:color="auto" w:fill="D2D2DA" w:themeFill="text1" w:themeFillTint="33"/>
          </w:tcPr>
          <w:p w14:paraId="07D33845" w14:textId="77777777" w:rsidR="00C36117" w:rsidRPr="001968FB" w:rsidRDefault="00C36117" w:rsidP="009B50BD">
            <w:pPr>
              <w:pStyle w:val="Tabletextbold"/>
              <w:rPr>
                <w:szCs w:val="18"/>
              </w:rPr>
            </w:pPr>
            <w:r w:rsidRPr="001968FB">
              <w:rPr>
                <w:szCs w:val="18"/>
              </w:rPr>
              <w:t>FY11 – FY19</w:t>
            </w:r>
          </w:p>
        </w:tc>
        <w:tc>
          <w:tcPr>
            <w:tcW w:w="865" w:type="pct"/>
            <w:shd w:val="clear" w:color="auto" w:fill="D2D2DA" w:themeFill="text1" w:themeFillTint="33"/>
            <w:vAlign w:val="bottom"/>
          </w:tcPr>
          <w:p w14:paraId="4D2252CF" w14:textId="77777777" w:rsidR="00C36117" w:rsidRPr="00AF1D4E" w:rsidRDefault="00C36117" w:rsidP="00463B2D">
            <w:pPr>
              <w:pStyle w:val="Tabletextbold"/>
              <w:jc w:val="center"/>
              <w:rPr>
                <w:rFonts w:cs="Calibri"/>
                <w:bCs/>
                <w:color w:val="000000"/>
                <w:szCs w:val="18"/>
              </w:rPr>
            </w:pPr>
            <w:r w:rsidRPr="00AF1D4E">
              <w:rPr>
                <w:rFonts w:cs="Calibri"/>
                <w:bCs/>
                <w:color w:val="000000"/>
                <w:szCs w:val="18"/>
              </w:rPr>
              <w:t>91%</w:t>
            </w:r>
          </w:p>
        </w:tc>
        <w:tc>
          <w:tcPr>
            <w:tcW w:w="944" w:type="pct"/>
            <w:shd w:val="clear" w:color="auto" w:fill="D2D2DA" w:themeFill="text1" w:themeFillTint="33"/>
            <w:vAlign w:val="bottom"/>
          </w:tcPr>
          <w:p w14:paraId="38CF9B54" w14:textId="77777777" w:rsidR="00C36117" w:rsidRPr="00AF1D4E" w:rsidRDefault="00C36117" w:rsidP="00463B2D">
            <w:pPr>
              <w:pStyle w:val="Tabletextbold"/>
              <w:jc w:val="center"/>
              <w:rPr>
                <w:rFonts w:cs="Calibri"/>
                <w:bCs/>
                <w:color w:val="000000"/>
                <w:szCs w:val="18"/>
              </w:rPr>
            </w:pPr>
            <w:r w:rsidRPr="00AF1D4E">
              <w:rPr>
                <w:rFonts w:cs="Calibri"/>
                <w:bCs/>
                <w:color w:val="000000"/>
                <w:szCs w:val="18"/>
              </w:rPr>
              <w:t>49%</w:t>
            </w:r>
          </w:p>
        </w:tc>
        <w:tc>
          <w:tcPr>
            <w:tcW w:w="787" w:type="pct"/>
            <w:shd w:val="clear" w:color="auto" w:fill="D2D2DA" w:themeFill="text1" w:themeFillTint="33"/>
            <w:vAlign w:val="bottom"/>
          </w:tcPr>
          <w:p w14:paraId="0F86ADF9" w14:textId="77777777" w:rsidR="00C36117" w:rsidRPr="00AF1D4E" w:rsidRDefault="00C36117" w:rsidP="00463B2D">
            <w:pPr>
              <w:pStyle w:val="Tabletextbold"/>
              <w:jc w:val="center"/>
              <w:rPr>
                <w:rFonts w:cs="Calibri"/>
                <w:bCs/>
                <w:color w:val="000000"/>
                <w:szCs w:val="18"/>
              </w:rPr>
            </w:pPr>
            <w:r w:rsidRPr="00AF1D4E">
              <w:rPr>
                <w:rFonts w:cs="Calibri"/>
                <w:bCs/>
                <w:color w:val="000000"/>
                <w:szCs w:val="18"/>
              </w:rPr>
              <w:t>87%</w:t>
            </w:r>
          </w:p>
        </w:tc>
        <w:tc>
          <w:tcPr>
            <w:tcW w:w="865" w:type="pct"/>
            <w:shd w:val="clear" w:color="auto" w:fill="D2D2DA" w:themeFill="text1" w:themeFillTint="33"/>
            <w:vAlign w:val="bottom"/>
          </w:tcPr>
          <w:p w14:paraId="3CCCF5BC" w14:textId="77777777" w:rsidR="00C36117" w:rsidRPr="00AF1D4E" w:rsidRDefault="00C36117" w:rsidP="00463B2D">
            <w:pPr>
              <w:pStyle w:val="Tabletextbold"/>
              <w:jc w:val="center"/>
              <w:rPr>
                <w:rFonts w:cs="Calibri"/>
                <w:bCs/>
                <w:color w:val="000000"/>
                <w:szCs w:val="18"/>
              </w:rPr>
            </w:pPr>
            <w:r w:rsidRPr="00AF1D4E">
              <w:rPr>
                <w:rFonts w:cs="Calibri"/>
                <w:bCs/>
                <w:color w:val="000000"/>
                <w:szCs w:val="18"/>
              </w:rPr>
              <w:t>$754</w:t>
            </w:r>
          </w:p>
        </w:tc>
        <w:tc>
          <w:tcPr>
            <w:tcW w:w="836" w:type="pct"/>
            <w:shd w:val="clear" w:color="auto" w:fill="D2D2DA" w:themeFill="text1" w:themeFillTint="33"/>
            <w:vAlign w:val="bottom"/>
          </w:tcPr>
          <w:p w14:paraId="1DFC03B1" w14:textId="77777777" w:rsidR="00C36117" w:rsidRPr="00AF1D4E" w:rsidRDefault="00C36117" w:rsidP="00463B2D">
            <w:pPr>
              <w:pStyle w:val="Tabletextbold"/>
              <w:jc w:val="center"/>
              <w:rPr>
                <w:rFonts w:cs="Calibri"/>
                <w:bCs/>
                <w:color w:val="000000"/>
                <w:szCs w:val="18"/>
              </w:rPr>
            </w:pPr>
            <w:r w:rsidRPr="00AF1D4E">
              <w:rPr>
                <w:rFonts w:cs="Calibri"/>
                <w:bCs/>
                <w:color w:val="000000"/>
                <w:szCs w:val="18"/>
              </w:rPr>
              <w:t>$755</w:t>
            </w:r>
          </w:p>
        </w:tc>
      </w:tr>
    </w:tbl>
    <w:p w14:paraId="3FCF4DF5" w14:textId="77777777" w:rsidR="00C36117" w:rsidRDefault="00C36117" w:rsidP="00D43530">
      <w:pPr>
        <w:pStyle w:val="Bodytextwithparaspace"/>
        <w:spacing w:before="240"/>
        <w:rPr>
          <w:b/>
          <w:bCs/>
        </w:rPr>
      </w:pPr>
      <w:r>
        <w:rPr>
          <w:b/>
          <w:bCs/>
        </w:rPr>
        <w:t>Allocation of PL benefits across other associated PL categories</w:t>
      </w:r>
    </w:p>
    <w:p w14:paraId="3BF415CA" w14:textId="4F2C8C76" w:rsidR="003970E4" w:rsidRDefault="00C36117" w:rsidP="00C36117">
      <w:pPr>
        <w:pStyle w:val="Bodytextwithparaspace"/>
      </w:pPr>
      <w:r>
        <w:t xml:space="preserve">Part of the analysis performed using the HCP1 dataset involved assessing the extent to which usage of the GM items deemed as ‘High’ priority by the Department (prioritisation </w:t>
      </w:r>
      <w:r w:rsidRPr="00C55D30">
        <w:t>discussed below in Section 4</w:t>
      </w:r>
      <w:r>
        <w:t xml:space="preserve">) was associated with usage of other </w:t>
      </w:r>
      <w:r w:rsidR="004C2680">
        <w:t>PL</w:t>
      </w:r>
      <w:r>
        <w:t xml:space="preserve"> items outside of this ‘High’ priority GM category within the same episode of care. </w:t>
      </w:r>
      <w:r w:rsidR="003970E4">
        <w:t>The purpose of this analysis was to confirm which criteria for listing were relevant to the item.</w:t>
      </w:r>
    </w:p>
    <w:p w14:paraId="0EEE844D" w14:textId="6B69266D" w:rsidR="00C36117" w:rsidRDefault="00C36117" w:rsidP="00C36117">
      <w:pPr>
        <w:pStyle w:val="Bodytextwithparaspace"/>
      </w:pPr>
      <w:r>
        <w:t>To perform this analysis, the amount of PL benefits associated with these ‘High’ priority GM items were allocated between each of the other categories of the PL (including the ‘Low’ priority GM items) using the following process:</w:t>
      </w:r>
    </w:p>
    <w:p w14:paraId="6F563EB5" w14:textId="77777777" w:rsidR="00C36117" w:rsidRDefault="00C36117" w:rsidP="00463B2D">
      <w:pPr>
        <w:pStyle w:val="Bodytextwithparaspace"/>
        <w:numPr>
          <w:ilvl w:val="0"/>
          <w:numId w:val="12"/>
        </w:numPr>
      </w:pPr>
      <w:r>
        <w:t>For each episode of care associated with usage of ‘High’ priority GM items, the total PL benefits in respect of each non-GM category and ‘Low’ priority GM items within the same episode of care was summarised</w:t>
      </w:r>
      <w:r w:rsidR="001968FB">
        <w:t>.</w:t>
      </w:r>
    </w:p>
    <w:p w14:paraId="5AB0A38F" w14:textId="77777777" w:rsidR="00C36117" w:rsidRDefault="00C36117" w:rsidP="00463B2D">
      <w:pPr>
        <w:pStyle w:val="Bodytextwithparaspace"/>
        <w:numPr>
          <w:ilvl w:val="0"/>
          <w:numId w:val="12"/>
        </w:numPr>
      </w:pPr>
      <w:r>
        <w:t>For each instance of usage of ‘High’ priority GM items, the total PL benefits for that usage was then allocated between each of these categories (including ‘Low’ priority GM) in proportion to the relative benefits paid in respect of each of these categories within the same episode of care (as calculated in Step 1)</w:t>
      </w:r>
      <w:r w:rsidR="001968FB">
        <w:t>.</w:t>
      </w:r>
    </w:p>
    <w:p w14:paraId="457F7DE4" w14:textId="77777777" w:rsidR="00C36117" w:rsidRDefault="00C36117" w:rsidP="00463B2D">
      <w:pPr>
        <w:pStyle w:val="Bodytextwithparaspace"/>
        <w:numPr>
          <w:ilvl w:val="0"/>
          <w:numId w:val="12"/>
        </w:numPr>
      </w:pPr>
      <w:r>
        <w:t>If an instance of usage of ‘High’ priority GM items was not associated with any PL items outside of this ‘High’ priority GM grouping, then the full PL benefit amount was allocated to the ‘None’ category.</w:t>
      </w:r>
    </w:p>
    <w:p w14:paraId="470D5E9B" w14:textId="77777777" w:rsidR="00C36117" w:rsidRDefault="00C36117" w:rsidP="00C36117">
      <w:pPr>
        <w:pStyle w:val="Bodytextwithparaspace"/>
        <w:rPr>
          <w:b/>
          <w:bCs/>
        </w:rPr>
      </w:pPr>
      <w:r>
        <w:rPr>
          <w:b/>
          <w:bCs/>
        </w:rPr>
        <w:t>Primary MBS item code</w:t>
      </w:r>
    </w:p>
    <w:p w14:paraId="76C4853C" w14:textId="77777777" w:rsidR="00A74845" w:rsidRDefault="00C36117" w:rsidP="00C36117">
      <w:pPr>
        <w:pStyle w:val="Bodytextwithparaspace"/>
      </w:pPr>
      <w:r>
        <w:t>Further analysis was performed using the HCP1 dataset to investigate usage and benefits for GM items by the primary MBS item code for the associated episode of care. Each episode of care may be associated with multiple MBS item codes. For this analysis, only the ‘primary’ MBS item code was considered. The ‘primary’ or ‘principal’ MBS item code was used as implemented within the HCP1 dataset</w:t>
      </w:r>
      <w:r>
        <w:rPr>
          <w:rStyle w:val="FootnoteReference"/>
        </w:rPr>
        <w:footnoteReference w:id="8"/>
      </w:r>
      <w:r>
        <w:t>. This is defined within the HCP1 data specifications as being selected “on the basis of: (a) the patient’s first visit to a theatre or procedure room/coronary angiography suite; and (b) the MBS with the highest benefit amount”.</w:t>
      </w:r>
    </w:p>
    <w:p w14:paraId="428F4395" w14:textId="315600C8" w:rsidR="00A74845" w:rsidRDefault="00A74845" w:rsidP="00C36117">
      <w:pPr>
        <w:pStyle w:val="Bodytextwithparaspace"/>
        <w:rPr>
          <w:b/>
        </w:rPr>
      </w:pPr>
      <w:r>
        <w:rPr>
          <w:b/>
        </w:rPr>
        <w:t>Usage comparisons between private hospitals</w:t>
      </w:r>
    </w:p>
    <w:p w14:paraId="66F344C9" w14:textId="19C27993" w:rsidR="00C36117" w:rsidRPr="00151D4C" w:rsidRDefault="00A74845" w:rsidP="00C36117">
      <w:pPr>
        <w:pStyle w:val="Bodytextwithparaspace"/>
      </w:pPr>
      <w:r>
        <w:t xml:space="preserve">The HCP1 data includes information on the hospital where the procedure was performed, which has also been analysed. However, in this analysis, focus </w:t>
      </w:r>
      <w:r w:rsidR="00D25E1F">
        <w:t>was</w:t>
      </w:r>
      <w:r>
        <w:t xml:space="preserve"> placed on the hospitals’ owner groups rather than individual hospitals themselves. </w:t>
      </w:r>
      <w:r w:rsidR="002B5AE2">
        <w:t>A</w:t>
      </w:r>
      <w:r>
        <w:t xml:space="preserve">nalysis of individual hospitals </w:t>
      </w:r>
      <w:r w:rsidR="002B5AE2">
        <w:t>c</w:t>
      </w:r>
      <w:r>
        <w:t xml:space="preserve">ould be helpful to investigate how contracting differences and clinical preferences may be influencing usage of these GM items. Due to the large number of items and hospitals, this would </w:t>
      </w:r>
      <w:r w:rsidR="002B5AE2">
        <w:t xml:space="preserve">have </w:t>
      </w:r>
      <w:r>
        <w:t>be</w:t>
      </w:r>
      <w:r w:rsidR="002B5AE2">
        <w:t>en</w:t>
      </w:r>
      <w:r>
        <w:t xml:space="preserve"> a significantly large analysis and not feasible given the constraints of this review.</w:t>
      </w:r>
    </w:p>
    <w:p w14:paraId="1DA2C31D" w14:textId="77777777" w:rsidR="0071744E" w:rsidRPr="003B69D0" w:rsidRDefault="0071744E" w:rsidP="0071744E">
      <w:pPr>
        <w:pStyle w:val="EYHeading4"/>
      </w:pPr>
      <w:r w:rsidRPr="003B69D0">
        <w:t>Benchmarking data</w:t>
      </w:r>
    </w:p>
    <w:p w14:paraId="0823FF30" w14:textId="77777777" w:rsidR="00D516CF" w:rsidRDefault="00D516CF" w:rsidP="00D516CF">
      <w:pPr>
        <w:pStyle w:val="Bodytextwithparaspace"/>
      </w:pPr>
      <w:r>
        <w:t>To</w:t>
      </w:r>
      <w:r w:rsidR="000C65B6">
        <w:t xml:space="preserve"> </w:t>
      </w:r>
      <w:r>
        <w:t xml:space="preserve">augment the data analysis and supplement key market and clinical consumption insights across Australia, robust benchmarking data was leveraged from the </w:t>
      </w:r>
      <w:r w:rsidR="00826349">
        <w:t xml:space="preserve">Australian </w:t>
      </w:r>
      <w:r>
        <w:t xml:space="preserve">public </w:t>
      </w:r>
      <w:r w:rsidR="00826349">
        <w:t>health sector</w:t>
      </w:r>
      <w:r>
        <w:t xml:space="preserve"> for a clear and direct comparison across the market. Data for the benchmarking exercise was compiled from the pricing schedules for two Australian state public health systems. To ensure data comparability, products were benchmarked at the same unit of measure as </w:t>
      </w:r>
      <w:r w:rsidR="00826349">
        <w:t>they appeared on</w:t>
      </w:r>
      <w:r>
        <w:t xml:space="preserve"> the </w:t>
      </w:r>
      <w:r w:rsidR="004C2680">
        <w:t>PL</w:t>
      </w:r>
      <w:r>
        <w:t>.</w:t>
      </w:r>
    </w:p>
    <w:p w14:paraId="68018B22" w14:textId="77777777" w:rsidR="00C15151" w:rsidRDefault="00826349" w:rsidP="00C15151">
      <w:pPr>
        <w:pStyle w:val="Bodytextwithparaspace"/>
      </w:pPr>
      <w:r>
        <w:t xml:space="preserve">The purpose of the benchmarking exercise was to compare public and private prices to determine whether the products in scope are listed on the </w:t>
      </w:r>
      <w:r w:rsidR="004C2680">
        <w:t>PL</w:t>
      </w:r>
      <w:r>
        <w:t xml:space="preserve"> at above, below or at average market price in the public domain</w:t>
      </w:r>
      <w:r w:rsidR="00EA1C77">
        <w:t>.</w:t>
      </w:r>
    </w:p>
    <w:p w14:paraId="1E43881F" w14:textId="77777777" w:rsidR="00DF164D" w:rsidRDefault="0030097F" w:rsidP="00C15151">
      <w:pPr>
        <w:pStyle w:val="Bodytextwithparaspace"/>
      </w:pPr>
      <w:r>
        <w:t xml:space="preserve">Given that the data was compiled from EY’s recent work in prostheses procurement, the source of the data </w:t>
      </w:r>
      <w:r w:rsidR="00DF164D">
        <w:t>confirmed</w:t>
      </w:r>
      <w:r>
        <w:t xml:space="preserve"> accuracy and reliability of the information. With respect to the completeness and relevance of the benchmarking, the pricing information available was able to enrich the data analysis of a significant portion of products within the </w:t>
      </w:r>
      <w:r w:rsidR="008B5082">
        <w:t xml:space="preserve">GM </w:t>
      </w:r>
      <w:r>
        <w:t>category</w:t>
      </w:r>
      <w:r w:rsidR="009F347C">
        <w:t xml:space="preserve">, which were matched to the </w:t>
      </w:r>
      <w:r w:rsidR="008B5082">
        <w:t xml:space="preserve">PL </w:t>
      </w:r>
      <w:r w:rsidR="009F347C">
        <w:t xml:space="preserve">through the product’s Billing Code, Australian Register of Therapeutic Goods (ARTG) number, or </w:t>
      </w:r>
      <w:r w:rsidR="00DF164D">
        <w:t xml:space="preserve">brand name and description, and then reconciled to an ‘each’ unit of measure for comparability to the </w:t>
      </w:r>
      <w:r w:rsidR="00234C07">
        <w:t>PL benefit amounts</w:t>
      </w:r>
      <w:r>
        <w:t>.</w:t>
      </w:r>
    </w:p>
    <w:p w14:paraId="1C132BE4" w14:textId="77777777" w:rsidR="0071744E" w:rsidRPr="004435BA" w:rsidRDefault="0071744E" w:rsidP="0071744E">
      <w:pPr>
        <w:pStyle w:val="EYHeading3"/>
      </w:pPr>
      <w:bookmarkStart w:id="30" w:name="_Ref39605306"/>
      <w:r w:rsidRPr="004435BA">
        <w:t>Stakeholder consultation</w:t>
      </w:r>
      <w:bookmarkEnd w:id="30"/>
    </w:p>
    <w:p w14:paraId="7E170A75" w14:textId="66E3B499" w:rsidR="00913C1A" w:rsidRDefault="004F7232" w:rsidP="002C0A16">
      <w:pPr>
        <w:pStyle w:val="Bodytextwithparaspace"/>
      </w:pPr>
      <w:r>
        <w:t>A summary of feedback received by the Department prior to the review</w:t>
      </w:r>
      <w:r w:rsidR="00913C1A">
        <w:t xml:space="preserve"> (in the development of the Terms of Reference for the review)</w:t>
      </w:r>
      <w:r>
        <w:t xml:space="preserve"> is given in Section </w:t>
      </w:r>
      <w:r>
        <w:fldChar w:fldCharType="begin"/>
      </w:r>
      <w:r>
        <w:instrText xml:space="preserve"> REF _Ref41309361 \r \h </w:instrText>
      </w:r>
      <w:r>
        <w:fldChar w:fldCharType="separate"/>
      </w:r>
      <w:r w:rsidR="00784DE2">
        <w:t>2.4</w:t>
      </w:r>
      <w:r>
        <w:fldChar w:fldCharType="end"/>
      </w:r>
      <w:r>
        <w:t>. During the review</w:t>
      </w:r>
      <w:r w:rsidR="00913C1A">
        <w:t xml:space="preserve"> itself</w:t>
      </w:r>
      <w:r>
        <w:t>, additional feedback was sourced through direct stakeholder engagement conducted by the Department.</w:t>
      </w:r>
    </w:p>
    <w:p w14:paraId="2687979B" w14:textId="3119DF02" w:rsidR="007C378F" w:rsidRDefault="002C0A16" w:rsidP="002C0A16">
      <w:pPr>
        <w:pStyle w:val="Bodytextwithparaspace"/>
        <w:rPr>
          <w:b/>
        </w:rPr>
      </w:pPr>
      <w:r w:rsidRPr="002C0A16">
        <w:t>P</w:t>
      </w:r>
      <w:r w:rsidR="005F03F6" w:rsidRPr="002C0A16">
        <w:t xml:space="preserve">rivate </w:t>
      </w:r>
      <w:r w:rsidR="005F03F6">
        <w:t xml:space="preserve">health </w:t>
      </w:r>
      <w:r w:rsidR="00CF31C6">
        <w:t xml:space="preserve">insurers, hospitals and other registered parties were </w:t>
      </w:r>
      <w:r w:rsidR="00913C1A">
        <w:t>reminded of the</w:t>
      </w:r>
      <w:r w:rsidRPr="002C0A16">
        <w:t xml:space="preserve"> review</w:t>
      </w:r>
      <w:r w:rsidR="00CF31C6">
        <w:t xml:space="preserve"> via a PHI Circular, and there was </w:t>
      </w:r>
      <w:r w:rsidR="004F7232">
        <w:t>a</w:t>
      </w:r>
      <w:r w:rsidR="00CF31C6">
        <w:t xml:space="preserve"> call for submissions through the Department’s Consultation Hub. The Department contacted specific organisations (including those organisations who provided feedback on the Terms of Reference) vi</w:t>
      </w:r>
      <w:r w:rsidR="00234C07">
        <w:t>a</w:t>
      </w:r>
      <w:r w:rsidR="00CF31C6">
        <w:t xml:space="preserve"> letter and email to update them in line with the PHI Circular and invite responses or submissions against questions via the Consultation Hub. </w:t>
      </w:r>
      <w:r w:rsidR="00913C1A">
        <w:t>F</w:t>
      </w:r>
      <w:r w:rsidR="00CF31C6">
        <w:t>eedback from these groups was aimed at understanding which items meet criteria for listing, and whether items are, or could be, funded through alternative means.</w:t>
      </w:r>
    </w:p>
    <w:p w14:paraId="3ACFDD9D" w14:textId="488D2F7C" w:rsidR="005F03F6" w:rsidRDefault="001968FB" w:rsidP="005F03F6">
      <w:pPr>
        <w:pStyle w:val="Bodytextwithparaspace"/>
      </w:pPr>
      <w:r>
        <w:t xml:space="preserve">Clinical </w:t>
      </w:r>
      <w:r w:rsidR="00DB435D">
        <w:t>subject matter resources</w:t>
      </w:r>
      <w:r w:rsidR="005F03F6">
        <w:t xml:space="preserve"> also participated in workshops to discuss listing criteria, product usage, alternative treatment options and preliminary findings. Feedback received from stakeholders was integrated with desktop and data findings to develop a more holistic view of the current state.</w:t>
      </w:r>
    </w:p>
    <w:p w14:paraId="5375B4BD" w14:textId="1C781374" w:rsidR="005F03F6" w:rsidRDefault="005F03F6" w:rsidP="005F03F6">
      <w:pPr>
        <w:pStyle w:val="Bodytextwithparaspace"/>
      </w:pPr>
      <w:r>
        <w:t xml:space="preserve">It was intended that </w:t>
      </w:r>
      <w:r w:rsidR="00A74845">
        <w:t xml:space="preserve">the Department would conduct </w:t>
      </w:r>
      <w:r>
        <w:t xml:space="preserve">further rounds of consultation in which feedback would be received on the preliminary findings from the data analysis and benchmarking, and on selected observations in the context of the six </w:t>
      </w:r>
      <w:r w:rsidR="00234C07">
        <w:t>items</w:t>
      </w:r>
      <w:r>
        <w:t xml:space="preserve"> in the Terms of Reference. However, the onset and impact of COVID-19 on the Australian Healthcare Industry meant that it was not possible for these additional rounds of consultation to be held. </w:t>
      </w:r>
    </w:p>
    <w:p w14:paraId="4FA347E5" w14:textId="77777777" w:rsidR="00F97896" w:rsidRDefault="00C73219" w:rsidP="00C73219">
      <w:pPr>
        <w:pStyle w:val="EYHeading2"/>
      </w:pPr>
      <w:bookmarkStart w:id="31" w:name="_Toc42006209"/>
      <w:bookmarkStart w:id="32" w:name="_Ref39649978"/>
      <w:bookmarkStart w:id="33" w:name="_Toc59015964"/>
      <w:bookmarkEnd w:id="31"/>
      <w:r w:rsidRPr="00A26B3B">
        <w:t>Limitations</w:t>
      </w:r>
      <w:bookmarkEnd w:id="32"/>
      <w:bookmarkEnd w:id="33"/>
    </w:p>
    <w:p w14:paraId="4609FA60" w14:textId="6AB252F6" w:rsidR="00F97896" w:rsidRPr="00A26B3B" w:rsidRDefault="00F97896" w:rsidP="00F97896">
      <w:pPr>
        <w:pStyle w:val="Bodytextwithparaspace"/>
      </w:pPr>
      <w:r w:rsidRPr="00A26B3B">
        <w:t xml:space="preserve">The limitations associated with </w:t>
      </w:r>
      <w:r w:rsidR="007F4EF6">
        <w:t>the</w:t>
      </w:r>
      <w:r>
        <w:t xml:space="preserve"> review</w:t>
      </w:r>
      <w:r w:rsidRPr="00A26B3B">
        <w:t xml:space="preserve"> include the reliance on data provided by the Department and public hospitals, </w:t>
      </w:r>
      <w:r>
        <w:t xml:space="preserve">the prioritisation approach taken to complete the review, </w:t>
      </w:r>
      <w:r w:rsidRPr="00A26B3B">
        <w:t xml:space="preserve">and </w:t>
      </w:r>
      <w:r w:rsidR="00A74845">
        <w:t>a shortened</w:t>
      </w:r>
      <w:r w:rsidRPr="00A26B3B">
        <w:t xml:space="preserve"> consultation process due to COVID-19.</w:t>
      </w:r>
      <w:r>
        <w:t xml:space="preserve"> These limitations are discussed in the sections below.</w:t>
      </w:r>
    </w:p>
    <w:p w14:paraId="07D71B15" w14:textId="77777777" w:rsidR="00C73219" w:rsidRPr="00A26B3B" w:rsidRDefault="00F97896" w:rsidP="00F97896">
      <w:pPr>
        <w:pStyle w:val="EYHeading3"/>
      </w:pPr>
      <w:bookmarkStart w:id="34" w:name="_Ref39852404"/>
      <w:r>
        <w:t>Data</w:t>
      </w:r>
      <w:bookmarkEnd w:id="34"/>
    </w:p>
    <w:p w14:paraId="62369ED0" w14:textId="7ADEF709" w:rsidR="00F473B7" w:rsidRDefault="008154E5" w:rsidP="001C6187">
      <w:pPr>
        <w:pStyle w:val="Bodytextwithparaspace"/>
      </w:pPr>
      <w:r>
        <w:t xml:space="preserve">Reliance </w:t>
      </w:r>
      <w:r w:rsidR="002B5AE2">
        <w:t>was</w:t>
      </w:r>
      <w:r>
        <w:t xml:space="preserve"> placed up</w:t>
      </w:r>
      <w:r w:rsidR="003C4135" w:rsidRPr="00A26B3B">
        <w:t xml:space="preserve">on </w:t>
      </w:r>
      <w:r w:rsidR="00DB4A00" w:rsidRPr="00A26B3B">
        <w:t>the HCP</w:t>
      </w:r>
      <w:r w:rsidR="00851315" w:rsidRPr="00A26B3B">
        <w:t>1</w:t>
      </w:r>
      <w:r w:rsidR="00DB4A00" w:rsidRPr="00A26B3B">
        <w:t xml:space="preserve"> </w:t>
      </w:r>
      <w:r w:rsidR="00D21E20" w:rsidRPr="00A26B3B">
        <w:t>data</w:t>
      </w:r>
      <w:r w:rsidR="001968FB">
        <w:t>set</w:t>
      </w:r>
      <w:r w:rsidR="00D21E20" w:rsidRPr="00A26B3B">
        <w:t xml:space="preserve"> </w:t>
      </w:r>
      <w:r w:rsidR="00DB4A00" w:rsidRPr="00A26B3B">
        <w:t>provided by the Department</w:t>
      </w:r>
      <w:r w:rsidR="00F63C4F" w:rsidRPr="00A26B3B">
        <w:t xml:space="preserve"> </w:t>
      </w:r>
      <w:r w:rsidR="000A42FB" w:rsidRPr="00A26B3B">
        <w:t xml:space="preserve">to perform analysis relating to the usage and benefits paid for </w:t>
      </w:r>
      <w:r w:rsidR="006231E9" w:rsidRPr="00A26B3B">
        <w:t xml:space="preserve">various items and groupings on the PL. </w:t>
      </w:r>
      <w:r w:rsidR="001968FB">
        <w:t>As described above, t</w:t>
      </w:r>
      <w:r w:rsidR="003D10D2" w:rsidRPr="00A26B3B">
        <w:t xml:space="preserve">his data was checked for completeness by comparing the total number of PL items used </w:t>
      </w:r>
      <w:r w:rsidR="004D5E88" w:rsidRPr="00A26B3B">
        <w:t>in</w:t>
      </w:r>
      <w:r w:rsidR="002E61DC" w:rsidRPr="00A26B3B">
        <w:t xml:space="preserve"> both the HCP1 dataset and the </w:t>
      </w:r>
      <w:r w:rsidR="00234C07">
        <w:t xml:space="preserve">(complete) </w:t>
      </w:r>
      <w:r w:rsidR="002E61DC" w:rsidRPr="00A26B3B">
        <w:t>APRA-</w:t>
      </w:r>
      <w:r w:rsidR="00B6656E" w:rsidRPr="00A26B3B">
        <w:t>reported private health insurance statistic figures.</w:t>
      </w:r>
      <w:r w:rsidR="006231E9" w:rsidRPr="00A26B3B">
        <w:t xml:space="preserve"> </w:t>
      </w:r>
      <w:r w:rsidR="00100ED4" w:rsidRPr="00A26B3B">
        <w:t xml:space="preserve">Additionally, the average prostheses benefit </w:t>
      </w:r>
      <w:r w:rsidR="002104FA" w:rsidRPr="00A26B3B">
        <w:t xml:space="preserve">amount paid </w:t>
      </w:r>
      <w:r w:rsidR="00185F3F" w:rsidRPr="00A26B3B">
        <w:t>was compared between both these datasets</w:t>
      </w:r>
      <w:r w:rsidR="00234C07">
        <w:t xml:space="preserve"> in order to verify whether the HCP1 subset of the complete data was representative</w:t>
      </w:r>
      <w:r w:rsidR="00185F3F" w:rsidRPr="00A26B3B">
        <w:t>.</w:t>
      </w:r>
      <w:r w:rsidR="001968FB">
        <w:t xml:space="preserve"> </w:t>
      </w:r>
      <w:r w:rsidR="00F948A0" w:rsidRPr="00A26B3B">
        <w:t xml:space="preserve">The results of these checks can be found in </w:t>
      </w:r>
      <w:r w:rsidR="0009727A" w:rsidRPr="00A26B3B">
        <w:t xml:space="preserve">Section </w:t>
      </w:r>
      <w:r w:rsidR="0009727A" w:rsidRPr="00A26B3B">
        <w:fldChar w:fldCharType="begin"/>
      </w:r>
      <w:r w:rsidR="0009727A" w:rsidRPr="00A26B3B">
        <w:instrText xml:space="preserve"> REF _Ref39497096 \r \h </w:instrText>
      </w:r>
      <w:r w:rsidR="00195C6B">
        <w:instrText xml:space="preserve"> \* MERGEFORMAT </w:instrText>
      </w:r>
      <w:r w:rsidR="0009727A" w:rsidRPr="00A26B3B">
        <w:fldChar w:fldCharType="separate"/>
      </w:r>
      <w:r w:rsidR="00784DE2">
        <w:t>3.2.2.1</w:t>
      </w:r>
      <w:r w:rsidR="0009727A" w:rsidRPr="00A26B3B">
        <w:fldChar w:fldCharType="end"/>
      </w:r>
      <w:r w:rsidR="0009727A" w:rsidRPr="00A26B3B">
        <w:t>.</w:t>
      </w:r>
    </w:p>
    <w:p w14:paraId="64777584" w14:textId="1BAE91DB" w:rsidR="00A675C2" w:rsidRPr="00A26B3B" w:rsidRDefault="00A675C2" w:rsidP="001C6187">
      <w:pPr>
        <w:pStyle w:val="Bodytextwithparaspace"/>
      </w:pPr>
      <w:r>
        <w:t>Analysis was conducted link</w:t>
      </w:r>
      <w:r w:rsidR="000E6538">
        <w:t>ing</w:t>
      </w:r>
      <w:r w:rsidR="00DD14CA" w:rsidRPr="00A26B3B">
        <w:t xml:space="preserve"> </w:t>
      </w:r>
      <w:r w:rsidR="00977467" w:rsidRPr="00A26B3B">
        <w:t xml:space="preserve">usage of </w:t>
      </w:r>
      <w:r w:rsidR="00B6457C" w:rsidRPr="00A26B3B">
        <w:t xml:space="preserve">‘High’ priority GM items </w:t>
      </w:r>
      <w:r w:rsidR="00264E31" w:rsidRPr="00A26B3B">
        <w:t xml:space="preserve">with other </w:t>
      </w:r>
      <w:r w:rsidR="00F91323" w:rsidRPr="00A26B3B">
        <w:t xml:space="preserve">PL items outside of the ‘High’ priority GM category within the same episode </w:t>
      </w:r>
      <w:r w:rsidR="009F2B1C" w:rsidRPr="00A26B3B">
        <w:t>of</w:t>
      </w:r>
      <w:r w:rsidR="00F91323" w:rsidRPr="00A26B3B">
        <w:t xml:space="preserve"> care</w:t>
      </w:r>
      <w:r>
        <w:t xml:space="preserve">. </w:t>
      </w:r>
      <w:r w:rsidR="00AE703F">
        <w:t xml:space="preserve">This analysis required apportionment of PL benefits for ‘High’ priority GM item usage between the different PL categories (and ‘Low’ priority GM) </w:t>
      </w:r>
      <w:r w:rsidR="00631D0B">
        <w:t xml:space="preserve">to assess the extent of benefits where ‘High’ priority GM usage related to these other categories. This analysis </w:t>
      </w:r>
      <w:r w:rsidR="002B5AE2">
        <w:t xml:space="preserve">was </w:t>
      </w:r>
      <w:r w:rsidR="00631D0B">
        <w:t>therefore dependant on the apportionment process used. For the purposes of this review, these benefits were apportioned</w:t>
      </w:r>
      <w:r w:rsidR="000E6538">
        <w:t xml:space="preserve"> between each other PL category (and ‘Low’ priority GM)</w:t>
      </w:r>
      <w:r w:rsidR="00631D0B">
        <w:t xml:space="preserve"> in proportion to total benefits paid </w:t>
      </w:r>
      <w:r w:rsidR="000E6538">
        <w:t>for each within the same episode of care.</w:t>
      </w:r>
      <w:r w:rsidR="000E6538" w:rsidRPr="000E6538">
        <w:rPr>
          <w:rStyle w:val="CommentReference"/>
        </w:rPr>
        <w:t xml:space="preserve"> </w:t>
      </w:r>
    </w:p>
    <w:p w14:paraId="55E42EA1" w14:textId="6F3574DB" w:rsidR="00F54B42" w:rsidRPr="00A26B3B" w:rsidRDefault="00EC078C" w:rsidP="001C6187">
      <w:pPr>
        <w:pStyle w:val="Bodytextwithparaspace"/>
      </w:pPr>
      <w:r w:rsidRPr="00A26B3B">
        <w:t>Analysis o</w:t>
      </w:r>
      <w:r w:rsidR="00C348EC">
        <w:t>f</w:t>
      </w:r>
      <w:r w:rsidR="00FE31D2" w:rsidRPr="00A26B3B">
        <w:t xml:space="preserve"> the MBS </w:t>
      </w:r>
      <w:r w:rsidR="007E67A8" w:rsidRPr="00A26B3B">
        <w:t xml:space="preserve">item associated with the use of a </w:t>
      </w:r>
      <w:r w:rsidR="00E32FB2" w:rsidRPr="00A26B3B">
        <w:t xml:space="preserve">PL item </w:t>
      </w:r>
      <w:r w:rsidR="002B5AE2">
        <w:t>wa</w:t>
      </w:r>
      <w:r w:rsidR="002B5AE2" w:rsidRPr="00A26B3B">
        <w:t xml:space="preserve">s </w:t>
      </w:r>
      <w:r w:rsidR="00E32FB2" w:rsidRPr="00A26B3B">
        <w:t xml:space="preserve">based on the </w:t>
      </w:r>
      <w:r w:rsidR="000931A8" w:rsidRPr="00A26B3B">
        <w:t>‘</w:t>
      </w:r>
      <w:r w:rsidR="00E32FB2" w:rsidRPr="00A26B3B">
        <w:t>primary</w:t>
      </w:r>
      <w:r w:rsidR="000931A8" w:rsidRPr="00A26B3B">
        <w:t>’</w:t>
      </w:r>
      <w:r w:rsidR="00E32FB2" w:rsidRPr="00A26B3B">
        <w:t xml:space="preserve"> MBS item code for the associated episode of care</w:t>
      </w:r>
      <w:r w:rsidR="00F87ECF" w:rsidRPr="00A26B3B">
        <w:t xml:space="preserve">; the definition of the ‘primary’ or ‘principal’ </w:t>
      </w:r>
      <w:r w:rsidR="002855E6" w:rsidRPr="00A26B3B">
        <w:t xml:space="preserve">MBS item code is </w:t>
      </w:r>
      <w:r w:rsidR="00DA774F" w:rsidRPr="00A26B3B">
        <w:t xml:space="preserve">explained in Section </w:t>
      </w:r>
      <w:r w:rsidR="00DA774F" w:rsidRPr="00A26B3B">
        <w:fldChar w:fldCharType="begin"/>
      </w:r>
      <w:r w:rsidR="00DA774F" w:rsidRPr="00A26B3B">
        <w:instrText xml:space="preserve"> REF _Ref39497096 \r \h </w:instrText>
      </w:r>
      <w:r w:rsidR="00195C6B">
        <w:instrText xml:space="preserve"> \* MERGEFORMAT </w:instrText>
      </w:r>
      <w:r w:rsidR="00DA774F" w:rsidRPr="00A26B3B">
        <w:fldChar w:fldCharType="separate"/>
      </w:r>
      <w:r w:rsidR="00784DE2">
        <w:t>3.2.2.1</w:t>
      </w:r>
      <w:r w:rsidR="00DA774F" w:rsidRPr="00A26B3B">
        <w:fldChar w:fldCharType="end"/>
      </w:r>
      <w:r w:rsidR="00E32FB2" w:rsidRPr="00A26B3B">
        <w:t>. However, episodes of care can be associated with multiple MBS item</w:t>
      </w:r>
      <w:r w:rsidR="00C348EC">
        <w:t>s</w:t>
      </w:r>
      <w:r w:rsidR="00854182" w:rsidRPr="00A26B3B">
        <w:t xml:space="preserve">, and this information is retained in the HCP1 dataset. The analysis </w:t>
      </w:r>
      <w:r w:rsidR="00CF3C41" w:rsidRPr="00A26B3B">
        <w:t xml:space="preserve">performed </w:t>
      </w:r>
      <w:r w:rsidR="002B5AE2" w:rsidRPr="00A26B3B">
        <w:t>d</w:t>
      </w:r>
      <w:r w:rsidR="002B5AE2">
        <w:t>id</w:t>
      </w:r>
      <w:r w:rsidR="002B5AE2" w:rsidRPr="00A26B3B">
        <w:t xml:space="preserve"> </w:t>
      </w:r>
      <w:r w:rsidR="00CF3C41" w:rsidRPr="00A26B3B">
        <w:t xml:space="preserve">not use any MBS item codes other than the primary MBS item code, </w:t>
      </w:r>
      <w:r w:rsidR="009B04D8" w:rsidRPr="00A26B3B">
        <w:t xml:space="preserve">which </w:t>
      </w:r>
      <w:r w:rsidR="002B5AE2" w:rsidRPr="00A26B3B">
        <w:t>reduce</w:t>
      </w:r>
      <w:r w:rsidR="002B5AE2">
        <w:t>d</w:t>
      </w:r>
      <w:r w:rsidR="002B5AE2" w:rsidRPr="00A26B3B">
        <w:t xml:space="preserve"> </w:t>
      </w:r>
      <w:r w:rsidR="009B04D8" w:rsidRPr="00A26B3B">
        <w:t xml:space="preserve">the granularity of the information </w:t>
      </w:r>
      <w:r w:rsidR="004C3195" w:rsidRPr="00A26B3B">
        <w:t>and the associated procedures.</w:t>
      </w:r>
    </w:p>
    <w:p w14:paraId="2DDDC2FC" w14:textId="77777777" w:rsidR="003539FE" w:rsidRDefault="003539FE" w:rsidP="003539FE">
      <w:pPr>
        <w:pStyle w:val="Bodytextwithparaspace"/>
      </w:pPr>
      <w:r>
        <w:t xml:space="preserve">Limited publicly available data in relation to the use of PL items in the public sector meant that meaningful </w:t>
      </w:r>
      <w:r w:rsidR="008154E5">
        <w:t>comparison of</w:t>
      </w:r>
      <w:r>
        <w:t xml:space="preserve"> the </w:t>
      </w:r>
      <w:r w:rsidR="00C348EC">
        <w:t>usage</w:t>
      </w:r>
      <w:r>
        <w:t xml:space="preserve"> of items between sectors</w:t>
      </w:r>
      <w:r w:rsidR="008154E5">
        <w:t xml:space="preserve"> was unable to be performed</w:t>
      </w:r>
      <w:r w:rsidR="00C348EC">
        <w:t>.</w:t>
      </w:r>
    </w:p>
    <w:p w14:paraId="2F8E17FD" w14:textId="77777777" w:rsidR="00F97896" w:rsidRDefault="00F97896" w:rsidP="00F97896">
      <w:pPr>
        <w:pStyle w:val="EYHeading3"/>
      </w:pPr>
      <w:r>
        <w:t>Prioritis</w:t>
      </w:r>
      <w:r w:rsidR="00F82DCB">
        <w:t>ed</w:t>
      </w:r>
      <w:r>
        <w:t xml:space="preserve"> </w:t>
      </w:r>
      <w:r w:rsidR="00F82DCB">
        <w:t>a</w:t>
      </w:r>
      <w:r>
        <w:t>pproach</w:t>
      </w:r>
    </w:p>
    <w:p w14:paraId="793B0199" w14:textId="0AEE71CC" w:rsidR="00404731" w:rsidRDefault="00C348EC" w:rsidP="00BA02C8">
      <w:pPr>
        <w:pStyle w:val="Bodytextwithparaspace"/>
      </w:pPr>
      <w:r>
        <w:t>It</w:t>
      </w:r>
      <w:r w:rsidR="00F97896">
        <w:t xml:space="preserve"> was not </w:t>
      </w:r>
      <w:r w:rsidR="00404731">
        <w:t xml:space="preserve">necessary to analyse all GM items, given many make little contribution towards total benefits paid and/or </w:t>
      </w:r>
      <w:r w:rsidR="002B5AE2">
        <w:t>were</w:t>
      </w:r>
      <w:r w:rsidR="00404731">
        <w:t xml:space="preserve"> determined by the Department as being ‘</w:t>
      </w:r>
      <w:r w:rsidR="00A74845">
        <w:t>miscellaneous’</w:t>
      </w:r>
      <w:r w:rsidR="00404731">
        <w:t xml:space="preserve"> items that </w:t>
      </w:r>
      <w:r w:rsidR="002B5AE2">
        <w:t xml:space="preserve">were </w:t>
      </w:r>
      <w:r w:rsidR="00404731">
        <w:t xml:space="preserve">not the focus of this review. </w:t>
      </w:r>
    </w:p>
    <w:p w14:paraId="67B94FBA" w14:textId="7890605E" w:rsidR="00C348EC" w:rsidRDefault="00404731" w:rsidP="00BA02C8">
      <w:pPr>
        <w:pStyle w:val="Bodytextwithparaspace"/>
      </w:pPr>
      <w:r>
        <w:t xml:space="preserve">In any case, it </w:t>
      </w:r>
      <w:r w:rsidR="002B5AE2">
        <w:t>was not</w:t>
      </w:r>
      <w:r>
        <w:t xml:space="preserve"> </w:t>
      </w:r>
      <w:r w:rsidR="00F97896">
        <w:t xml:space="preserve">feasible to assess </w:t>
      </w:r>
      <w:r w:rsidR="00C348EC">
        <w:t xml:space="preserve">all aspects of usage for </w:t>
      </w:r>
      <w:r w:rsidR="00F97896">
        <w:t>every item in the GM category</w:t>
      </w:r>
      <w:r w:rsidR="00BA02C8">
        <w:t xml:space="preserve"> of the PL</w:t>
      </w:r>
      <w:r w:rsidR="00C348EC">
        <w:t xml:space="preserve"> due to the number of items and the number of potential variables (and multiples of variables) against which to compare usage</w:t>
      </w:r>
      <w:r w:rsidR="00BA02C8">
        <w:t>.</w:t>
      </w:r>
    </w:p>
    <w:p w14:paraId="4B348A3B" w14:textId="1A547851" w:rsidR="00BA02C8" w:rsidRDefault="00BA02C8" w:rsidP="00BA02C8">
      <w:pPr>
        <w:pStyle w:val="Bodytextwithparaspace"/>
      </w:pPr>
      <w:r>
        <w:t xml:space="preserve">As such, and as discussed in Section </w:t>
      </w:r>
      <w:r>
        <w:fldChar w:fldCharType="begin"/>
      </w:r>
      <w:r>
        <w:instrText xml:space="preserve"> REF _Ref37841539 \r \h </w:instrText>
      </w:r>
      <w:r>
        <w:fldChar w:fldCharType="separate"/>
      </w:r>
      <w:r w:rsidR="00784DE2">
        <w:t>4.1</w:t>
      </w:r>
      <w:r>
        <w:fldChar w:fldCharType="end"/>
      </w:r>
      <w:r>
        <w:t xml:space="preserve">, groups in the GM category were prioritised into ‘High’ and ‘Low’ priority. </w:t>
      </w:r>
      <w:r w:rsidR="00C348EC">
        <w:t>W</w:t>
      </w:r>
      <w:r>
        <w:t xml:space="preserve">ithin the ‘High’ priority groups, investigations into the subgroups and suffix groups were </w:t>
      </w:r>
      <w:r w:rsidR="00F97896" w:rsidRPr="00A26B3B">
        <w:t xml:space="preserve">prioritised based on factors such as their total contribution to PL benefits paid, the overall level of item usage, and the growth in both their benefits and item usage over time. </w:t>
      </w:r>
    </w:p>
    <w:p w14:paraId="39A7D658" w14:textId="377B3C35" w:rsidR="00BA02C8" w:rsidRDefault="00BA02C8" w:rsidP="00BA02C8">
      <w:pPr>
        <w:pStyle w:val="Bodytextwithparaspace"/>
      </w:pPr>
      <w:r>
        <w:t xml:space="preserve">Further, </w:t>
      </w:r>
      <w:r w:rsidR="007F4EF6">
        <w:t>the</w:t>
      </w:r>
      <w:r>
        <w:t xml:space="preserve"> review focused on identifying </w:t>
      </w:r>
      <w:r w:rsidR="00F82DCB">
        <w:t xml:space="preserve">key </w:t>
      </w:r>
      <w:r>
        <w:t xml:space="preserve">examples of the experience and behaviours </w:t>
      </w:r>
      <w:r w:rsidR="00F82DCB">
        <w:t>which address the Terms of Reference for the review, as outlined in Section</w:t>
      </w:r>
      <w:r w:rsidR="00B861CE">
        <w:t xml:space="preserve"> </w:t>
      </w:r>
      <w:r w:rsidR="00B861CE">
        <w:fldChar w:fldCharType="begin"/>
      </w:r>
      <w:r w:rsidR="00B861CE">
        <w:instrText xml:space="preserve"> REF _Ref37845476 \r \h </w:instrText>
      </w:r>
      <w:r w:rsidR="00B861CE">
        <w:fldChar w:fldCharType="separate"/>
      </w:r>
      <w:r w:rsidR="00784DE2">
        <w:t>3.1</w:t>
      </w:r>
      <w:r w:rsidR="00B861CE">
        <w:fldChar w:fldCharType="end"/>
      </w:r>
      <w:r w:rsidR="00F82DCB">
        <w:t xml:space="preserve">. </w:t>
      </w:r>
      <w:r w:rsidR="003539FE" w:rsidRPr="00A26B3B">
        <w:t xml:space="preserve">Therefore, the findings in this report </w:t>
      </w:r>
      <w:r w:rsidR="003539FE">
        <w:t>cannot be interpreted as applying across all items in the GM category.</w:t>
      </w:r>
    </w:p>
    <w:p w14:paraId="76D6D0CC" w14:textId="7B7DF605" w:rsidR="00F97896" w:rsidRPr="00F97896" w:rsidRDefault="00A74845" w:rsidP="00F97896">
      <w:pPr>
        <w:pStyle w:val="EYHeading3"/>
      </w:pPr>
      <w:bookmarkStart w:id="35" w:name="_Ref39605131"/>
      <w:r>
        <w:t xml:space="preserve">Shortened </w:t>
      </w:r>
      <w:r w:rsidR="00F82DCB">
        <w:t>c</w:t>
      </w:r>
      <w:r w:rsidR="00F97896">
        <w:t xml:space="preserve">onsultation </w:t>
      </w:r>
      <w:r w:rsidR="00F82DCB">
        <w:t>p</w:t>
      </w:r>
      <w:r w:rsidR="00F97896">
        <w:t>rocess</w:t>
      </w:r>
      <w:bookmarkEnd w:id="35"/>
      <w:r w:rsidR="006D5361">
        <w:t xml:space="preserve"> </w:t>
      </w:r>
    </w:p>
    <w:p w14:paraId="63E132B7" w14:textId="74C1E6EB" w:rsidR="00B47267" w:rsidRPr="00A26B3B" w:rsidRDefault="00A74845" w:rsidP="001C6187">
      <w:pPr>
        <w:pStyle w:val="Bodytextwithparaspace"/>
      </w:pPr>
      <w:r>
        <w:t xml:space="preserve">As noted in Section </w:t>
      </w:r>
      <w:r>
        <w:fldChar w:fldCharType="begin"/>
      </w:r>
      <w:r>
        <w:instrText xml:space="preserve"> REF _Ref39605306 \r \h </w:instrText>
      </w:r>
      <w:r>
        <w:fldChar w:fldCharType="separate"/>
      </w:r>
      <w:r w:rsidR="00784DE2">
        <w:t>3.2.3</w:t>
      </w:r>
      <w:r>
        <w:fldChar w:fldCharType="end"/>
      </w:r>
      <w:r>
        <w:t xml:space="preserve">, the Department originally intended to conduct additional stakeholder consultations on selected observations. </w:t>
      </w:r>
      <w:r w:rsidR="00947C9D">
        <w:t xml:space="preserve">It is possible that there </w:t>
      </w:r>
      <w:r w:rsidR="002B5AE2">
        <w:t xml:space="preserve">were </w:t>
      </w:r>
      <w:r w:rsidR="00947C9D">
        <w:t xml:space="preserve">specific circumstances that are not immediately apparent in the data that may go some way to explaining some of the observations made in this review. However, given the </w:t>
      </w:r>
      <w:r w:rsidR="00120FBA">
        <w:t xml:space="preserve">wide </w:t>
      </w:r>
      <w:r w:rsidR="00947C9D">
        <w:t xml:space="preserve">range of </w:t>
      </w:r>
      <w:r w:rsidR="00120FBA">
        <w:t>views</w:t>
      </w:r>
      <w:r w:rsidR="006C6B5D">
        <w:t xml:space="preserve"> expressed by</w:t>
      </w:r>
      <w:r w:rsidR="00947C9D">
        <w:t xml:space="preserve"> </w:t>
      </w:r>
      <w:r w:rsidR="001B62F2">
        <w:t xml:space="preserve">the </w:t>
      </w:r>
      <w:r w:rsidR="00947C9D">
        <w:t xml:space="preserve">different stakeholder groups (see, for example, Section </w:t>
      </w:r>
      <w:r w:rsidR="00947C9D">
        <w:fldChar w:fldCharType="begin"/>
      </w:r>
      <w:r w:rsidR="00947C9D">
        <w:instrText xml:space="preserve"> REF _Ref41309361 \r \h </w:instrText>
      </w:r>
      <w:r w:rsidR="00947C9D">
        <w:fldChar w:fldCharType="separate"/>
      </w:r>
      <w:r w:rsidR="00784DE2">
        <w:t>2.4</w:t>
      </w:r>
      <w:r w:rsidR="00947C9D">
        <w:fldChar w:fldCharType="end"/>
      </w:r>
      <w:r w:rsidR="00947C9D">
        <w:t xml:space="preserve">), it is unlikely that </w:t>
      </w:r>
      <w:r w:rsidR="00913C1A">
        <w:t>these would</w:t>
      </w:r>
      <w:r w:rsidR="00947C9D">
        <w:t xml:space="preserve"> materially alter the conclusions.</w:t>
      </w:r>
    </w:p>
    <w:p w14:paraId="51637FC1" w14:textId="77777777" w:rsidR="004E2356" w:rsidRDefault="004E2356" w:rsidP="001C6187">
      <w:pPr>
        <w:pStyle w:val="Bodytextwithparaspace"/>
        <w:rPr>
          <w:highlight w:val="yellow"/>
        </w:rPr>
      </w:pPr>
    </w:p>
    <w:p w14:paraId="7128F0D1" w14:textId="77777777" w:rsidR="00CC203A" w:rsidRDefault="00F24EA8" w:rsidP="00CC203A">
      <w:pPr>
        <w:pStyle w:val="EYHeading1"/>
      </w:pPr>
      <w:bookmarkStart w:id="36" w:name="_Ref39414521"/>
      <w:bookmarkStart w:id="37" w:name="_Ref39414525"/>
      <w:bookmarkStart w:id="38" w:name="_Ref39587633"/>
      <w:bookmarkStart w:id="39" w:name="_Toc59015965"/>
      <w:r>
        <w:t>Review of</w:t>
      </w:r>
      <w:r w:rsidR="00CC203A">
        <w:t xml:space="preserve"> GM items</w:t>
      </w:r>
      <w:bookmarkEnd w:id="36"/>
      <w:bookmarkEnd w:id="37"/>
      <w:bookmarkEnd w:id="38"/>
      <w:bookmarkEnd w:id="39"/>
    </w:p>
    <w:p w14:paraId="4AAB7CBC" w14:textId="6071BA7B" w:rsidR="002F42DB" w:rsidRDefault="00F97268" w:rsidP="002F42DB">
      <w:pPr>
        <w:pStyle w:val="Bodytextwithparaspace"/>
      </w:pPr>
      <w:r>
        <w:t>I</w:t>
      </w:r>
      <w:r w:rsidR="004279B6">
        <w:t xml:space="preserve">tems in the GM category of the PL were reviewed </w:t>
      </w:r>
      <w:r w:rsidR="00E3198F">
        <w:t xml:space="preserve">and assessed </w:t>
      </w:r>
      <w:r>
        <w:t xml:space="preserve">in line with the objectives outlined in this section, incorporating insights from a combination of </w:t>
      </w:r>
      <w:r w:rsidR="009D3EBB">
        <w:t xml:space="preserve">the </w:t>
      </w:r>
      <w:r w:rsidR="00592150">
        <w:t>three main</w:t>
      </w:r>
      <w:r w:rsidR="009D3EBB">
        <w:t xml:space="preserve"> c</w:t>
      </w:r>
      <w:r w:rsidR="00592150">
        <w:t xml:space="preserve">omponents of the review, </w:t>
      </w:r>
      <w:r w:rsidR="007108F3">
        <w:t>specifically</w:t>
      </w:r>
      <w:r w:rsidR="009D3EBB">
        <w:t>:</w:t>
      </w:r>
    </w:p>
    <w:p w14:paraId="2FDD070C" w14:textId="77777777" w:rsidR="00E3198F" w:rsidRDefault="00E3198F" w:rsidP="00463B2D">
      <w:pPr>
        <w:pStyle w:val="Bodytextwithparaspace"/>
        <w:numPr>
          <w:ilvl w:val="1"/>
          <w:numId w:val="11"/>
        </w:numPr>
        <w:ind w:left="709"/>
      </w:pPr>
      <w:r>
        <w:t xml:space="preserve">Quantitative analysis of </w:t>
      </w:r>
      <w:r w:rsidR="00DD1D88">
        <w:t>HCP1</w:t>
      </w:r>
      <w:r w:rsidR="00E5731A">
        <w:t xml:space="preserve"> prostheses usage and benefits data</w:t>
      </w:r>
      <w:r>
        <w:t>;</w:t>
      </w:r>
    </w:p>
    <w:p w14:paraId="4D642D87" w14:textId="77777777" w:rsidR="00E3198F" w:rsidRDefault="00E3198F" w:rsidP="00463B2D">
      <w:pPr>
        <w:pStyle w:val="Bodytextwithparaspace"/>
        <w:numPr>
          <w:ilvl w:val="1"/>
          <w:numId w:val="11"/>
        </w:numPr>
        <w:ind w:left="709"/>
      </w:pPr>
      <w:r>
        <w:t>Benchmarking analysis comparing prostheses benefit</w:t>
      </w:r>
      <w:r w:rsidR="00DD1D88">
        <w:t xml:space="preserve"> amount</w:t>
      </w:r>
      <w:r>
        <w:t>s between the private and public hospital systems in Australia; and</w:t>
      </w:r>
    </w:p>
    <w:p w14:paraId="1733698A" w14:textId="77777777" w:rsidR="00E3198F" w:rsidRDefault="003F1F29" w:rsidP="00463B2D">
      <w:pPr>
        <w:pStyle w:val="Bodytextwithparaspace"/>
        <w:numPr>
          <w:ilvl w:val="1"/>
          <w:numId w:val="11"/>
        </w:numPr>
        <w:ind w:left="709"/>
      </w:pPr>
      <w:r>
        <w:t>Consultation with relevant stakeholders</w:t>
      </w:r>
      <w:r w:rsidR="001E1810">
        <w:t>.</w:t>
      </w:r>
    </w:p>
    <w:p w14:paraId="2A649047" w14:textId="77777777" w:rsidR="00CC203A" w:rsidRDefault="00EF2527" w:rsidP="00EF2527">
      <w:pPr>
        <w:pStyle w:val="EYHeading2"/>
      </w:pPr>
      <w:bookmarkStart w:id="40" w:name="_Toc38572690"/>
      <w:bookmarkStart w:id="41" w:name="_Toc38986839"/>
      <w:bookmarkStart w:id="42" w:name="_Ref37841539"/>
      <w:bookmarkStart w:id="43" w:name="_Toc59015966"/>
      <w:bookmarkEnd w:id="40"/>
      <w:bookmarkEnd w:id="41"/>
      <w:r>
        <w:t>Prioritisation of groups</w:t>
      </w:r>
      <w:bookmarkEnd w:id="42"/>
      <w:bookmarkEnd w:id="43"/>
    </w:p>
    <w:p w14:paraId="6EFFAFA8" w14:textId="77777777" w:rsidR="0090594F" w:rsidRDefault="00C54AF5" w:rsidP="00C54AF5">
      <w:pPr>
        <w:pStyle w:val="Bodytextwithparaspace"/>
      </w:pPr>
      <w:r>
        <w:t>For the purposes of assessing the underlying factors and key areas driving the high-level growth in the GM category, an initial prioritisation lens was provided by the Department</w:t>
      </w:r>
      <w:r w:rsidR="0021582D">
        <w:t xml:space="preserve"> </w:t>
      </w:r>
      <w:r>
        <w:t xml:space="preserve">classifying each of the 43 component groups of </w:t>
      </w:r>
      <w:r w:rsidR="00EF60BB">
        <w:t xml:space="preserve">the </w:t>
      </w:r>
      <w:r>
        <w:t>GM category (as at February 2020) as either ‘Low</w:t>
      </w:r>
      <w:r w:rsidR="00EF60BB">
        <w:t>’</w:t>
      </w:r>
      <w:r>
        <w:t xml:space="preserve"> or ‘High’ priority for the review.</w:t>
      </w:r>
    </w:p>
    <w:p w14:paraId="6202C541" w14:textId="77777777" w:rsidR="00C072F7" w:rsidRDefault="00C072F7" w:rsidP="00C072F7">
      <w:pPr>
        <w:pStyle w:val="Bodytextwithparaspace"/>
        <w:rPr>
          <w:shd w:val="clear" w:color="auto" w:fill="CEF4F3" w:themeFill="accent2" w:themeFillTint="33"/>
        </w:rPr>
      </w:pPr>
      <w:r>
        <w:t>The full table of all 43 groups, including groups that were determined as low priority by the Department, is found in Appendix A.</w:t>
      </w:r>
    </w:p>
    <w:p w14:paraId="1F5626F5" w14:textId="272FBAEA" w:rsidR="00C54AF5" w:rsidRDefault="0090594F" w:rsidP="00A37319">
      <w:pPr>
        <w:pStyle w:val="Bodytextwithparaspace"/>
        <w:spacing w:after="0"/>
      </w:pPr>
      <w:r>
        <w:t xml:space="preserve">This initial prioritisation lens was driven by the </w:t>
      </w:r>
      <w:r w:rsidRPr="009378F4">
        <w:t xml:space="preserve">Department’s </w:t>
      </w:r>
      <w:r w:rsidR="009378F4" w:rsidRPr="009378F4">
        <w:t>initial internal analysis</w:t>
      </w:r>
      <w:r w:rsidR="009378F4">
        <w:t>,</w:t>
      </w:r>
      <w:r w:rsidR="009378F4" w:rsidRPr="009378F4">
        <w:t xml:space="preserve"> which showed a change in utilisation or expenditure for some items or where </w:t>
      </w:r>
      <w:r w:rsidR="00F422D7" w:rsidRPr="009378F4">
        <w:t>there may be some debate around whether they should really be thought of as prosthe</w:t>
      </w:r>
      <w:r w:rsidR="00DB435D">
        <w:t>tic</w:t>
      </w:r>
      <w:r w:rsidR="00F422D7" w:rsidRPr="009378F4">
        <w:t xml:space="preserve"> items</w:t>
      </w:r>
      <w:r w:rsidR="00E3790E" w:rsidRPr="009378F4">
        <w:t xml:space="preserve"> in </w:t>
      </w:r>
      <w:r w:rsidR="00E3790E">
        <w:t>their own right</w:t>
      </w:r>
      <w:r w:rsidR="00F422D7">
        <w:t>.</w:t>
      </w:r>
      <w:r w:rsidR="00562844">
        <w:t xml:space="preserve"> The ‘Low’ priority subcategories/groups are therefore generally </w:t>
      </w:r>
      <w:r w:rsidR="000D481A">
        <w:t xml:space="preserve">items that are </w:t>
      </w:r>
      <w:r w:rsidR="006920FE">
        <w:t>clearly prosthetic in nature (but do not sit within other catego</w:t>
      </w:r>
      <w:r w:rsidR="006920FE" w:rsidRPr="009378F4">
        <w:t xml:space="preserve">ries of the PL) </w:t>
      </w:r>
      <w:r w:rsidR="009378F4" w:rsidRPr="009378F4">
        <w:t>or where initial analysis did not show any significant changes in utilisation.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Caption w:val="Table: High and Low Priority Subcategories / Groups"/>
        <w:tblDescription w:val="This table identifies the subcategories/groups which were deemed high and low priority for the review. &#10;The ‘High’ priority subcategories/groups were:&#10;03.02 Drug Delivery Devices&#10;03.05 Haemostatic Devices&#10;03.08 Closure Devices, specifically:&#10;03.08.01 Adhesion Barriers&#10;03.08.02 Internal Adhesives&#10;03.08.03 Ligating Devices&#10;03.08.04 Staples &amp; Tackers&#10;03.08.05 Polypropylene/Polyester Mesh&#10;03.08.11 Dynamic Wound Closure Devices&#10;&#10;The ‘Low’ priority subcategories/groups were:&#10;03.01 Brachytherapy&#10;03.03 Enteral Tubes&#10;03.04 Gastric Bands&#10;03.06 Luminal Stents&#10;03.07 Pulmonary/Peritoneal Devices&#10;03.09 Bowel Incontinence Devices&#10;03.08 Closure Devices, specifically:&#10;03.08.06 Composite Mesh&#10;03.08.07 Complete Biomaterial Mesh&#10;03.08.08 PTFE/ePTFE Mesh&#10;03.08.09 Plugs&#10;03.08.10 Anastomosis Clip&#10;"/>
      </w:tblPr>
      <w:tblGrid>
        <w:gridCol w:w="4509"/>
        <w:gridCol w:w="4510"/>
      </w:tblGrid>
      <w:tr w:rsidR="00C77FCE" w:rsidRPr="00C77FCE" w14:paraId="6C6804FD" w14:textId="77777777" w:rsidTr="00C77FCE">
        <w:trPr>
          <w:trHeight w:val="284"/>
          <w:tblHeader/>
        </w:trPr>
        <w:tc>
          <w:tcPr>
            <w:tcW w:w="4509" w:type="dxa"/>
          </w:tcPr>
          <w:p w14:paraId="7A18A5DA" w14:textId="77777777" w:rsidR="00C77FCE" w:rsidRPr="00C77FCE" w:rsidRDefault="00C77FCE" w:rsidP="00C77FCE">
            <w:pPr>
              <w:pStyle w:val="Bodytextwithparaspace"/>
              <w:spacing w:after="0"/>
              <w:rPr>
                <w:sz w:val="2"/>
              </w:rPr>
            </w:pPr>
          </w:p>
        </w:tc>
        <w:tc>
          <w:tcPr>
            <w:tcW w:w="4510" w:type="dxa"/>
          </w:tcPr>
          <w:p w14:paraId="1E9F9D73" w14:textId="77777777" w:rsidR="00C77FCE" w:rsidRPr="00C77FCE" w:rsidRDefault="00C77FCE" w:rsidP="00C77FCE">
            <w:pPr>
              <w:pStyle w:val="Bodytextwithparaspace"/>
              <w:spacing w:after="0"/>
              <w:rPr>
                <w:sz w:val="2"/>
              </w:rPr>
            </w:pPr>
          </w:p>
        </w:tc>
      </w:tr>
      <w:tr w:rsidR="009B4C98" w14:paraId="0C3A2411" w14:textId="77777777" w:rsidTr="00CB4BA0">
        <w:trPr>
          <w:trHeight w:val="284"/>
        </w:trPr>
        <w:tc>
          <w:tcPr>
            <w:tcW w:w="4509" w:type="dxa"/>
          </w:tcPr>
          <w:p w14:paraId="47213E66" w14:textId="6D2273DA" w:rsidR="00CB4BA0" w:rsidRPr="00781162" w:rsidRDefault="00CB4BA0" w:rsidP="00CB4BA0">
            <w:pPr>
              <w:pStyle w:val="Bodytextwithparaspace"/>
            </w:pPr>
            <w:r w:rsidRPr="00781162">
              <w:t>The</w:t>
            </w:r>
            <w:r>
              <w:t xml:space="preserve"> </w:t>
            </w:r>
            <w:r w:rsidRPr="00781162">
              <w:rPr>
                <w:b/>
                <w:bCs/>
              </w:rPr>
              <w:t>‘</w:t>
            </w:r>
            <w:r>
              <w:rPr>
                <w:b/>
                <w:bCs/>
              </w:rPr>
              <w:t>High</w:t>
            </w:r>
            <w:r w:rsidRPr="00781162">
              <w:rPr>
                <w:b/>
                <w:bCs/>
              </w:rPr>
              <w:t xml:space="preserve">’ </w:t>
            </w:r>
            <w:r w:rsidRPr="00781162">
              <w:t>priority subcategories/groups</w:t>
            </w:r>
            <w:r>
              <w:t xml:space="preserve"> </w:t>
            </w:r>
            <w:r w:rsidR="002B5AE2">
              <w:t>were</w:t>
            </w:r>
            <w:r>
              <w:t>:</w:t>
            </w:r>
          </w:p>
          <w:p w14:paraId="6163AE23" w14:textId="77777777" w:rsidR="00781162" w:rsidRPr="00781162" w:rsidRDefault="00781162" w:rsidP="00463B2D">
            <w:pPr>
              <w:pStyle w:val="Bodytextwithparaspace"/>
              <w:numPr>
                <w:ilvl w:val="1"/>
                <w:numId w:val="11"/>
              </w:numPr>
              <w:ind w:left="709"/>
            </w:pPr>
            <w:r w:rsidRPr="00781162">
              <w:t>03.02 Drug Delivery Devices</w:t>
            </w:r>
          </w:p>
          <w:p w14:paraId="481C61CF" w14:textId="77777777" w:rsidR="00781162" w:rsidRPr="00781162" w:rsidRDefault="00781162" w:rsidP="00463B2D">
            <w:pPr>
              <w:pStyle w:val="Bodytextwithparaspace"/>
              <w:numPr>
                <w:ilvl w:val="1"/>
                <w:numId w:val="11"/>
              </w:numPr>
              <w:ind w:left="709"/>
            </w:pPr>
            <w:r w:rsidRPr="00781162">
              <w:t>03.05 Haemostatic Devices</w:t>
            </w:r>
          </w:p>
          <w:p w14:paraId="03E12E06" w14:textId="77777777" w:rsidR="00781162" w:rsidRPr="00781162" w:rsidRDefault="00781162" w:rsidP="00463B2D">
            <w:pPr>
              <w:pStyle w:val="Bodytextwithparaspace"/>
              <w:numPr>
                <w:ilvl w:val="1"/>
                <w:numId w:val="11"/>
              </w:numPr>
              <w:ind w:left="709"/>
            </w:pPr>
            <w:r w:rsidRPr="00781162">
              <w:t xml:space="preserve">03.08 Closure Devices, </w:t>
            </w:r>
            <w:r w:rsidRPr="00DD1D88">
              <w:t>specifically</w:t>
            </w:r>
            <w:r w:rsidRPr="00781162">
              <w:t>:</w:t>
            </w:r>
          </w:p>
          <w:p w14:paraId="70AF5E44" w14:textId="77777777" w:rsidR="00781162" w:rsidRPr="00781162" w:rsidRDefault="00781162" w:rsidP="00463B2D">
            <w:pPr>
              <w:pStyle w:val="Bodytextwithparaspace"/>
              <w:numPr>
                <w:ilvl w:val="1"/>
                <w:numId w:val="18"/>
              </w:numPr>
            </w:pPr>
            <w:r w:rsidRPr="00781162">
              <w:t>03.08.01 Adhesion Barriers</w:t>
            </w:r>
          </w:p>
          <w:p w14:paraId="12C0387D" w14:textId="77777777" w:rsidR="00781162" w:rsidRPr="00781162" w:rsidRDefault="00781162" w:rsidP="00463B2D">
            <w:pPr>
              <w:pStyle w:val="Bodytextwithparaspace"/>
              <w:numPr>
                <w:ilvl w:val="1"/>
                <w:numId w:val="18"/>
              </w:numPr>
            </w:pPr>
            <w:r w:rsidRPr="00781162">
              <w:t>03.08.02 Internal Adhesives</w:t>
            </w:r>
          </w:p>
          <w:p w14:paraId="7343C888" w14:textId="77777777" w:rsidR="00781162" w:rsidRPr="00781162" w:rsidRDefault="00781162" w:rsidP="00463B2D">
            <w:pPr>
              <w:pStyle w:val="Bodytextwithparaspace"/>
              <w:numPr>
                <w:ilvl w:val="1"/>
                <w:numId w:val="18"/>
              </w:numPr>
            </w:pPr>
            <w:r w:rsidRPr="00781162">
              <w:t>03.08.03 Ligating Devices</w:t>
            </w:r>
          </w:p>
          <w:p w14:paraId="0A71014C" w14:textId="67C45FDC" w:rsidR="00781162" w:rsidRPr="00781162" w:rsidRDefault="00781162" w:rsidP="00463B2D">
            <w:pPr>
              <w:pStyle w:val="Bodytextwithparaspace"/>
              <w:numPr>
                <w:ilvl w:val="1"/>
                <w:numId w:val="18"/>
              </w:numPr>
            </w:pPr>
            <w:r w:rsidRPr="00781162">
              <w:t>03.08.04 Staples &amp; Tacker</w:t>
            </w:r>
            <w:r w:rsidR="00DE1DC6">
              <w:t>s</w:t>
            </w:r>
          </w:p>
          <w:p w14:paraId="2C4B65B3" w14:textId="77777777" w:rsidR="00781162" w:rsidRPr="00781162" w:rsidRDefault="00781162" w:rsidP="00463B2D">
            <w:pPr>
              <w:pStyle w:val="Bodytextwithparaspace"/>
              <w:numPr>
                <w:ilvl w:val="1"/>
                <w:numId w:val="18"/>
              </w:numPr>
            </w:pPr>
            <w:r w:rsidRPr="00781162">
              <w:t>03.08.05 Polypropylene/Polyester Mesh</w:t>
            </w:r>
          </w:p>
          <w:p w14:paraId="63895A7E" w14:textId="77777777" w:rsidR="00781162" w:rsidRPr="00781162" w:rsidRDefault="00781162" w:rsidP="00463B2D">
            <w:pPr>
              <w:pStyle w:val="Bodytextwithparaspace"/>
              <w:numPr>
                <w:ilvl w:val="1"/>
                <w:numId w:val="18"/>
              </w:numPr>
            </w:pPr>
            <w:r w:rsidRPr="00781162">
              <w:t>03.08.11 Dynamic Wound Closure Devices</w:t>
            </w:r>
          </w:p>
          <w:p w14:paraId="27618524" w14:textId="77777777" w:rsidR="009B4C98" w:rsidRDefault="009B4C98" w:rsidP="00C54AF5">
            <w:pPr>
              <w:pStyle w:val="Bodytextwithparaspace"/>
            </w:pPr>
          </w:p>
        </w:tc>
        <w:tc>
          <w:tcPr>
            <w:tcW w:w="4510" w:type="dxa"/>
          </w:tcPr>
          <w:p w14:paraId="633D8919" w14:textId="5DC37206" w:rsidR="00781162" w:rsidRPr="00781162" w:rsidRDefault="00781162" w:rsidP="00781162">
            <w:pPr>
              <w:pStyle w:val="Bodytextwithparaspace"/>
            </w:pPr>
            <w:r w:rsidRPr="00781162">
              <w:t>The</w:t>
            </w:r>
            <w:r w:rsidR="00CB4BA0">
              <w:t xml:space="preserve"> </w:t>
            </w:r>
            <w:r w:rsidR="00CB4BA0" w:rsidRPr="00781162">
              <w:rPr>
                <w:b/>
                <w:bCs/>
              </w:rPr>
              <w:t xml:space="preserve">‘Low’ </w:t>
            </w:r>
            <w:r w:rsidR="00CB4BA0" w:rsidRPr="00781162">
              <w:t>priority</w:t>
            </w:r>
            <w:r w:rsidRPr="00781162">
              <w:t xml:space="preserve"> subcategories/groups</w:t>
            </w:r>
            <w:r w:rsidR="00CB4BA0">
              <w:t xml:space="preserve"> </w:t>
            </w:r>
            <w:r w:rsidR="002B5AE2">
              <w:t>were</w:t>
            </w:r>
            <w:r w:rsidR="00CB4BA0">
              <w:t>:</w:t>
            </w:r>
          </w:p>
          <w:p w14:paraId="4AC167D0" w14:textId="77777777" w:rsidR="00781162" w:rsidRPr="00781162" w:rsidRDefault="00781162" w:rsidP="00463B2D">
            <w:pPr>
              <w:pStyle w:val="Bodytextwithparaspace"/>
              <w:numPr>
                <w:ilvl w:val="1"/>
                <w:numId w:val="11"/>
              </w:numPr>
              <w:ind w:left="709"/>
            </w:pPr>
            <w:r w:rsidRPr="00781162">
              <w:t>03.01 Brachytherapy</w:t>
            </w:r>
          </w:p>
          <w:p w14:paraId="78B86755" w14:textId="77777777" w:rsidR="00781162" w:rsidRPr="00781162" w:rsidRDefault="00781162" w:rsidP="00463B2D">
            <w:pPr>
              <w:pStyle w:val="Bodytextwithparaspace"/>
              <w:numPr>
                <w:ilvl w:val="1"/>
                <w:numId w:val="11"/>
              </w:numPr>
              <w:ind w:left="709"/>
            </w:pPr>
            <w:r w:rsidRPr="00781162">
              <w:t>03.03 Enteral Tubes</w:t>
            </w:r>
          </w:p>
          <w:p w14:paraId="556120BD" w14:textId="77777777" w:rsidR="00781162" w:rsidRPr="00781162" w:rsidRDefault="00781162" w:rsidP="00463B2D">
            <w:pPr>
              <w:pStyle w:val="Bodytextwithparaspace"/>
              <w:numPr>
                <w:ilvl w:val="1"/>
                <w:numId w:val="11"/>
              </w:numPr>
              <w:ind w:left="709"/>
            </w:pPr>
            <w:r w:rsidRPr="00781162">
              <w:t>03.04 Gastric Bands</w:t>
            </w:r>
          </w:p>
          <w:p w14:paraId="0A31CC0E" w14:textId="77777777" w:rsidR="00781162" w:rsidRPr="00781162" w:rsidRDefault="00781162" w:rsidP="00463B2D">
            <w:pPr>
              <w:pStyle w:val="Bodytextwithparaspace"/>
              <w:numPr>
                <w:ilvl w:val="1"/>
                <w:numId w:val="11"/>
              </w:numPr>
              <w:ind w:left="709"/>
            </w:pPr>
            <w:r w:rsidRPr="00781162">
              <w:t>03.06 Luminal Stents</w:t>
            </w:r>
          </w:p>
          <w:p w14:paraId="336DDCF3" w14:textId="77777777" w:rsidR="00781162" w:rsidRPr="00781162" w:rsidRDefault="00781162" w:rsidP="00463B2D">
            <w:pPr>
              <w:pStyle w:val="Bodytextwithparaspace"/>
              <w:numPr>
                <w:ilvl w:val="1"/>
                <w:numId w:val="11"/>
              </w:numPr>
              <w:ind w:left="709"/>
            </w:pPr>
            <w:r w:rsidRPr="00781162">
              <w:t>03.07 Pulmonary/Peritoneal Devices</w:t>
            </w:r>
          </w:p>
          <w:p w14:paraId="18C22208" w14:textId="77777777" w:rsidR="00781162" w:rsidRPr="00781162" w:rsidRDefault="00781162" w:rsidP="00463B2D">
            <w:pPr>
              <w:pStyle w:val="Bodytextwithparaspace"/>
              <w:numPr>
                <w:ilvl w:val="1"/>
                <w:numId w:val="11"/>
              </w:numPr>
              <w:ind w:left="709"/>
            </w:pPr>
            <w:r w:rsidRPr="00781162">
              <w:t>03.09 Bowel Incontinence Devices</w:t>
            </w:r>
          </w:p>
          <w:p w14:paraId="6AA058E2" w14:textId="77777777" w:rsidR="00781162" w:rsidRPr="00781162" w:rsidRDefault="00781162" w:rsidP="00463B2D">
            <w:pPr>
              <w:pStyle w:val="Bodytextwithparaspace"/>
              <w:numPr>
                <w:ilvl w:val="1"/>
                <w:numId w:val="11"/>
              </w:numPr>
              <w:ind w:left="709"/>
            </w:pPr>
            <w:r w:rsidRPr="00781162">
              <w:t xml:space="preserve">03.08 Closure Devices, </w:t>
            </w:r>
            <w:r w:rsidRPr="00DD1D88">
              <w:t>specifically</w:t>
            </w:r>
            <w:r w:rsidRPr="00781162">
              <w:t>:</w:t>
            </w:r>
          </w:p>
          <w:p w14:paraId="247EB6FC" w14:textId="77777777" w:rsidR="00781162" w:rsidRPr="00781162" w:rsidRDefault="00781162" w:rsidP="00463B2D">
            <w:pPr>
              <w:pStyle w:val="Bodytextwithparaspace"/>
              <w:numPr>
                <w:ilvl w:val="1"/>
                <w:numId w:val="18"/>
              </w:numPr>
            </w:pPr>
            <w:r w:rsidRPr="00781162">
              <w:t>03.08.06 Composite Mesh</w:t>
            </w:r>
          </w:p>
          <w:p w14:paraId="2C3EB611" w14:textId="77777777" w:rsidR="00781162" w:rsidRPr="00781162" w:rsidRDefault="00781162" w:rsidP="00463B2D">
            <w:pPr>
              <w:pStyle w:val="Bodytextwithparaspace"/>
              <w:numPr>
                <w:ilvl w:val="1"/>
                <w:numId w:val="18"/>
              </w:numPr>
            </w:pPr>
            <w:r w:rsidRPr="00781162">
              <w:t>03.08.07 Complete Biomaterial Mesh</w:t>
            </w:r>
          </w:p>
          <w:p w14:paraId="7CDB7FD1" w14:textId="77777777" w:rsidR="00781162" w:rsidRPr="00781162" w:rsidRDefault="00781162" w:rsidP="00463B2D">
            <w:pPr>
              <w:pStyle w:val="Bodytextwithparaspace"/>
              <w:numPr>
                <w:ilvl w:val="1"/>
                <w:numId w:val="18"/>
              </w:numPr>
            </w:pPr>
            <w:r w:rsidRPr="00781162">
              <w:t>03.08.08 PTFE/ePTFE Mesh</w:t>
            </w:r>
          </w:p>
          <w:p w14:paraId="0BC3665F" w14:textId="77777777" w:rsidR="00781162" w:rsidRPr="00781162" w:rsidRDefault="00781162" w:rsidP="00463B2D">
            <w:pPr>
              <w:pStyle w:val="Bodytextwithparaspace"/>
              <w:numPr>
                <w:ilvl w:val="1"/>
                <w:numId w:val="18"/>
              </w:numPr>
            </w:pPr>
            <w:r w:rsidRPr="00781162">
              <w:t>03.08.09 Plugs</w:t>
            </w:r>
          </w:p>
          <w:p w14:paraId="623AFE49" w14:textId="77777777" w:rsidR="009B4C98" w:rsidRDefault="00781162" w:rsidP="00463B2D">
            <w:pPr>
              <w:pStyle w:val="Bodytextwithparaspace"/>
              <w:numPr>
                <w:ilvl w:val="1"/>
                <w:numId w:val="18"/>
              </w:numPr>
            </w:pPr>
            <w:r w:rsidRPr="00781162">
              <w:t>03.08.10 Anastomosis Clip</w:t>
            </w:r>
          </w:p>
        </w:tc>
      </w:tr>
    </w:tbl>
    <w:p w14:paraId="2D866915" w14:textId="77777777" w:rsidR="00DD1D88" w:rsidRDefault="00C54AF5" w:rsidP="00C54AF5">
      <w:pPr>
        <w:pStyle w:val="Bodytextwithparaspace"/>
      </w:pPr>
      <w:r>
        <w:t>This was then overlaid with a risk-based prioritisation of each of the ‘High’ priority groups according to</w:t>
      </w:r>
      <w:r w:rsidR="00DD1D88">
        <w:t xml:space="preserve"> the</w:t>
      </w:r>
      <w:r>
        <w:t xml:space="preserve"> total volume of benefits and levels of growth in these benefits over the period from FY14 through to FY19 both in absolute magnitude (i.e. dollar value growth) and in relative terms (i.e. percentage growth). Additionally, groups with low average benefit amounts but high levels of u</w:t>
      </w:r>
      <w:r w:rsidR="00DD1D88">
        <w:t>sage</w:t>
      </w:r>
      <w:r>
        <w:t xml:space="preserve"> were flagged for further investigation. Of the 19 groups classified as ‘High’ priority by the Department, 12 were investigat</w:t>
      </w:r>
      <w:r w:rsidR="00A47FAC">
        <w:t>ed</w:t>
      </w:r>
      <w:r w:rsidR="00F9121D">
        <w:t xml:space="preserve"> further</w:t>
      </w:r>
      <w:r w:rsidR="00E102D6">
        <w:t xml:space="preserve"> following this risk-based prioritisation</w:t>
      </w:r>
      <w:r>
        <w:t>.</w:t>
      </w:r>
    </w:p>
    <w:p w14:paraId="187A1A5B" w14:textId="41448AA4" w:rsidR="000C5EC8" w:rsidRDefault="00E81778" w:rsidP="00C54AF5">
      <w:pPr>
        <w:pStyle w:val="Bodytextwithparaspace"/>
      </w:pPr>
      <w:r>
        <w:fldChar w:fldCharType="begin"/>
      </w:r>
      <w:r>
        <w:instrText xml:space="preserve"> REF _Ref39501758 \h </w:instrText>
      </w:r>
      <w:r>
        <w:fldChar w:fldCharType="separate"/>
      </w:r>
      <w:r w:rsidR="00784DE2">
        <w:t xml:space="preserve">Table </w:t>
      </w:r>
      <w:r w:rsidR="00784DE2">
        <w:rPr>
          <w:noProof/>
        </w:rPr>
        <w:t>4</w:t>
      </w:r>
      <w:r>
        <w:fldChar w:fldCharType="end"/>
      </w:r>
      <w:r w:rsidR="00C54AF5">
        <w:t xml:space="preserve"> provides a summary of the outcomes of this prioritisation</w:t>
      </w:r>
      <w:r w:rsidR="00086E72">
        <w:t>,</w:t>
      </w:r>
      <w:r w:rsidR="002C0241">
        <w:t xml:space="preserve"> showing only the </w:t>
      </w:r>
      <w:r w:rsidR="00606A7E">
        <w:t>19 groups that were classed as ‘High’ priority by the Department</w:t>
      </w:r>
      <w:r w:rsidR="00956FE2">
        <w:t>, with the</w:t>
      </w:r>
      <w:r w:rsidR="002C0241">
        <w:t xml:space="preserve"> 12 groups that were included for further investigation</w:t>
      </w:r>
      <w:r w:rsidR="00956FE2">
        <w:t xml:space="preserve"> highlighted</w:t>
      </w:r>
      <w:r w:rsidR="00C54AF5">
        <w:t>. Each of th</w:t>
      </w:r>
      <w:r w:rsidR="00BC4CA5">
        <w:t>e 19</w:t>
      </w:r>
      <w:r w:rsidR="002C0241">
        <w:t xml:space="preserve"> groups </w:t>
      </w:r>
      <w:r w:rsidR="00BC4CA5">
        <w:t>initially prioritised by the Department</w:t>
      </w:r>
      <w:r w:rsidR="002C0241">
        <w:t xml:space="preserve"> </w:t>
      </w:r>
      <w:r w:rsidR="00C54AF5">
        <w:t xml:space="preserve">are shown with </w:t>
      </w:r>
      <w:r w:rsidR="001B75E8">
        <w:t>t</w:t>
      </w:r>
      <w:r w:rsidR="00C54AF5">
        <w:t xml:space="preserve">he total amount of PL benefits paid with respect to each group for FY19. </w:t>
      </w:r>
      <w:r w:rsidR="001B75E8">
        <w:t>T</w:t>
      </w:r>
      <w:r w:rsidR="00C54AF5">
        <w:t xml:space="preserve">here </w:t>
      </w:r>
      <w:r w:rsidR="002B5AE2">
        <w:t xml:space="preserve">were </w:t>
      </w:r>
      <w:r w:rsidR="00C54AF5">
        <w:t xml:space="preserve">additional indicators for whether this group was deemed </w:t>
      </w:r>
      <w:r w:rsidR="00264FEE">
        <w:t xml:space="preserve">be ‘EY </w:t>
      </w:r>
      <w:r w:rsidR="00C54AF5">
        <w:t xml:space="preserve">High </w:t>
      </w:r>
      <w:r w:rsidR="00264FEE">
        <w:t>Priority’ based on a combination of whether the group was a</w:t>
      </w:r>
      <w:r w:rsidR="00C54AF5">
        <w:t xml:space="preserve"> ‘High</w:t>
      </w:r>
      <w:r w:rsidR="00B81643">
        <w:t xml:space="preserve"> benefits paid</w:t>
      </w:r>
      <w:r w:rsidR="00C54AF5">
        <w:t>’ group and</w:t>
      </w:r>
      <w:r w:rsidR="001B75E8">
        <w:t>/or</w:t>
      </w:r>
      <w:r w:rsidR="00C54AF5">
        <w:t xml:space="preserve"> a ‘High growth’ group (in respect of total benefits paid).</w:t>
      </w:r>
    </w:p>
    <w:p w14:paraId="1F51D2BA" w14:textId="033145E6" w:rsidR="00C54AF5" w:rsidRDefault="00C54AF5" w:rsidP="00C54AF5">
      <w:pPr>
        <w:pStyle w:val="Caption"/>
        <w:keepNext/>
      </w:pPr>
      <w:bookmarkStart w:id="44" w:name="_Ref39501758"/>
      <w:r>
        <w:t xml:space="preserve">Table </w:t>
      </w:r>
      <w:r>
        <w:rPr>
          <w:noProof/>
        </w:rPr>
        <w:fldChar w:fldCharType="begin"/>
      </w:r>
      <w:r>
        <w:rPr>
          <w:noProof/>
        </w:rPr>
        <w:instrText xml:space="preserve"> SEQ Table \* ARABIC </w:instrText>
      </w:r>
      <w:r>
        <w:rPr>
          <w:noProof/>
        </w:rPr>
        <w:fldChar w:fldCharType="separate"/>
      </w:r>
      <w:r w:rsidR="00784DE2">
        <w:rPr>
          <w:noProof/>
        </w:rPr>
        <w:t>4</w:t>
      </w:r>
      <w:r>
        <w:rPr>
          <w:noProof/>
        </w:rPr>
        <w:fldChar w:fldCharType="end"/>
      </w:r>
      <w:bookmarkEnd w:id="44"/>
      <w:r>
        <w:t xml:space="preserve"> – Summary of prioritisation of GM product groupings</w:t>
      </w:r>
    </w:p>
    <w:tbl>
      <w:tblPr>
        <w:tblStyle w:val="TableGrid"/>
        <w:tblW w:w="0" w:type="auto"/>
        <w:tblBorders>
          <w:top w:val="single" w:sz="4" w:space="0" w:color="000000" w:themeColor="background2"/>
          <w:left w:val="single" w:sz="4" w:space="0" w:color="000000" w:themeColor="background2"/>
          <w:bottom w:val="single" w:sz="4" w:space="0" w:color="000000" w:themeColor="background2"/>
          <w:right w:val="single" w:sz="4" w:space="0" w:color="000000" w:themeColor="background2"/>
          <w:insideH w:val="single" w:sz="4" w:space="0" w:color="000000" w:themeColor="background2"/>
          <w:insideV w:val="single" w:sz="4" w:space="0" w:color="000000" w:themeColor="background2"/>
        </w:tblBorders>
        <w:tblLook w:val="04A0" w:firstRow="1" w:lastRow="0" w:firstColumn="1" w:lastColumn="0" w:noHBand="0" w:noVBand="1"/>
        <w:tblCaption w:val="Table 4: Summary of prioritisation of GM product groupings"/>
        <w:tblDescription w:val="Table 4 provides further details on the prioritisation of different groupings withing hte General Miscellaneous Category, identifying whether there was high use, high benefits paid or high growth."/>
      </w:tblPr>
      <w:tblGrid>
        <w:gridCol w:w="3037"/>
        <w:gridCol w:w="1653"/>
        <w:gridCol w:w="1094"/>
        <w:gridCol w:w="746"/>
        <w:gridCol w:w="1189"/>
        <w:gridCol w:w="1300"/>
      </w:tblGrid>
      <w:tr w:rsidR="00555AB1" w:rsidRPr="006B2F71" w14:paraId="61AB6F08" w14:textId="77777777" w:rsidTr="00A37319">
        <w:trPr>
          <w:tblHeader/>
        </w:trPr>
        <w:tc>
          <w:tcPr>
            <w:tcW w:w="3193" w:type="dxa"/>
            <w:shd w:val="clear" w:color="auto" w:fill="FFE600" w:themeFill="text2"/>
            <w:vAlign w:val="center"/>
          </w:tcPr>
          <w:p w14:paraId="210DEFDB" w14:textId="77777777" w:rsidR="006F573C" w:rsidRPr="00042F7A" w:rsidRDefault="006F573C" w:rsidP="00B83783">
            <w:pPr>
              <w:rPr>
                <w:b/>
              </w:rPr>
            </w:pPr>
            <w:r w:rsidRPr="00042F7A">
              <w:rPr>
                <w:b/>
              </w:rPr>
              <w:t>Product Group</w:t>
            </w:r>
          </w:p>
        </w:tc>
        <w:tc>
          <w:tcPr>
            <w:tcW w:w="1829" w:type="dxa"/>
            <w:tcBorders>
              <w:right w:val="single" w:sz="4" w:space="0" w:color="auto"/>
            </w:tcBorders>
            <w:shd w:val="clear" w:color="auto" w:fill="FFE600" w:themeFill="text2"/>
            <w:vAlign w:val="center"/>
          </w:tcPr>
          <w:p w14:paraId="2EB76692" w14:textId="77777777" w:rsidR="006F573C" w:rsidRPr="00840A97" w:rsidRDefault="006F573C" w:rsidP="00042F7A">
            <w:pPr>
              <w:rPr>
                <w:rFonts w:cs="Calibri"/>
                <w:b/>
              </w:rPr>
            </w:pPr>
            <w:r w:rsidRPr="00840A97">
              <w:rPr>
                <w:rFonts w:cs="Calibri"/>
                <w:b/>
              </w:rPr>
              <w:t>Total Benefits</w:t>
            </w:r>
          </w:p>
          <w:p w14:paraId="4CE6C9DA" w14:textId="77777777" w:rsidR="006F573C" w:rsidRPr="00042F7A" w:rsidRDefault="006F573C" w:rsidP="00042F7A">
            <w:pPr>
              <w:rPr>
                <w:rFonts w:cs="Calibri"/>
              </w:rPr>
            </w:pPr>
            <w:r w:rsidRPr="00840A97">
              <w:rPr>
                <w:rFonts w:cs="Calibri"/>
                <w:b/>
              </w:rPr>
              <w:t>FY19 ($m)</w:t>
            </w:r>
          </w:p>
        </w:tc>
        <w:tc>
          <w:tcPr>
            <w:tcW w:w="1145" w:type="dxa"/>
            <w:tcBorders>
              <w:top w:val="single" w:sz="4" w:space="0" w:color="auto"/>
              <w:left w:val="single" w:sz="4" w:space="0" w:color="auto"/>
              <w:right w:val="single" w:sz="4" w:space="0" w:color="auto"/>
            </w:tcBorders>
            <w:shd w:val="clear" w:color="auto" w:fill="FFE600" w:themeFill="text2"/>
            <w:vAlign w:val="center"/>
          </w:tcPr>
          <w:p w14:paraId="4CDA8FBA" w14:textId="77777777" w:rsidR="006F573C" w:rsidRPr="00042F7A" w:rsidRDefault="006F573C" w:rsidP="00042F7A">
            <w:pPr>
              <w:rPr>
                <w:rFonts w:cs="Calibri"/>
                <w:b/>
              </w:rPr>
            </w:pPr>
            <w:r w:rsidRPr="00042F7A">
              <w:rPr>
                <w:rFonts w:cs="Calibri"/>
                <w:b/>
              </w:rPr>
              <w:t>EY High Priority</w:t>
            </w:r>
          </w:p>
        </w:tc>
        <w:tc>
          <w:tcPr>
            <w:tcW w:w="222" w:type="dxa"/>
            <w:tcBorders>
              <w:left w:val="single" w:sz="4" w:space="0" w:color="auto"/>
            </w:tcBorders>
            <w:shd w:val="clear" w:color="auto" w:fill="FFE600" w:themeFill="text2"/>
            <w:vAlign w:val="center"/>
          </w:tcPr>
          <w:p w14:paraId="77C8C31C" w14:textId="77777777" w:rsidR="006F573C" w:rsidRPr="00042F7A" w:rsidRDefault="006F573C" w:rsidP="00042F7A">
            <w:pPr>
              <w:rPr>
                <w:rFonts w:cs="Calibri"/>
                <w:b/>
              </w:rPr>
            </w:pPr>
            <w:r w:rsidRPr="00042F7A">
              <w:rPr>
                <w:rFonts w:cs="Calibri"/>
                <w:b/>
              </w:rPr>
              <w:t>High item usage</w:t>
            </w:r>
          </w:p>
        </w:tc>
        <w:tc>
          <w:tcPr>
            <w:tcW w:w="1247" w:type="dxa"/>
            <w:shd w:val="clear" w:color="auto" w:fill="FFE600" w:themeFill="text2"/>
            <w:vAlign w:val="center"/>
          </w:tcPr>
          <w:p w14:paraId="6BF202A1" w14:textId="77777777" w:rsidR="006F573C" w:rsidRPr="00042F7A" w:rsidRDefault="006F573C" w:rsidP="00042F7A">
            <w:pPr>
              <w:rPr>
                <w:rFonts w:cs="Calibri"/>
                <w:b/>
              </w:rPr>
            </w:pPr>
            <w:r w:rsidRPr="00042F7A">
              <w:rPr>
                <w:rFonts w:cs="Calibri"/>
                <w:b/>
              </w:rPr>
              <w:t>High benefits paid</w:t>
            </w:r>
            <w:r w:rsidRPr="00042F7A">
              <w:rPr>
                <w:rFonts w:cs="Calibri"/>
                <w:b/>
                <w:vertAlign w:val="superscript"/>
              </w:rPr>
              <w:t>^</w:t>
            </w:r>
          </w:p>
        </w:tc>
        <w:tc>
          <w:tcPr>
            <w:tcW w:w="1383" w:type="dxa"/>
            <w:shd w:val="clear" w:color="auto" w:fill="FFE600" w:themeFill="text2"/>
            <w:vAlign w:val="center"/>
          </w:tcPr>
          <w:p w14:paraId="3E5BC543" w14:textId="77777777" w:rsidR="006F573C" w:rsidRPr="00042F7A" w:rsidRDefault="006F573C" w:rsidP="00042F7A">
            <w:pPr>
              <w:rPr>
                <w:rFonts w:cs="Calibri"/>
                <w:b/>
              </w:rPr>
            </w:pPr>
            <w:r w:rsidRPr="00042F7A">
              <w:rPr>
                <w:rFonts w:cs="Calibri"/>
                <w:b/>
              </w:rPr>
              <w:t>High growth</w:t>
            </w:r>
            <w:r w:rsidRPr="00042F7A">
              <w:rPr>
                <w:rFonts w:cs="Calibri"/>
                <w:b/>
                <w:vertAlign w:val="superscript"/>
              </w:rPr>
              <w:t>^</w:t>
            </w:r>
          </w:p>
        </w:tc>
      </w:tr>
      <w:tr w:rsidR="006F573C" w:rsidRPr="006B2F71" w14:paraId="3024987C" w14:textId="77777777" w:rsidTr="00463B2D">
        <w:tc>
          <w:tcPr>
            <w:tcW w:w="3193" w:type="dxa"/>
            <w:shd w:val="clear" w:color="auto" w:fill="auto"/>
          </w:tcPr>
          <w:p w14:paraId="08CF81FE" w14:textId="77777777" w:rsidR="006F573C" w:rsidRPr="006B2F71" w:rsidRDefault="006F573C" w:rsidP="00B83783">
            <w:r w:rsidRPr="006B2F71">
              <w:rPr>
                <w:rFonts w:cs="Calibri"/>
                <w:color w:val="000000"/>
              </w:rPr>
              <w:t>03.02.01 - Infusion Ports</w:t>
            </w:r>
          </w:p>
        </w:tc>
        <w:tc>
          <w:tcPr>
            <w:tcW w:w="1829" w:type="dxa"/>
            <w:tcBorders>
              <w:right w:val="single" w:sz="4" w:space="0" w:color="auto"/>
            </w:tcBorders>
            <w:shd w:val="clear" w:color="auto" w:fill="auto"/>
            <w:vAlign w:val="bottom"/>
          </w:tcPr>
          <w:p w14:paraId="1BBA98F6" w14:textId="77777777" w:rsidR="006F573C" w:rsidRPr="006B2F71" w:rsidRDefault="006F573C" w:rsidP="00B83783">
            <w:pPr>
              <w:jc w:val="right"/>
              <w:rPr>
                <w:rFonts w:cs="Calibri"/>
                <w:color w:val="000000"/>
              </w:rPr>
            </w:pPr>
            <w:r>
              <w:rPr>
                <w:rFonts w:cs="Calibri"/>
                <w:color w:val="000000"/>
              </w:rPr>
              <w:t>0.3</w:t>
            </w:r>
          </w:p>
        </w:tc>
        <w:tc>
          <w:tcPr>
            <w:tcW w:w="1145" w:type="dxa"/>
            <w:tcBorders>
              <w:left w:val="single" w:sz="4" w:space="0" w:color="auto"/>
              <w:right w:val="single" w:sz="4" w:space="0" w:color="auto"/>
            </w:tcBorders>
            <w:vAlign w:val="center"/>
          </w:tcPr>
          <w:p w14:paraId="608AC4DF" w14:textId="77777777" w:rsidR="006F573C" w:rsidRPr="000B6434" w:rsidRDefault="003845FB" w:rsidP="007B0CF0">
            <w:pPr>
              <w:jc w:val="center"/>
              <w:rPr>
                <w:rFonts w:ascii="Segoe UI Symbol" w:hAnsi="Segoe UI Symbol"/>
              </w:rPr>
            </w:pPr>
            <w:r w:rsidRPr="00901141">
              <w:rPr>
                <w:rFonts w:ascii="Segoe UI Symbol" w:hAnsi="Segoe UI Symbol"/>
                <w:sz w:val="28"/>
                <w:szCs w:val="28"/>
              </w:rPr>
              <w:t>🗴</w:t>
            </w:r>
          </w:p>
        </w:tc>
        <w:tc>
          <w:tcPr>
            <w:tcW w:w="222" w:type="dxa"/>
            <w:tcBorders>
              <w:left w:val="single" w:sz="4" w:space="0" w:color="auto"/>
            </w:tcBorders>
            <w:shd w:val="clear" w:color="auto" w:fill="auto"/>
            <w:vAlign w:val="center"/>
          </w:tcPr>
          <w:p w14:paraId="46AF7EFF" w14:textId="77777777" w:rsidR="006F573C" w:rsidRPr="00F5323F" w:rsidRDefault="00590964" w:rsidP="00DE1140">
            <w:pPr>
              <w:jc w:val="center"/>
              <w:rPr>
                <w:rFonts w:ascii="Segoe UI Symbol" w:hAnsi="Segoe UI Symbol"/>
                <w:sz w:val="28"/>
                <w:szCs w:val="28"/>
              </w:rPr>
            </w:pPr>
            <w:r w:rsidRPr="00901141">
              <w:rPr>
                <w:rFonts w:ascii="Segoe UI Symbol" w:hAnsi="Segoe UI Symbol"/>
                <w:sz w:val="28"/>
                <w:szCs w:val="28"/>
              </w:rPr>
              <w:t>🗴</w:t>
            </w:r>
          </w:p>
        </w:tc>
        <w:tc>
          <w:tcPr>
            <w:tcW w:w="1247" w:type="dxa"/>
            <w:shd w:val="clear" w:color="auto" w:fill="auto"/>
            <w:vAlign w:val="center"/>
          </w:tcPr>
          <w:p w14:paraId="55A7CA43" w14:textId="77777777" w:rsidR="006F573C" w:rsidRPr="006B2F71" w:rsidRDefault="006F573C" w:rsidP="00232BCD">
            <w:pPr>
              <w:jc w:val="center"/>
              <w:rPr>
                <w:rFonts w:cs="Segoe UI Symbol"/>
                <w:b/>
                <w:bCs/>
                <w:color w:val="000000"/>
              </w:rPr>
            </w:pPr>
            <w:r w:rsidRPr="00F5323F">
              <w:rPr>
                <w:rFonts w:ascii="Segoe UI Symbol" w:hAnsi="Segoe UI Symbol"/>
                <w:sz w:val="28"/>
                <w:szCs w:val="28"/>
              </w:rPr>
              <w:t>🗴</w:t>
            </w:r>
          </w:p>
        </w:tc>
        <w:tc>
          <w:tcPr>
            <w:tcW w:w="1383" w:type="dxa"/>
            <w:vAlign w:val="center"/>
          </w:tcPr>
          <w:p w14:paraId="21074D13" w14:textId="77777777" w:rsidR="006F573C" w:rsidRPr="006B2F71" w:rsidRDefault="006F573C" w:rsidP="00232BCD">
            <w:pPr>
              <w:jc w:val="center"/>
              <w:rPr>
                <w:rFonts w:cs="Segoe UI Symbol"/>
                <w:b/>
                <w:bCs/>
                <w:color w:val="000000"/>
              </w:rPr>
            </w:pPr>
            <w:r w:rsidRPr="008E62ED">
              <w:rPr>
                <w:rFonts w:ascii="Segoe UI Symbol" w:hAnsi="Segoe UI Symbol"/>
              </w:rPr>
              <w:t>✓</w:t>
            </w:r>
          </w:p>
        </w:tc>
      </w:tr>
      <w:tr w:rsidR="006F573C" w:rsidRPr="006B2F71" w14:paraId="10354CC2" w14:textId="77777777" w:rsidTr="00463B2D">
        <w:tc>
          <w:tcPr>
            <w:tcW w:w="3193" w:type="dxa"/>
            <w:shd w:val="clear" w:color="auto" w:fill="D2D2DA" w:themeFill="text1" w:themeFillTint="33"/>
          </w:tcPr>
          <w:p w14:paraId="06FAAAF0" w14:textId="77777777" w:rsidR="006F573C" w:rsidRPr="006B2F71" w:rsidRDefault="006F573C" w:rsidP="00F75F0E">
            <w:r w:rsidRPr="006B2F71">
              <w:rPr>
                <w:rFonts w:cs="Calibri"/>
                <w:color w:val="000000"/>
              </w:rPr>
              <w:t>03.02.02 - Infusion Pumps, Balloon Based</w:t>
            </w:r>
          </w:p>
        </w:tc>
        <w:tc>
          <w:tcPr>
            <w:tcW w:w="1829" w:type="dxa"/>
            <w:tcBorders>
              <w:right w:val="single" w:sz="4" w:space="0" w:color="auto"/>
            </w:tcBorders>
            <w:shd w:val="clear" w:color="auto" w:fill="D2D2DA" w:themeFill="text1" w:themeFillTint="33"/>
            <w:vAlign w:val="bottom"/>
          </w:tcPr>
          <w:p w14:paraId="597C5D27" w14:textId="77777777" w:rsidR="006F573C" w:rsidRPr="006B2F71" w:rsidRDefault="006F573C" w:rsidP="006751A3">
            <w:pPr>
              <w:jc w:val="right"/>
              <w:rPr>
                <w:rFonts w:cs="Calibri"/>
                <w:color w:val="000000"/>
              </w:rPr>
            </w:pPr>
            <w:r>
              <w:rPr>
                <w:rFonts w:cs="Calibri"/>
                <w:color w:val="000000"/>
              </w:rPr>
              <w:t>5.8</w:t>
            </w:r>
          </w:p>
        </w:tc>
        <w:tc>
          <w:tcPr>
            <w:tcW w:w="1145" w:type="dxa"/>
            <w:tcBorders>
              <w:left w:val="single" w:sz="4" w:space="0" w:color="auto"/>
              <w:right w:val="single" w:sz="4" w:space="0" w:color="auto"/>
            </w:tcBorders>
            <w:shd w:val="clear" w:color="auto" w:fill="D2D2DA" w:themeFill="text1" w:themeFillTint="33"/>
            <w:vAlign w:val="center"/>
          </w:tcPr>
          <w:p w14:paraId="130E8234" w14:textId="77777777" w:rsidR="006F573C" w:rsidRPr="000B6434" w:rsidRDefault="006F573C" w:rsidP="007B0CF0">
            <w:pPr>
              <w:jc w:val="center"/>
              <w:rPr>
                <w:rFonts w:ascii="Segoe UI Symbol" w:hAnsi="Segoe UI Symbol"/>
              </w:rPr>
            </w:pPr>
            <w:r w:rsidRPr="000B6434">
              <w:rPr>
                <w:rFonts w:ascii="Segoe UI Symbol" w:hAnsi="Segoe UI Symbol"/>
              </w:rPr>
              <w:t>✓</w:t>
            </w:r>
          </w:p>
        </w:tc>
        <w:tc>
          <w:tcPr>
            <w:tcW w:w="222" w:type="dxa"/>
            <w:tcBorders>
              <w:left w:val="single" w:sz="4" w:space="0" w:color="auto"/>
            </w:tcBorders>
            <w:shd w:val="clear" w:color="auto" w:fill="D2D2DA" w:themeFill="text1" w:themeFillTint="33"/>
            <w:vAlign w:val="center"/>
          </w:tcPr>
          <w:p w14:paraId="2EA5C0FC" w14:textId="77777777" w:rsidR="006F573C" w:rsidRPr="000B6434" w:rsidRDefault="00707574" w:rsidP="00DE1140">
            <w:pPr>
              <w:jc w:val="center"/>
              <w:rPr>
                <w:rFonts w:ascii="Segoe UI Symbol" w:hAnsi="Segoe UI Symbol"/>
              </w:rPr>
            </w:pPr>
            <w:r w:rsidRPr="000B6434">
              <w:rPr>
                <w:rFonts w:ascii="Segoe UI Symbol" w:hAnsi="Segoe UI Symbol"/>
              </w:rPr>
              <w:t>✓</w:t>
            </w:r>
          </w:p>
        </w:tc>
        <w:tc>
          <w:tcPr>
            <w:tcW w:w="1247" w:type="dxa"/>
            <w:shd w:val="clear" w:color="auto" w:fill="D2D2DA" w:themeFill="text1" w:themeFillTint="33"/>
            <w:vAlign w:val="center"/>
          </w:tcPr>
          <w:p w14:paraId="27E950F3" w14:textId="77777777" w:rsidR="006F573C" w:rsidRPr="006B2F71" w:rsidRDefault="006F573C" w:rsidP="00232BCD">
            <w:pPr>
              <w:jc w:val="center"/>
              <w:rPr>
                <w:rFonts w:cs="Segoe UI Symbol"/>
                <w:b/>
                <w:bCs/>
                <w:color w:val="000000"/>
              </w:rPr>
            </w:pPr>
            <w:r w:rsidRPr="000B6434">
              <w:rPr>
                <w:rFonts w:ascii="Segoe UI Symbol" w:hAnsi="Segoe UI Symbol"/>
              </w:rPr>
              <w:t>✓</w:t>
            </w:r>
          </w:p>
        </w:tc>
        <w:tc>
          <w:tcPr>
            <w:tcW w:w="1383" w:type="dxa"/>
            <w:shd w:val="clear" w:color="auto" w:fill="D2D2DA" w:themeFill="text1" w:themeFillTint="33"/>
            <w:vAlign w:val="center"/>
          </w:tcPr>
          <w:p w14:paraId="3CD3461B" w14:textId="77777777" w:rsidR="006F573C" w:rsidRPr="006B2F71" w:rsidRDefault="006F573C" w:rsidP="00232BCD">
            <w:pPr>
              <w:jc w:val="center"/>
              <w:rPr>
                <w:rFonts w:cs="Segoe UI Symbol"/>
                <w:b/>
                <w:bCs/>
                <w:color w:val="000000"/>
              </w:rPr>
            </w:pPr>
            <w:r w:rsidRPr="008E62ED">
              <w:rPr>
                <w:rFonts w:ascii="Segoe UI Symbol" w:hAnsi="Segoe UI Symbol"/>
              </w:rPr>
              <w:t>✓</w:t>
            </w:r>
          </w:p>
        </w:tc>
      </w:tr>
      <w:tr w:rsidR="006F573C" w:rsidRPr="006B2F71" w14:paraId="127E1F1A" w14:textId="77777777" w:rsidTr="00463B2D">
        <w:tc>
          <w:tcPr>
            <w:tcW w:w="3193" w:type="dxa"/>
            <w:shd w:val="clear" w:color="auto" w:fill="D2D2DA" w:themeFill="text1" w:themeFillTint="33"/>
          </w:tcPr>
          <w:p w14:paraId="67CE64DF" w14:textId="77777777" w:rsidR="006F573C" w:rsidRPr="006B2F71" w:rsidRDefault="006F573C" w:rsidP="00B83783">
            <w:r w:rsidRPr="006B2F71">
              <w:rPr>
                <w:rFonts w:cs="Calibri"/>
                <w:color w:val="000000"/>
              </w:rPr>
              <w:t>03.02.03 - Infusion Pumps, Battery Powered (Part A)</w:t>
            </w:r>
            <w:r w:rsidRPr="006B2F71">
              <w:rPr>
                <w:rFonts w:cs="Calibri"/>
                <w:color w:val="000000"/>
                <w:vertAlign w:val="superscript"/>
              </w:rPr>
              <w:t>#</w:t>
            </w:r>
          </w:p>
        </w:tc>
        <w:tc>
          <w:tcPr>
            <w:tcW w:w="1829" w:type="dxa"/>
            <w:tcBorders>
              <w:right w:val="single" w:sz="4" w:space="0" w:color="auto"/>
            </w:tcBorders>
            <w:shd w:val="clear" w:color="auto" w:fill="D2D2DA" w:themeFill="text1" w:themeFillTint="33"/>
            <w:vAlign w:val="bottom"/>
          </w:tcPr>
          <w:p w14:paraId="7400BA44" w14:textId="77777777" w:rsidR="006F573C" w:rsidRPr="006B2F71" w:rsidRDefault="006F573C" w:rsidP="00B83783">
            <w:pPr>
              <w:jc w:val="right"/>
              <w:rPr>
                <w:rFonts w:cs="Calibri"/>
                <w:color w:val="000000"/>
              </w:rPr>
            </w:pPr>
            <w:r>
              <w:rPr>
                <w:rFonts w:cs="Calibri"/>
                <w:color w:val="000000"/>
              </w:rPr>
              <w:t>4.4</w:t>
            </w:r>
          </w:p>
        </w:tc>
        <w:tc>
          <w:tcPr>
            <w:tcW w:w="1145" w:type="dxa"/>
            <w:tcBorders>
              <w:left w:val="single" w:sz="4" w:space="0" w:color="auto"/>
              <w:right w:val="single" w:sz="4" w:space="0" w:color="auto"/>
            </w:tcBorders>
            <w:shd w:val="clear" w:color="auto" w:fill="D2D2DA" w:themeFill="text1" w:themeFillTint="33"/>
            <w:vAlign w:val="center"/>
          </w:tcPr>
          <w:p w14:paraId="5AF6BB30" w14:textId="77777777" w:rsidR="006F573C" w:rsidRPr="000B6434" w:rsidRDefault="006F573C" w:rsidP="007B0CF0">
            <w:pPr>
              <w:jc w:val="center"/>
              <w:rPr>
                <w:rFonts w:ascii="Segoe UI Symbol" w:hAnsi="Segoe UI Symbol"/>
              </w:rPr>
            </w:pPr>
            <w:r w:rsidRPr="000B6434">
              <w:rPr>
                <w:rFonts w:ascii="Segoe UI Symbol" w:hAnsi="Segoe UI Symbol"/>
              </w:rPr>
              <w:t>✓</w:t>
            </w:r>
          </w:p>
        </w:tc>
        <w:tc>
          <w:tcPr>
            <w:tcW w:w="222" w:type="dxa"/>
            <w:tcBorders>
              <w:left w:val="single" w:sz="4" w:space="0" w:color="auto"/>
            </w:tcBorders>
            <w:shd w:val="clear" w:color="auto" w:fill="D2D2DA" w:themeFill="text1" w:themeFillTint="33"/>
            <w:vAlign w:val="center"/>
          </w:tcPr>
          <w:p w14:paraId="4677FD46" w14:textId="77777777" w:rsidR="006F573C" w:rsidRPr="000B6434" w:rsidRDefault="00ED2A0C" w:rsidP="00DE1140">
            <w:pPr>
              <w:jc w:val="center"/>
              <w:rPr>
                <w:rFonts w:ascii="Segoe UI Symbol" w:hAnsi="Segoe UI Symbol"/>
              </w:rPr>
            </w:pPr>
            <w:r w:rsidRPr="00901141">
              <w:rPr>
                <w:rFonts w:ascii="Segoe UI Symbol" w:hAnsi="Segoe UI Symbol"/>
                <w:sz w:val="28"/>
                <w:szCs w:val="28"/>
              </w:rPr>
              <w:t>🗴</w:t>
            </w:r>
          </w:p>
        </w:tc>
        <w:tc>
          <w:tcPr>
            <w:tcW w:w="1247" w:type="dxa"/>
            <w:shd w:val="clear" w:color="auto" w:fill="D2D2DA" w:themeFill="text1" w:themeFillTint="33"/>
            <w:vAlign w:val="center"/>
          </w:tcPr>
          <w:p w14:paraId="043C424C" w14:textId="77777777" w:rsidR="006F573C" w:rsidRPr="006B2F71" w:rsidRDefault="006F573C" w:rsidP="00232BCD">
            <w:pPr>
              <w:jc w:val="center"/>
              <w:rPr>
                <w:rFonts w:cs="Segoe UI Symbol"/>
                <w:b/>
                <w:bCs/>
                <w:color w:val="000000"/>
              </w:rPr>
            </w:pPr>
            <w:r w:rsidRPr="000B6434">
              <w:rPr>
                <w:rFonts w:ascii="Segoe UI Symbol" w:hAnsi="Segoe UI Symbol"/>
              </w:rPr>
              <w:t>✓</w:t>
            </w:r>
          </w:p>
        </w:tc>
        <w:tc>
          <w:tcPr>
            <w:tcW w:w="1383" w:type="dxa"/>
            <w:shd w:val="clear" w:color="auto" w:fill="D2D2DA" w:themeFill="text1" w:themeFillTint="33"/>
            <w:vAlign w:val="center"/>
          </w:tcPr>
          <w:p w14:paraId="16C80540" w14:textId="77777777" w:rsidR="006F573C" w:rsidRPr="006B2F71" w:rsidRDefault="006F573C" w:rsidP="00232BCD">
            <w:pPr>
              <w:jc w:val="center"/>
              <w:rPr>
                <w:rFonts w:cs="Segoe UI Symbol"/>
                <w:b/>
                <w:bCs/>
                <w:color w:val="000000"/>
              </w:rPr>
            </w:pPr>
            <w:r w:rsidRPr="008E62ED">
              <w:rPr>
                <w:rFonts w:ascii="Segoe UI Symbol" w:hAnsi="Segoe UI Symbol"/>
              </w:rPr>
              <w:t>✓</w:t>
            </w:r>
          </w:p>
        </w:tc>
      </w:tr>
      <w:tr w:rsidR="006F573C" w:rsidRPr="006B2F71" w14:paraId="21983F35" w14:textId="77777777" w:rsidTr="00463B2D">
        <w:tc>
          <w:tcPr>
            <w:tcW w:w="3193" w:type="dxa"/>
            <w:shd w:val="clear" w:color="auto" w:fill="auto"/>
          </w:tcPr>
          <w:p w14:paraId="0B7BDA6D" w14:textId="77777777" w:rsidR="006F573C" w:rsidRPr="006B2F71" w:rsidRDefault="006F573C" w:rsidP="00F75F0E">
            <w:pPr>
              <w:rPr>
                <w:rFonts w:cs="Calibri"/>
                <w:color w:val="000000"/>
              </w:rPr>
            </w:pPr>
            <w:r w:rsidRPr="006B2F71">
              <w:rPr>
                <w:rFonts w:cs="Calibri"/>
                <w:color w:val="000000"/>
              </w:rPr>
              <w:t>03.02.04 - Infusion Pumps, Spring Powered</w:t>
            </w:r>
          </w:p>
        </w:tc>
        <w:tc>
          <w:tcPr>
            <w:tcW w:w="1829" w:type="dxa"/>
            <w:tcBorders>
              <w:right w:val="single" w:sz="4" w:space="0" w:color="auto"/>
            </w:tcBorders>
            <w:shd w:val="clear" w:color="auto" w:fill="auto"/>
            <w:vAlign w:val="bottom"/>
          </w:tcPr>
          <w:p w14:paraId="297740FF" w14:textId="77777777" w:rsidR="006F573C" w:rsidRPr="006B2F71" w:rsidDel="00117225" w:rsidRDefault="006F573C" w:rsidP="00833182">
            <w:pPr>
              <w:jc w:val="right"/>
              <w:rPr>
                <w:rFonts w:cs="Calibri"/>
                <w:color w:val="000000"/>
              </w:rPr>
            </w:pPr>
            <w:r>
              <w:rPr>
                <w:rFonts w:cs="Calibri"/>
                <w:color w:val="000000"/>
              </w:rPr>
              <w:t>0.7</w:t>
            </w:r>
          </w:p>
        </w:tc>
        <w:tc>
          <w:tcPr>
            <w:tcW w:w="1145" w:type="dxa"/>
            <w:tcBorders>
              <w:left w:val="single" w:sz="4" w:space="0" w:color="auto"/>
              <w:right w:val="single" w:sz="4" w:space="0" w:color="auto"/>
            </w:tcBorders>
            <w:vAlign w:val="center"/>
          </w:tcPr>
          <w:p w14:paraId="5F052F5B" w14:textId="77777777" w:rsidR="006F573C" w:rsidRPr="000B6434" w:rsidRDefault="003845FB" w:rsidP="007B0CF0">
            <w:pPr>
              <w:jc w:val="center"/>
              <w:rPr>
                <w:rFonts w:ascii="Segoe UI Symbol" w:hAnsi="Segoe UI Symbol"/>
              </w:rPr>
            </w:pPr>
            <w:r w:rsidRPr="00901141">
              <w:rPr>
                <w:rFonts w:ascii="Segoe UI Symbol" w:hAnsi="Segoe UI Symbol"/>
                <w:sz w:val="28"/>
                <w:szCs w:val="28"/>
              </w:rPr>
              <w:t>🗴</w:t>
            </w:r>
          </w:p>
        </w:tc>
        <w:tc>
          <w:tcPr>
            <w:tcW w:w="222" w:type="dxa"/>
            <w:tcBorders>
              <w:left w:val="single" w:sz="4" w:space="0" w:color="auto"/>
            </w:tcBorders>
            <w:vAlign w:val="center"/>
          </w:tcPr>
          <w:p w14:paraId="64F6A327" w14:textId="77777777" w:rsidR="006F573C" w:rsidRPr="00363E12" w:rsidRDefault="00ED2A0C" w:rsidP="00DE1140">
            <w:pPr>
              <w:jc w:val="center"/>
              <w:rPr>
                <w:rFonts w:ascii="Segoe UI Symbol" w:hAnsi="Segoe UI Symbol"/>
                <w:sz w:val="28"/>
                <w:szCs w:val="28"/>
              </w:rPr>
            </w:pPr>
            <w:r w:rsidRPr="00901141">
              <w:rPr>
                <w:rFonts w:ascii="Segoe UI Symbol" w:hAnsi="Segoe UI Symbol"/>
                <w:sz w:val="28"/>
                <w:szCs w:val="28"/>
              </w:rPr>
              <w:t>🗴</w:t>
            </w:r>
          </w:p>
        </w:tc>
        <w:tc>
          <w:tcPr>
            <w:tcW w:w="1247" w:type="dxa"/>
            <w:shd w:val="clear" w:color="auto" w:fill="auto"/>
            <w:vAlign w:val="center"/>
          </w:tcPr>
          <w:p w14:paraId="64DDFAFD" w14:textId="77777777" w:rsidR="006F573C" w:rsidRPr="000B6434" w:rsidRDefault="006F573C" w:rsidP="00232BCD">
            <w:pPr>
              <w:jc w:val="center"/>
              <w:rPr>
                <w:rFonts w:ascii="Segoe UI Symbol" w:hAnsi="Segoe UI Symbol"/>
              </w:rPr>
            </w:pPr>
            <w:r w:rsidRPr="00363E12">
              <w:rPr>
                <w:rFonts w:ascii="Segoe UI Symbol" w:hAnsi="Segoe UI Symbol"/>
                <w:sz w:val="28"/>
                <w:szCs w:val="28"/>
              </w:rPr>
              <w:t>🗴</w:t>
            </w:r>
          </w:p>
        </w:tc>
        <w:tc>
          <w:tcPr>
            <w:tcW w:w="1383" w:type="dxa"/>
            <w:shd w:val="clear" w:color="auto" w:fill="auto"/>
            <w:vAlign w:val="center"/>
          </w:tcPr>
          <w:p w14:paraId="32F2A45C" w14:textId="77777777" w:rsidR="006F573C" w:rsidRPr="008E62ED" w:rsidRDefault="006F573C" w:rsidP="00232BCD">
            <w:pPr>
              <w:jc w:val="center"/>
              <w:rPr>
                <w:rFonts w:ascii="Segoe UI Symbol" w:hAnsi="Segoe UI Symbol"/>
              </w:rPr>
            </w:pPr>
            <w:r w:rsidRPr="00363E12">
              <w:rPr>
                <w:rFonts w:ascii="Segoe UI Symbol" w:hAnsi="Segoe UI Symbol"/>
                <w:sz w:val="28"/>
                <w:szCs w:val="28"/>
              </w:rPr>
              <w:t>🗴</w:t>
            </w:r>
          </w:p>
        </w:tc>
      </w:tr>
      <w:tr w:rsidR="006F573C" w:rsidRPr="006B2F71" w14:paraId="73BE66A4" w14:textId="77777777" w:rsidTr="00463B2D">
        <w:tc>
          <w:tcPr>
            <w:tcW w:w="3193" w:type="dxa"/>
            <w:shd w:val="clear" w:color="auto" w:fill="D2D2DA" w:themeFill="text1" w:themeFillTint="33"/>
          </w:tcPr>
          <w:p w14:paraId="68BD894D" w14:textId="77777777" w:rsidR="006F573C" w:rsidRPr="006B2F71" w:rsidRDefault="006F573C" w:rsidP="00B83783">
            <w:r w:rsidRPr="006B2F71">
              <w:rPr>
                <w:rFonts w:cs="Calibri"/>
                <w:color w:val="000000"/>
              </w:rPr>
              <w:t>03.02.05 - Infusion Pump Accessories (Part A)</w:t>
            </w:r>
            <w:r w:rsidRPr="006B2F71">
              <w:rPr>
                <w:rFonts w:cs="Calibri"/>
                <w:color w:val="000000"/>
                <w:vertAlign w:val="superscript"/>
              </w:rPr>
              <w:t>#</w:t>
            </w:r>
          </w:p>
        </w:tc>
        <w:tc>
          <w:tcPr>
            <w:tcW w:w="1829" w:type="dxa"/>
            <w:tcBorders>
              <w:right w:val="single" w:sz="4" w:space="0" w:color="auto"/>
            </w:tcBorders>
            <w:shd w:val="clear" w:color="auto" w:fill="D2D2DA" w:themeFill="text1" w:themeFillTint="33"/>
            <w:vAlign w:val="bottom"/>
          </w:tcPr>
          <w:p w14:paraId="4A493FE4" w14:textId="77777777" w:rsidR="006F573C" w:rsidRPr="006B2F71" w:rsidRDefault="006F573C" w:rsidP="00B83783">
            <w:pPr>
              <w:jc w:val="right"/>
              <w:rPr>
                <w:rFonts w:cs="Calibri"/>
                <w:color w:val="000000"/>
              </w:rPr>
            </w:pPr>
            <w:r>
              <w:rPr>
                <w:rFonts w:cs="Calibri"/>
                <w:color w:val="000000"/>
              </w:rPr>
              <w:t>1.0</w:t>
            </w:r>
          </w:p>
        </w:tc>
        <w:tc>
          <w:tcPr>
            <w:tcW w:w="1145" w:type="dxa"/>
            <w:tcBorders>
              <w:left w:val="single" w:sz="4" w:space="0" w:color="auto"/>
              <w:right w:val="single" w:sz="4" w:space="0" w:color="auto"/>
            </w:tcBorders>
            <w:shd w:val="clear" w:color="auto" w:fill="D2D2DA" w:themeFill="text1" w:themeFillTint="33"/>
            <w:vAlign w:val="center"/>
          </w:tcPr>
          <w:p w14:paraId="7724DD66" w14:textId="77777777" w:rsidR="006F573C" w:rsidRPr="000B6434" w:rsidRDefault="006F573C" w:rsidP="007B0CF0">
            <w:pPr>
              <w:jc w:val="center"/>
              <w:rPr>
                <w:rFonts w:ascii="Segoe UI Symbol" w:hAnsi="Segoe UI Symbol"/>
              </w:rPr>
            </w:pPr>
            <w:r w:rsidRPr="000B6434">
              <w:rPr>
                <w:rFonts w:ascii="Segoe UI Symbol" w:hAnsi="Segoe UI Symbol"/>
              </w:rPr>
              <w:t>✓</w:t>
            </w:r>
          </w:p>
        </w:tc>
        <w:tc>
          <w:tcPr>
            <w:tcW w:w="222" w:type="dxa"/>
            <w:tcBorders>
              <w:left w:val="single" w:sz="4" w:space="0" w:color="auto"/>
            </w:tcBorders>
            <w:shd w:val="clear" w:color="auto" w:fill="D2D2DA" w:themeFill="text1" w:themeFillTint="33"/>
            <w:vAlign w:val="center"/>
          </w:tcPr>
          <w:p w14:paraId="5C4E8E82" w14:textId="77777777" w:rsidR="006F573C" w:rsidRPr="006B2F71" w:rsidRDefault="003845FB" w:rsidP="00DE1140">
            <w:pPr>
              <w:jc w:val="center"/>
              <w:rPr>
                <w:rFonts w:cs="Segoe UI Symbol"/>
                <w:b/>
                <w:bCs/>
                <w:color w:val="000000"/>
              </w:rPr>
            </w:pPr>
            <w:r w:rsidRPr="000B6434">
              <w:rPr>
                <w:rFonts w:ascii="Segoe UI Symbol" w:hAnsi="Segoe UI Symbol"/>
              </w:rPr>
              <w:t>✓</w:t>
            </w:r>
          </w:p>
        </w:tc>
        <w:tc>
          <w:tcPr>
            <w:tcW w:w="1247" w:type="dxa"/>
            <w:shd w:val="clear" w:color="auto" w:fill="D2D2DA" w:themeFill="text1" w:themeFillTint="33"/>
            <w:vAlign w:val="center"/>
          </w:tcPr>
          <w:p w14:paraId="4CBE0630" w14:textId="77777777" w:rsidR="006F573C" w:rsidRPr="006B2F71" w:rsidRDefault="006F573C" w:rsidP="00232BCD">
            <w:pPr>
              <w:jc w:val="center"/>
              <w:rPr>
                <w:rFonts w:cs="Segoe UI Symbol"/>
                <w:b/>
                <w:bCs/>
                <w:color w:val="000000"/>
              </w:rPr>
            </w:pPr>
            <w:r w:rsidRPr="006B2F71">
              <w:rPr>
                <w:rFonts w:cs="Segoe UI Symbol"/>
                <w:b/>
                <w:bCs/>
                <w:color w:val="000000"/>
              </w:rPr>
              <w:t>~</w:t>
            </w:r>
          </w:p>
        </w:tc>
        <w:tc>
          <w:tcPr>
            <w:tcW w:w="1383" w:type="dxa"/>
            <w:shd w:val="clear" w:color="auto" w:fill="D2D2DA" w:themeFill="text1" w:themeFillTint="33"/>
            <w:vAlign w:val="center"/>
          </w:tcPr>
          <w:p w14:paraId="31004E08" w14:textId="77777777" w:rsidR="006F573C" w:rsidRPr="006B2F71" w:rsidRDefault="006F573C" w:rsidP="00232BCD">
            <w:pPr>
              <w:jc w:val="center"/>
              <w:rPr>
                <w:rFonts w:cs="Segoe UI Symbol"/>
                <w:b/>
                <w:bCs/>
                <w:color w:val="000000"/>
              </w:rPr>
            </w:pPr>
            <w:r w:rsidRPr="00F5323F">
              <w:rPr>
                <w:rFonts w:ascii="Segoe UI Symbol" w:hAnsi="Segoe UI Symbol"/>
              </w:rPr>
              <w:t>✓</w:t>
            </w:r>
          </w:p>
        </w:tc>
      </w:tr>
      <w:tr w:rsidR="006F573C" w:rsidRPr="006B2F71" w14:paraId="5F82DDE3" w14:textId="77777777" w:rsidTr="00463B2D">
        <w:tc>
          <w:tcPr>
            <w:tcW w:w="3193" w:type="dxa"/>
            <w:shd w:val="clear" w:color="auto" w:fill="auto"/>
          </w:tcPr>
          <w:p w14:paraId="6A748455" w14:textId="77777777" w:rsidR="006F573C" w:rsidRPr="006B2F71" w:rsidRDefault="006F573C" w:rsidP="00F75F0E">
            <w:pPr>
              <w:rPr>
                <w:rFonts w:cs="Calibri"/>
                <w:color w:val="000000"/>
              </w:rPr>
            </w:pPr>
            <w:r w:rsidRPr="006B2F71">
              <w:rPr>
                <w:rFonts w:cs="Calibri"/>
                <w:color w:val="000000"/>
              </w:rPr>
              <w:t>03.02.06 - Pharmaceutical Beads</w:t>
            </w:r>
          </w:p>
        </w:tc>
        <w:tc>
          <w:tcPr>
            <w:tcW w:w="1829" w:type="dxa"/>
            <w:tcBorders>
              <w:right w:val="single" w:sz="4" w:space="0" w:color="auto"/>
            </w:tcBorders>
            <w:shd w:val="clear" w:color="auto" w:fill="auto"/>
            <w:vAlign w:val="bottom"/>
          </w:tcPr>
          <w:p w14:paraId="13059A4E" w14:textId="77777777" w:rsidR="006F573C" w:rsidRDefault="006F573C" w:rsidP="006911E5">
            <w:pPr>
              <w:jc w:val="right"/>
              <w:rPr>
                <w:rFonts w:cs="Calibri"/>
                <w:color w:val="000000"/>
              </w:rPr>
            </w:pPr>
            <w:r>
              <w:rPr>
                <w:rFonts w:cs="Calibri"/>
                <w:color w:val="000000"/>
              </w:rPr>
              <w:t>0.1</w:t>
            </w:r>
          </w:p>
        </w:tc>
        <w:tc>
          <w:tcPr>
            <w:tcW w:w="1145" w:type="dxa"/>
            <w:tcBorders>
              <w:left w:val="single" w:sz="4" w:space="0" w:color="auto"/>
              <w:right w:val="single" w:sz="4" w:space="0" w:color="auto"/>
            </w:tcBorders>
            <w:shd w:val="clear" w:color="auto" w:fill="auto"/>
            <w:vAlign w:val="center"/>
          </w:tcPr>
          <w:p w14:paraId="58FD6B9D" w14:textId="77777777" w:rsidR="006F573C" w:rsidRPr="000B6434" w:rsidRDefault="003845FB" w:rsidP="007B0CF0">
            <w:pPr>
              <w:jc w:val="center"/>
              <w:rPr>
                <w:rFonts w:ascii="Segoe UI Symbol" w:hAnsi="Segoe UI Symbol"/>
              </w:rPr>
            </w:pPr>
            <w:r w:rsidRPr="00901141">
              <w:rPr>
                <w:rFonts w:ascii="Segoe UI Symbol" w:hAnsi="Segoe UI Symbol"/>
                <w:sz w:val="28"/>
                <w:szCs w:val="28"/>
              </w:rPr>
              <w:t>🗴</w:t>
            </w:r>
          </w:p>
        </w:tc>
        <w:tc>
          <w:tcPr>
            <w:tcW w:w="222" w:type="dxa"/>
            <w:tcBorders>
              <w:left w:val="single" w:sz="4" w:space="0" w:color="auto"/>
            </w:tcBorders>
            <w:shd w:val="clear" w:color="auto" w:fill="auto"/>
            <w:vAlign w:val="center"/>
          </w:tcPr>
          <w:p w14:paraId="0D16589B" w14:textId="77777777" w:rsidR="006F573C" w:rsidRPr="00862B33" w:rsidRDefault="00ED2A0C" w:rsidP="00DE1140">
            <w:pPr>
              <w:jc w:val="center"/>
              <w:rPr>
                <w:rFonts w:ascii="Segoe UI Symbol" w:hAnsi="Segoe UI Symbol"/>
                <w:sz w:val="28"/>
                <w:szCs w:val="28"/>
              </w:rPr>
            </w:pPr>
            <w:r w:rsidRPr="00901141">
              <w:rPr>
                <w:rFonts w:ascii="Segoe UI Symbol" w:hAnsi="Segoe UI Symbol"/>
                <w:sz w:val="28"/>
                <w:szCs w:val="28"/>
              </w:rPr>
              <w:t>🗴</w:t>
            </w:r>
          </w:p>
        </w:tc>
        <w:tc>
          <w:tcPr>
            <w:tcW w:w="1247" w:type="dxa"/>
            <w:shd w:val="clear" w:color="auto" w:fill="auto"/>
            <w:vAlign w:val="center"/>
          </w:tcPr>
          <w:p w14:paraId="2D51DB5F" w14:textId="77777777" w:rsidR="006F573C" w:rsidRPr="006B2F71" w:rsidRDefault="006F573C" w:rsidP="00232BCD">
            <w:pPr>
              <w:jc w:val="center"/>
              <w:rPr>
                <w:rFonts w:cstheme="minorHAnsi"/>
                <w:color w:val="000000"/>
              </w:rPr>
            </w:pPr>
            <w:r w:rsidRPr="00862B33">
              <w:rPr>
                <w:rFonts w:ascii="Segoe UI Symbol" w:hAnsi="Segoe UI Symbol"/>
                <w:sz w:val="28"/>
                <w:szCs w:val="28"/>
              </w:rPr>
              <w:t>🗴</w:t>
            </w:r>
          </w:p>
        </w:tc>
        <w:tc>
          <w:tcPr>
            <w:tcW w:w="1383" w:type="dxa"/>
            <w:shd w:val="clear" w:color="auto" w:fill="auto"/>
            <w:vAlign w:val="center"/>
          </w:tcPr>
          <w:p w14:paraId="385993AB" w14:textId="77777777" w:rsidR="006F573C" w:rsidRPr="006B2F71" w:rsidRDefault="006F573C" w:rsidP="00232BCD">
            <w:pPr>
              <w:jc w:val="center"/>
              <w:rPr>
                <w:rFonts w:cstheme="minorHAnsi"/>
                <w:color w:val="000000"/>
              </w:rPr>
            </w:pPr>
            <w:r w:rsidRPr="00862B33">
              <w:rPr>
                <w:rFonts w:ascii="Segoe UI Symbol" w:hAnsi="Segoe UI Symbol"/>
                <w:sz w:val="28"/>
                <w:szCs w:val="28"/>
              </w:rPr>
              <w:t>🗴</w:t>
            </w:r>
          </w:p>
        </w:tc>
      </w:tr>
      <w:tr w:rsidR="006F573C" w:rsidRPr="006B2F71" w14:paraId="71E229F0" w14:textId="77777777" w:rsidTr="00463B2D">
        <w:tc>
          <w:tcPr>
            <w:tcW w:w="3193" w:type="dxa"/>
            <w:shd w:val="clear" w:color="auto" w:fill="auto"/>
          </w:tcPr>
          <w:p w14:paraId="3A873458" w14:textId="77777777" w:rsidR="006F573C" w:rsidRPr="006B2F71" w:rsidRDefault="006F573C" w:rsidP="00F75F0E">
            <w:pPr>
              <w:rPr>
                <w:rFonts w:cs="Calibri"/>
                <w:color w:val="000000"/>
              </w:rPr>
            </w:pPr>
            <w:r w:rsidRPr="006B2F71">
              <w:rPr>
                <w:rFonts w:cs="Calibri"/>
                <w:color w:val="000000"/>
              </w:rPr>
              <w:t>03.05.01 - Occluder Pin</w:t>
            </w:r>
          </w:p>
        </w:tc>
        <w:tc>
          <w:tcPr>
            <w:tcW w:w="1829" w:type="dxa"/>
            <w:tcBorders>
              <w:right w:val="single" w:sz="4" w:space="0" w:color="auto"/>
            </w:tcBorders>
            <w:shd w:val="clear" w:color="auto" w:fill="auto"/>
            <w:vAlign w:val="bottom"/>
          </w:tcPr>
          <w:p w14:paraId="6FEFD681" w14:textId="77777777" w:rsidR="006F573C" w:rsidRDefault="006F573C" w:rsidP="00AC01BB">
            <w:pPr>
              <w:jc w:val="right"/>
              <w:rPr>
                <w:rFonts w:cs="Calibri"/>
                <w:color w:val="000000"/>
              </w:rPr>
            </w:pPr>
            <w:r>
              <w:rPr>
                <w:rFonts w:cs="Calibri"/>
                <w:color w:val="000000"/>
              </w:rPr>
              <w:t>0.0</w:t>
            </w:r>
          </w:p>
        </w:tc>
        <w:tc>
          <w:tcPr>
            <w:tcW w:w="1145" w:type="dxa"/>
            <w:tcBorders>
              <w:left w:val="single" w:sz="4" w:space="0" w:color="auto"/>
              <w:right w:val="single" w:sz="4" w:space="0" w:color="auto"/>
            </w:tcBorders>
            <w:vAlign w:val="center"/>
          </w:tcPr>
          <w:p w14:paraId="5F04F817" w14:textId="77777777" w:rsidR="006F573C" w:rsidRPr="000B6434" w:rsidRDefault="003845FB" w:rsidP="007B0CF0">
            <w:pPr>
              <w:jc w:val="center"/>
              <w:rPr>
                <w:rFonts w:ascii="Segoe UI Symbol" w:hAnsi="Segoe UI Symbol"/>
              </w:rPr>
            </w:pPr>
            <w:r w:rsidRPr="00901141">
              <w:rPr>
                <w:rFonts w:ascii="Segoe UI Symbol" w:hAnsi="Segoe UI Symbol"/>
                <w:sz w:val="28"/>
                <w:szCs w:val="28"/>
              </w:rPr>
              <w:t>🗴</w:t>
            </w:r>
          </w:p>
        </w:tc>
        <w:tc>
          <w:tcPr>
            <w:tcW w:w="222" w:type="dxa"/>
            <w:tcBorders>
              <w:left w:val="single" w:sz="4" w:space="0" w:color="auto"/>
            </w:tcBorders>
            <w:shd w:val="clear" w:color="auto" w:fill="auto"/>
            <w:vAlign w:val="center"/>
          </w:tcPr>
          <w:p w14:paraId="5CAE737A" w14:textId="77777777" w:rsidR="006F573C" w:rsidRPr="00901141" w:rsidRDefault="00590964" w:rsidP="00DE1140">
            <w:pPr>
              <w:jc w:val="center"/>
              <w:rPr>
                <w:rFonts w:ascii="Segoe UI Symbol" w:hAnsi="Segoe UI Symbol"/>
                <w:sz w:val="28"/>
                <w:szCs w:val="28"/>
              </w:rPr>
            </w:pPr>
            <w:r w:rsidRPr="00901141">
              <w:rPr>
                <w:rFonts w:ascii="Segoe UI Symbol" w:hAnsi="Segoe UI Symbol"/>
                <w:sz w:val="28"/>
                <w:szCs w:val="28"/>
              </w:rPr>
              <w:t>🗴</w:t>
            </w:r>
          </w:p>
        </w:tc>
        <w:tc>
          <w:tcPr>
            <w:tcW w:w="1247" w:type="dxa"/>
            <w:shd w:val="clear" w:color="auto" w:fill="auto"/>
            <w:vAlign w:val="center"/>
          </w:tcPr>
          <w:p w14:paraId="2B910974" w14:textId="77777777" w:rsidR="006F573C" w:rsidRPr="00862B33" w:rsidRDefault="006F573C" w:rsidP="00232BCD">
            <w:pPr>
              <w:jc w:val="center"/>
              <w:rPr>
                <w:rFonts w:ascii="Segoe UI Symbol" w:hAnsi="Segoe UI Symbol"/>
                <w:sz w:val="28"/>
                <w:szCs w:val="28"/>
              </w:rPr>
            </w:pPr>
            <w:r w:rsidRPr="00901141">
              <w:rPr>
                <w:rFonts w:ascii="Segoe UI Symbol" w:hAnsi="Segoe UI Symbol"/>
                <w:sz w:val="28"/>
                <w:szCs w:val="28"/>
              </w:rPr>
              <w:t>🗴</w:t>
            </w:r>
          </w:p>
        </w:tc>
        <w:tc>
          <w:tcPr>
            <w:tcW w:w="1383" w:type="dxa"/>
            <w:vAlign w:val="center"/>
          </w:tcPr>
          <w:p w14:paraId="762483D3" w14:textId="77777777" w:rsidR="006F573C" w:rsidRPr="00862B33" w:rsidRDefault="006F573C" w:rsidP="00232BCD">
            <w:pPr>
              <w:jc w:val="center"/>
              <w:rPr>
                <w:rFonts w:ascii="Segoe UI Symbol" w:hAnsi="Segoe UI Symbol"/>
                <w:sz w:val="28"/>
                <w:szCs w:val="28"/>
              </w:rPr>
            </w:pPr>
            <w:r w:rsidRPr="00F5323F">
              <w:rPr>
                <w:rFonts w:ascii="Segoe UI Symbol" w:hAnsi="Segoe UI Symbol"/>
                <w:sz w:val="28"/>
                <w:szCs w:val="28"/>
              </w:rPr>
              <w:t>🗴</w:t>
            </w:r>
          </w:p>
        </w:tc>
      </w:tr>
      <w:tr w:rsidR="006F573C" w:rsidRPr="006B2F71" w14:paraId="2A470981" w14:textId="77777777" w:rsidTr="00463B2D">
        <w:tc>
          <w:tcPr>
            <w:tcW w:w="3193" w:type="dxa"/>
            <w:shd w:val="clear" w:color="auto" w:fill="D2D2DA" w:themeFill="text1" w:themeFillTint="33"/>
          </w:tcPr>
          <w:p w14:paraId="0C6FD8CC" w14:textId="77777777" w:rsidR="006F573C" w:rsidRPr="006B2F71" w:rsidRDefault="006F573C" w:rsidP="00B83783">
            <w:r w:rsidRPr="006B2F71">
              <w:rPr>
                <w:rFonts w:cs="Calibri"/>
                <w:color w:val="000000"/>
              </w:rPr>
              <w:t xml:space="preserve">03.05.02 </w:t>
            </w:r>
            <w:r>
              <w:rPr>
                <w:rFonts w:cs="Calibri"/>
                <w:color w:val="000000"/>
              </w:rPr>
              <w:t>–</w:t>
            </w:r>
            <w:r w:rsidRPr="006B2F71">
              <w:rPr>
                <w:rFonts w:cs="Calibri"/>
                <w:color w:val="000000"/>
              </w:rPr>
              <w:t xml:space="preserve"> Powder</w:t>
            </w:r>
          </w:p>
        </w:tc>
        <w:tc>
          <w:tcPr>
            <w:tcW w:w="1829" w:type="dxa"/>
            <w:tcBorders>
              <w:right w:val="single" w:sz="4" w:space="0" w:color="auto"/>
            </w:tcBorders>
            <w:shd w:val="clear" w:color="auto" w:fill="D2D2DA" w:themeFill="text1" w:themeFillTint="33"/>
            <w:vAlign w:val="bottom"/>
          </w:tcPr>
          <w:p w14:paraId="39DCC049" w14:textId="77777777" w:rsidR="006F573C" w:rsidRPr="006B2F71" w:rsidRDefault="006F573C" w:rsidP="00B83783">
            <w:pPr>
              <w:jc w:val="right"/>
              <w:rPr>
                <w:rFonts w:cs="Calibri"/>
                <w:color w:val="000000"/>
              </w:rPr>
            </w:pPr>
            <w:r>
              <w:rPr>
                <w:rFonts w:cs="Calibri"/>
                <w:color w:val="000000"/>
              </w:rPr>
              <w:t>0.7</w:t>
            </w:r>
          </w:p>
        </w:tc>
        <w:tc>
          <w:tcPr>
            <w:tcW w:w="1145" w:type="dxa"/>
            <w:tcBorders>
              <w:left w:val="single" w:sz="4" w:space="0" w:color="auto"/>
              <w:right w:val="single" w:sz="4" w:space="0" w:color="auto"/>
            </w:tcBorders>
            <w:shd w:val="clear" w:color="auto" w:fill="D2D2DA" w:themeFill="text1" w:themeFillTint="33"/>
            <w:vAlign w:val="center"/>
          </w:tcPr>
          <w:p w14:paraId="64C97082" w14:textId="77777777" w:rsidR="006F573C" w:rsidRPr="000B6434" w:rsidRDefault="006F573C" w:rsidP="007B0CF0">
            <w:pPr>
              <w:jc w:val="center"/>
              <w:rPr>
                <w:rFonts w:ascii="Segoe UI Symbol" w:hAnsi="Segoe UI Symbol"/>
              </w:rPr>
            </w:pPr>
            <w:r w:rsidRPr="000B6434">
              <w:rPr>
                <w:rFonts w:ascii="Segoe UI Symbol" w:hAnsi="Segoe UI Symbol"/>
              </w:rPr>
              <w:t>✓</w:t>
            </w:r>
          </w:p>
        </w:tc>
        <w:tc>
          <w:tcPr>
            <w:tcW w:w="222" w:type="dxa"/>
            <w:tcBorders>
              <w:left w:val="single" w:sz="4" w:space="0" w:color="auto"/>
            </w:tcBorders>
            <w:shd w:val="clear" w:color="auto" w:fill="D2D2DA" w:themeFill="text1" w:themeFillTint="33"/>
            <w:vAlign w:val="center"/>
          </w:tcPr>
          <w:p w14:paraId="1EEE09B7" w14:textId="77777777" w:rsidR="006F573C" w:rsidRPr="00901141" w:rsidRDefault="00B03601" w:rsidP="00DE1140">
            <w:pPr>
              <w:jc w:val="center"/>
              <w:rPr>
                <w:rFonts w:ascii="Segoe UI Symbol" w:hAnsi="Segoe UI Symbol"/>
                <w:sz w:val="28"/>
                <w:szCs w:val="28"/>
              </w:rPr>
            </w:pPr>
            <w:r w:rsidRPr="00032338">
              <w:rPr>
                <w:rFonts w:ascii="Segoe UI Symbol" w:hAnsi="Segoe UI Symbol"/>
                <w:sz w:val="28"/>
                <w:szCs w:val="28"/>
              </w:rPr>
              <w:t>🗴</w:t>
            </w:r>
          </w:p>
        </w:tc>
        <w:tc>
          <w:tcPr>
            <w:tcW w:w="1247" w:type="dxa"/>
            <w:shd w:val="clear" w:color="auto" w:fill="D2D2DA" w:themeFill="text1" w:themeFillTint="33"/>
            <w:vAlign w:val="center"/>
          </w:tcPr>
          <w:p w14:paraId="2CF766D5" w14:textId="77777777" w:rsidR="006F573C" w:rsidRPr="006B2F71" w:rsidRDefault="006F573C" w:rsidP="00232BCD">
            <w:pPr>
              <w:jc w:val="center"/>
              <w:rPr>
                <w:rFonts w:cs="Segoe UI Symbol"/>
                <w:color w:val="000000"/>
              </w:rPr>
            </w:pPr>
            <w:r w:rsidRPr="00901141">
              <w:rPr>
                <w:rFonts w:ascii="Segoe UI Symbol" w:hAnsi="Segoe UI Symbol"/>
                <w:sz w:val="28"/>
                <w:szCs w:val="28"/>
              </w:rPr>
              <w:t>🗴</w:t>
            </w:r>
          </w:p>
        </w:tc>
        <w:tc>
          <w:tcPr>
            <w:tcW w:w="1383" w:type="dxa"/>
            <w:shd w:val="clear" w:color="auto" w:fill="D2D2DA" w:themeFill="text1" w:themeFillTint="33"/>
            <w:vAlign w:val="center"/>
          </w:tcPr>
          <w:p w14:paraId="2A30B972" w14:textId="77777777" w:rsidR="006F573C" w:rsidRPr="006B2F71" w:rsidRDefault="006F573C" w:rsidP="00232BCD">
            <w:pPr>
              <w:jc w:val="center"/>
              <w:rPr>
                <w:rFonts w:cs="Segoe UI Symbol"/>
                <w:b/>
                <w:bCs/>
                <w:color w:val="000000"/>
              </w:rPr>
            </w:pPr>
            <w:r w:rsidRPr="00F5323F">
              <w:rPr>
                <w:rFonts w:ascii="Segoe UI Symbol" w:hAnsi="Segoe UI Symbol"/>
              </w:rPr>
              <w:t>✓</w:t>
            </w:r>
          </w:p>
        </w:tc>
      </w:tr>
      <w:tr w:rsidR="006F573C" w:rsidRPr="006B2F71" w14:paraId="171E3E84" w14:textId="77777777" w:rsidTr="00463B2D">
        <w:tc>
          <w:tcPr>
            <w:tcW w:w="3193" w:type="dxa"/>
            <w:shd w:val="clear" w:color="auto" w:fill="D2D2DA" w:themeFill="text1" w:themeFillTint="33"/>
          </w:tcPr>
          <w:p w14:paraId="02447175" w14:textId="77777777" w:rsidR="006F573C" w:rsidRPr="006B2F71" w:rsidRDefault="006F573C" w:rsidP="00B83783">
            <w:r w:rsidRPr="006B2F71">
              <w:rPr>
                <w:rFonts w:cs="Calibri"/>
                <w:color w:val="000000"/>
              </w:rPr>
              <w:t>03.05.03 – Sponges*</w:t>
            </w:r>
          </w:p>
        </w:tc>
        <w:tc>
          <w:tcPr>
            <w:tcW w:w="1829" w:type="dxa"/>
            <w:tcBorders>
              <w:right w:val="single" w:sz="4" w:space="0" w:color="auto"/>
            </w:tcBorders>
            <w:shd w:val="clear" w:color="auto" w:fill="D2D2DA" w:themeFill="text1" w:themeFillTint="33"/>
            <w:vAlign w:val="bottom"/>
          </w:tcPr>
          <w:p w14:paraId="16C155F2" w14:textId="77777777" w:rsidR="006F573C" w:rsidRPr="006B2F71" w:rsidRDefault="006F573C" w:rsidP="00B83783">
            <w:pPr>
              <w:jc w:val="right"/>
              <w:rPr>
                <w:rFonts w:cs="Calibri"/>
                <w:color w:val="000000"/>
              </w:rPr>
            </w:pPr>
            <w:r>
              <w:rPr>
                <w:rFonts w:cs="Calibri"/>
                <w:color w:val="000000"/>
              </w:rPr>
              <w:t>0.6</w:t>
            </w:r>
          </w:p>
        </w:tc>
        <w:tc>
          <w:tcPr>
            <w:tcW w:w="1145" w:type="dxa"/>
            <w:tcBorders>
              <w:left w:val="single" w:sz="4" w:space="0" w:color="auto"/>
              <w:right w:val="single" w:sz="4" w:space="0" w:color="auto"/>
            </w:tcBorders>
            <w:shd w:val="clear" w:color="auto" w:fill="D2D2DA" w:themeFill="text1" w:themeFillTint="33"/>
            <w:vAlign w:val="center"/>
          </w:tcPr>
          <w:p w14:paraId="120AE07D" w14:textId="77777777" w:rsidR="006F573C" w:rsidRPr="000B6434" w:rsidRDefault="006F573C" w:rsidP="007B0CF0">
            <w:pPr>
              <w:jc w:val="center"/>
              <w:rPr>
                <w:rFonts w:ascii="Segoe UI Symbol" w:hAnsi="Segoe UI Symbol"/>
              </w:rPr>
            </w:pPr>
            <w:r w:rsidRPr="000B6434">
              <w:rPr>
                <w:rFonts w:ascii="Segoe UI Symbol" w:hAnsi="Segoe UI Symbol"/>
              </w:rPr>
              <w:t>✓</w:t>
            </w:r>
          </w:p>
        </w:tc>
        <w:tc>
          <w:tcPr>
            <w:tcW w:w="222" w:type="dxa"/>
            <w:tcBorders>
              <w:left w:val="single" w:sz="4" w:space="0" w:color="auto"/>
            </w:tcBorders>
            <w:shd w:val="clear" w:color="auto" w:fill="D2D2DA" w:themeFill="text1" w:themeFillTint="33"/>
            <w:vAlign w:val="center"/>
          </w:tcPr>
          <w:p w14:paraId="4652CF09" w14:textId="77777777" w:rsidR="006F573C" w:rsidRPr="00032338" w:rsidRDefault="009F5525" w:rsidP="00DE1140">
            <w:pPr>
              <w:jc w:val="center"/>
              <w:rPr>
                <w:rFonts w:ascii="Segoe UI Symbol" w:hAnsi="Segoe UI Symbol"/>
                <w:sz w:val="28"/>
                <w:szCs w:val="28"/>
              </w:rPr>
            </w:pPr>
            <w:r w:rsidRPr="000B6434">
              <w:rPr>
                <w:rFonts w:ascii="Segoe UI Symbol" w:hAnsi="Segoe UI Symbol"/>
              </w:rPr>
              <w:t>✓</w:t>
            </w:r>
          </w:p>
        </w:tc>
        <w:tc>
          <w:tcPr>
            <w:tcW w:w="1247" w:type="dxa"/>
            <w:shd w:val="clear" w:color="auto" w:fill="D2D2DA" w:themeFill="text1" w:themeFillTint="33"/>
            <w:vAlign w:val="center"/>
          </w:tcPr>
          <w:p w14:paraId="71DD6BE0" w14:textId="77777777" w:rsidR="006F573C" w:rsidRPr="006B2F71" w:rsidRDefault="006F573C" w:rsidP="00232BCD">
            <w:pPr>
              <w:jc w:val="center"/>
              <w:rPr>
                <w:rFonts w:cs="Segoe UI Symbol"/>
                <w:color w:val="000000"/>
              </w:rPr>
            </w:pPr>
            <w:r w:rsidRPr="00032338">
              <w:rPr>
                <w:rFonts w:ascii="Segoe UI Symbol" w:hAnsi="Segoe UI Symbol"/>
                <w:sz w:val="28"/>
                <w:szCs w:val="28"/>
              </w:rPr>
              <w:t>🗴</w:t>
            </w:r>
          </w:p>
        </w:tc>
        <w:tc>
          <w:tcPr>
            <w:tcW w:w="1383" w:type="dxa"/>
            <w:shd w:val="clear" w:color="auto" w:fill="D2D2DA" w:themeFill="text1" w:themeFillTint="33"/>
            <w:vAlign w:val="center"/>
          </w:tcPr>
          <w:p w14:paraId="568067E2" w14:textId="77777777" w:rsidR="006F573C" w:rsidRPr="006B2F71" w:rsidRDefault="006F573C" w:rsidP="00232BCD">
            <w:pPr>
              <w:jc w:val="center"/>
              <w:rPr>
                <w:rFonts w:cs="Segoe UI Symbol"/>
                <w:color w:val="000000"/>
              </w:rPr>
            </w:pPr>
            <w:r w:rsidRPr="00032338">
              <w:rPr>
                <w:rFonts w:ascii="Segoe UI Symbol" w:hAnsi="Segoe UI Symbol"/>
                <w:sz w:val="28"/>
                <w:szCs w:val="28"/>
              </w:rPr>
              <w:t>🗴</w:t>
            </w:r>
          </w:p>
        </w:tc>
      </w:tr>
      <w:tr w:rsidR="006F573C" w:rsidRPr="006B2F71" w14:paraId="0ADAD540" w14:textId="77777777" w:rsidTr="00463B2D">
        <w:tc>
          <w:tcPr>
            <w:tcW w:w="3193" w:type="dxa"/>
            <w:shd w:val="clear" w:color="auto" w:fill="D2D2DA" w:themeFill="text1" w:themeFillTint="33"/>
          </w:tcPr>
          <w:p w14:paraId="7E5119A1" w14:textId="77777777" w:rsidR="006F573C" w:rsidRPr="006B2F71" w:rsidRDefault="006F573C" w:rsidP="00B83783">
            <w:r w:rsidRPr="006B2F71">
              <w:rPr>
                <w:rFonts w:cs="Calibri"/>
                <w:color w:val="000000"/>
              </w:rPr>
              <w:t>03.05.04 - Pliable Patches</w:t>
            </w:r>
          </w:p>
        </w:tc>
        <w:tc>
          <w:tcPr>
            <w:tcW w:w="1829" w:type="dxa"/>
            <w:tcBorders>
              <w:right w:val="single" w:sz="4" w:space="0" w:color="auto"/>
            </w:tcBorders>
            <w:shd w:val="clear" w:color="auto" w:fill="D2D2DA" w:themeFill="text1" w:themeFillTint="33"/>
            <w:vAlign w:val="bottom"/>
          </w:tcPr>
          <w:p w14:paraId="085120DD" w14:textId="77777777" w:rsidR="006F573C" w:rsidRPr="006B2F71" w:rsidRDefault="006F573C" w:rsidP="00B83783">
            <w:pPr>
              <w:jc w:val="right"/>
              <w:rPr>
                <w:rFonts w:cs="Calibri"/>
                <w:color w:val="000000"/>
              </w:rPr>
            </w:pPr>
            <w:r>
              <w:rPr>
                <w:rFonts w:cs="Calibri"/>
                <w:color w:val="000000"/>
              </w:rPr>
              <w:t>3.0</w:t>
            </w:r>
          </w:p>
        </w:tc>
        <w:tc>
          <w:tcPr>
            <w:tcW w:w="1145" w:type="dxa"/>
            <w:tcBorders>
              <w:left w:val="single" w:sz="4" w:space="0" w:color="auto"/>
              <w:right w:val="single" w:sz="4" w:space="0" w:color="auto"/>
            </w:tcBorders>
            <w:shd w:val="clear" w:color="auto" w:fill="D2D2DA" w:themeFill="text1" w:themeFillTint="33"/>
            <w:vAlign w:val="center"/>
          </w:tcPr>
          <w:p w14:paraId="2B667D00" w14:textId="77777777" w:rsidR="006F573C" w:rsidRPr="000B6434" w:rsidRDefault="006F573C" w:rsidP="007B0CF0">
            <w:pPr>
              <w:jc w:val="center"/>
              <w:rPr>
                <w:rFonts w:ascii="Segoe UI Symbol" w:hAnsi="Segoe UI Symbol"/>
              </w:rPr>
            </w:pPr>
            <w:r w:rsidRPr="000B6434">
              <w:rPr>
                <w:rFonts w:ascii="Segoe UI Symbol" w:hAnsi="Segoe UI Symbol"/>
              </w:rPr>
              <w:t>✓</w:t>
            </w:r>
          </w:p>
        </w:tc>
        <w:tc>
          <w:tcPr>
            <w:tcW w:w="222" w:type="dxa"/>
            <w:tcBorders>
              <w:left w:val="single" w:sz="4" w:space="0" w:color="auto"/>
            </w:tcBorders>
            <w:shd w:val="clear" w:color="auto" w:fill="D2D2DA" w:themeFill="text1" w:themeFillTint="33"/>
            <w:vAlign w:val="center"/>
          </w:tcPr>
          <w:p w14:paraId="15D6441E" w14:textId="77777777" w:rsidR="006F573C" w:rsidRPr="00F5323F" w:rsidRDefault="00A56C9C" w:rsidP="00DE1140">
            <w:pPr>
              <w:jc w:val="center"/>
              <w:rPr>
                <w:rFonts w:ascii="Segoe UI Symbol" w:hAnsi="Segoe UI Symbol"/>
              </w:rPr>
            </w:pPr>
            <w:r w:rsidRPr="000B6434">
              <w:rPr>
                <w:rFonts w:ascii="Segoe UI Symbol" w:hAnsi="Segoe UI Symbol"/>
              </w:rPr>
              <w:t>✓</w:t>
            </w:r>
          </w:p>
        </w:tc>
        <w:tc>
          <w:tcPr>
            <w:tcW w:w="1247" w:type="dxa"/>
            <w:shd w:val="clear" w:color="auto" w:fill="D2D2DA" w:themeFill="text1" w:themeFillTint="33"/>
            <w:vAlign w:val="center"/>
          </w:tcPr>
          <w:p w14:paraId="57FFE194" w14:textId="77777777" w:rsidR="006F573C" w:rsidRPr="006B2F71" w:rsidRDefault="006F573C" w:rsidP="00232BCD">
            <w:pPr>
              <w:jc w:val="center"/>
              <w:rPr>
                <w:rFonts w:cs="Segoe UI Symbol"/>
                <w:b/>
                <w:bCs/>
                <w:color w:val="000000"/>
              </w:rPr>
            </w:pPr>
            <w:r w:rsidRPr="00F5323F">
              <w:rPr>
                <w:rFonts w:ascii="Segoe UI Symbol" w:hAnsi="Segoe UI Symbol"/>
              </w:rPr>
              <w:t>✓</w:t>
            </w:r>
          </w:p>
        </w:tc>
        <w:tc>
          <w:tcPr>
            <w:tcW w:w="1383" w:type="dxa"/>
            <w:shd w:val="clear" w:color="auto" w:fill="D2D2DA" w:themeFill="text1" w:themeFillTint="33"/>
            <w:vAlign w:val="center"/>
          </w:tcPr>
          <w:p w14:paraId="0E7DCAD4" w14:textId="77777777" w:rsidR="006F573C" w:rsidRPr="006B2F71" w:rsidRDefault="006F573C" w:rsidP="00232BCD">
            <w:pPr>
              <w:jc w:val="center"/>
              <w:rPr>
                <w:rFonts w:cs="Segoe UI Symbol"/>
                <w:b/>
                <w:bCs/>
                <w:color w:val="000000"/>
              </w:rPr>
            </w:pPr>
            <w:r w:rsidRPr="006B2F71">
              <w:rPr>
                <w:rFonts w:cs="Segoe UI Symbol"/>
                <w:b/>
                <w:bCs/>
                <w:color w:val="000000"/>
              </w:rPr>
              <w:t>~</w:t>
            </w:r>
          </w:p>
        </w:tc>
      </w:tr>
      <w:tr w:rsidR="006F573C" w:rsidRPr="006B2F71" w14:paraId="2E07B320" w14:textId="77777777" w:rsidTr="00463B2D">
        <w:tc>
          <w:tcPr>
            <w:tcW w:w="3193" w:type="dxa"/>
            <w:shd w:val="clear" w:color="auto" w:fill="D2D2DA" w:themeFill="text1" w:themeFillTint="33"/>
          </w:tcPr>
          <w:p w14:paraId="0833AE80" w14:textId="77777777" w:rsidR="006F573C" w:rsidRPr="006B2F71" w:rsidRDefault="006F573C" w:rsidP="00B83783">
            <w:r w:rsidRPr="006B2F71">
              <w:rPr>
                <w:rFonts w:cs="Calibri"/>
                <w:color w:val="000000"/>
              </w:rPr>
              <w:t xml:space="preserve">03.05.05 </w:t>
            </w:r>
            <w:r>
              <w:rPr>
                <w:rFonts w:cs="Calibri"/>
                <w:color w:val="000000"/>
              </w:rPr>
              <w:t>–</w:t>
            </w:r>
            <w:r w:rsidRPr="006B2F71">
              <w:rPr>
                <w:rFonts w:cs="Calibri"/>
                <w:color w:val="000000"/>
              </w:rPr>
              <w:t xml:space="preserve"> Matrix</w:t>
            </w:r>
          </w:p>
        </w:tc>
        <w:tc>
          <w:tcPr>
            <w:tcW w:w="1829" w:type="dxa"/>
            <w:tcBorders>
              <w:right w:val="single" w:sz="4" w:space="0" w:color="auto"/>
            </w:tcBorders>
            <w:shd w:val="clear" w:color="auto" w:fill="D2D2DA" w:themeFill="text1" w:themeFillTint="33"/>
            <w:vAlign w:val="bottom"/>
          </w:tcPr>
          <w:p w14:paraId="41BA2B75" w14:textId="77777777" w:rsidR="006F573C" w:rsidRPr="006B2F71" w:rsidRDefault="006F573C" w:rsidP="00B83783">
            <w:pPr>
              <w:jc w:val="right"/>
              <w:rPr>
                <w:rFonts w:cs="Calibri"/>
                <w:color w:val="000000"/>
              </w:rPr>
            </w:pPr>
            <w:r>
              <w:rPr>
                <w:rFonts w:cs="Calibri"/>
                <w:color w:val="000000"/>
              </w:rPr>
              <w:t>30.3</w:t>
            </w:r>
          </w:p>
        </w:tc>
        <w:tc>
          <w:tcPr>
            <w:tcW w:w="1145" w:type="dxa"/>
            <w:tcBorders>
              <w:left w:val="single" w:sz="4" w:space="0" w:color="auto"/>
              <w:right w:val="single" w:sz="4" w:space="0" w:color="auto"/>
            </w:tcBorders>
            <w:shd w:val="clear" w:color="auto" w:fill="D2D2DA" w:themeFill="text1" w:themeFillTint="33"/>
            <w:vAlign w:val="center"/>
          </w:tcPr>
          <w:p w14:paraId="1E2201DF" w14:textId="77777777" w:rsidR="006F573C" w:rsidRPr="000B6434" w:rsidRDefault="006F573C" w:rsidP="007B0CF0">
            <w:pPr>
              <w:jc w:val="center"/>
              <w:rPr>
                <w:rFonts w:ascii="Segoe UI Symbol" w:hAnsi="Segoe UI Symbol"/>
              </w:rPr>
            </w:pPr>
            <w:r w:rsidRPr="000B6434">
              <w:rPr>
                <w:rFonts w:ascii="Segoe UI Symbol" w:hAnsi="Segoe UI Symbol"/>
              </w:rPr>
              <w:t>✓</w:t>
            </w:r>
          </w:p>
        </w:tc>
        <w:tc>
          <w:tcPr>
            <w:tcW w:w="222" w:type="dxa"/>
            <w:tcBorders>
              <w:left w:val="single" w:sz="4" w:space="0" w:color="auto"/>
            </w:tcBorders>
            <w:shd w:val="clear" w:color="auto" w:fill="D2D2DA" w:themeFill="text1" w:themeFillTint="33"/>
            <w:vAlign w:val="center"/>
          </w:tcPr>
          <w:p w14:paraId="19AE7DBD" w14:textId="77777777" w:rsidR="006F573C" w:rsidRPr="0097739B" w:rsidRDefault="007E461E" w:rsidP="00DE1140">
            <w:pPr>
              <w:jc w:val="center"/>
              <w:rPr>
                <w:rFonts w:ascii="Segoe UI Symbol" w:hAnsi="Segoe UI Symbol"/>
              </w:rPr>
            </w:pPr>
            <w:r w:rsidRPr="000B6434">
              <w:rPr>
                <w:rFonts w:ascii="Segoe UI Symbol" w:hAnsi="Segoe UI Symbol"/>
              </w:rPr>
              <w:t>✓</w:t>
            </w:r>
          </w:p>
        </w:tc>
        <w:tc>
          <w:tcPr>
            <w:tcW w:w="1247" w:type="dxa"/>
            <w:shd w:val="clear" w:color="auto" w:fill="D2D2DA" w:themeFill="text1" w:themeFillTint="33"/>
            <w:vAlign w:val="center"/>
          </w:tcPr>
          <w:p w14:paraId="561A7834" w14:textId="77777777" w:rsidR="006F573C" w:rsidRPr="006B2F71" w:rsidRDefault="006F573C" w:rsidP="00232BCD">
            <w:pPr>
              <w:jc w:val="center"/>
              <w:rPr>
                <w:rFonts w:cs="Segoe UI Symbol"/>
                <w:b/>
                <w:bCs/>
                <w:color w:val="000000"/>
              </w:rPr>
            </w:pPr>
            <w:r w:rsidRPr="0097739B">
              <w:rPr>
                <w:rFonts w:ascii="Segoe UI Symbol" w:hAnsi="Segoe UI Symbol"/>
              </w:rPr>
              <w:t>✓</w:t>
            </w:r>
          </w:p>
        </w:tc>
        <w:tc>
          <w:tcPr>
            <w:tcW w:w="1383" w:type="dxa"/>
            <w:shd w:val="clear" w:color="auto" w:fill="D2D2DA" w:themeFill="text1" w:themeFillTint="33"/>
            <w:vAlign w:val="center"/>
          </w:tcPr>
          <w:p w14:paraId="508233BD" w14:textId="77777777" w:rsidR="006F573C" w:rsidRPr="006B2F71" w:rsidRDefault="006F573C" w:rsidP="00232BCD">
            <w:pPr>
              <w:jc w:val="center"/>
              <w:rPr>
                <w:rFonts w:cs="Segoe UI Symbol"/>
                <w:b/>
                <w:bCs/>
                <w:color w:val="000000"/>
              </w:rPr>
            </w:pPr>
            <w:r w:rsidRPr="0097739B">
              <w:rPr>
                <w:rFonts w:ascii="Segoe UI Symbol" w:hAnsi="Segoe UI Symbol"/>
              </w:rPr>
              <w:t>✓</w:t>
            </w:r>
          </w:p>
        </w:tc>
      </w:tr>
      <w:tr w:rsidR="006F573C" w:rsidRPr="006B2F71" w14:paraId="4CF4567E" w14:textId="77777777" w:rsidTr="00463B2D">
        <w:tc>
          <w:tcPr>
            <w:tcW w:w="3193" w:type="dxa"/>
            <w:shd w:val="clear" w:color="auto" w:fill="D2D2DA" w:themeFill="text1" w:themeFillTint="33"/>
          </w:tcPr>
          <w:p w14:paraId="786FA7D1" w14:textId="77777777" w:rsidR="006F573C" w:rsidRPr="006B2F71" w:rsidRDefault="006F573C" w:rsidP="00B83783">
            <w:r w:rsidRPr="006B2F71">
              <w:rPr>
                <w:rFonts w:cs="Calibri"/>
                <w:color w:val="000000"/>
              </w:rPr>
              <w:t xml:space="preserve">03.05.06 </w:t>
            </w:r>
            <w:r>
              <w:rPr>
                <w:rFonts w:cs="Calibri"/>
                <w:color w:val="000000"/>
              </w:rPr>
              <w:t>–</w:t>
            </w:r>
            <w:r w:rsidRPr="006B2F71">
              <w:rPr>
                <w:rFonts w:cs="Calibri"/>
                <w:color w:val="000000"/>
              </w:rPr>
              <w:t xml:space="preserve"> Foam</w:t>
            </w:r>
          </w:p>
        </w:tc>
        <w:tc>
          <w:tcPr>
            <w:tcW w:w="1829" w:type="dxa"/>
            <w:tcBorders>
              <w:right w:val="single" w:sz="4" w:space="0" w:color="auto"/>
            </w:tcBorders>
            <w:shd w:val="clear" w:color="auto" w:fill="D2D2DA" w:themeFill="text1" w:themeFillTint="33"/>
            <w:vAlign w:val="bottom"/>
          </w:tcPr>
          <w:p w14:paraId="6E85EAEB" w14:textId="77777777" w:rsidR="006F573C" w:rsidRPr="006B2F71" w:rsidRDefault="006F573C" w:rsidP="00B83783">
            <w:pPr>
              <w:jc w:val="right"/>
              <w:rPr>
                <w:rFonts w:cs="Calibri"/>
                <w:color w:val="000000"/>
              </w:rPr>
            </w:pPr>
            <w:r>
              <w:rPr>
                <w:rFonts w:cs="Calibri"/>
                <w:color w:val="000000"/>
              </w:rPr>
              <w:t>2.1</w:t>
            </w:r>
          </w:p>
        </w:tc>
        <w:tc>
          <w:tcPr>
            <w:tcW w:w="1145" w:type="dxa"/>
            <w:tcBorders>
              <w:left w:val="single" w:sz="4" w:space="0" w:color="auto"/>
              <w:right w:val="single" w:sz="4" w:space="0" w:color="auto"/>
            </w:tcBorders>
            <w:shd w:val="clear" w:color="auto" w:fill="D2D2DA" w:themeFill="text1" w:themeFillTint="33"/>
            <w:vAlign w:val="center"/>
          </w:tcPr>
          <w:p w14:paraId="22922C17" w14:textId="77777777" w:rsidR="006F573C" w:rsidRPr="000B6434" w:rsidRDefault="006F573C" w:rsidP="007B0CF0">
            <w:pPr>
              <w:jc w:val="center"/>
              <w:rPr>
                <w:rFonts w:ascii="Segoe UI Symbol" w:hAnsi="Segoe UI Symbol"/>
              </w:rPr>
            </w:pPr>
            <w:r w:rsidRPr="000B6434">
              <w:rPr>
                <w:rFonts w:ascii="Segoe UI Symbol" w:hAnsi="Segoe UI Symbol"/>
              </w:rPr>
              <w:t>✓</w:t>
            </w:r>
          </w:p>
        </w:tc>
        <w:tc>
          <w:tcPr>
            <w:tcW w:w="222" w:type="dxa"/>
            <w:tcBorders>
              <w:left w:val="single" w:sz="4" w:space="0" w:color="auto"/>
            </w:tcBorders>
            <w:shd w:val="clear" w:color="auto" w:fill="D2D2DA" w:themeFill="text1" w:themeFillTint="33"/>
            <w:vAlign w:val="center"/>
          </w:tcPr>
          <w:p w14:paraId="5CB2256D" w14:textId="77777777" w:rsidR="006F573C" w:rsidRPr="0097739B" w:rsidRDefault="00644E00" w:rsidP="00DE1140">
            <w:pPr>
              <w:jc w:val="center"/>
              <w:rPr>
                <w:rFonts w:ascii="Segoe UI Symbol" w:hAnsi="Segoe UI Symbol"/>
              </w:rPr>
            </w:pPr>
            <w:r w:rsidRPr="000B6434">
              <w:rPr>
                <w:rFonts w:ascii="Segoe UI Symbol" w:hAnsi="Segoe UI Symbol"/>
              </w:rPr>
              <w:t>✓</w:t>
            </w:r>
          </w:p>
        </w:tc>
        <w:tc>
          <w:tcPr>
            <w:tcW w:w="1247" w:type="dxa"/>
            <w:shd w:val="clear" w:color="auto" w:fill="D2D2DA" w:themeFill="text1" w:themeFillTint="33"/>
            <w:vAlign w:val="center"/>
          </w:tcPr>
          <w:p w14:paraId="3952B3D8" w14:textId="77777777" w:rsidR="006F573C" w:rsidRPr="006B2F71" w:rsidRDefault="006F573C" w:rsidP="00232BCD">
            <w:pPr>
              <w:jc w:val="center"/>
              <w:rPr>
                <w:rFonts w:cs="Segoe UI Symbol"/>
                <w:b/>
                <w:bCs/>
                <w:color w:val="000000"/>
              </w:rPr>
            </w:pPr>
            <w:r w:rsidRPr="0097739B">
              <w:rPr>
                <w:rFonts w:ascii="Segoe UI Symbol" w:hAnsi="Segoe UI Symbol"/>
              </w:rPr>
              <w:t>✓</w:t>
            </w:r>
          </w:p>
        </w:tc>
        <w:tc>
          <w:tcPr>
            <w:tcW w:w="1383" w:type="dxa"/>
            <w:shd w:val="clear" w:color="auto" w:fill="D2D2DA" w:themeFill="text1" w:themeFillTint="33"/>
            <w:vAlign w:val="center"/>
          </w:tcPr>
          <w:p w14:paraId="34CA38DD" w14:textId="77777777" w:rsidR="006F573C" w:rsidRPr="006B2F71" w:rsidRDefault="006F573C" w:rsidP="00232BCD">
            <w:pPr>
              <w:jc w:val="center"/>
              <w:rPr>
                <w:rFonts w:cs="Segoe UI Symbol"/>
                <w:b/>
                <w:bCs/>
                <w:color w:val="000000"/>
              </w:rPr>
            </w:pPr>
            <w:r w:rsidRPr="0097739B">
              <w:rPr>
                <w:rFonts w:ascii="Segoe UI Symbol" w:hAnsi="Segoe UI Symbol"/>
              </w:rPr>
              <w:t>✓</w:t>
            </w:r>
          </w:p>
        </w:tc>
      </w:tr>
      <w:tr w:rsidR="006F573C" w:rsidRPr="006B2F71" w14:paraId="2AE90A7F" w14:textId="77777777" w:rsidTr="00463B2D">
        <w:tc>
          <w:tcPr>
            <w:tcW w:w="3193" w:type="dxa"/>
            <w:shd w:val="clear" w:color="auto" w:fill="D2D2DA" w:themeFill="text1" w:themeFillTint="33"/>
          </w:tcPr>
          <w:p w14:paraId="54A7024E" w14:textId="77777777" w:rsidR="006F573C" w:rsidRPr="006B2F71" w:rsidRDefault="006F573C" w:rsidP="00B83783">
            <w:r w:rsidRPr="006B2F71">
              <w:rPr>
                <w:rFonts w:cs="Calibri"/>
                <w:color w:val="000000"/>
              </w:rPr>
              <w:t>03.08.01 - Adhesion Barriers</w:t>
            </w:r>
          </w:p>
        </w:tc>
        <w:tc>
          <w:tcPr>
            <w:tcW w:w="1829" w:type="dxa"/>
            <w:tcBorders>
              <w:right w:val="single" w:sz="4" w:space="0" w:color="auto"/>
            </w:tcBorders>
            <w:shd w:val="clear" w:color="auto" w:fill="D2D2DA" w:themeFill="text1" w:themeFillTint="33"/>
            <w:vAlign w:val="bottom"/>
          </w:tcPr>
          <w:p w14:paraId="26103EB5" w14:textId="77777777" w:rsidR="006F573C" w:rsidRPr="006B2F71" w:rsidRDefault="006F573C" w:rsidP="00B83783">
            <w:pPr>
              <w:jc w:val="right"/>
              <w:rPr>
                <w:rFonts w:cs="Calibri"/>
                <w:color w:val="000000"/>
              </w:rPr>
            </w:pPr>
            <w:r>
              <w:rPr>
                <w:rFonts w:cs="Calibri"/>
                <w:color w:val="000000"/>
              </w:rPr>
              <w:t>4.6</w:t>
            </w:r>
          </w:p>
        </w:tc>
        <w:tc>
          <w:tcPr>
            <w:tcW w:w="1145" w:type="dxa"/>
            <w:tcBorders>
              <w:left w:val="single" w:sz="4" w:space="0" w:color="auto"/>
              <w:right w:val="single" w:sz="4" w:space="0" w:color="auto"/>
            </w:tcBorders>
            <w:shd w:val="clear" w:color="auto" w:fill="D2D2DA" w:themeFill="text1" w:themeFillTint="33"/>
            <w:vAlign w:val="center"/>
          </w:tcPr>
          <w:p w14:paraId="58426D76" w14:textId="77777777" w:rsidR="006F573C" w:rsidRPr="000B6434" w:rsidRDefault="006F573C" w:rsidP="007B0CF0">
            <w:pPr>
              <w:jc w:val="center"/>
              <w:rPr>
                <w:rFonts w:ascii="Segoe UI Symbol" w:hAnsi="Segoe UI Symbol"/>
              </w:rPr>
            </w:pPr>
            <w:r w:rsidRPr="000B6434">
              <w:rPr>
                <w:rFonts w:ascii="Segoe UI Symbol" w:hAnsi="Segoe UI Symbol"/>
              </w:rPr>
              <w:t>✓</w:t>
            </w:r>
          </w:p>
        </w:tc>
        <w:tc>
          <w:tcPr>
            <w:tcW w:w="222" w:type="dxa"/>
            <w:tcBorders>
              <w:left w:val="single" w:sz="4" w:space="0" w:color="auto"/>
            </w:tcBorders>
            <w:shd w:val="clear" w:color="auto" w:fill="D2D2DA" w:themeFill="text1" w:themeFillTint="33"/>
            <w:vAlign w:val="center"/>
          </w:tcPr>
          <w:p w14:paraId="076E1B31" w14:textId="77777777" w:rsidR="006F573C" w:rsidRPr="00587435" w:rsidRDefault="00E744D0" w:rsidP="00DE1140">
            <w:pPr>
              <w:jc w:val="center"/>
              <w:rPr>
                <w:rFonts w:ascii="Segoe UI Symbol" w:hAnsi="Segoe UI Symbol"/>
              </w:rPr>
            </w:pPr>
            <w:r w:rsidRPr="00032338">
              <w:rPr>
                <w:rFonts w:ascii="Segoe UI Symbol" w:hAnsi="Segoe UI Symbol"/>
                <w:sz w:val="28"/>
                <w:szCs w:val="28"/>
              </w:rPr>
              <w:t>🗴</w:t>
            </w:r>
          </w:p>
        </w:tc>
        <w:tc>
          <w:tcPr>
            <w:tcW w:w="1247" w:type="dxa"/>
            <w:shd w:val="clear" w:color="auto" w:fill="D2D2DA" w:themeFill="text1" w:themeFillTint="33"/>
            <w:vAlign w:val="center"/>
          </w:tcPr>
          <w:p w14:paraId="2615D9AE" w14:textId="77777777" w:rsidR="006F573C" w:rsidRPr="006B2F71" w:rsidRDefault="006F573C" w:rsidP="00232BCD">
            <w:pPr>
              <w:jc w:val="center"/>
              <w:rPr>
                <w:rFonts w:cs="Segoe UI Symbol"/>
                <w:color w:val="000000"/>
              </w:rPr>
            </w:pPr>
            <w:r w:rsidRPr="00587435">
              <w:rPr>
                <w:rFonts w:ascii="Segoe UI Symbol" w:hAnsi="Segoe UI Symbol"/>
              </w:rPr>
              <w:t>✓</w:t>
            </w:r>
          </w:p>
        </w:tc>
        <w:tc>
          <w:tcPr>
            <w:tcW w:w="1383" w:type="dxa"/>
            <w:shd w:val="clear" w:color="auto" w:fill="D2D2DA" w:themeFill="text1" w:themeFillTint="33"/>
            <w:vAlign w:val="center"/>
          </w:tcPr>
          <w:p w14:paraId="2F4CA880" w14:textId="77777777" w:rsidR="006F573C" w:rsidRPr="006B2F71" w:rsidRDefault="006F573C" w:rsidP="00232BCD">
            <w:pPr>
              <w:jc w:val="center"/>
              <w:rPr>
                <w:rFonts w:cs="Segoe UI Symbol"/>
                <w:color w:val="000000"/>
              </w:rPr>
            </w:pPr>
            <w:r w:rsidRPr="006B2F71">
              <w:rPr>
                <w:rFonts w:cs="Segoe UI Symbol"/>
                <w:color w:val="000000"/>
              </w:rPr>
              <w:t>~</w:t>
            </w:r>
          </w:p>
        </w:tc>
      </w:tr>
      <w:tr w:rsidR="006F573C" w:rsidRPr="006B2F71" w14:paraId="06D2AD8B" w14:textId="77777777" w:rsidTr="00463B2D">
        <w:tc>
          <w:tcPr>
            <w:tcW w:w="3193" w:type="dxa"/>
            <w:shd w:val="clear" w:color="auto" w:fill="D2D2DA" w:themeFill="text1" w:themeFillTint="33"/>
          </w:tcPr>
          <w:p w14:paraId="4944755D" w14:textId="77777777" w:rsidR="006F573C" w:rsidRPr="006B2F71" w:rsidRDefault="006F573C" w:rsidP="00B83783">
            <w:r w:rsidRPr="006B2F71">
              <w:rPr>
                <w:rFonts w:cs="Calibri"/>
                <w:color w:val="000000"/>
              </w:rPr>
              <w:t>03.08.02 - Internal Adhesives</w:t>
            </w:r>
          </w:p>
        </w:tc>
        <w:tc>
          <w:tcPr>
            <w:tcW w:w="1829" w:type="dxa"/>
            <w:tcBorders>
              <w:right w:val="single" w:sz="4" w:space="0" w:color="auto"/>
            </w:tcBorders>
            <w:shd w:val="clear" w:color="auto" w:fill="D2D2DA" w:themeFill="text1" w:themeFillTint="33"/>
            <w:vAlign w:val="bottom"/>
          </w:tcPr>
          <w:p w14:paraId="625758B5" w14:textId="77777777" w:rsidR="006F573C" w:rsidRPr="006B2F71" w:rsidRDefault="006F573C" w:rsidP="00B83783">
            <w:pPr>
              <w:jc w:val="right"/>
              <w:rPr>
                <w:rFonts w:cs="Calibri"/>
                <w:color w:val="000000"/>
              </w:rPr>
            </w:pPr>
            <w:r>
              <w:rPr>
                <w:rFonts w:cs="Calibri"/>
                <w:color w:val="000000"/>
              </w:rPr>
              <w:t>43.0</w:t>
            </w:r>
          </w:p>
        </w:tc>
        <w:tc>
          <w:tcPr>
            <w:tcW w:w="1145" w:type="dxa"/>
            <w:tcBorders>
              <w:left w:val="single" w:sz="4" w:space="0" w:color="auto"/>
              <w:right w:val="single" w:sz="4" w:space="0" w:color="auto"/>
            </w:tcBorders>
            <w:shd w:val="clear" w:color="auto" w:fill="D2D2DA" w:themeFill="text1" w:themeFillTint="33"/>
            <w:vAlign w:val="center"/>
          </w:tcPr>
          <w:p w14:paraId="4BF3157C" w14:textId="77777777" w:rsidR="006F573C" w:rsidRPr="000B6434" w:rsidRDefault="006F573C" w:rsidP="007B0CF0">
            <w:pPr>
              <w:jc w:val="center"/>
              <w:rPr>
                <w:rFonts w:ascii="Segoe UI Symbol" w:hAnsi="Segoe UI Symbol"/>
              </w:rPr>
            </w:pPr>
            <w:r w:rsidRPr="000B6434">
              <w:rPr>
                <w:rFonts w:ascii="Segoe UI Symbol" w:hAnsi="Segoe UI Symbol"/>
              </w:rPr>
              <w:t>✓</w:t>
            </w:r>
          </w:p>
        </w:tc>
        <w:tc>
          <w:tcPr>
            <w:tcW w:w="222" w:type="dxa"/>
            <w:tcBorders>
              <w:left w:val="single" w:sz="4" w:space="0" w:color="auto"/>
            </w:tcBorders>
            <w:shd w:val="clear" w:color="auto" w:fill="D2D2DA" w:themeFill="text1" w:themeFillTint="33"/>
            <w:vAlign w:val="center"/>
          </w:tcPr>
          <w:p w14:paraId="478C07F2" w14:textId="77777777" w:rsidR="006F573C" w:rsidRPr="00587435" w:rsidRDefault="008A4377" w:rsidP="00DE1140">
            <w:pPr>
              <w:jc w:val="center"/>
              <w:rPr>
                <w:rFonts w:ascii="Segoe UI Symbol" w:hAnsi="Segoe UI Symbol"/>
              </w:rPr>
            </w:pPr>
            <w:r w:rsidRPr="000B6434">
              <w:rPr>
                <w:rFonts w:ascii="Segoe UI Symbol" w:hAnsi="Segoe UI Symbol"/>
              </w:rPr>
              <w:t>✓</w:t>
            </w:r>
          </w:p>
        </w:tc>
        <w:tc>
          <w:tcPr>
            <w:tcW w:w="1247" w:type="dxa"/>
            <w:shd w:val="clear" w:color="auto" w:fill="D2D2DA" w:themeFill="text1" w:themeFillTint="33"/>
            <w:vAlign w:val="center"/>
          </w:tcPr>
          <w:p w14:paraId="621996D8" w14:textId="77777777" w:rsidR="006F573C" w:rsidRPr="006B2F71" w:rsidRDefault="006F573C" w:rsidP="00232BCD">
            <w:pPr>
              <w:jc w:val="center"/>
              <w:rPr>
                <w:rFonts w:cs="Segoe UI Symbol"/>
                <w:color w:val="000000"/>
              </w:rPr>
            </w:pPr>
            <w:r w:rsidRPr="00587435">
              <w:rPr>
                <w:rFonts w:ascii="Segoe UI Symbol" w:hAnsi="Segoe UI Symbol"/>
              </w:rPr>
              <w:t>✓</w:t>
            </w:r>
          </w:p>
        </w:tc>
        <w:tc>
          <w:tcPr>
            <w:tcW w:w="1383" w:type="dxa"/>
            <w:shd w:val="clear" w:color="auto" w:fill="D2D2DA" w:themeFill="text1" w:themeFillTint="33"/>
            <w:vAlign w:val="center"/>
          </w:tcPr>
          <w:p w14:paraId="0ABCC4B3" w14:textId="77777777" w:rsidR="006F573C" w:rsidRPr="006B2F71" w:rsidRDefault="006F573C" w:rsidP="00232BCD">
            <w:pPr>
              <w:jc w:val="center"/>
              <w:rPr>
                <w:rFonts w:cs="Segoe UI Symbol"/>
                <w:color w:val="000000"/>
              </w:rPr>
            </w:pPr>
            <w:r w:rsidRPr="006B2F71">
              <w:rPr>
                <w:rFonts w:ascii="Segoe UI Symbol" w:hAnsi="Segoe UI Symbol" w:cs="Segoe UI Symbol"/>
                <w:color w:val="000000"/>
              </w:rPr>
              <w:t>✓</w:t>
            </w:r>
          </w:p>
        </w:tc>
      </w:tr>
      <w:tr w:rsidR="006F573C" w:rsidRPr="006B2F71" w14:paraId="20AF6D4B" w14:textId="77777777" w:rsidTr="00463B2D">
        <w:tc>
          <w:tcPr>
            <w:tcW w:w="3193" w:type="dxa"/>
            <w:shd w:val="clear" w:color="auto" w:fill="D2D2DA" w:themeFill="text1" w:themeFillTint="33"/>
          </w:tcPr>
          <w:p w14:paraId="5B586EE8" w14:textId="77777777" w:rsidR="006F573C" w:rsidRPr="006B2F71" w:rsidRDefault="006F573C" w:rsidP="00B83783">
            <w:r w:rsidRPr="006B2F71">
              <w:rPr>
                <w:rFonts w:cs="Calibri"/>
                <w:color w:val="000000"/>
              </w:rPr>
              <w:t>03.08.03 - Ligating Devices</w:t>
            </w:r>
          </w:p>
        </w:tc>
        <w:tc>
          <w:tcPr>
            <w:tcW w:w="1829" w:type="dxa"/>
            <w:tcBorders>
              <w:right w:val="single" w:sz="4" w:space="0" w:color="auto"/>
            </w:tcBorders>
            <w:shd w:val="clear" w:color="auto" w:fill="D2D2DA" w:themeFill="text1" w:themeFillTint="33"/>
            <w:vAlign w:val="bottom"/>
          </w:tcPr>
          <w:p w14:paraId="6AA3AA12" w14:textId="77777777" w:rsidR="006F573C" w:rsidRPr="006B2F71" w:rsidRDefault="006F573C" w:rsidP="00B83783">
            <w:pPr>
              <w:jc w:val="right"/>
              <w:rPr>
                <w:rFonts w:cs="Calibri"/>
                <w:color w:val="000000"/>
              </w:rPr>
            </w:pPr>
            <w:r>
              <w:rPr>
                <w:rFonts w:cs="Calibri"/>
                <w:color w:val="000000"/>
              </w:rPr>
              <w:t>27.3</w:t>
            </w:r>
          </w:p>
        </w:tc>
        <w:tc>
          <w:tcPr>
            <w:tcW w:w="1145" w:type="dxa"/>
            <w:tcBorders>
              <w:left w:val="single" w:sz="4" w:space="0" w:color="auto"/>
              <w:right w:val="single" w:sz="4" w:space="0" w:color="auto"/>
            </w:tcBorders>
            <w:shd w:val="clear" w:color="auto" w:fill="D2D2DA" w:themeFill="text1" w:themeFillTint="33"/>
            <w:vAlign w:val="center"/>
          </w:tcPr>
          <w:p w14:paraId="23C0750B" w14:textId="77777777" w:rsidR="006F573C" w:rsidRPr="000B6434" w:rsidRDefault="006F573C" w:rsidP="007B0CF0">
            <w:pPr>
              <w:jc w:val="center"/>
              <w:rPr>
                <w:rFonts w:ascii="Segoe UI Symbol" w:hAnsi="Segoe UI Symbol"/>
              </w:rPr>
            </w:pPr>
            <w:r w:rsidRPr="000B6434">
              <w:rPr>
                <w:rFonts w:ascii="Segoe UI Symbol" w:hAnsi="Segoe UI Symbol"/>
              </w:rPr>
              <w:t>✓</w:t>
            </w:r>
          </w:p>
        </w:tc>
        <w:tc>
          <w:tcPr>
            <w:tcW w:w="222" w:type="dxa"/>
            <w:tcBorders>
              <w:left w:val="single" w:sz="4" w:space="0" w:color="auto"/>
            </w:tcBorders>
            <w:shd w:val="clear" w:color="auto" w:fill="D2D2DA" w:themeFill="text1" w:themeFillTint="33"/>
            <w:vAlign w:val="center"/>
          </w:tcPr>
          <w:p w14:paraId="2956EE2E" w14:textId="77777777" w:rsidR="006F573C" w:rsidRPr="00587435" w:rsidRDefault="008A4377" w:rsidP="00DE1140">
            <w:pPr>
              <w:jc w:val="center"/>
              <w:rPr>
                <w:rFonts w:ascii="Segoe UI Symbol" w:hAnsi="Segoe UI Symbol"/>
              </w:rPr>
            </w:pPr>
            <w:r w:rsidRPr="000B6434">
              <w:rPr>
                <w:rFonts w:ascii="Segoe UI Symbol" w:hAnsi="Segoe UI Symbol"/>
              </w:rPr>
              <w:t>✓</w:t>
            </w:r>
          </w:p>
        </w:tc>
        <w:tc>
          <w:tcPr>
            <w:tcW w:w="1247" w:type="dxa"/>
            <w:shd w:val="clear" w:color="auto" w:fill="D2D2DA" w:themeFill="text1" w:themeFillTint="33"/>
            <w:vAlign w:val="center"/>
          </w:tcPr>
          <w:p w14:paraId="06FC239F" w14:textId="77777777" w:rsidR="006F573C" w:rsidRPr="006B2F71" w:rsidRDefault="006F573C" w:rsidP="00232BCD">
            <w:pPr>
              <w:jc w:val="center"/>
              <w:rPr>
                <w:rFonts w:cs="Segoe UI Symbol"/>
                <w:color w:val="000000"/>
              </w:rPr>
            </w:pPr>
            <w:r w:rsidRPr="00587435">
              <w:rPr>
                <w:rFonts w:ascii="Segoe UI Symbol" w:hAnsi="Segoe UI Symbol"/>
              </w:rPr>
              <w:t>✓</w:t>
            </w:r>
          </w:p>
        </w:tc>
        <w:tc>
          <w:tcPr>
            <w:tcW w:w="1383" w:type="dxa"/>
            <w:shd w:val="clear" w:color="auto" w:fill="D2D2DA" w:themeFill="text1" w:themeFillTint="33"/>
            <w:vAlign w:val="center"/>
          </w:tcPr>
          <w:p w14:paraId="11EF3420" w14:textId="77777777" w:rsidR="006F573C" w:rsidRPr="006B2F71" w:rsidRDefault="006F573C" w:rsidP="00232BCD">
            <w:pPr>
              <w:jc w:val="center"/>
              <w:rPr>
                <w:rFonts w:cs="Segoe UI Symbol"/>
                <w:color w:val="000000"/>
              </w:rPr>
            </w:pPr>
            <w:r w:rsidRPr="006B2F71">
              <w:rPr>
                <w:rFonts w:cs="Segoe UI Symbol"/>
                <w:color w:val="000000"/>
              </w:rPr>
              <w:t>~</w:t>
            </w:r>
          </w:p>
        </w:tc>
      </w:tr>
      <w:tr w:rsidR="006F573C" w:rsidRPr="006B2F71" w14:paraId="3F3C3215" w14:textId="77777777" w:rsidTr="00463B2D">
        <w:tc>
          <w:tcPr>
            <w:tcW w:w="3193" w:type="dxa"/>
            <w:shd w:val="clear" w:color="auto" w:fill="D2D2DA" w:themeFill="text1" w:themeFillTint="33"/>
          </w:tcPr>
          <w:p w14:paraId="05009C88" w14:textId="77777777" w:rsidR="006F573C" w:rsidRPr="006B2F71" w:rsidRDefault="006F573C" w:rsidP="00B83783">
            <w:r w:rsidRPr="006B2F71">
              <w:rPr>
                <w:rFonts w:cs="Calibri"/>
                <w:color w:val="000000"/>
              </w:rPr>
              <w:t>03.08.04 - Staples &amp; Tackers</w:t>
            </w:r>
          </w:p>
        </w:tc>
        <w:tc>
          <w:tcPr>
            <w:tcW w:w="1829" w:type="dxa"/>
            <w:tcBorders>
              <w:right w:val="single" w:sz="4" w:space="0" w:color="auto"/>
            </w:tcBorders>
            <w:shd w:val="clear" w:color="auto" w:fill="D2D2DA" w:themeFill="text1" w:themeFillTint="33"/>
            <w:vAlign w:val="bottom"/>
          </w:tcPr>
          <w:p w14:paraId="0381CF6C" w14:textId="77777777" w:rsidR="006F573C" w:rsidRPr="006B2F71" w:rsidRDefault="006F573C" w:rsidP="00B83783">
            <w:pPr>
              <w:jc w:val="right"/>
              <w:rPr>
                <w:rFonts w:cs="Calibri"/>
                <w:color w:val="000000"/>
              </w:rPr>
            </w:pPr>
            <w:r>
              <w:rPr>
                <w:rFonts w:cs="Calibri"/>
                <w:color w:val="000000"/>
              </w:rPr>
              <w:t>95.9</w:t>
            </w:r>
          </w:p>
        </w:tc>
        <w:tc>
          <w:tcPr>
            <w:tcW w:w="1145" w:type="dxa"/>
            <w:tcBorders>
              <w:left w:val="single" w:sz="4" w:space="0" w:color="auto"/>
              <w:right w:val="single" w:sz="4" w:space="0" w:color="auto"/>
            </w:tcBorders>
            <w:shd w:val="clear" w:color="auto" w:fill="D2D2DA" w:themeFill="text1" w:themeFillTint="33"/>
            <w:vAlign w:val="center"/>
          </w:tcPr>
          <w:p w14:paraId="25FF16B0" w14:textId="77777777" w:rsidR="006F573C" w:rsidRPr="000B6434" w:rsidRDefault="006F573C" w:rsidP="007B0CF0">
            <w:pPr>
              <w:jc w:val="center"/>
              <w:rPr>
                <w:rFonts w:ascii="Segoe UI Symbol" w:hAnsi="Segoe UI Symbol"/>
              </w:rPr>
            </w:pPr>
            <w:r w:rsidRPr="000B6434">
              <w:rPr>
                <w:rFonts w:ascii="Segoe UI Symbol" w:hAnsi="Segoe UI Symbol"/>
              </w:rPr>
              <w:t>✓</w:t>
            </w:r>
          </w:p>
        </w:tc>
        <w:tc>
          <w:tcPr>
            <w:tcW w:w="222" w:type="dxa"/>
            <w:tcBorders>
              <w:left w:val="single" w:sz="4" w:space="0" w:color="auto"/>
            </w:tcBorders>
            <w:shd w:val="clear" w:color="auto" w:fill="D2D2DA" w:themeFill="text1" w:themeFillTint="33"/>
            <w:vAlign w:val="center"/>
          </w:tcPr>
          <w:p w14:paraId="4616171C" w14:textId="77777777" w:rsidR="006F573C" w:rsidRPr="006D7712" w:rsidRDefault="009F5525" w:rsidP="00DE1140">
            <w:pPr>
              <w:jc w:val="center"/>
              <w:rPr>
                <w:rFonts w:ascii="Segoe UI Symbol" w:hAnsi="Segoe UI Symbol"/>
              </w:rPr>
            </w:pPr>
            <w:r w:rsidRPr="000B6434">
              <w:rPr>
                <w:rFonts w:ascii="Segoe UI Symbol" w:hAnsi="Segoe UI Symbol"/>
              </w:rPr>
              <w:t>✓</w:t>
            </w:r>
          </w:p>
        </w:tc>
        <w:tc>
          <w:tcPr>
            <w:tcW w:w="1247" w:type="dxa"/>
            <w:shd w:val="clear" w:color="auto" w:fill="D2D2DA" w:themeFill="text1" w:themeFillTint="33"/>
            <w:vAlign w:val="center"/>
          </w:tcPr>
          <w:p w14:paraId="5881575A" w14:textId="77777777" w:rsidR="006F573C" w:rsidRPr="006B2F71" w:rsidRDefault="006F573C" w:rsidP="00232BCD">
            <w:pPr>
              <w:jc w:val="center"/>
              <w:rPr>
                <w:rFonts w:cs="Segoe UI Symbol"/>
                <w:color w:val="000000"/>
              </w:rPr>
            </w:pPr>
            <w:r w:rsidRPr="006D7712">
              <w:rPr>
                <w:rFonts w:ascii="Segoe UI Symbol" w:hAnsi="Segoe UI Symbol"/>
              </w:rPr>
              <w:t>✓</w:t>
            </w:r>
          </w:p>
        </w:tc>
        <w:tc>
          <w:tcPr>
            <w:tcW w:w="1383" w:type="dxa"/>
            <w:shd w:val="clear" w:color="auto" w:fill="D2D2DA" w:themeFill="text1" w:themeFillTint="33"/>
            <w:vAlign w:val="center"/>
          </w:tcPr>
          <w:p w14:paraId="7500EACA" w14:textId="77777777" w:rsidR="006F573C" w:rsidRPr="006B2F71" w:rsidRDefault="006F573C" w:rsidP="00232BCD">
            <w:pPr>
              <w:jc w:val="center"/>
              <w:rPr>
                <w:rFonts w:cs="Segoe UI Symbol"/>
                <w:color w:val="000000"/>
              </w:rPr>
            </w:pPr>
            <w:r w:rsidRPr="006D7712">
              <w:rPr>
                <w:rFonts w:ascii="Segoe UI Symbol" w:hAnsi="Segoe UI Symbol"/>
              </w:rPr>
              <w:t>✓</w:t>
            </w:r>
          </w:p>
        </w:tc>
      </w:tr>
      <w:tr w:rsidR="006F573C" w:rsidRPr="006B2F71" w14:paraId="508E60F3" w14:textId="77777777" w:rsidTr="00463B2D">
        <w:tc>
          <w:tcPr>
            <w:tcW w:w="3193" w:type="dxa"/>
            <w:shd w:val="clear" w:color="auto" w:fill="auto"/>
          </w:tcPr>
          <w:p w14:paraId="035A1C49" w14:textId="77777777" w:rsidR="006F573C" w:rsidRPr="006B2F71" w:rsidRDefault="006F573C" w:rsidP="00F75F0E">
            <w:pPr>
              <w:rPr>
                <w:rFonts w:cs="Calibri"/>
                <w:color w:val="000000"/>
              </w:rPr>
            </w:pPr>
            <w:r w:rsidRPr="006B2F71">
              <w:rPr>
                <w:rFonts w:cs="Calibri"/>
                <w:color w:val="000000"/>
              </w:rPr>
              <w:t>03.08.05 - Polypropylene/Polyester Mesh</w:t>
            </w:r>
          </w:p>
        </w:tc>
        <w:tc>
          <w:tcPr>
            <w:tcW w:w="1829" w:type="dxa"/>
            <w:tcBorders>
              <w:right w:val="single" w:sz="4" w:space="0" w:color="auto"/>
            </w:tcBorders>
            <w:shd w:val="clear" w:color="auto" w:fill="auto"/>
            <w:vAlign w:val="bottom"/>
          </w:tcPr>
          <w:p w14:paraId="32FBC907" w14:textId="77777777" w:rsidR="006F573C" w:rsidRPr="006B2F71" w:rsidDel="00117225" w:rsidRDefault="006F573C" w:rsidP="00AC01BB">
            <w:pPr>
              <w:jc w:val="right"/>
              <w:rPr>
                <w:rFonts w:cs="Calibri"/>
                <w:color w:val="000000"/>
              </w:rPr>
            </w:pPr>
            <w:r>
              <w:rPr>
                <w:rFonts w:cs="Calibri"/>
                <w:color w:val="000000"/>
              </w:rPr>
              <w:t>3.7</w:t>
            </w:r>
          </w:p>
        </w:tc>
        <w:tc>
          <w:tcPr>
            <w:tcW w:w="1145" w:type="dxa"/>
            <w:tcBorders>
              <w:left w:val="single" w:sz="4" w:space="0" w:color="auto"/>
              <w:right w:val="single" w:sz="4" w:space="0" w:color="auto"/>
            </w:tcBorders>
            <w:vAlign w:val="center"/>
          </w:tcPr>
          <w:p w14:paraId="005BE757" w14:textId="77777777" w:rsidR="006F573C" w:rsidRPr="000B6434" w:rsidRDefault="003845FB" w:rsidP="007B0CF0">
            <w:pPr>
              <w:jc w:val="center"/>
              <w:rPr>
                <w:rFonts w:ascii="Segoe UI Symbol" w:hAnsi="Segoe UI Symbol"/>
              </w:rPr>
            </w:pPr>
            <w:r w:rsidRPr="00901141">
              <w:rPr>
                <w:rFonts w:ascii="Segoe UI Symbol" w:hAnsi="Segoe UI Symbol"/>
                <w:sz w:val="28"/>
                <w:szCs w:val="28"/>
              </w:rPr>
              <w:t>🗴</w:t>
            </w:r>
          </w:p>
        </w:tc>
        <w:tc>
          <w:tcPr>
            <w:tcW w:w="222" w:type="dxa"/>
            <w:tcBorders>
              <w:left w:val="single" w:sz="4" w:space="0" w:color="auto"/>
            </w:tcBorders>
            <w:shd w:val="clear" w:color="auto" w:fill="auto"/>
            <w:vAlign w:val="center"/>
          </w:tcPr>
          <w:p w14:paraId="60C6A741" w14:textId="77777777" w:rsidR="006F573C" w:rsidRPr="006B2F71" w:rsidRDefault="00ED7C10" w:rsidP="00DE1140">
            <w:pPr>
              <w:jc w:val="center"/>
              <w:rPr>
                <w:rFonts w:ascii="Segoe UI Symbol" w:hAnsi="Segoe UI Symbol" w:cs="Segoe UI Symbol"/>
                <w:color w:val="000000"/>
              </w:rPr>
            </w:pPr>
            <w:r w:rsidRPr="00901141">
              <w:rPr>
                <w:rFonts w:ascii="Segoe UI Symbol" w:hAnsi="Segoe UI Symbol"/>
                <w:sz w:val="28"/>
                <w:szCs w:val="28"/>
              </w:rPr>
              <w:t>🗴</w:t>
            </w:r>
          </w:p>
        </w:tc>
        <w:tc>
          <w:tcPr>
            <w:tcW w:w="1247" w:type="dxa"/>
            <w:shd w:val="clear" w:color="auto" w:fill="auto"/>
            <w:vAlign w:val="center"/>
          </w:tcPr>
          <w:p w14:paraId="400B60BA" w14:textId="77777777" w:rsidR="006F573C" w:rsidRPr="006D7712" w:rsidRDefault="006F573C" w:rsidP="00232BCD">
            <w:pPr>
              <w:jc w:val="center"/>
              <w:rPr>
                <w:rFonts w:ascii="Segoe UI Symbol" w:hAnsi="Segoe UI Symbol"/>
              </w:rPr>
            </w:pPr>
            <w:r w:rsidRPr="006B2F71">
              <w:rPr>
                <w:rFonts w:ascii="Segoe UI Symbol" w:hAnsi="Segoe UI Symbol" w:cs="Segoe UI Symbol"/>
                <w:color w:val="000000"/>
              </w:rPr>
              <w:t>✓</w:t>
            </w:r>
          </w:p>
        </w:tc>
        <w:tc>
          <w:tcPr>
            <w:tcW w:w="1383" w:type="dxa"/>
            <w:vAlign w:val="center"/>
          </w:tcPr>
          <w:p w14:paraId="0F8A87F4" w14:textId="77777777" w:rsidR="006F573C" w:rsidRPr="006D7712" w:rsidRDefault="006F573C" w:rsidP="00232BCD">
            <w:pPr>
              <w:jc w:val="center"/>
              <w:rPr>
                <w:rFonts w:ascii="Segoe UI Symbol" w:hAnsi="Segoe UI Symbol"/>
              </w:rPr>
            </w:pPr>
            <w:r w:rsidRPr="00F5323F">
              <w:rPr>
                <w:rFonts w:ascii="Segoe UI Symbol" w:hAnsi="Segoe UI Symbol"/>
                <w:sz w:val="28"/>
                <w:szCs w:val="28"/>
              </w:rPr>
              <w:t>🗴</w:t>
            </w:r>
            <w:r w:rsidRPr="006B2F71">
              <w:rPr>
                <w:rFonts w:cstheme="minorHAnsi"/>
                <w:color w:val="000000"/>
                <w:sz w:val="18"/>
                <w:szCs w:val="18"/>
              </w:rPr>
              <w:t xml:space="preserve"> Significant decreases</w:t>
            </w:r>
          </w:p>
        </w:tc>
      </w:tr>
      <w:tr w:rsidR="006F573C" w:rsidRPr="006B2F71" w14:paraId="7E359F96" w14:textId="77777777" w:rsidTr="00463B2D">
        <w:tc>
          <w:tcPr>
            <w:tcW w:w="3193" w:type="dxa"/>
            <w:shd w:val="clear" w:color="auto" w:fill="auto"/>
          </w:tcPr>
          <w:p w14:paraId="012A24CB" w14:textId="77777777" w:rsidR="006F573C" w:rsidRPr="006B2F71" w:rsidRDefault="006F573C" w:rsidP="00F75F0E">
            <w:pPr>
              <w:rPr>
                <w:rFonts w:cs="Calibri"/>
                <w:color w:val="000000"/>
              </w:rPr>
            </w:pPr>
            <w:r w:rsidRPr="006B2F71">
              <w:rPr>
                <w:rFonts w:cs="Calibri"/>
                <w:color w:val="000000"/>
              </w:rPr>
              <w:t>03.08.10 - Anastomosis Clip</w:t>
            </w:r>
          </w:p>
        </w:tc>
        <w:tc>
          <w:tcPr>
            <w:tcW w:w="1829" w:type="dxa"/>
            <w:tcBorders>
              <w:right w:val="single" w:sz="4" w:space="0" w:color="auto"/>
            </w:tcBorders>
            <w:shd w:val="clear" w:color="auto" w:fill="auto"/>
            <w:vAlign w:val="bottom"/>
          </w:tcPr>
          <w:p w14:paraId="48D24368" w14:textId="77777777" w:rsidR="006F573C" w:rsidRPr="006B2F71" w:rsidDel="00117225" w:rsidRDefault="006F573C" w:rsidP="00AC01BB">
            <w:pPr>
              <w:jc w:val="right"/>
              <w:rPr>
                <w:rFonts w:cs="Calibri"/>
                <w:color w:val="000000"/>
              </w:rPr>
            </w:pPr>
            <w:r>
              <w:rPr>
                <w:rFonts w:cs="Calibri"/>
                <w:color w:val="000000"/>
              </w:rPr>
              <w:t>0.0</w:t>
            </w:r>
          </w:p>
        </w:tc>
        <w:tc>
          <w:tcPr>
            <w:tcW w:w="1145" w:type="dxa"/>
            <w:tcBorders>
              <w:left w:val="single" w:sz="4" w:space="0" w:color="auto"/>
              <w:right w:val="single" w:sz="4" w:space="0" w:color="auto"/>
            </w:tcBorders>
            <w:vAlign w:val="center"/>
          </w:tcPr>
          <w:p w14:paraId="4570C772" w14:textId="77777777" w:rsidR="006F573C" w:rsidRPr="000B6434" w:rsidRDefault="003845FB" w:rsidP="007B0CF0">
            <w:pPr>
              <w:jc w:val="center"/>
              <w:rPr>
                <w:rFonts w:ascii="Segoe UI Symbol" w:hAnsi="Segoe UI Symbol"/>
              </w:rPr>
            </w:pPr>
            <w:r w:rsidRPr="00901141">
              <w:rPr>
                <w:rFonts w:ascii="Segoe UI Symbol" w:hAnsi="Segoe UI Symbol"/>
                <w:sz w:val="28"/>
                <w:szCs w:val="28"/>
              </w:rPr>
              <w:t>🗴</w:t>
            </w:r>
          </w:p>
        </w:tc>
        <w:tc>
          <w:tcPr>
            <w:tcW w:w="222" w:type="dxa"/>
            <w:tcBorders>
              <w:left w:val="single" w:sz="4" w:space="0" w:color="auto"/>
            </w:tcBorders>
            <w:shd w:val="clear" w:color="auto" w:fill="auto"/>
            <w:vAlign w:val="center"/>
          </w:tcPr>
          <w:p w14:paraId="12A03D7A" w14:textId="77777777" w:rsidR="006F573C" w:rsidRPr="00B220C5" w:rsidRDefault="00590964" w:rsidP="00DE1140">
            <w:pPr>
              <w:jc w:val="center"/>
              <w:rPr>
                <w:rFonts w:ascii="Segoe UI Symbol" w:hAnsi="Segoe UI Symbol"/>
                <w:sz w:val="28"/>
                <w:szCs w:val="28"/>
              </w:rPr>
            </w:pPr>
            <w:r w:rsidRPr="00901141">
              <w:rPr>
                <w:rFonts w:ascii="Segoe UI Symbol" w:hAnsi="Segoe UI Symbol"/>
                <w:sz w:val="28"/>
                <w:szCs w:val="28"/>
              </w:rPr>
              <w:t>🗴</w:t>
            </w:r>
          </w:p>
        </w:tc>
        <w:tc>
          <w:tcPr>
            <w:tcW w:w="1247" w:type="dxa"/>
            <w:shd w:val="clear" w:color="auto" w:fill="auto"/>
            <w:vAlign w:val="center"/>
          </w:tcPr>
          <w:p w14:paraId="28633BBA" w14:textId="77777777" w:rsidR="006F573C" w:rsidRPr="006D7712" w:rsidRDefault="006F573C" w:rsidP="00232BCD">
            <w:pPr>
              <w:jc w:val="center"/>
              <w:rPr>
                <w:rFonts w:ascii="Segoe UI Symbol" w:hAnsi="Segoe UI Symbol"/>
              </w:rPr>
            </w:pPr>
            <w:r w:rsidRPr="00B220C5">
              <w:rPr>
                <w:rFonts w:ascii="Segoe UI Symbol" w:hAnsi="Segoe UI Symbol"/>
                <w:sz w:val="28"/>
                <w:szCs w:val="28"/>
              </w:rPr>
              <w:t>🗴</w:t>
            </w:r>
          </w:p>
        </w:tc>
        <w:tc>
          <w:tcPr>
            <w:tcW w:w="1383" w:type="dxa"/>
            <w:vAlign w:val="center"/>
          </w:tcPr>
          <w:p w14:paraId="01F71036" w14:textId="77777777" w:rsidR="006F573C" w:rsidRPr="006D7712" w:rsidRDefault="006F573C" w:rsidP="00232BCD">
            <w:pPr>
              <w:jc w:val="center"/>
              <w:rPr>
                <w:rFonts w:ascii="Segoe UI Symbol" w:hAnsi="Segoe UI Symbol"/>
              </w:rPr>
            </w:pPr>
            <w:r w:rsidRPr="00B220C5">
              <w:rPr>
                <w:rFonts w:ascii="Segoe UI Symbol" w:hAnsi="Segoe UI Symbol"/>
                <w:sz w:val="28"/>
                <w:szCs w:val="28"/>
              </w:rPr>
              <w:t>🗴</w:t>
            </w:r>
          </w:p>
        </w:tc>
      </w:tr>
      <w:tr w:rsidR="006F573C" w:rsidRPr="006B2F71" w14:paraId="442DBED6" w14:textId="77777777" w:rsidTr="00463B2D">
        <w:tc>
          <w:tcPr>
            <w:tcW w:w="3193" w:type="dxa"/>
            <w:shd w:val="clear" w:color="auto" w:fill="auto"/>
          </w:tcPr>
          <w:p w14:paraId="6A3831A2" w14:textId="77777777" w:rsidR="006F573C" w:rsidRPr="006B2F71" w:rsidRDefault="006F573C" w:rsidP="00F75F0E">
            <w:pPr>
              <w:rPr>
                <w:rFonts w:cs="Calibri"/>
                <w:color w:val="000000"/>
              </w:rPr>
            </w:pPr>
            <w:r w:rsidRPr="006B2F71">
              <w:rPr>
                <w:rFonts w:cs="Calibri"/>
                <w:color w:val="000000"/>
              </w:rPr>
              <w:t>03.08.11 - Dynamic Wound Closure Devices</w:t>
            </w:r>
          </w:p>
        </w:tc>
        <w:tc>
          <w:tcPr>
            <w:tcW w:w="1829" w:type="dxa"/>
            <w:tcBorders>
              <w:right w:val="single" w:sz="4" w:space="0" w:color="auto"/>
            </w:tcBorders>
            <w:shd w:val="clear" w:color="auto" w:fill="auto"/>
            <w:vAlign w:val="bottom"/>
          </w:tcPr>
          <w:p w14:paraId="08D4F33D" w14:textId="77777777" w:rsidR="006F573C" w:rsidRPr="006B2F71" w:rsidDel="00117225" w:rsidRDefault="006F573C" w:rsidP="00AC01BB">
            <w:pPr>
              <w:jc w:val="right"/>
              <w:rPr>
                <w:rFonts w:cs="Calibri"/>
                <w:color w:val="000000"/>
              </w:rPr>
            </w:pPr>
            <w:r>
              <w:rPr>
                <w:rFonts w:cs="Calibri"/>
                <w:color w:val="000000"/>
              </w:rPr>
              <w:t>0.0</w:t>
            </w:r>
          </w:p>
        </w:tc>
        <w:tc>
          <w:tcPr>
            <w:tcW w:w="1145" w:type="dxa"/>
            <w:tcBorders>
              <w:left w:val="single" w:sz="4" w:space="0" w:color="auto"/>
              <w:bottom w:val="single" w:sz="4" w:space="0" w:color="auto"/>
              <w:right w:val="single" w:sz="4" w:space="0" w:color="auto"/>
            </w:tcBorders>
            <w:vAlign w:val="center"/>
          </w:tcPr>
          <w:p w14:paraId="6C842766" w14:textId="77777777" w:rsidR="006F573C" w:rsidRPr="000B6434" w:rsidRDefault="003845FB" w:rsidP="007B0CF0">
            <w:pPr>
              <w:jc w:val="center"/>
              <w:rPr>
                <w:rFonts w:ascii="Segoe UI Symbol" w:hAnsi="Segoe UI Symbol"/>
              </w:rPr>
            </w:pPr>
            <w:r w:rsidRPr="00901141">
              <w:rPr>
                <w:rFonts w:ascii="Segoe UI Symbol" w:hAnsi="Segoe UI Symbol"/>
                <w:sz w:val="28"/>
                <w:szCs w:val="28"/>
              </w:rPr>
              <w:t>🗴</w:t>
            </w:r>
          </w:p>
        </w:tc>
        <w:tc>
          <w:tcPr>
            <w:tcW w:w="222" w:type="dxa"/>
            <w:tcBorders>
              <w:left w:val="single" w:sz="4" w:space="0" w:color="auto"/>
            </w:tcBorders>
            <w:shd w:val="clear" w:color="auto" w:fill="auto"/>
            <w:vAlign w:val="center"/>
          </w:tcPr>
          <w:p w14:paraId="24E875C2" w14:textId="77777777" w:rsidR="006F573C" w:rsidRPr="001B09B4" w:rsidRDefault="00590964" w:rsidP="00DE1140">
            <w:pPr>
              <w:jc w:val="center"/>
              <w:rPr>
                <w:rFonts w:ascii="Segoe UI Symbol" w:hAnsi="Segoe UI Symbol"/>
                <w:sz w:val="28"/>
                <w:szCs w:val="28"/>
              </w:rPr>
            </w:pPr>
            <w:r w:rsidRPr="00901141">
              <w:rPr>
                <w:rFonts w:ascii="Segoe UI Symbol" w:hAnsi="Segoe UI Symbol"/>
                <w:sz w:val="28"/>
                <w:szCs w:val="28"/>
              </w:rPr>
              <w:t>🗴</w:t>
            </w:r>
          </w:p>
        </w:tc>
        <w:tc>
          <w:tcPr>
            <w:tcW w:w="1247" w:type="dxa"/>
            <w:shd w:val="clear" w:color="auto" w:fill="auto"/>
            <w:vAlign w:val="center"/>
          </w:tcPr>
          <w:p w14:paraId="04FA5724" w14:textId="77777777" w:rsidR="006F573C" w:rsidRPr="006D7712" w:rsidRDefault="006F573C" w:rsidP="00232BCD">
            <w:pPr>
              <w:jc w:val="center"/>
              <w:rPr>
                <w:rFonts w:ascii="Segoe UI Symbol" w:hAnsi="Segoe UI Symbol"/>
              </w:rPr>
            </w:pPr>
            <w:r w:rsidRPr="001B09B4">
              <w:rPr>
                <w:rFonts w:ascii="Segoe UI Symbol" w:hAnsi="Segoe UI Symbol"/>
                <w:sz w:val="28"/>
                <w:szCs w:val="28"/>
              </w:rPr>
              <w:t>🗴</w:t>
            </w:r>
          </w:p>
        </w:tc>
        <w:tc>
          <w:tcPr>
            <w:tcW w:w="1383" w:type="dxa"/>
            <w:vAlign w:val="center"/>
          </w:tcPr>
          <w:p w14:paraId="12EDB462" w14:textId="77777777" w:rsidR="006F573C" w:rsidRPr="006D7712" w:rsidRDefault="006F573C" w:rsidP="00232BCD">
            <w:pPr>
              <w:jc w:val="center"/>
              <w:rPr>
                <w:rFonts w:ascii="Segoe UI Symbol" w:hAnsi="Segoe UI Symbol"/>
              </w:rPr>
            </w:pPr>
            <w:r w:rsidRPr="001B09B4">
              <w:rPr>
                <w:rFonts w:ascii="Segoe UI Symbol" w:hAnsi="Segoe UI Symbol"/>
                <w:sz w:val="28"/>
                <w:szCs w:val="28"/>
              </w:rPr>
              <w:t>🗴</w:t>
            </w:r>
          </w:p>
        </w:tc>
      </w:tr>
    </w:tbl>
    <w:p w14:paraId="29FEEA2A" w14:textId="77777777" w:rsidR="00C54AF5" w:rsidRPr="006B2F71" w:rsidRDefault="00C54AF5" w:rsidP="00C54AF5">
      <w:pPr>
        <w:pStyle w:val="Bodytextwithoutparaspace"/>
        <w:spacing w:after="240"/>
        <w:rPr>
          <w:sz w:val="18"/>
          <w:szCs w:val="18"/>
        </w:rPr>
      </w:pPr>
      <w:r w:rsidRPr="006B2F71">
        <w:rPr>
          <w:sz w:val="18"/>
          <w:szCs w:val="18"/>
          <w:vertAlign w:val="superscript"/>
        </w:rPr>
        <w:t>#</w:t>
      </w:r>
      <w:r w:rsidRPr="006B2F71">
        <w:rPr>
          <w:sz w:val="18"/>
          <w:szCs w:val="18"/>
        </w:rPr>
        <w:t>Indicates groups which include products on both Part A and Part C of the PL</w:t>
      </w:r>
    </w:p>
    <w:p w14:paraId="336A1F9B" w14:textId="77777777" w:rsidR="00BC3805" w:rsidRPr="00C1638D" w:rsidRDefault="00BC3805" w:rsidP="00BC3805">
      <w:pPr>
        <w:pStyle w:val="EYHeading2"/>
      </w:pPr>
      <w:bookmarkStart w:id="45" w:name="_Toc59015967"/>
      <w:r>
        <w:t>Summary of observations</w:t>
      </w:r>
      <w:bookmarkEnd w:id="45"/>
    </w:p>
    <w:p w14:paraId="094B48B1" w14:textId="7E805768" w:rsidR="00BC3805" w:rsidRDefault="00BC3805" w:rsidP="00BC3805">
      <w:pPr>
        <w:pStyle w:val="Bodytextwithparaspace"/>
      </w:pPr>
      <w:r>
        <w:t xml:space="preserve">Each of the 12 prioritised groups listed above were analysed in greater detail to identify specific observations relating to the key objectives of the review (as outlined in Section </w:t>
      </w:r>
      <w:r>
        <w:fldChar w:fldCharType="begin"/>
      </w:r>
      <w:r>
        <w:instrText xml:space="preserve"> REF _Ref37845476 \w \h </w:instrText>
      </w:r>
      <w:r>
        <w:fldChar w:fldCharType="separate"/>
      </w:r>
      <w:r w:rsidR="00784DE2">
        <w:t>3.1</w:t>
      </w:r>
      <w:r>
        <w:fldChar w:fldCharType="end"/>
      </w:r>
      <w:r>
        <w:t xml:space="preserve">). For these groups, analysis was performed to investigate trends and observations at the group, subgroup, suffix and item level and overlaid with insights gathered from consultation with stakeholders and clinical input. </w:t>
      </w:r>
    </w:p>
    <w:p w14:paraId="28305770" w14:textId="77777777" w:rsidR="00BC3805" w:rsidRDefault="00BC3805" w:rsidP="00BC3805">
      <w:pPr>
        <w:pStyle w:val="Bodytextwithparaspace"/>
      </w:pPr>
      <w:r>
        <w:t>The investigations performed incorporated various areas of analysis, including:</w:t>
      </w:r>
    </w:p>
    <w:p w14:paraId="619732CF" w14:textId="77777777" w:rsidR="00BC3805" w:rsidRDefault="00BC3805" w:rsidP="00342882">
      <w:pPr>
        <w:pStyle w:val="Bodytextwithparaspace"/>
        <w:numPr>
          <w:ilvl w:val="1"/>
          <w:numId w:val="11"/>
        </w:numPr>
        <w:ind w:left="709"/>
      </w:pPr>
      <w:r>
        <w:t>Analysis of the trends, relativities and relationships in usage levels, paid benefits and average benefits per item/minimum benefit amounts at the group, subgroup, suffix and item levels</w:t>
      </w:r>
      <w:r w:rsidR="00D8559E">
        <w:t>.</w:t>
      </w:r>
    </w:p>
    <w:p w14:paraId="00852836" w14:textId="77777777" w:rsidR="00BC3805" w:rsidRDefault="00BC3805" w:rsidP="00342882">
      <w:pPr>
        <w:pStyle w:val="Bodytextwithparaspace"/>
        <w:numPr>
          <w:ilvl w:val="1"/>
          <w:numId w:val="11"/>
        </w:numPr>
        <w:ind w:left="709"/>
      </w:pPr>
      <w:r>
        <w:t>Analysis of these trends, relativities and relationships across:</w:t>
      </w:r>
    </w:p>
    <w:p w14:paraId="0F646082" w14:textId="77777777" w:rsidR="00BC3805" w:rsidRDefault="00BC3805" w:rsidP="00463B2D">
      <w:pPr>
        <w:pStyle w:val="Bodytextwithparaspace"/>
        <w:numPr>
          <w:ilvl w:val="1"/>
          <w:numId w:val="18"/>
        </w:numPr>
      </w:pPr>
      <w:r>
        <w:t>The ‘primary’ MBS codes associated with their usage</w:t>
      </w:r>
      <w:r w:rsidR="00D8559E">
        <w:t>; and</w:t>
      </w:r>
    </w:p>
    <w:p w14:paraId="18D71A3F" w14:textId="77777777" w:rsidR="00BC3805" w:rsidRDefault="00BC3805" w:rsidP="00463B2D">
      <w:pPr>
        <w:pStyle w:val="Bodytextwithparaspace"/>
        <w:numPr>
          <w:ilvl w:val="1"/>
          <w:numId w:val="18"/>
        </w:numPr>
      </w:pPr>
      <w:r>
        <w:t>The main hospital owners / groups associated with their usage</w:t>
      </w:r>
      <w:r w:rsidR="00D8559E">
        <w:t>.</w:t>
      </w:r>
    </w:p>
    <w:p w14:paraId="0F1698A7" w14:textId="6C4F6654" w:rsidR="00BC3805" w:rsidRDefault="00BC3805" w:rsidP="00463B2D">
      <w:pPr>
        <w:pStyle w:val="Bodytextwithparaspace"/>
        <w:numPr>
          <w:ilvl w:val="1"/>
          <w:numId w:val="11"/>
        </w:numPr>
        <w:ind w:left="709"/>
      </w:pPr>
      <w:r>
        <w:t>Analysis of the association in the same episode of care between usage of these items and usage from other PL categories or with GM items flagged as ‘Low’ priority by the Department</w:t>
      </w:r>
      <w:r w:rsidR="00D8559E">
        <w:t>.</w:t>
      </w:r>
      <w:r w:rsidR="00EC5FD1">
        <w:t xml:space="preserve"> The purpose of this analysis was to confirm which criteria for listing were relevant to the item.</w:t>
      </w:r>
    </w:p>
    <w:p w14:paraId="70EAEB83" w14:textId="707E5B3F" w:rsidR="00BC3805" w:rsidRDefault="00BC3805" w:rsidP="00BC3805">
      <w:pPr>
        <w:pStyle w:val="Bodytextwithparaspace"/>
      </w:pPr>
      <w:r>
        <w:t xml:space="preserve">Observations arising from this review </w:t>
      </w:r>
      <w:r w:rsidR="002B5AE2">
        <w:t>were</w:t>
      </w:r>
      <w:r>
        <w:t xml:space="preserve"> made across several main areas, specifically:</w:t>
      </w:r>
    </w:p>
    <w:p w14:paraId="7F59E28E" w14:textId="44A5941A" w:rsidR="00BC3805" w:rsidRDefault="00BC3805" w:rsidP="0028399C">
      <w:pPr>
        <w:pStyle w:val="Bodytextwithparaspace"/>
        <w:numPr>
          <w:ilvl w:val="1"/>
          <w:numId w:val="11"/>
        </w:numPr>
        <w:ind w:left="709"/>
      </w:pPr>
      <w:r w:rsidRPr="00D8559E">
        <w:rPr>
          <w:b/>
        </w:rPr>
        <w:t>Alignment of items with the listing criteria:</w:t>
      </w:r>
      <w:r>
        <w:t xml:space="preserve"> this relates to whether the item/s themselves should be on the PL, given the criteria specified by the Department for listing on the PL. More information on the listing criteria is found in Section </w:t>
      </w:r>
      <w:r>
        <w:fldChar w:fldCharType="begin"/>
      </w:r>
      <w:r>
        <w:instrText xml:space="preserve"> REF _Ref38362422 \r \h </w:instrText>
      </w:r>
      <w:r w:rsidR="00D8559E">
        <w:instrText xml:space="preserve"> \* MERGEFORMAT </w:instrText>
      </w:r>
      <w:r>
        <w:fldChar w:fldCharType="separate"/>
      </w:r>
      <w:r w:rsidR="00784DE2">
        <w:t>4.3.1</w:t>
      </w:r>
      <w:r>
        <w:fldChar w:fldCharType="end"/>
      </w:r>
      <w:r>
        <w:t xml:space="preserve">, with specific examples in Section </w:t>
      </w:r>
      <w:r>
        <w:fldChar w:fldCharType="begin"/>
      </w:r>
      <w:r>
        <w:instrText xml:space="preserve"> REF _Ref39048041 \r \h </w:instrText>
      </w:r>
      <w:r w:rsidR="00D8559E">
        <w:instrText xml:space="preserve"> \* MERGEFORMAT </w:instrText>
      </w:r>
      <w:r>
        <w:fldChar w:fldCharType="separate"/>
      </w:r>
      <w:r w:rsidR="00784DE2">
        <w:t>4.3.2</w:t>
      </w:r>
      <w:r>
        <w:fldChar w:fldCharType="end"/>
      </w:r>
      <w:r>
        <w:t>.</w:t>
      </w:r>
    </w:p>
    <w:p w14:paraId="365561A4" w14:textId="3598B2A1" w:rsidR="00BC3805" w:rsidRDefault="00BC3805" w:rsidP="0028399C">
      <w:pPr>
        <w:pStyle w:val="Bodytextwithparaspace"/>
        <w:numPr>
          <w:ilvl w:val="1"/>
          <w:numId w:val="11"/>
        </w:numPr>
        <w:ind w:left="709"/>
      </w:pPr>
      <w:r w:rsidRPr="00D8559E">
        <w:rPr>
          <w:b/>
        </w:rPr>
        <w:t>High levels of usage or above trend growth in usage:</w:t>
      </w:r>
      <w:r>
        <w:t xml:space="preserve"> this relates to where item/s </w:t>
      </w:r>
      <w:r w:rsidR="002B5AE2">
        <w:t xml:space="preserve">were </w:t>
      </w:r>
      <w:r>
        <w:t xml:space="preserve">being used at high levels compared to other item/s in the same grouping, or where the growth in usage of item/s </w:t>
      </w:r>
      <w:r w:rsidR="002B5AE2">
        <w:t xml:space="preserve">differed </w:t>
      </w:r>
      <w:r>
        <w:t xml:space="preserve">significantly to the growth in usage of other item/s in the same grouping. Examples of these are found in Sections </w:t>
      </w:r>
      <w:r>
        <w:fldChar w:fldCharType="begin"/>
      </w:r>
      <w:r>
        <w:instrText xml:space="preserve"> REF _Ref38907184 \r \h </w:instrText>
      </w:r>
      <w:r w:rsidR="00D8559E">
        <w:instrText xml:space="preserve"> \* MERGEFORMAT </w:instrText>
      </w:r>
      <w:r>
        <w:fldChar w:fldCharType="separate"/>
      </w:r>
      <w:r w:rsidR="00784DE2">
        <w:t>4.4.2</w:t>
      </w:r>
      <w:r>
        <w:fldChar w:fldCharType="end"/>
      </w:r>
      <w:r>
        <w:t xml:space="preserve">, </w:t>
      </w:r>
      <w:r>
        <w:fldChar w:fldCharType="begin"/>
      </w:r>
      <w:r>
        <w:instrText xml:space="preserve"> REF _Ref38907991 \r \h </w:instrText>
      </w:r>
      <w:r w:rsidR="00D8559E">
        <w:instrText xml:space="preserve"> \* MERGEFORMAT </w:instrText>
      </w:r>
      <w:r>
        <w:fldChar w:fldCharType="separate"/>
      </w:r>
      <w:r w:rsidR="00784DE2">
        <w:t>0</w:t>
      </w:r>
      <w:r>
        <w:fldChar w:fldCharType="end"/>
      </w:r>
      <w:r>
        <w:t xml:space="preserve"> and </w:t>
      </w:r>
      <w:r>
        <w:fldChar w:fldCharType="begin"/>
      </w:r>
      <w:r>
        <w:instrText xml:space="preserve"> REF _Ref39062633 \r \h </w:instrText>
      </w:r>
      <w:r w:rsidR="00D8559E">
        <w:instrText xml:space="preserve"> \* MERGEFORMAT </w:instrText>
      </w:r>
      <w:r>
        <w:fldChar w:fldCharType="separate"/>
      </w:r>
      <w:r w:rsidR="00784DE2">
        <w:t>4.4.4</w:t>
      </w:r>
      <w:r>
        <w:fldChar w:fldCharType="end"/>
      </w:r>
      <w:r>
        <w:t>.</w:t>
      </w:r>
    </w:p>
    <w:p w14:paraId="048F9464" w14:textId="0B5BD39A" w:rsidR="00BC3805" w:rsidRDefault="00BC3805" w:rsidP="0028399C">
      <w:pPr>
        <w:pStyle w:val="Bodytextwithparaspace"/>
        <w:numPr>
          <w:ilvl w:val="1"/>
          <w:numId w:val="11"/>
        </w:numPr>
        <w:ind w:left="709"/>
      </w:pPr>
      <w:r w:rsidRPr="00D8559E">
        <w:rPr>
          <w:b/>
        </w:rPr>
        <w:t>Significant increases in benefits per item:</w:t>
      </w:r>
      <w:r>
        <w:t xml:space="preserve"> this relates to where there </w:t>
      </w:r>
      <w:r w:rsidR="002B5AE2">
        <w:t>was</w:t>
      </w:r>
      <w:r>
        <w:t xml:space="preserve"> a significant increase in the average amount of benefits paid for each item in a grouping for a financial year compared to previous financial years.</w:t>
      </w:r>
      <w:r w:rsidR="009B04D7">
        <w:t xml:space="preserve"> See Section</w:t>
      </w:r>
      <w:r w:rsidR="00403FAB">
        <w:t>s</w:t>
      </w:r>
      <w:r w:rsidR="009B04D7">
        <w:t xml:space="preserve"> </w:t>
      </w:r>
      <w:r w:rsidR="00A16791">
        <w:fldChar w:fldCharType="begin"/>
      </w:r>
      <w:r w:rsidR="00A16791">
        <w:instrText xml:space="preserve"> REF _Ref39600413 \w \h </w:instrText>
      </w:r>
      <w:r w:rsidR="00D8559E">
        <w:instrText xml:space="preserve"> \* MERGEFORMAT </w:instrText>
      </w:r>
      <w:r w:rsidR="00A16791">
        <w:fldChar w:fldCharType="separate"/>
      </w:r>
      <w:r w:rsidR="00784DE2">
        <w:t>4.5.1</w:t>
      </w:r>
      <w:r w:rsidR="00A16791">
        <w:fldChar w:fldCharType="end"/>
      </w:r>
      <w:r w:rsidR="00A16791">
        <w:t xml:space="preserve"> </w:t>
      </w:r>
      <w:r w:rsidR="00403FAB">
        <w:t xml:space="preserve">and </w:t>
      </w:r>
      <w:r w:rsidR="00A16791">
        <w:fldChar w:fldCharType="begin"/>
      </w:r>
      <w:r w:rsidR="00A16791">
        <w:instrText xml:space="preserve"> REF _Ref38470172 \w \h </w:instrText>
      </w:r>
      <w:r w:rsidR="00D8559E">
        <w:instrText xml:space="preserve"> \* MERGEFORMAT </w:instrText>
      </w:r>
      <w:r w:rsidR="00A16791">
        <w:fldChar w:fldCharType="separate"/>
      </w:r>
      <w:r w:rsidR="00784DE2">
        <w:t>4.5.2</w:t>
      </w:r>
      <w:r w:rsidR="00A16791">
        <w:fldChar w:fldCharType="end"/>
      </w:r>
      <w:r w:rsidR="00A16791">
        <w:t xml:space="preserve"> </w:t>
      </w:r>
      <w:r w:rsidR="003D0C20">
        <w:t>for discussion of this analysis.</w:t>
      </w:r>
    </w:p>
    <w:p w14:paraId="133C8291" w14:textId="6C9F5336" w:rsidR="00BC3805" w:rsidRDefault="00BC3805" w:rsidP="0028399C">
      <w:pPr>
        <w:pStyle w:val="Bodytextwithparaspace"/>
        <w:numPr>
          <w:ilvl w:val="1"/>
          <w:numId w:val="11"/>
        </w:numPr>
        <w:ind w:left="709"/>
      </w:pPr>
      <w:r w:rsidRPr="00D8559E">
        <w:rPr>
          <w:b/>
        </w:rPr>
        <w:t>Anomalies in the relativities between benefit amounts:</w:t>
      </w:r>
      <w:r>
        <w:t xml:space="preserve"> this refers to where groups, subgroups, suffixes or items appear to be similar in nature, but are listed in different sections of the PL and thus have different minimum benefit amounts, potentially impacting their usage and/or the total PL benefits paid for the items. Examples of this are found in Section </w:t>
      </w:r>
      <w:r>
        <w:fldChar w:fldCharType="begin"/>
      </w:r>
      <w:r>
        <w:instrText xml:space="preserve"> REF _Ref39073392 \r \h </w:instrText>
      </w:r>
      <w:r w:rsidR="00D8559E">
        <w:instrText xml:space="preserve"> \* MERGEFORMAT </w:instrText>
      </w:r>
      <w:r>
        <w:fldChar w:fldCharType="separate"/>
      </w:r>
      <w:r w:rsidR="00784DE2">
        <w:t>4.5.3</w:t>
      </w:r>
      <w:r>
        <w:fldChar w:fldCharType="end"/>
      </w:r>
      <w:r>
        <w:t>.</w:t>
      </w:r>
    </w:p>
    <w:p w14:paraId="1369BE09" w14:textId="65D33BBF" w:rsidR="00BC3805" w:rsidRDefault="00BC3805" w:rsidP="0028399C">
      <w:pPr>
        <w:pStyle w:val="Bodytextwithparaspace"/>
        <w:numPr>
          <w:ilvl w:val="1"/>
          <w:numId w:val="11"/>
        </w:numPr>
        <w:ind w:left="709"/>
      </w:pPr>
      <w:r w:rsidRPr="00D8559E">
        <w:rPr>
          <w:b/>
        </w:rPr>
        <w:t>Issues in the categorisation of items:</w:t>
      </w:r>
      <w:r>
        <w:t xml:space="preserve"> this relates to where the reclassification of GM items from one subgroup or suffix into another subgroup or suffix </w:t>
      </w:r>
      <w:r w:rsidR="002B5AE2">
        <w:t xml:space="preserve">caused </w:t>
      </w:r>
      <w:r>
        <w:t xml:space="preserve">a significant increase in the minimum benefit amount payable for these items, without any apparent change to the underlying product. Examples of this are found in Section </w:t>
      </w:r>
      <w:r>
        <w:fldChar w:fldCharType="begin"/>
      </w:r>
      <w:r>
        <w:instrText xml:space="preserve"> REF _Ref39505624 \r \h </w:instrText>
      </w:r>
      <w:r w:rsidR="00D8559E">
        <w:instrText xml:space="preserve"> \* MERGEFORMAT </w:instrText>
      </w:r>
      <w:r>
        <w:fldChar w:fldCharType="separate"/>
      </w:r>
      <w:r w:rsidR="00784DE2">
        <w:t>4.5.2</w:t>
      </w:r>
      <w:r>
        <w:fldChar w:fldCharType="end"/>
      </w:r>
      <w:r>
        <w:t>.</w:t>
      </w:r>
    </w:p>
    <w:p w14:paraId="5AAC0C13" w14:textId="0DBBB649" w:rsidR="00BC3805" w:rsidRDefault="00BC3805" w:rsidP="0028399C">
      <w:pPr>
        <w:pStyle w:val="Bodytextwithparaspace"/>
        <w:numPr>
          <w:ilvl w:val="1"/>
          <w:numId w:val="11"/>
        </w:numPr>
        <w:ind w:left="709"/>
      </w:pPr>
      <w:r w:rsidRPr="00D8559E">
        <w:rPr>
          <w:b/>
        </w:rPr>
        <w:t>Availability of alternative funding mechanisms:</w:t>
      </w:r>
      <w:r>
        <w:t xml:space="preserve"> this </w:t>
      </w:r>
      <w:r w:rsidR="000D56AC">
        <w:t>introduces the main alternative funding mechanism would could be applied instead of the PL to any of these items</w:t>
      </w:r>
      <w:r>
        <w:t xml:space="preserve">. See Section </w:t>
      </w:r>
      <w:r>
        <w:fldChar w:fldCharType="begin"/>
      </w:r>
      <w:r>
        <w:instrText xml:space="preserve"> REF _Ref39504518 \r \h </w:instrText>
      </w:r>
      <w:r w:rsidR="00D8559E">
        <w:instrText xml:space="preserve"> \* MERGEFORMAT </w:instrText>
      </w:r>
      <w:r>
        <w:fldChar w:fldCharType="separate"/>
      </w:r>
      <w:r w:rsidR="00784DE2">
        <w:t>4.6</w:t>
      </w:r>
      <w:r>
        <w:fldChar w:fldCharType="end"/>
      </w:r>
      <w:r>
        <w:t xml:space="preserve"> </w:t>
      </w:r>
      <w:r w:rsidR="00EC5FD1">
        <w:t xml:space="preserve">for </w:t>
      </w:r>
      <w:r>
        <w:t>a discussion of the</w:t>
      </w:r>
      <w:r w:rsidR="000D56AC">
        <w:t xml:space="preserve"> main</w:t>
      </w:r>
      <w:r>
        <w:t xml:space="preserve"> alternative funding mechanism</w:t>
      </w:r>
      <w:r w:rsidR="000D56AC">
        <w:t xml:space="preserve">, with further discussion on its merits in Section </w:t>
      </w:r>
      <w:r w:rsidR="000D56AC">
        <w:fldChar w:fldCharType="begin"/>
      </w:r>
      <w:r w:rsidR="000D56AC">
        <w:instrText xml:space="preserve"> REF _Ref41309854 \r \h </w:instrText>
      </w:r>
      <w:r w:rsidR="000D56AC">
        <w:fldChar w:fldCharType="separate"/>
      </w:r>
      <w:r w:rsidR="00784DE2">
        <w:t>6.2.1</w:t>
      </w:r>
      <w:r w:rsidR="000D56AC">
        <w:fldChar w:fldCharType="end"/>
      </w:r>
      <w:r>
        <w:t>.</w:t>
      </w:r>
    </w:p>
    <w:p w14:paraId="15582692" w14:textId="1CEEE2FC" w:rsidR="00BC3805" w:rsidRDefault="00BC3805" w:rsidP="0028399C">
      <w:pPr>
        <w:pStyle w:val="Bodytextwithparaspace"/>
        <w:numPr>
          <w:ilvl w:val="1"/>
          <w:numId w:val="11"/>
        </w:numPr>
        <w:ind w:left="709"/>
      </w:pPr>
      <w:r w:rsidRPr="00D8559E">
        <w:rPr>
          <w:b/>
        </w:rPr>
        <w:t>Price benchmarking between private and public hospitals:</w:t>
      </w:r>
      <w:r>
        <w:t xml:space="preserve"> this relates to observations made when comparing prices for an item listed on the PL and the same item as purchased by two different public health systems. See Section </w:t>
      </w:r>
      <w:r>
        <w:fldChar w:fldCharType="begin"/>
      </w:r>
      <w:r>
        <w:instrText xml:space="preserve"> REF _Ref39074132 \r \h </w:instrText>
      </w:r>
      <w:r w:rsidR="00D8559E">
        <w:instrText xml:space="preserve"> \* MERGEFORMAT </w:instrText>
      </w:r>
      <w:r>
        <w:fldChar w:fldCharType="separate"/>
      </w:r>
      <w:r w:rsidR="00784DE2">
        <w:t>4.5.4</w:t>
      </w:r>
      <w:r>
        <w:fldChar w:fldCharType="end"/>
      </w:r>
      <w:r>
        <w:t xml:space="preserve"> for </w:t>
      </w:r>
      <w:r w:rsidR="003D0C20">
        <w:t>discussion of</w:t>
      </w:r>
      <w:r>
        <w:t xml:space="preserve"> this benchmarking.</w:t>
      </w:r>
    </w:p>
    <w:p w14:paraId="71CC7791" w14:textId="4BD31BA3" w:rsidR="00953DF2" w:rsidRDefault="00BC3805" w:rsidP="00871DAB">
      <w:pPr>
        <w:pStyle w:val="Bodytextwithparaspace"/>
        <w:sectPr w:rsidR="00953DF2" w:rsidSect="00C73219">
          <w:footerReference w:type="default" r:id="rId16"/>
          <w:pgSz w:w="11909" w:h="16834" w:code="9"/>
          <w:pgMar w:top="1440" w:right="1440" w:bottom="1440" w:left="1440" w:header="720" w:footer="720" w:gutter="0"/>
          <w:pgNumType w:start="1"/>
          <w:cols w:space="720"/>
          <w:docGrid w:linePitch="360"/>
        </w:sectPr>
      </w:pPr>
      <w:r>
        <w:fldChar w:fldCharType="begin"/>
      </w:r>
      <w:r>
        <w:instrText xml:space="preserve"> REF _Ref37846957 \h </w:instrText>
      </w:r>
      <w:r>
        <w:fldChar w:fldCharType="separate"/>
      </w:r>
      <w:r w:rsidR="00784DE2">
        <w:t xml:space="preserve">Table </w:t>
      </w:r>
      <w:r w:rsidR="00784DE2">
        <w:rPr>
          <w:noProof/>
        </w:rPr>
        <w:t>5</w:t>
      </w:r>
      <w:r>
        <w:fldChar w:fldCharType="end"/>
      </w:r>
      <w:r>
        <w:t xml:space="preserve"> summarises where such observations </w:t>
      </w:r>
      <w:r w:rsidR="002B5AE2">
        <w:t>were</w:t>
      </w:r>
      <w:r>
        <w:t xml:space="preserve"> made across each of these areas for the primary subgroups of each of the 12 prioritised GM groups. </w:t>
      </w:r>
      <w:r w:rsidR="007732FE">
        <w:t xml:space="preserve">In this table, </w:t>
      </w:r>
      <w:r w:rsidR="00884089">
        <w:t xml:space="preserve">areas </w:t>
      </w:r>
      <w:r>
        <w:t xml:space="preserve">where </w:t>
      </w:r>
      <w:r w:rsidR="00884089">
        <w:t>significant issues</w:t>
      </w:r>
      <w:r w:rsidR="00E53847">
        <w:t xml:space="preserve"> or concerns</w:t>
      </w:r>
      <w:r w:rsidR="00884089">
        <w:t xml:space="preserve"> </w:t>
      </w:r>
      <w:r w:rsidR="002B5AE2">
        <w:t>were</w:t>
      </w:r>
      <w:r w:rsidR="00884089">
        <w:t xml:space="preserve"> noted are coloured in </w:t>
      </w:r>
      <w:r w:rsidR="00884089" w:rsidRPr="00463B2D">
        <w:rPr>
          <w:color w:val="FFFFFF" w:themeColor="background1"/>
          <w:shd w:val="clear" w:color="auto" w:fill="E1362C"/>
        </w:rPr>
        <w:t>red</w:t>
      </w:r>
      <w:r w:rsidR="00884089" w:rsidRPr="00463B2D">
        <w:rPr>
          <w:color w:val="FFFFFF" w:themeColor="background1"/>
        </w:rPr>
        <w:t xml:space="preserve"> </w:t>
      </w:r>
      <w:r w:rsidR="00884089">
        <w:t xml:space="preserve">and areas where some </w:t>
      </w:r>
      <w:r w:rsidR="00E53847">
        <w:t>minor issues</w:t>
      </w:r>
      <w:r w:rsidR="00690DA5">
        <w:t xml:space="preserve"> or </w:t>
      </w:r>
      <w:r w:rsidR="00E53847">
        <w:t>concern</w:t>
      </w:r>
      <w:r w:rsidR="00884089">
        <w:t xml:space="preserve"> </w:t>
      </w:r>
      <w:r w:rsidR="002B5AE2">
        <w:t>were</w:t>
      </w:r>
      <w:r w:rsidR="00884089">
        <w:t xml:space="preserve"> noted are coloured in </w:t>
      </w:r>
      <w:r w:rsidR="00884089" w:rsidRPr="00463B2D">
        <w:rPr>
          <w:color w:val="FFFFFF" w:themeColor="background1"/>
          <w:shd w:val="clear" w:color="auto" w:fill="FF9831"/>
        </w:rPr>
        <w:t>amber</w:t>
      </w:r>
      <w:r w:rsidR="00B01838" w:rsidRPr="00B01838">
        <w:t>,</w:t>
      </w:r>
      <w:r w:rsidR="00B01838">
        <w:t xml:space="preserve"> while areas coloured in </w:t>
      </w:r>
      <w:r w:rsidR="00B01838" w:rsidRPr="00463B2D">
        <w:rPr>
          <w:shd w:val="clear" w:color="auto" w:fill="FFE600" w:themeFill="text2"/>
        </w:rPr>
        <w:t>yellow</w:t>
      </w:r>
      <w:r w:rsidR="00B01838">
        <w:t xml:space="preserve"> </w:t>
      </w:r>
      <w:r w:rsidR="002B5AE2">
        <w:t xml:space="preserve">had </w:t>
      </w:r>
      <w:r w:rsidR="003A13DE">
        <w:t xml:space="preserve">minor concerns noted but not discussed in </w:t>
      </w:r>
      <w:r w:rsidR="00890EAF">
        <w:t>detail in this report</w:t>
      </w:r>
      <w:r w:rsidR="00884089">
        <w:t>.</w:t>
      </w:r>
      <w:r>
        <w:t xml:space="preserve"> Subgroups which were not investigated in detail due to having total benefit amounts that were not deemed to be material have been excluded from this table. The key findings from this analysis across each of the above areas of observations are discussed in the following subsections and </w:t>
      </w:r>
      <w:r w:rsidR="00D01A0E" w:rsidRPr="00D01A0E">
        <w:t xml:space="preserve">in the relevant case studies in Section </w:t>
      </w:r>
      <w:r w:rsidR="00D01A0E" w:rsidRPr="00D01A0E">
        <w:fldChar w:fldCharType="begin"/>
      </w:r>
      <w:r w:rsidR="00D01A0E" w:rsidRPr="00D01A0E">
        <w:instrText xml:space="preserve"> REF _Ref39593339 \w \h </w:instrText>
      </w:r>
      <w:r w:rsidR="00D01A0E">
        <w:instrText xml:space="preserve"> \* MERGEFORMAT </w:instrText>
      </w:r>
      <w:r w:rsidR="00D01A0E" w:rsidRPr="00D01A0E">
        <w:fldChar w:fldCharType="separate"/>
      </w:r>
      <w:r w:rsidR="00784DE2">
        <w:t>5</w:t>
      </w:r>
      <w:r w:rsidR="00D01A0E" w:rsidRPr="00D01A0E">
        <w:fldChar w:fldCharType="end"/>
      </w:r>
      <w:r w:rsidR="00D01A0E" w:rsidRPr="00D01A0E">
        <w:t>.</w:t>
      </w:r>
    </w:p>
    <w:p w14:paraId="4C13EF49" w14:textId="05658666" w:rsidR="009A0990" w:rsidRDefault="009A0990" w:rsidP="00A26B3B">
      <w:pPr>
        <w:pStyle w:val="Caption"/>
        <w:keepNext/>
      </w:pPr>
      <w:bookmarkStart w:id="46" w:name="_Ref37846957"/>
      <w:r>
        <w:t xml:space="preserve">Table </w:t>
      </w:r>
      <w:r w:rsidR="00FC6370">
        <w:fldChar w:fldCharType="begin"/>
      </w:r>
      <w:r w:rsidR="00FC6370">
        <w:instrText xml:space="preserve"> SEQ Table \* ARABIC </w:instrText>
      </w:r>
      <w:r w:rsidR="00FC6370">
        <w:fldChar w:fldCharType="separate"/>
      </w:r>
      <w:r w:rsidR="00784DE2">
        <w:rPr>
          <w:noProof/>
        </w:rPr>
        <w:t>5</w:t>
      </w:r>
      <w:r w:rsidR="00FC6370">
        <w:rPr>
          <w:noProof/>
        </w:rPr>
        <w:fldChar w:fldCharType="end"/>
      </w:r>
      <w:bookmarkEnd w:id="46"/>
      <w:r>
        <w:t xml:space="preserve"> </w:t>
      </w:r>
      <w:r w:rsidR="00FD39DF">
        <w:t>–</w:t>
      </w:r>
      <w:r>
        <w:t xml:space="preserve"> Summary</w:t>
      </w:r>
      <w:r w:rsidR="00FD39DF">
        <w:t xml:space="preserve"> of observations made across product subgroups</w:t>
      </w:r>
    </w:p>
    <w:tbl>
      <w:tblPr>
        <w:tblW w:w="5000" w:type="pct"/>
        <w:tblBorders>
          <w:top w:val="dotted" w:sz="8" w:space="0" w:color="7F7E82"/>
          <w:left w:val="dotted" w:sz="8" w:space="0" w:color="7F7E82"/>
          <w:bottom w:val="dotted" w:sz="8" w:space="0" w:color="7F7E82"/>
          <w:right w:val="dotted" w:sz="8" w:space="0" w:color="7F7E82"/>
          <w:insideH w:val="dotted" w:sz="8" w:space="0" w:color="7F7E82"/>
          <w:insideV w:val="dotted" w:sz="8" w:space="0" w:color="7F7E82"/>
        </w:tblBorders>
        <w:tblLayout w:type="fixed"/>
        <w:tblCellMar>
          <w:left w:w="57" w:type="dxa"/>
          <w:right w:w="57" w:type="dxa"/>
        </w:tblCellMar>
        <w:tblLook w:val="0000" w:firstRow="0" w:lastRow="0" w:firstColumn="0" w:lastColumn="0" w:noHBand="0" w:noVBand="0"/>
      </w:tblPr>
      <w:tblGrid>
        <w:gridCol w:w="3108"/>
        <w:gridCol w:w="1642"/>
        <w:gridCol w:w="1477"/>
        <w:gridCol w:w="1477"/>
        <w:gridCol w:w="1477"/>
        <w:gridCol w:w="1641"/>
        <w:gridCol w:w="1641"/>
        <w:gridCol w:w="1471"/>
      </w:tblGrid>
      <w:tr w:rsidR="000748FA" w:rsidRPr="00FE17CE" w14:paraId="0204EB10" w14:textId="77777777" w:rsidTr="000736A8">
        <w:trPr>
          <w:cantSplit/>
          <w:trHeight w:val="20"/>
          <w:tblHeader/>
        </w:trPr>
        <w:tc>
          <w:tcPr>
            <w:tcW w:w="1115" w:type="pct"/>
            <w:shd w:val="clear" w:color="auto" w:fill="FFE600" w:themeFill="text2"/>
            <w:vAlign w:val="center"/>
          </w:tcPr>
          <w:p w14:paraId="33CF95DE" w14:textId="77777777" w:rsidR="000748FA" w:rsidRPr="00E2457D" w:rsidRDefault="000748FA" w:rsidP="008912A8">
            <w:pPr>
              <w:pStyle w:val="Tabletextbold"/>
              <w:rPr>
                <w:rFonts w:eastAsia="Arial Unicode MS"/>
              </w:rPr>
            </w:pPr>
            <w:r w:rsidRPr="00E2457D">
              <w:t>Product Subgroup</w:t>
            </w:r>
          </w:p>
        </w:tc>
        <w:tc>
          <w:tcPr>
            <w:tcW w:w="589" w:type="pct"/>
            <w:shd w:val="clear" w:color="auto" w:fill="FFE600" w:themeFill="text2"/>
            <w:vAlign w:val="center"/>
          </w:tcPr>
          <w:p w14:paraId="6B26A90A" w14:textId="22A00569" w:rsidR="000748FA" w:rsidRPr="000736A8" w:rsidRDefault="0057799A" w:rsidP="008912A8">
            <w:pPr>
              <w:pStyle w:val="Tabletextbold"/>
              <w:rPr>
                <w:rFonts w:eastAsia="Arial Unicode MS"/>
                <w:szCs w:val="16"/>
              </w:rPr>
            </w:pPr>
            <w:r w:rsidRPr="000736A8">
              <w:rPr>
                <w:szCs w:val="16"/>
              </w:rPr>
              <w:t>Alignment with</w:t>
            </w:r>
            <w:r w:rsidR="000748FA" w:rsidRPr="000736A8">
              <w:rPr>
                <w:szCs w:val="16"/>
              </w:rPr>
              <w:t xml:space="preserve"> listing criteria</w:t>
            </w:r>
          </w:p>
        </w:tc>
        <w:tc>
          <w:tcPr>
            <w:tcW w:w="530" w:type="pct"/>
            <w:shd w:val="clear" w:color="auto" w:fill="FFE600" w:themeFill="text2"/>
            <w:vAlign w:val="center"/>
          </w:tcPr>
          <w:p w14:paraId="452FDA1F" w14:textId="77777777" w:rsidR="000748FA" w:rsidRPr="000736A8" w:rsidRDefault="000748FA" w:rsidP="008912A8">
            <w:pPr>
              <w:pStyle w:val="Tabletextbold"/>
              <w:rPr>
                <w:rFonts w:eastAsia="Arial Unicode MS"/>
                <w:szCs w:val="16"/>
              </w:rPr>
            </w:pPr>
            <w:r w:rsidRPr="000736A8">
              <w:rPr>
                <w:szCs w:val="16"/>
              </w:rPr>
              <w:t>Above trend usage</w:t>
            </w:r>
          </w:p>
        </w:tc>
        <w:tc>
          <w:tcPr>
            <w:tcW w:w="530" w:type="pct"/>
            <w:shd w:val="clear" w:color="auto" w:fill="FFE600" w:themeFill="text2"/>
            <w:vAlign w:val="center"/>
          </w:tcPr>
          <w:p w14:paraId="57CFA9E8" w14:textId="77777777" w:rsidR="000748FA" w:rsidRPr="000736A8" w:rsidRDefault="000748FA" w:rsidP="008912A8">
            <w:pPr>
              <w:pStyle w:val="Tabletextbold"/>
              <w:rPr>
                <w:rFonts w:eastAsia="Arial Unicode MS"/>
                <w:szCs w:val="16"/>
              </w:rPr>
            </w:pPr>
            <w:r w:rsidRPr="000736A8">
              <w:rPr>
                <w:szCs w:val="16"/>
              </w:rPr>
              <w:t>Significant benefits per item increases</w:t>
            </w:r>
          </w:p>
        </w:tc>
        <w:tc>
          <w:tcPr>
            <w:tcW w:w="530" w:type="pct"/>
            <w:shd w:val="clear" w:color="auto" w:fill="FFE600" w:themeFill="text2"/>
            <w:vAlign w:val="center"/>
          </w:tcPr>
          <w:p w14:paraId="54B61088" w14:textId="77777777" w:rsidR="000748FA" w:rsidRPr="000736A8" w:rsidRDefault="000748FA" w:rsidP="008912A8">
            <w:pPr>
              <w:pStyle w:val="Tabletextbold"/>
              <w:rPr>
                <w:rFonts w:eastAsia="Arial Unicode MS"/>
                <w:szCs w:val="16"/>
              </w:rPr>
            </w:pPr>
            <w:r w:rsidRPr="000736A8">
              <w:rPr>
                <w:szCs w:val="16"/>
              </w:rPr>
              <w:t>Benefit amount relativity anomalies</w:t>
            </w:r>
          </w:p>
        </w:tc>
        <w:tc>
          <w:tcPr>
            <w:tcW w:w="589" w:type="pct"/>
            <w:shd w:val="clear" w:color="auto" w:fill="FFE600" w:themeFill="text2"/>
            <w:vAlign w:val="center"/>
          </w:tcPr>
          <w:p w14:paraId="67A516C8" w14:textId="77777777" w:rsidR="000748FA" w:rsidRPr="000736A8" w:rsidRDefault="000748FA" w:rsidP="008912A8">
            <w:pPr>
              <w:pStyle w:val="Tabletextbold"/>
              <w:rPr>
                <w:rFonts w:eastAsia="Arial Unicode MS"/>
                <w:szCs w:val="16"/>
              </w:rPr>
            </w:pPr>
            <w:r w:rsidRPr="000736A8">
              <w:rPr>
                <w:szCs w:val="16"/>
              </w:rPr>
              <w:t>Categorisation issues</w:t>
            </w:r>
          </w:p>
        </w:tc>
        <w:tc>
          <w:tcPr>
            <w:tcW w:w="589" w:type="pct"/>
            <w:shd w:val="clear" w:color="auto" w:fill="FFE600" w:themeFill="text2"/>
            <w:vAlign w:val="center"/>
          </w:tcPr>
          <w:p w14:paraId="4367EDA4" w14:textId="77777777" w:rsidR="000748FA" w:rsidRPr="000736A8" w:rsidRDefault="000748FA" w:rsidP="008912A8">
            <w:pPr>
              <w:pStyle w:val="Tabletextbold"/>
              <w:rPr>
                <w:szCs w:val="16"/>
              </w:rPr>
            </w:pPr>
            <w:r w:rsidRPr="000736A8">
              <w:rPr>
                <w:szCs w:val="16"/>
              </w:rPr>
              <w:t>Alternative funding mechanisms available</w:t>
            </w:r>
          </w:p>
        </w:tc>
        <w:tc>
          <w:tcPr>
            <w:tcW w:w="528" w:type="pct"/>
            <w:shd w:val="clear" w:color="auto" w:fill="FFE600" w:themeFill="text2"/>
            <w:vAlign w:val="center"/>
          </w:tcPr>
          <w:p w14:paraId="05149781" w14:textId="77777777" w:rsidR="000748FA" w:rsidRPr="000736A8" w:rsidRDefault="000748FA" w:rsidP="008912A8">
            <w:pPr>
              <w:pStyle w:val="Tabletextbold"/>
              <w:rPr>
                <w:szCs w:val="16"/>
              </w:rPr>
            </w:pPr>
            <w:r w:rsidRPr="000736A8">
              <w:rPr>
                <w:szCs w:val="16"/>
              </w:rPr>
              <w:t>Price benchmarking</w:t>
            </w:r>
          </w:p>
        </w:tc>
      </w:tr>
      <w:tr w:rsidR="00DE4C8A" w:rsidRPr="00926D59" w14:paraId="2A530908" w14:textId="77777777" w:rsidTr="00DE4C8A">
        <w:trPr>
          <w:cantSplit/>
          <w:trHeight w:val="272"/>
        </w:trPr>
        <w:tc>
          <w:tcPr>
            <w:tcW w:w="5000" w:type="pct"/>
            <w:gridSpan w:val="8"/>
            <w:shd w:val="clear" w:color="auto" w:fill="D2D2DA" w:themeFill="text1" w:themeFillTint="33"/>
            <w:noWrap/>
          </w:tcPr>
          <w:p w14:paraId="7A4B002F" w14:textId="2A47BDB2" w:rsidR="00DE4C8A" w:rsidRPr="00E4674E" w:rsidRDefault="00DE4C8A" w:rsidP="008912A8">
            <w:pPr>
              <w:pStyle w:val="TableText"/>
            </w:pPr>
            <w:r w:rsidRPr="00E4674E">
              <w:t>03.02 – Drug Delivery Devices</w:t>
            </w:r>
          </w:p>
        </w:tc>
      </w:tr>
      <w:tr w:rsidR="00BB7DC5" w:rsidRPr="00926D59" w14:paraId="350FD3B6" w14:textId="77777777" w:rsidTr="00DE4C8A">
        <w:trPr>
          <w:cantSplit/>
          <w:trHeight w:val="504"/>
        </w:trPr>
        <w:tc>
          <w:tcPr>
            <w:tcW w:w="1115" w:type="pct"/>
            <w:shd w:val="clear" w:color="auto" w:fill="FFFFFF" w:themeFill="background1"/>
            <w:noWrap/>
          </w:tcPr>
          <w:p w14:paraId="1F29A4D0" w14:textId="6D69D36E" w:rsidR="00C42015" w:rsidRPr="00E4674E" w:rsidRDefault="00C42015" w:rsidP="008912A8">
            <w:pPr>
              <w:pStyle w:val="TableText"/>
            </w:pPr>
            <w:r>
              <w:t>03.02.02 – Infusion Pumps, Balloon Based</w:t>
            </w:r>
          </w:p>
        </w:tc>
        <w:tc>
          <w:tcPr>
            <w:tcW w:w="589" w:type="pct"/>
            <w:shd w:val="clear" w:color="auto" w:fill="E1362C"/>
            <w:noWrap/>
            <w:vAlign w:val="center"/>
          </w:tcPr>
          <w:p w14:paraId="1BA46F85" w14:textId="77777777" w:rsidR="00C42015" w:rsidRPr="00F5323F" w:rsidRDefault="00C42015" w:rsidP="001014F0">
            <w:pPr>
              <w:pStyle w:val="TableText"/>
              <w:jc w:val="center"/>
              <w:rPr>
                <w:sz w:val="28"/>
                <w:szCs w:val="28"/>
              </w:rPr>
            </w:pPr>
          </w:p>
        </w:tc>
        <w:tc>
          <w:tcPr>
            <w:tcW w:w="530" w:type="pct"/>
            <w:shd w:val="clear" w:color="auto" w:fill="FFFFFF" w:themeFill="background1"/>
            <w:noWrap/>
            <w:vAlign w:val="center"/>
          </w:tcPr>
          <w:p w14:paraId="0E56FE63" w14:textId="77777777" w:rsidR="00C42015" w:rsidRPr="00926D59" w:rsidRDefault="00C42015" w:rsidP="002F65CE">
            <w:pPr>
              <w:pStyle w:val="TableText"/>
              <w:jc w:val="center"/>
            </w:pPr>
          </w:p>
        </w:tc>
        <w:tc>
          <w:tcPr>
            <w:tcW w:w="530" w:type="pct"/>
            <w:shd w:val="clear" w:color="auto" w:fill="E1362C"/>
            <w:vAlign w:val="center"/>
          </w:tcPr>
          <w:p w14:paraId="3A69D0DD" w14:textId="77777777" w:rsidR="00C42015" w:rsidRPr="00A26B3B" w:rsidRDefault="00C42015" w:rsidP="002F65CE">
            <w:pPr>
              <w:pStyle w:val="TableText"/>
              <w:jc w:val="center"/>
              <w:rPr>
                <w:rFonts w:ascii="Segoe UI Symbol" w:hAnsi="Segoe UI Symbol"/>
                <w:sz w:val="20"/>
                <w:szCs w:val="20"/>
              </w:rPr>
            </w:pPr>
          </w:p>
        </w:tc>
        <w:tc>
          <w:tcPr>
            <w:tcW w:w="530" w:type="pct"/>
            <w:shd w:val="clear" w:color="auto" w:fill="E1362C"/>
            <w:vAlign w:val="center"/>
          </w:tcPr>
          <w:p w14:paraId="087E9145" w14:textId="77777777" w:rsidR="00C42015" w:rsidRPr="00A26B3B" w:rsidRDefault="00C42015" w:rsidP="002F65CE">
            <w:pPr>
              <w:pStyle w:val="TableText"/>
              <w:jc w:val="center"/>
              <w:rPr>
                <w:rFonts w:ascii="Segoe UI Symbol" w:hAnsi="Segoe UI Symbol"/>
                <w:sz w:val="20"/>
                <w:szCs w:val="20"/>
              </w:rPr>
            </w:pPr>
          </w:p>
        </w:tc>
        <w:tc>
          <w:tcPr>
            <w:tcW w:w="589" w:type="pct"/>
            <w:shd w:val="clear" w:color="auto" w:fill="E1362C"/>
            <w:vAlign w:val="center"/>
          </w:tcPr>
          <w:p w14:paraId="7A97B584" w14:textId="77777777" w:rsidR="00C42015" w:rsidRPr="00A26B3B" w:rsidRDefault="00C42015" w:rsidP="002F65CE">
            <w:pPr>
              <w:pStyle w:val="TableText"/>
              <w:jc w:val="center"/>
              <w:rPr>
                <w:rFonts w:ascii="Segoe UI Symbol" w:hAnsi="Segoe UI Symbol"/>
                <w:sz w:val="20"/>
                <w:szCs w:val="20"/>
              </w:rPr>
            </w:pPr>
          </w:p>
        </w:tc>
        <w:tc>
          <w:tcPr>
            <w:tcW w:w="589" w:type="pct"/>
            <w:shd w:val="clear" w:color="auto" w:fill="FF9831"/>
            <w:vAlign w:val="center"/>
          </w:tcPr>
          <w:p w14:paraId="291B84A9" w14:textId="77777777" w:rsidR="00C42015" w:rsidRPr="008A3EB0" w:rsidRDefault="00C42015" w:rsidP="00F74175">
            <w:pPr>
              <w:pStyle w:val="TableText"/>
              <w:jc w:val="center"/>
            </w:pPr>
          </w:p>
        </w:tc>
        <w:tc>
          <w:tcPr>
            <w:tcW w:w="528" w:type="pct"/>
            <w:shd w:val="clear" w:color="auto" w:fill="FFFFFF" w:themeFill="background1"/>
            <w:vAlign w:val="center"/>
          </w:tcPr>
          <w:p w14:paraId="1FBD1D0A" w14:textId="77777777" w:rsidR="00C42015" w:rsidRPr="00926D59" w:rsidRDefault="00C42015">
            <w:pPr>
              <w:pStyle w:val="TableText"/>
              <w:jc w:val="center"/>
            </w:pPr>
          </w:p>
        </w:tc>
      </w:tr>
      <w:tr w:rsidR="00BB7DC5" w:rsidRPr="00926D59" w14:paraId="61809EE5" w14:textId="77777777" w:rsidTr="00E145E8">
        <w:trPr>
          <w:cantSplit/>
          <w:trHeight w:val="504"/>
        </w:trPr>
        <w:tc>
          <w:tcPr>
            <w:tcW w:w="1115" w:type="pct"/>
            <w:shd w:val="clear" w:color="auto" w:fill="FFFFFF" w:themeFill="background1"/>
            <w:noWrap/>
          </w:tcPr>
          <w:p w14:paraId="2C33016D" w14:textId="679B2502" w:rsidR="00C42015" w:rsidRPr="00E4674E" w:rsidRDefault="00C42015" w:rsidP="008912A8">
            <w:pPr>
              <w:pStyle w:val="TableText"/>
            </w:pPr>
            <w:r w:rsidRPr="00E4674E">
              <w:t>03.02.03 – Infusion Pumps, Battery Powered</w:t>
            </w:r>
          </w:p>
        </w:tc>
        <w:tc>
          <w:tcPr>
            <w:tcW w:w="589" w:type="pct"/>
            <w:shd w:val="clear" w:color="auto" w:fill="E1362C"/>
            <w:noWrap/>
            <w:vAlign w:val="center"/>
          </w:tcPr>
          <w:p w14:paraId="3BCA7E80" w14:textId="77777777" w:rsidR="00C42015" w:rsidRPr="00F5323F" w:rsidRDefault="00C42015" w:rsidP="001014F0">
            <w:pPr>
              <w:pStyle w:val="TableText"/>
              <w:jc w:val="center"/>
              <w:rPr>
                <w:sz w:val="28"/>
                <w:szCs w:val="28"/>
              </w:rPr>
            </w:pPr>
          </w:p>
        </w:tc>
        <w:tc>
          <w:tcPr>
            <w:tcW w:w="530" w:type="pct"/>
            <w:shd w:val="clear" w:color="auto" w:fill="FF9831"/>
            <w:noWrap/>
            <w:vAlign w:val="center"/>
          </w:tcPr>
          <w:p w14:paraId="6263CE6A" w14:textId="77777777" w:rsidR="00C42015" w:rsidRPr="00926D59" w:rsidRDefault="00C42015" w:rsidP="002F65CE">
            <w:pPr>
              <w:pStyle w:val="TableText"/>
              <w:jc w:val="center"/>
            </w:pPr>
          </w:p>
        </w:tc>
        <w:tc>
          <w:tcPr>
            <w:tcW w:w="530" w:type="pct"/>
            <w:shd w:val="clear" w:color="auto" w:fill="FFFFFF" w:themeFill="background1"/>
            <w:vAlign w:val="center"/>
          </w:tcPr>
          <w:p w14:paraId="29F29126" w14:textId="77777777" w:rsidR="00C42015" w:rsidRPr="00A26B3B" w:rsidRDefault="00C42015" w:rsidP="002F65CE">
            <w:pPr>
              <w:pStyle w:val="TableText"/>
              <w:jc w:val="center"/>
              <w:rPr>
                <w:rFonts w:ascii="Segoe UI Symbol" w:hAnsi="Segoe UI Symbol"/>
                <w:sz w:val="20"/>
                <w:szCs w:val="20"/>
              </w:rPr>
            </w:pPr>
          </w:p>
        </w:tc>
        <w:tc>
          <w:tcPr>
            <w:tcW w:w="530" w:type="pct"/>
            <w:shd w:val="clear" w:color="auto" w:fill="FFFFFF" w:themeFill="background1"/>
            <w:vAlign w:val="center"/>
          </w:tcPr>
          <w:p w14:paraId="59B73412" w14:textId="77777777" w:rsidR="00C42015" w:rsidRPr="00A26B3B" w:rsidRDefault="00C42015" w:rsidP="002F65CE">
            <w:pPr>
              <w:pStyle w:val="TableText"/>
              <w:jc w:val="center"/>
              <w:rPr>
                <w:rFonts w:ascii="Segoe UI Symbol" w:hAnsi="Segoe UI Symbol"/>
                <w:sz w:val="20"/>
                <w:szCs w:val="20"/>
              </w:rPr>
            </w:pPr>
          </w:p>
        </w:tc>
        <w:tc>
          <w:tcPr>
            <w:tcW w:w="589" w:type="pct"/>
            <w:shd w:val="clear" w:color="auto" w:fill="FFFFFF" w:themeFill="background1"/>
            <w:vAlign w:val="center"/>
          </w:tcPr>
          <w:p w14:paraId="64558B80" w14:textId="77777777" w:rsidR="00C42015" w:rsidRPr="00A26B3B" w:rsidRDefault="00C42015" w:rsidP="002F65CE">
            <w:pPr>
              <w:pStyle w:val="TableText"/>
              <w:jc w:val="center"/>
              <w:rPr>
                <w:rFonts w:ascii="Segoe UI Symbol" w:hAnsi="Segoe UI Symbol"/>
                <w:sz w:val="20"/>
                <w:szCs w:val="20"/>
              </w:rPr>
            </w:pPr>
          </w:p>
        </w:tc>
        <w:tc>
          <w:tcPr>
            <w:tcW w:w="589" w:type="pct"/>
            <w:shd w:val="clear" w:color="auto" w:fill="FFFFFF" w:themeFill="background1"/>
            <w:vAlign w:val="center"/>
          </w:tcPr>
          <w:p w14:paraId="40D59C18" w14:textId="77777777" w:rsidR="00C42015" w:rsidRPr="008A3EB0" w:rsidRDefault="00C42015" w:rsidP="00F74175">
            <w:pPr>
              <w:pStyle w:val="TableText"/>
              <w:jc w:val="center"/>
            </w:pPr>
          </w:p>
        </w:tc>
        <w:tc>
          <w:tcPr>
            <w:tcW w:w="528" w:type="pct"/>
            <w:shd w:val="clear" w:color="auto" w:fill="FFFFFF" w:themeFill="background1"/>
            <w:vAlign w:val="center"/>
          </w:tcPr>
          <w:p w14:paraId="5DD22274" w14:textId="77777777" w:rsidR="00C42015" w:rsidRPr="00926D59" w:rsidRDefault="00C42015">
            <w:pPr>
              <w:pStyle w:val="TableText"/>
              <w:jc w:val="center"/>
            </w:pPr>
          </w:p>
        </w:tc>
      </w:tr>
      <w:tr w:rsidR="00BB7DC5" w:rsidRPr="00926D59" w14:paraId="01FA91EC" w14:textId="77777777" w:rsidTr="00E145E8">
        <w:trPr>
          <w:cantSplit/>
          <w:trHeight w:val="504"/>
        </w:trPr>
        <w:tc>
          <w:tcPr>
            <w:tcW w:w="1115" w:type="pct"/>
            <w:shd w:val="clear" w:color="auto" w:fill="FFFFFF" w:themeFill="background1"/>
            <w:noWrap/>
            <w:vAlign w:val="center"/>
          </w:tcPr>
          <w:p w14:paraId="09167EBF" w14:textId="31160CF9" w:rsidR="00C42015" w:rsidRPr="00E4674E" w:rsidRDefault="00C42015" w:rsidP="00C42015">
            <w:pPr>
              <w:pStyle w:val="TableText"/>
            </w:pPr>
            <w:r>
              <w:t>03.02.05 – Infusion Pump Accessories</w:t>
            </w:r>
          </w:p>
        </w:tc>
        <w:tc>
          <w:tcPr>
            <w:tcW w:w="589" w:type="pct"/>
            <w:shd w:val="clear" w:color="auto" w:fill="FF9831"/>
            <w:noWrap/>
            <w:vAlign w:val="center"/>
          </w:tcPr>
          <w:p w14:paraId="3F0911AB" w14:textId="77777777" w:rsidR="00C42015" w:rsidRPr="00F5323F" w:rsidRDefault="00C42015" w:rsidP="00C42015">
            <w:pPr>
              <w:pStyle w:val="TableText"/>
              <w:jc w:val="center"/>
              <w:rPr>
                <w:sz w:val="28"/>
                <w:szCs w:val="28"/>
              </w:rPr>
            </w:pPr>
          </w:p>
        </w:tc>
        <w:tc>
          <w:tcPr>
            <w:tcW w:w="530" w:type="pct"/>
            <w:shd w:val="clear" w:color="auto" w:fill="FF9831"/>
            <w:noWrap/>
            <w:vAlign w:val="center"/>
          </w:tcPr>
          <w:p w14:paraId="59F7B45F" w14:textId="77777777" w:rsidR="00C42015" w:rsidRPr="00926D59" w:rsidRDefault="00C42015" w:rsidP="00C42015">
            <w:pPr>
              <w:pStyle w:val="TableText"/>
              <w:jc w:val="center"/>
            </w:pPr>
          </w:p>
        </w:tc>
        <w:tc>
          <w:tcPr>
            <w:tcW w:w="530" w:type="pct"/>
            <w:shd w:val="clear" w:color="auto" w:fill="E1362C"/>
            <w:vAlign w:val="center"/>
          </w:tcPr>
          <w:p w14:paraId="0ECF85E5" w14:textId="77777777" w:rsidR="00C42015" w:rsidRPr="00A26B3B" w:rsidRDefault="00C42015" w:rsidP="00C42015">
            <w:pPr>
              <w:pStyle w:val="TableText"/>
              <w:jc w:val="center"/>
              <w:rPr>
                <w:rFonts w:ascii="Segoe UI Symbol" w:hAnsi="Segoe UI Symbol"/>
                <w:sz w:val="20"/>
                <w:szCs w:val="20"/>
              </w:rPr>
            </w:pPr>
          </w:p>
        </w:tc>
        <w:tc>
          <w:tcPr>
            <w:tcW w:w="530" w:type="pct"/>
            <w:shd w:val="clear" w:color="auto" w:fill="FFFFFF" w:themeFill="background1"/>
            <w:vAlign w:val="center"/>
          </w:tcPr>
          <w:p w14:paraId="4A504C73" w14:textId="77777777" w:rsidR="00C42015" w:rsidRPr="00A26B3B" w:rsidRDefault="00C42015" w:rsidP="00C42015">
            <w:pPr>
              <w:pStyle w:val="TableText"/>
              <w:jc w:val="center"/>
              <w:rPr>
                <w:rFonts w:ascii="Segoe UI Symbol" w:hAnsi="Segoe UI Symbol"/>
                <w:sz w:val="20"/>
                <w:szCs w:val="20"/>
              </w:rPr>
            </w:pPr>
          </w:p>
        </w:tc>
        <w:tc>
          <w:tcPr>
            <w:tcW w:w="589" w:type="pct"/>
            <w:shd w:val="clear" w:color="auto" w:fill="E1362C"/>
            <w:vAlign w:val="center"/>
          </w:tcPr>
          <w:p w14:paraId="0591C2B4" w14:textId="77777777" w:rsidR="00C42015" w:rsidRPr="00A26B3B" w:rsidRDefault="00C42015" w:rsidP="00C42015">
            <w:pPr>
              <w:pStyle w:val="TableText"/>
              <w:jc w:val="center"/>
              <w:rPr>
                <w:rFonts w:ascii="Segoe UI Symbol" w:hAnsi="Segoe UI Symbol"/>
                <w:sz w:val="20"/>
                <w:szCs w:val="20"/>
              </w:rPr>
            </w:pPr>
          </w:p>
        </w:tc>
        <w:tc>
          <w:tcPr>
            <w:tcW w:w="589" w:type="pct"/>
            <w:shd w:val="clear" w:color="auto" w:fill="FFFFFF" w:themeFill="background1"/>
            <w:vAlign w:val="center"/>
          </w:tcPr>
          <w:p w14:paraId="43E72E96" w14:textId="77777777" w:rsidR="00C42015" w:rsidRPr="008A3EB0" w:rsidRDefault="00C42015" w:rsidP="00C42015">
            <w:pPr>
              <w:pStyle w:val="TableText"/>
              <w:jc w:val="center"/>
            </w:pPr>
          </w:p>
        </w:tc>
        <w:tc>
          <w:tcPr>
            <w:tcW w:w="528" w:type="pct"/>
            <w:shd w:val="clear" w:color="auto" w:fill="FFFFFF" w:themeFill="background1"/>
            <w:vAlign w:val="center"/>
          </w:tcPr>
          <w:p w14:paraId="16F2F701" w14:textId="77777777" w:rsidR="00C42015" w:rsidRPr="00926D59" w:rsidRDefault="00C42015" w:rsidP="00C42015">
            <w:pPr>
              <w:pStyle w:val="TableText"/>
              <w:jc w:val="center"/>
            </w:pPr>
          </w:p>
        </w:tc>
      </w:tr>
      <w:tr w:rsidR="00DE4C8A" w:rsidRPr="00926D59" w14:paraId="0E75ECDF" w14:textId="77777777" w:rsidTr="00DE4C8A">
        <w:trPr>
          <w:cantSplit/>
          <w:trHeight w:val="272"/>
        </w:trPr>
        <w:tc>
          <w:tcPr>
            <w:tcW w:w="5000" w:type="pct"/>
            <w:gridSpan w:val="8"/>
            <w:shd w:val="clear" w:color="auto" w:fill="D2D2DA" w:themeFill="text1" w:themeFillTint="33"/>
            <w:noWrap/>
          </w:tcPr>
          <w:p w14:paraId="1E5DC5B2" w14:textId="46F34257" w:rsidR="00DE4C8A" w:rsidRPr="009F5E04" w:rsidRDefault="00DE4C8A" w:rsidP="00C42015">
            <w:pPr>
              <w:pStyle w:val="TableText"/>
            </w:pPr>
            <w:r w:rsidRPr="009F5E04">
              <w:t>03.05</w:t>
            </w:r>
            <w:r>
              <w:t xml:space="preserve"> – Haemostatic Devices</w:t>
            </w:r>
          </w:p>
        </w:tc>
      </w:tr>
      <w:tr w:rsidR="00BB7DC5" w:rsidRPr="00926D59" w14:paraId="109EDB14" w14:textId="77777777" w:rsidTr="00E145E8">
        <w:trPr>
          <w:cantSplit/>
          <w:trHeight w:val="504"/>
        </w:trPr>
        <w:tc>
          <w:tcPr>
            <w:tcW w:w="1115" w:type="pct"/>
            <w:shd w:val="clear" w:color="auto" w:fill="FFFFFF" w:themeFill="background1"/>
            <w:noWrap/>
          </w:tcPr>
          <w:p w14:paraId="4DE48F41" w14:textId="7D2DADA4" w:rsidR="00AA75FC" w:rsidRDefault="00AA75FC" w:rsidP="00C42015">
            <w:pPr>
              <w:pStyle w:val="TableText"/>
            </w:pPr>
            <w:r w:rsidRPr="009F5E04">
              <w:t>03.05.02 - Powder</w:t>
            </w:r>
          </w:p>
        </w:tc>
        <w:tc>
          <w:tcPr>
            <w:tcW w:w="589" w:type="pct"/>
            <w:shd w:val="clear" w:color="auto" w:fill="FF9831"/>
            <w:noWrap/>
            <w:vAlign w:val="center"/>
          </w:tcPr>
          <w:p w14:paraId="54588668" w14:textId="77777777" w:rsidR="00AA75FC" w:rsidRPr="00926D59" w:rsidRDefault="00AA75FC" w:rsidP="00C42015">
            <w:pPr>
              <w:pStyle w:val="TableText"/>
              <w:jc w:val="center"/>
            </w:pPr>
          </w:p>
        </w:tc>
        <w:tc>
          <w:tcPr>
            <w:tcW w:w="530" w:type="pct"/>
            <w:shd w:val="clear" w:color="auto" w:fill="FF9831"/>
            <w:noWrap/>
            <w:vAlign w:val="center"/>
          </w:tcPr>
          <w:p w14:paraId="63291CCB" w14:textId="77777777" w:rsidR="00AA75FC" w:rsidRPr="00926D59" w:rsidRDefault="00AA75FC" w:rsidP="00C42015">
            <w:pPr>
              <w:pStyle w:val="TableText"/>
              <w:jc w:val="center"/>
            </w:pPr>
          </w:p>
        </w:tc>
        <w:tc>
          <w:tcPr>
            <w:tcW w:w="530" w:type="pct"/>
            <w:shd w:val="clear" w:color="auto" w:fill="FFFFFF" w:themeFill="background1"/>
            <w:vAlign w:val="center"/>
          </w:tcPr>
          <w:p w14:paraId="3B428FDB" w14:textId="77777777" w:rsidR="00AA75FC" w:rsidRPr="00926D59" w:rsidRDefault="00AA75FC" w:rsidP="00C42015">
            <w:pPr>
              <w:pStyle w:val="TableText"/>
              <w:jc w:val="center"/>
            </w:pPr>
          </w:p>
        </w:tc>
        <w:tc>
          <w:tcPr>
            <w:tcW w:w="530" w:type="pct"/>
            <w:shd w:val="clear" w:color="auto" w:fill="FFFFFF" w:themeFill="background1"/>
            <w:vAlign w:val="center"/>
          </w:tcPr>
          <w:p w14:paraId="0395A4EC" w14:textId="77777777" w:rsidR="00AA75FC" w:rsidRPr="00926D59" w:rsidRDefault="00AA75FC" w:rsidP="00C42015">
            <w:pPr>
              <w:pStyle w:val="TableText"/>
              <w:jc w:val="center"/>
            </w:pPr>
          </w:p>
        </w:tc>
        <w:tc>
          <w:tcPr>
            <w:tcW w:w="589" w:type="pct"/>
            <w:shd w:val="clear" w:color="auto" w:fill="FFFFFF" w:themeFill="background1"/>
            <w:vAlign w:val="center"/>
          </w:tcPr>
          <w:p w14:paraId="1EE4957A" w14:textId="77777777" w:rsidR="00AA75FC" w:rsidRPr="00926D59" w:rsidRDefault="00AA75FC" w:rsidP="00C42015">
            <w:pPr>
              <w:pStyle w:val="TableText"/>
              <w:jc w:val="center"/>
            </w:pPr>
          </w:p>
        </w:tc>
        <w:tc>
          <w:tcPr>
            <w:tcW w:w="589" w:type="pct"/>
            <w:shd w:val="clear" w:color="auto" w:fill="FFFFFF" w:themeFill="background1"/>
            <w:vAlign w:val="center"/>
          </w:tcPr>
          <w:p w14:paraId="42473573" w14:textId="77777777" w:rsidR="00AA75FC" w:rsidRPr="00926D59" w:rsidRDefault="00AA75FC" w:rsidP="00C42015">
            <w:pPr>
              <w:pStyle w:val="TableText"/>
              <w:jc w:val="center"/>
            </w:pPr>
          </w:p>
        </w:tc>
        <w:tc>
          <w:tcPr>
            <w:tcW w:w="528" w:type="pct"/>
            <w:shd w:val="clear" w:color="auto" w:fill="FF9831"/>
            <w:vAlign w:val="center"/>
          </w:tcPr>
          <w:p w14:paraId="40DA453C" w14:textId="77777777" w:rsidR="00AA75FC" w:rsidRPr="00926D59" w:rsidRDefault="00AA75FC" w:rsidP="00C42015">
            <w:pPr>
              <w:pStyle w:val="TableText"/>
              <w:jc w:val="center"/>
            </w:pPr>
          </w:p>
        </w:tc>
      </w:tr>
      <w:tr w:rsidR="00BB7DC5" w:rsidRPr="00926D59" w14:paraId="0FD89B8D" w14:textId="77777777" w:rsidTr="00E145E8">
        <w:trPr>
          <w:cantSplit/>
          <w:trHeight w:val="504"/>
        </w:trPr>
        <w:tc>
          <w:tcPr>
            <w:tcW w:w="1115" w:type="pct"/>
            <w:shd w:val="clear" w:color="auto" w:fill="FFFFFF" w:themeFill="background1"/>
            <w:noWrap/>
          </w:tcPr>
          <w:p w14:paraId="7F6FFE10" w14:textId="44D099B6" w:rsidR="00AA75FC" w:rsidRDefault="00AA75FC" w:rsidP="00C42015">
            <w:pPr>
              <w:pStyle w:val="TableText"/>
            </w:pPr>
            <w:r>
              <w:t>03.05.03 – Sponges</w:t>
            </w:r>
          </w:p>
        </w:tc>
        <w:tc>
          <w:tcPr>
            <w:tcW w:w="589" w:type="pct"/>
            <w:shd w:val="clear" w:color="auto" w:fill="FF9831"/>
            <w:noWrap/>
            <w:vAlign w:val="center"/>
          </w:tcPr>
          <w:p w14:paraId="0672A859" w14:textId="77777777" w:rsidR="00AA75FC" w:rsidRPr="00926D59" w:rsidRDefault="00AA75FC" w:rsidP="00C42015">
            <w:pPr>
              <w:pStyle w:val="TableText"/>
              <w:jc w:val="center"/>
            </w:pPr>
          </w:p>
        </w:tc>
        <w:tc>
          <w:tcPr>
            <w:tcW w:w="530" w:type="pct"/>
            <w:shd w:val="clear" w:color="auto" w:fill="FFFFFF" w:themeFill="background1"/>
            <w:noWrap/>
            <w:vAlign w:val="center"/>
          </w:tcPr>
          <w:p w14:paraId="77B10D9C" w14:textId="77777777" w:rsidR="00AA75FC" w:rsidRPr="00926D59" w:rsidRDefault="00AA75FC" w:rsidP="00C42015">
            <w:pPr>
              <w:pStyle w:val="TableText"/>
              <w:jc w:val="center"/>
            </w:pPr>
          </w:p>
        </w:tc>
        <w:tc>
          <w:tcPr>
            <w:tcW w:w="530" w:type="pct"/>
            <w:shd w:val="clear" w:color="auto" w:fill="FFFFFF" w:themeFill="background1"/>
            <w:vAlign w:val="center"/>
          </w:tcPr>
          <w:p w14:paraId="5E640B1D" w14:textId="77777777" w:rsidR="00AA75FC" w:rsidRPr="00926D59" w:rsidRDefault="00AA75FC" w:rsidP="00C42015">
            <w:pPr>
              <w:pStyle w:val="TableText"/>
              <w:jc w:val="center"/>
            </w:pPr>
          </w:p>
        </w:tc>
        <w:tc>
          <w:tcPr>
            <w:tcW w:w="530" w:type="pct"/>
            <w:shd w:val="clear" w:color="auto" w:fill="FFFFFF" w:themeFill="background1"/>
            <w:vAlign w:val="center"/>
          </w:tcPr>
          <w:p w14:paraId="3F0B31AD" w14:textId="77777777" w:rsidR="00AA75FC" w:rsidRPr="00926D59" w:rsidRDefault="00AA75FC" w:rsidP="00C42015">
            <w:pPr>
              <w:pStyle w:val="TableText"/>
              <w:jc w:val="center"/>
            </w:pPr>
          </w:p>
        </w:tc>
        <w:tc>
          <w:tcPr>
            <w:tcW w:w="589" w:type="pct"/>
            <w:shd w:val="clear" w:color="auto" w:fill="FFFFFF" w:themeFill="background1"/>
            <w:vAlign w:val="center"/>
          </w:tcPr>
          <w:p w14:paraId="2B7D8108" w14:textId="77777777" w:rsidR="00AA75FC" w:rsidRPr="00926D59" w:rsidRDefault="00AA75FC" w:rsidP="00C42015">
            <w:pPr>
              <w:pStyle w:val="TableText"/>
              <w:jc w:val="center"/>
            </w:pPr>
          </w:p>
        </w:tc>
        <w:tc>
          <w:tcPr>
            <w:tcW w:w="589" w:type="pct"/>
            <w:shd w:val="clear" w:color="auto" w:fill="FF9831"/>
            <w:vAlign w:val="center"/>
          </w:tcPr>
          <w:p w14:paraId="08CBD8D1" w14:textId="77777777" w:rsidR="00AA75FC" w:rsidRPr="00926D59" w:rsidRDefault="00AA75FC" w:rsidP="00C42015">
            <w:pPr>
              <w:pStyle w:val="TableText"/>
              <w:jc w:val="center"/>
            </w:pPr>
          </w:p>
        </w:tc>
        <w:tc>
          <w:tcPr>
            <w:tcW w:w="528" w:type="pct"/>
            <w:shd w:val="clear" w:color="auto" w:fill="FFFFFF" w:themeFill="background1"/>
            <w:vAlign w:val="center"/>
          </w:tcPr>
          <w:p w14:paraId="0F49734A" w14:textId="77777777" w:rsidR="00AA75FC" w:rsidRPr="00926D59" w:rsidRDefault="00AA75FC" w:rsidP="00C42015">
            <w:pPr>
              <w:pStyle w:val="TableText"/>
              <w:jc w:val="center"/>
            </w:pPr>
          </w:p>
        </w:tc>
      </w:tr>
      <w:tr w:rsidR="00BB7DC5" w:rsidRPr="00926D59" w14:paraId="1098E62F" w14:textId="77777777" w:rsidTr="00E145E8">
        <w:trPr>
          <w:cantSplit/>
          <w:trHeight w:val="504"/>
        </w:trPr>
        <w:tc>
          <w:tcPr>
            <w:tcW w:w="1115" w:type="pct"/>
            <w:shd w:val="clear" w:color="auto" w:fill="FFFFFF" w:themeFill="background1"/>
            <w:noWrap/>
          </w:tcPr>
          <w:p w14:paraId="771B4C99" w14:textId="60E1F8E5" w:rsidR="00AA75FC" w:rsidRDefault="00AA75FC" w:rsidP="00C42015">
            <w:pPr>
              <w:pStyle w:val="TableText"/>
            </w:pPr>
            <w:r w:rsidRPr="00A677B5">
              <w:t>03.05.04 – Pliable Patches</w:t>
            </w:r>
          </w:p>
        </w:tc>
        <w:tc>
          <w:tcPr>
            <w:tcW w:w="589" w:type="pct"/>
            <w:shd w:val="clear" w:color="auto" w:fill="FF9831"/>
            <w:noWrap/>
            <w:vAlign w:val="center"/>
          </w:tcPr>
          <w:p w14:paraId="6D567ED8" w14:textId="77777777" w:rsidR="00AA75FC" w:rsidRPr="00926D59" w:rsidRDefault="00AA75FC" w:rsidP="00C42015">
            <w:pPr>
              <w:pStyle w:val="TableText"/>
              <w:jc w:val="center"/>
            </w:pPr>
          </w:p>
        </w:tc>
        <w:tc>
          <w:tcPr>
            <w:tcW w:w="530" w:type="pct"/>
            <w:shd w:val="clear" w:color="auto" w:fill="FFFFFF" w:themeFill="background1"/>
            <w:noWrap/>
            <w:vAlign w:val="center"/>
          </w:tcPr>
          <w:p w14:paraId="2A4D08A6" w14:textId="77777777" w:rsidR="00AA75FC" w:rsidRPr="00926D59" w:rsidRDefault="00AA75FC" w:rsidP="00C42015">
            <w:pPr>
              <w:pStyle w:val="TableText"/>
              <w:jc w:val="center"/>
            </w:pPr>
          </w:p>
        </w:tc>
        <w:tc>
          <w:tcPr>
            <w:tcW w:w="530" w:type="pct"/>
            <w:shd w:val="clear" w:color="auto" w:fill="E1362C"/>
            <w:vAlign w:val="center"/>
          </w:tcPr>
          <w:p w14:paraId="68519C99" w14:textId="77777777" w:rsidR="00AA75FC" w:rsidRPr="00926D59" w:rsidRDefault="00AA75FC" w:rsidP="00C42015">
            <w:pPr>
              <w:pStyle w:val="TableText"/>
              <w:jc w:val="center"/>
            </w:pPr>
          </w:p>
        </w:tc>
        <w:tc>
          <w:tcPr>
            <w:tcW w:w="530" w:type="pct"/>
            <w:shd w:val="clear" w:color="auto" w:fill="E1362C"/>
            <w:vAlign w:val="center"/>
          </w:tcPr>
          <w:p w14:paraId="1DF180B0" w14:textId="77777777" w:rsidR="00AA75FC" w:rsidRPr="00926D59" w:rsidRDefault="00AA75FC" w:rsidP="00C42015">
            <w:pPr>
              <w:pStyle w:val="TableText"/>
              <w:jc w:val="center"/>
            </w:pPr>
          </w:p>
        </w:tc>
        <w:tc>
          <w:tcPr>
            <w:tcW w:w="589" w:type="pct"/>
            <w:shd w:val="clear" w:color="auto" w:fill="E1362C"/>
            <w:vAlign w:val="center"/>
          </w:tcPr>
          <w:p w14:paraId="54E29104" w14:textId="77777777" w:rsidR="00AA75FC" w:rsidRPr="00926D59" w:rsidRDefault="00AA75FC" w:rsidP="00C42015">
            <w:pPr>
              <w:pStyle w:val="TableText"/>
              <w:jc w:val="center"/>
            </w:pPr>
          </w:p>
        </w:tc>
        <w:tc>
          <w:tcPr>
            <w:tcW w:w="589" w:type="pct"/>
            <w:shd w:val="clear" w:color="auto" w:fill="FFFFFF" w:themeFill="background1"/>
            <w:vAlign w:val="center"/>
          </w:tcPr>
          <w:p w14:paraId="12E21F52" w14:textId="77777777" w:rsidR="00AA75FC" w:rsidRPr="00926D59" w:rsidRDefault="00AA75FC" w:rsidP="00C42015">
            <w:pPr>
              <w:pStyle w:val="TableText"/>
              <w:jc w:val="center"/>
            </w:pPr>
          </w:p>
        </w:tc>
        <w:tc>
          <w:tcPr>
            <w:tcW w:w="528" w:type="pct"/>
            <w:shd w:val="clear" w:color="auto" w:fill="FFFFFF" w:themeFill="background1"/>
            <w:vAlign w:val="center"/>
          </w:tcPr>
          <w:p w14:paraId="07D8509A" w14:textId="77777777" w:rsidR="00AA75FC" w:rsidRPr="00926D59" w:rsidRDefault="00AA75FC" w:rsidP="00C42015">
            <w:pPr>
              <w:pStyle w:val="TableText"/>
              <w:jc w:val="center"/>
            </w:pPr>
          </w:p>
        </w:tc>
      </w:tr>
      <w:tr w:rsidR="00BB7DC5" w:rsidRPr="00926D59" w14:paraId="20354070" w14:textId="77777777" w:rsidTr="00E145E8">
        <w:trPr>
          <w:cantSplit/>
          <w:trHeight w:val="504"/>
        </w:trPr>
        <w:tc>
          <w:tcPr>
            <w:tcW w:w="1115" w:type="pct"/>
            <w:shd w:val="clear" w:color="auto" w:fill="FFFFFF" w:themeFill="background1"/>
            <w:noWrap/>
          </w:tcPr>
          <w:p w14:paraId="576F0D3F" w14:textId="18EA4A69" w:rsidR="00AA75FC" w:rsidRDefault="00AA75FC" w:rsidP="00C42015">
            <w:pPr>
              <w:pStyle w:val="TableText"/>
            </w:pPr>
            <w:r w:rsidRPr="00A677B5">
              <w:t>03.05.05 - Matrix</w:t>
            </w:r>
          </w:p>
        </w:tc>
        <w:tc>
          <w:tcPr>
            <w:tcW w:w="589" w:type="pct"/>
            <w:shd w:val="clear" w:color="auto" w:fill="FF9831"/>
            <w:noWrap/>
            <w:vAlign w:val="center"/>
          </w:tcPr>
          <w:p w14:paraId="5A5C06DF" w14:textId="77777777" w:rsidR="00AA75FC" w:rsidRPr="00926D59" w:rsidRDefault="00AA75FC" w:rsidP="00C42015">
            <w:pPr>
              <w:pStyle w:val="TableText"/>
              <w:jc w:val="center"/>
            </w:pPr>
          </w:p>
        </w:tc>
        <w:tc>
          <w:tcPr>
            <w:tcW w:w="530" w:type="pct"/>
            <w:shd w:val="clear" w:color="auto" w:fill="FF9831"/>
            <w:noWrap/>
            <w:vAlign w:val="center"/>
          </w:tcPr>
          <w:p w14:paraId="178082D0" w14:textId="77777777" w:rsidR="00AA75FC" w:rsidRPr="00926D59" w:rsidRDefault="00AA75FC" w:rsidP="00C42015">
            <w:pPr>
              <w:pStyle w:val="TableText"/>
              <w:jc w:val="center"/>
            </w:pPr>
          </w:p>
        </w:tc>
        <w:tc>
          <w:tcPr>
            <w:tcW w:w="530" w:type="pct"/>
            <w:shd w:val="clear" w:color="auto" w:fill="FFFFFF" w:themeFill="background1"/>
            <w:vAlign w:val="center"/>
          </w:tcPr>
          <w:p w14:paraId="38272B52" w14:textId="77777777" w:rsidR="00AA75FC" w:rsidRPr="00926D59" w:rsidRDefault="00AA75FC" w:rsidP="00C42015">
            <w:pPr>
              <w:pStyle w:val="TableText"/>
              <w:jc w:val="center"/>
            </w:pPr>
          </w:p>
        </w:tc>
        <w:tc>
          <w:tcPr>
            <w:tcW w:w="530" w:type="pct"/>
            <w:shd w:val="clear" w:color="auto" w:fill="FF9831"/>
            <w:vAlign w:val="center"/>
          </w:tcPr>
          <w:p w14:paraId="51B5C6C0" w14:textId="77777777" w:rsidR="00AA75FC" w:rsidRPr="00926D59" w:rsidRDefault="00AA75FC" w:rsidP="00C42015">
            <w:pPr>
              <w:pStyle w:val="TableText"/>
              <w:jc w:val="center"/>
            </w:pPr>
          </w:p>
        </w:tc>
        <w:tc>
          <w:tcPr>
            <w:tcW w:w="589" w:type="pct"/>
            <w:shd w:val="clear" w:color="auto" w:fill="FFFFFF" w:themeFill="background1"/>
            <w:vAlign w:val="center"/>
          </w:tcPr>
          <w:p w14:paraId="4596850C" w14:textId="77777777" w:rsidR="00AA75FC" w:rsidRPr="00926D59" w:rsidRDefault="00AA75FC" w:rsidP="00C42015">
            <w:pPr>
              <w:pStyle w:val="TableText"/>
              <w:jc w:val="center"/>
            </w:pPr>
          </w:p>
        </w:tc>
        <w:tc>
          <w:tcPr>
            <w:tcW w:w="589" w:type="pct"/>
            <w:shd w:val="clear" w:color="auto" w:fill="FF9831"/>
            <w:vAlign w:val="center"/>
          </w:tcPr>
          <w:p w14:paraId="3A7AFA45" w14:textId="77777777" w:rsidR="00AA75FC" w:rsidRPr="00926D59" w:rsidRDefault="00AA75FC" w:rsidP="00C42015">
            <w:pPr>
              <w:pStyle w:val="TableText"/>
              <w:jc w:val="center"/>
            </w:pPr>
          </w:p>
        </w:tc>
        <w:tc>
          <w:tcPr>
            <w:tcW w:w="528" w:type="pct"/>
            <w:shd w:val="clear" w:color="auto" w:fill="FF9831"/>
            <w:vAlign w:val="center"/>
          </w:tcPr>
          <w:p w14:paraId="1AE00BE6" w14:textId="77777777" w:rsidR="00AA75FC" w:rsidRPr="00926D59" w:rsidRDefault="00AA75FC" w:rsidP="00C42015">
            <w:pPr>
              <w:pStyle w:val="TableText"/>
              <w:jc w:val="center"/>
            </w:pPr>
          </w:p>
        </w:tc>
      </w:tr>
      <w:tr w:rsidR="00BB7DC5" w:rsidRPr="00926D59" w14:paraId="3B0BECC6" w14:textId="77777777" w:rsidTr="00E145E8">
        <w:trPr>
          <w:cantSplit/>
          <w:trHeight w:val="504"/>
        </w:trPr>
        <w:tc>
          <w:tcPr>
            <w:tcW w:w="1115" w:type="pct"/>
            <w:shd w:val="clear" w:color="auto" w:fill="FFFFFF" w:themeFill="background1"/>
            <w:noWrap/>
          </w:tcPr>
          <w:p w14:paraId="46F90016" w14:textId="0862CDFF" w:rsidR="00AA75FC" w:rsidRDefault="00AA75FC" w:rsidP="00C42015">
            <w:pPr>
              <w:pStyle w:val="TableText"/>
            </w:pPr>
            <w:r w:rsidRPr="00A677B5">
              <w:t>03.05.06 - Foam</w:t>
            </w:r>
          </w:p>
        </w:tc>
        <w:tc>
          <w:tcPr>
            <w:tcW w:w="589" w:type="pct"/>
            <w:shd w:val="clear" w:color="auto" w:fill="FF9831"/>
            <w:noWrap/>
            <w:vAlign w:val="center"/>
          </w:tcPr>
          <w:p w14:paraId="5985356A" w14:textId="77777777" w:rsidR="00AA75FC" w:rsidRPr="00926D59" w:rsidRDefault="00AA75FC" w:rsidP="00C42015">
            <w:pPr>
              <w:pStyle w:val="TableText"/>
              <w:jc w:val="center"/>
            </w:pPr>
          </w:p>
        </w:tc>
        <w:tc>
          <w:tcPr>
            <w:tcW w:w="530" w:type="pct"/>
            <w:shd w:val="clear" w:color="auto" w:fill="FF9831"/>
            <w:noWrap/>
            <w:vAlign w:val="center"/>
          </w:tcPr>
          <w:p w14:paraId="665F1326" w14:textId="77777777" w:rsidR="00AA75FC" w:rsidRPr="00926D59" w:rsidRDefault="00AA75FC" w:rsidP="00C42015">
            <w:pPr>
              <w:pStyle w:val="TableText"/>
              <w:jc w:val="center"/>
            </w:pPr>
          </w:p>
        </w:tc>
        <w:tc>
          <w:tcPr>
            <w:tcW w:w="530" w:type="pct"/>
            <w:shd w:val="clear" w:color="auto" w:fill="FFFFFF" w:themeFill="background1"/>
            <w:vAlign w:val="center"/>
          </w:tcPr>
          <w:p w14:paraId="686E8B5E" w14:textId="77777777" w:rsidR="00AA75FC" w:rsidRPr="00926D59" w:rsidRDefault="00AA75FC" w:rsidP="00C42015">
            <w:pPr>
              <w:pStyle w:val="TableText"/>
              <w:jc w:val="center"/>
            </w:pPr>
          </w:p>
        </w:tc>
        <w:tc>
          <w:tcPr>
            <w:tcW w:w="530" w:type="pct"/>
            <w:shd w:val="clear" w:color="auto" w:fill="FFFFFF" w:themeFill="background1"/>
            <w:vAlign w:val="center"/>
          </w:tcPr>
          <w:p w14:paraId="73E58AEF" w14:textId="77777777" w:rsidR="00AA75FC" w:rsidRPr="00926D59" w:rsidRDefault="00AA75FC" w:rsidP="00C42015">
            <w:pPr>
              <w:pStyle w:val="TableText"/>
              <w:jc w:val="center"/>
            </w:pPr>
          </w:p>
        </w:tc>
        <w:tc>
          <w:tcPr>
            <w:tcW w:w="589" w:type="pct"/>
            <w:shd w:val="clear" w:color="auto" w:fill="FFFFFF" w:themeFill="background1"/>
            <w:vAlign w:val="center"/>
          </w:tcPr>
          <w:p w14:paraId="480FE158" w14:textId="77777777" w:rsidR="00AA75FC" w:rsidRPr="00926D59" w:rsidRDefault="00AA75FC" w:rsidP="00C42015">
            <w:pPr>
              <w:pStyle w:val="TableText"/>
              <w:jc w:val="center"/>
            </w:pPr>
          </w:p>
        </w:tc>
        <w:tc>
          <w:tcPr>
            <w:tcW w:w="589" w:type="pct"/>
            <w:shd w:val="clear" w:color="auto" w:fill="FF9831"/>
            <w:vAlign w:val="center"/>
          </w:tcPr>
          <w:p w14:paraId="2444C3D0" w14:textId="77777777" w:rsidR="00AA75FC" w:rsidRPr="00926D59" w:rsidRDefault="00AA75FC" w:rsidP="00C42015">
            <w:pPr>
              <w:pStyle w:val="TableText"/>
              <w:jc w:val="center"/>
            </w:pPr>
          </w:p>
        </w:tc>
        <w:tc>
          <w:tcPr>
            <w:tcW w:w="528" w:type="pct"/>
            <w:shd w:val="clear" w:color="auto" w:fill="FFFFFF" w:themeFill="background1"/>
            <w:vAlign w:val="center"/>
          </w:tcPr>
          <w:p w14:paraId="7D18CA0A" w14:textId="77777777" w:rsidR="00AA75FC" w:rsidRPr="00926D59" w:rsidRDefault="00AA75FC" w:rsidP="00C42015">
            <w:pPr>
              <w:pStyle w:val="TableText"/>
              <w:jc w:val="center"/>
            </w:pPr>
          </w:p>
        </w:tc>
      </w:tr>
      <w:tr w:rsidR="00DE4C8A" w:rsidRPr="00926D59" w14:paraId="3FE33853" w14:textId="77777777" w:rsidTr="00DE4C8A">
        <w:trPr>
          <w:cantSplit/>
          <w:trHeight w:val="272"/>
        </w:trPr>
        <w:tc>
          <w:tcPr>
            <w:tcW w:w="5000" w:type="pct"/>
            <w:gridSpan w:val="8"/>
            <w:shd w:val="clear" w:color="auto" w:fill="D2D2DA" w:themeFill="text1" w:themeFillTint="33"/>
            <w:noWrap/>
          </w:tcPr>
          <w:p w14:paraId="5086010D" w14:textId="33049CB9" w:rsidR="00DE4C8A" w:rsidRPr="00A677B5" w:rsidRDefault="00DE4C8A" w:rsidP="00C42015">
            <w:pPr>
              <w:pStyle w:val="TableText"/>
            </w:pPr>
            <w:r w:rsidRPr="00A677B5">
              <w:t>03.08 – Closure Devices</w:t>
            </w:r>
          </w:p>
        </w:tc>
      </w:tr>
      <w:tr w:rsidR="00E145E8" w:rsidRPr="00926D59" w14:paraId="3F2EAC42" w14:textId="77777777" w:rsidTr="00E145E8">
        <w:trPr>
          <w:cantSplit/>
          <w:trHeight w:val="504"/>
        </w:trPr>
        <w:tc>
          <w:tcPr>
            <w:tcW w:w="1115" w:type="pct"/>
            <w:shd w:val="clear" w:color="auto" w:fill="FFFFFF" w:themeFill="background1"/>
            <w:noWrap/>
          </w:tcPr>
          <w:p w14:paraId="0D17B193" w14:textId="44D1D7A9" w:rsidR="00AA75FC" w:rsidRPr="00A677B5" w:rsidRDefault="00AA75FC" w:rsidP="00C42015">
            <w:pPr>
              <w:pStyle w:val="TableText"/>
            </w:pPr>
            <w:r w:rsidRPr="00A677B5">
              <w:t>03.08.01 – Adhesion Barriers</w:t>
            </w:r>
          </w:p>
        </w:tc>
        <w:tc>
          <w:tcPr>
            <w:tcW w:w="589" w:type="pct"/>
            <w:shd w:val="clear" w:color="auto" w:fill="FFFFFF" w:themeFill="background1"/>
            <w:noWrap/>
            <w:vAlign w:val="center"/>
          </w:tcPr>
          <w:p w14:paraId="610410A5" w14:textId="77777777" w:rsidR="00AA75FC" w:rsidRPr="00926D59" w:rsidRDefault="00AA75FC" w:rsidP="00C42015">
            <w:pPr>
              <w:pStyle w:val="TableText"/>
              <w:jc w:val="center"/>
            </w:pPr>
          </w:p>
        </w:tc>
        <w:tc>
          <w:tcPr>
            <w:tcW w:w="530" w:type="pct"/>
            <w:shd w:val="clear" w:color="auto" w:fill="FFE600" w:themeFill="text2"/>
            <w:noWrap/>
            <w:vAlign w:val="center"/>
          </w:tcPr>
          <w:p w14:paraId="73FF6547" w14:textId="77777777" w:rsidR="00AA75FC" w:rsidRPr="00926D59" w:rsidRDefault="00AA75FC" w:rsidP="00C42015">
            <w:pPr>
              <w:pStyle w:val="TableText"/>
              <w:jc w:val="center"/>
            </w:pPr>
          </w:p>
        </w:tc>
        <w:tc>
          <w:tcPr>
            <w:tcW w:w="530" w:type="pct"/>
            <w:shd w:val="clear" w:color="auto" w:fill="E1362C"/>
            <w:vAlign w:val="center"/>
          </w:tcPr>
          <w:p w14:paraId="27DD3EBE" w14:textId="77777777" w:rsidR="00AA75FC" w:rsidRPr="00926D59" w:rsidRDefault="00AA75FC" w:rsidP="00C42015">
            <w:pPr>
              <w:pStyle w:val="TableText"/>
              <w:jc w:val="center"/>
            </w:pPr>
          </w:p>
        </w:tc>
        <w:tc>
          <w:tcPr>
            <w:tcW w:w="530" w:type="pct"/>
            <w:shd w:val="clear" w:color="auto" w:fill="FFFFFF" w:themeFill="background1"/>
            <w:vAlign w:val="center"/>
          </w:tcPr>
          <w:p w14:paraId="6DBCD2DE" w14:textId="77777777" w:rsidR="00AA75FC" w:rsidRPr="00926D59" w:rsidRDefault="00AA75FC" w:rsidP="00C42015">
            <w:pPr>
              <w:pStyle w:val="TableText"/>
              <w:jc w:val="center"/>
            </w:pPr>
          </w:p>
        </w:tc>
        <w:tc>
          <w:tcPr>
            <w:tcW w:w="589" w:type="pct"/>
            <w:shd w:val="clear" w:color="auto" w:fill="E1362C"/>
            <w:vAlign w:val="center"/>
          </w:tcPr>
          <w:p w14:paraId="7FF2724D" w14:textId="77777777" w:rsidR="00AA75FC" w:rsidRPr="00926D59" w:rsidRDefault="00AA75FC" w:rsidP="00C42015">
            <w:pPr>
              <w:pStyle w:val="TableText"/>
              <w:jc w:val="center"/>
            </w:pPr>
          </w:p>
        </w:tc>
        <w:tc>
          <w:tcPr>
            <w:tcW w:w="589" w:type="pct"/>
            <w:shd w:val="clear" w:color="auto" w:fill="FFFFFF" w:themeFill="background1"/>
            <w:vAlign w:val="center"/>
          </w:tcPr>
          <w:p w14:paraId="1317E44B" w14:textId="77777777" w:rsidR="00AA75FC" w:rsidRPr="00926D59" w:rsidRDefault="00AA75FC" w:rsidP="00C42015">
            <w:pPr>
              <w:pStyle w:val="TableText"/>
              <w:jc w:val="center"/>
            </w:pPr>
          </w:p>
        </w:tc>
        <w:tc>
          <w:tcPr>
            <w:tcW w:w="528" w:type="pct"/>
            <w:shd w:val="clear" w:color="auto" w:fill="FF9831"/>
            <w:vAlign w:val="center"/>
          </w:tcPr>
          <w:p w14:paraId="169DCF84" w14:textId="77777777" w:rsidR="00AA75FC" w:rsidRPr="00926D59" w:rsidRDefault="00AA75FC" w:rsidP="00C42015">
            <w:pPr>
              <w:pStyle w:val="TableText"/>
              <w:jc w:val="center"/>
            </w:pPr>
          </w:p>
        </w:tc>
      </w:tr>
      <w:tr w:rsidR="00BB7DC5" w:rsidRPr="00926D59" w14:paraId="0A0488AA" w14:textId="77777777" w:rsidTr="00E145E8">
        <w:trPr>
          <w:cantSplit/>
          <w:trHeight w:val="504"/>
        </w:trPr>
        <w:tc>
          <w:tcPr>
            <w:tcW w:w="1115" w:type="pct"/>
            <w:shd w:val="clear" w:color="auto" w:fill="FFFFFF" w:themeFill="background1"/>
            <w:noWrap/>
          </w:tcPr>
          <w:p w14:paraId="5922A0DE" w14:textId="0630168E" w:rsidR="00AA75FC" w:rsidRPr="00A677B5" w:rsidRDefault="00AA75FC" w:rsidP="00C42015">
            <w:pPr>
              <w:pStyle w:val="TableText"/>
            </w:pPr>
            <w:r w:rsidRPr="00A677B5">
              <w:t>03.08.02 – Internal Adhesives</w:t>
            </w:r>
          </w:p>
        </w:tc>
        <w:tc>
          <w:tcPr>
            <w:tcW w:w="589" w:type="pct"/>
            <w:shd w:val="clear" w:color="auto" w:fill="E1362C"/>
            <w:noWrap/>
            <w:vAlign w:val="center"/>
          </w:tcPr>
          <w:p w14:paraId="20823B91" w14:textId="77777777" w:rsidR="00AA75FC" w:rsidRPr="00926D59" w:rsidRDefault="00AA75FC" w:rsidP="00C42015">
            <w:pPr>
              <w:pStyle w:val="TableText"/>
              <w:jc w:val="center"/>
            </w:pPr>
          </w:p>
        </w:tc>
        <w:tc>
          <w:tcPr>
            <w:tcW w:w="530" w:type="pct"/>
            <w:shd w:val="clear" w:color="auto" w:fill="E1362C"/>
            <w:noWrap/>
            <w:vAlign w:val="center"/>
          </w:tcPr>
          <w:p w14:paraId="3F33F820" w14:textId="77777777" w:rsidR="00AA75FC" w:rsidRPr="00926D59" w:rsidRDefault="00AA75FC" w:rsidP="00C42015">
            <w:pPr>
              <w:pStyle w:val="TableText"/>
              <w:jc w:val="center"/>
            </w:pPr>
          </w:p>
        </w:tc>
        <w:tc>
          <w:tcPr>
            <w:tcW w:w="530" w:type="pct"/>
            <w:shd w:val="clear" w:color="auto" w:fill="E1362C"/>
            <w:vAlign w:val="center"/>
          </w:tcPr>
          <w:p w14:paraId="47C2C448" w14:textId="77777777" w:rsidR="00AA75FC" w:rsidRPr="00926D59" w:rsidRDefault="00AA75FC" w:rsidP="00C42015">
            <w:pPr>
              <w:pStyle w:val="TableText"/>
              <w:jc w:val="center"/>
            </w:pPr>
          </w:p>
        </w:tc>
        <w:tc>
          <w:tcPr>
            <w:tcW w:w="530" w:type="pct"/>
            <w:shd w:val="clear" w:color="auto" w:fill="E1362C"/>
            <w:vAlign w:val="center"/>
          </w:tcPr>
          <w:p w14:paraId="15F0E423" w14:textId="77777777" w:rsidR="00AA75FC" w:rsidRPr="00926D59" w:rsidRDefault="00AA75FC" w:rsidP="00C42015">
            <w:pPr>
              <w:pStyle w:val="TableText"/>
              <w:jc w:val="center"/>
            </w:pPr>
          </w:p>
        </w:tc>
        <w:tc>
          <w:tcPr>
            <w:tcW w:w="589" w:type="pct"/>
            <w:shd w:val="clear" w:color="auto" w:fill="E1362C"/>
            <w:vAlign w:val="center"/>
          </w:tcPr>
          <w:p w14:paraId="556CCE5B" w14:textId="77777777" w:rsidR="00AA75FC" w:rsidRPr="00926D59" w:rsidRDefault="00AA75FC" w:rsidP="00C42015">
            <w:pPr>
              <w:pStyle w:val="TableText"/>
              <w:jc w:val="center"/>
            </w:pPr>
          </w:p>
        </w:tc>
        <w:tc>
          <w:tcPr>
            <w:tcW w:w="589" w:type="pct"/>
            <w:shd w:val="clear" w:color="auto" w:fill="FF9831"/>
            <w:vAlign w:val="center"/>
          </w:tcPr>
          <w:p w14:paraId="4A356960" w14:textId="77777777" w:rsidR="00AA75FC" w:rsidRPr="00926D59" w:rsidRDefault="00AA75FC" w:rsidP="00C42015">
            <w:pPr>
              <w:pStyle w:val="TableText"/>
              <w:jc w:val="center"/>
            </w:pPr>
          </w:p>
        </w:tc>
        <w:tc>
          <w:tcPr>
            <w:tcW w:w="528" w:type="pct"/>
            <w:shd w:val="clear" w:color="auto" w:fill="FF9831"/>
            <w:vAlign w:val="center"/>
          </w:tcPr>
          <w:p w14:paraId="7E186C6D" w14:textId="77777777" w:rsidR="00AA75FC" w:rsidRPr="00926D59" w:rsidRDefault="00AA75FC" w:rsidP="00C42015">
            <w:pPr>
              <w:pStyle w:val="TableText"/>
              <w:jc w:val="center"/>
            </w:pPr>
          </w:p>
        </w:tc>
      </w:tr>
      <w:tr w:rsidR="00BB7DC5" w:rsidRPr="00926D59" w14:paraId="6DA145EE" w14:textId="77777777" w:rsidTr="00E145E8">
        <w:trPr>
          <w:cantSplit/>
          <w:trHeight w:val="504"/>
        </w:trPr>
        <w:tc>
          <w:tcPr>
            <w:tcW w:w="1115" w:type="pct"/>
            <w:shd w:val="clear" w:color="auto" w:fill="FFFFFF" w:themeFill="background1"/>
            <w:noWrap/>
          </w:tcPr>
          <w:p w14:paraId="1B9F0AB1" w14:textId="5BCA6F09" w:rsidR="00AA75FC" w:rsidRPr="00A677B5" w:rsidRDefault="00AA75FC" w:rsidP="00C42015">
            <w:pPr>
              <w:pStyle w:val="TableText"/>
            </w:pPr>
            <w:r w:rsidRPr="00A677B5">
              <w:t>03.08.03 – Ligating Devices</w:t>
            </w:r>
          </w:p>
        </w:tc>
        <w:tc>
          <w:tcPr>
            <w:tcW w:w="589" w:type="pct"/>
            <w:shd w:val="clear" w:color="auto" w:fill="FFFFFF" w:themeFill="background1"/>
            <w:noWrap/>
            <w:vAlign w:val="center"/>
          </w:tcPr>
          <w:p w14:paraId="3F69DEB3" w14:textId="77777777" w:rsidR="00AA75FC" w:rsidRPr="00926D59" w:rsidRDefault="00AA75FC" w:rsidP="00C42015">
            <w:pPr>
              <w:pStyle w:val="TableText"/>
              <w:jc w:val="center"/>
            </w:pPr>
          </w:p>
        </w:tc>
        <w:tc>
          <w:tcPr>
            <w:tcW w:w="530" w:type="pct"/>
            <w:shd w:val="clear" w:color="auto" w:fill="FFE600" w:themeFill="text2"/>
            <w:noWrap/>
            <w:vAlign w:val="center"/>
          </w:tcPr>
          <w:p w14:paraId="5B914DEB" w14:textId="77777777" w:rsidR="00AA75FC" w:rsidRPr="00926D59" w:rsidRDefault="00AA75FC" w:rsidP="00C42015">
            <w:pPr>
              <w:pStyle w:val="TableText"/>
              <w:jc w:val="center"/>
            </w:pPr>
          </w:p>
        </w:tc>
        <w:tc>
          <w:tcPr>
            <w:tcW w:w="530" w:type="pct"/>
            <w:shd w:val="clear" w:color="auto" w:fill="FFFFFF" w:themeFill="background1"/>
            <w:vAlign w:val="center"/>
          </w:tcPr>
          <w:p w14:paraId="706728DA" w14:textId="77777777" w:rsidR="00AA75FC" w:rsidRPr="00926D59" w:rsidRDefault="00AA75FC" w:rsidP="00C42015">
            <w:pPr>
              <w:pStyle w:val="TableText"/>
              <w:jc w:val="center"/>
            </w:pPr>
          </w:p>
        </w:tc>
        <w:tc>
          <w:tcPr>
            <w:tcW w:w="530" w:type="pct"/>
            <w:shd w:val="clear" w:color="auto" w:fill="FFE600" w:themeFill="text2"/>
            <w:vAlign w:val="center"/>
          </w:tcPr>
          <w:p w14:paraId="40973665" w14:textId="77777777" w:rsidR="00AA75FC" w:rsidRPr="00926D59" w:rsidRDefault="00AA75FC" w:rsidP="00C42015">
            <w:pPr>
              <w:pStyle w:val="TableText"/>
              <w:jc w:val="center"/>
            </w:pPr>
          </w:p>
        </w:tc>
        <w:tc>
          <w:tcPr>
            <w:tcW w:w="589" w:type="pct"/>
            <w:shd w:val="clear" w:color="auto" w:fill="FFFFFF" w:themeFill="background1"/>
            <w:vAlign w:val="center"/>
          </w:tcPr>
          <w:p w14:paraId="040E9CA2" w14:textId="77777777" w:rsidR="00AA75FC" w:rsidRPr="00926D59" w:rsidRDefault="00AA75FC" w:rsidP="00C42015">
            <w:pPr>
              <w:pStyle w:val="TableText"/>
              <w:jc w:val="center"/>
            </w:pPr>
          </w:p>
        </w:tc>
        <w:tc>
          <w:tcPr>
            <w:tcW w:w="589" w:type="pct"/>
            <w:shd w:val="clear" w:color="auto" w:fill="FF9831"/>
            <w:vAlign w:val="center"/>
          </w:tcPr>
          <w:p w14:paraId="3F9BA175" w14:textId="77777777" w:rsidR="00AA75FC" w:rsidRPr="00926D59" w:rsidRDefault="00AA75FC" w:rsidP="00C42015">
            <w:pPr>
              <w:pStyle w:val="TableText"/>
              <w:jc w:val="center"/>
            </w:pPr>
          </w:p>
        </w:tc>
        <w:tc>
          <w:tcPr>
            <w:tcW w:w="528" w:type="pct"/>
            <w:shd w:val="clear" w:color="auto" w:fill="FF9831"/>
            <w:vAlign w:val="center"/>
          </w:tcPr>
          <w:p w14:paraId="508DDE98" w14:textId="77777777" w:rsidR="00AA75FC" w:rsidRPr="00926D59" w:rsidRDefault="00AA75FC" w:rsidP="00C42015">
            <w:pPr>
              <w:pStyle w:val="TableText"/>
              <w:jc w:val="center"/>
            </w:pPr>
          </w:p>
        </w:tc>
      </w:tr>
      <w:tr w:rsidR="00BB7DC5" w:rsidRPr="00926D59" w14:paraId="15F8A4A9" w14:textId="77777777" w:rsidTr="00E145E8">
        <w:trPr>
          <w:cantSplit/>
          <w:trHeight w:val="504"/>
        </w:trPr>
        <w:tc>
          <w:tcPr>
            <w:tcW w:w="1115" w:type="pct"/>
            <w:shd w:val="clear" w:color="auto" w:fill="FFFFFF" w:themeFill="background1"/>
            <w:noWrap/>
          </w:tcPr>
          <w:p w14:paraId="3139FB17" w14:textId="451F36CC" w:rsidR="00AA75FC" w:rsidRPr="00A677B5" w:rsidRDefault="00AA75FC" w:rsidP="00C42015">
            <w:pPr>
              <w:pStyle w:val="TableText"/>
            </w:pPr>
            <w:r w:rsidRPr="00A677B5">
              <w:t>03.08.04 – Staples and Tackers</w:t>
            </w:r>
          </w:p>
        </w:tc>
        <w:tc>
          <w:tcPr>
            <w:tcW w:w="589" w:type="pct"/>
            <w:shd w:val="clear" w:color="auto" w:fill="FF9831"/>
            <w:noWrap/>
            <w:vAlign w:val="center"/>
          </w:tcPr>
          <w:p w14:paraId="18626C70" w14:textId="77777777" w:rsidR="00AA75FC" w:rsidRPr="00926D59" w:rsidRDefault="00AA75FC" w:rsidP="00C42015">
            <w:pPr>
              <w:pStyle w:val="TableText"/>
              <w:jc w:val="center"/>
            </w:pPr>
          </w:p>
        </w:tc>
        <w:tc>
          <w:tcPr>
            <w:tcW w:w="530" w:type="pct"/>
            <w:shd w:val="clear" w:color="auto" w:fill="FF9831"/>
            <w:noWrap/>
            <w:vAlign w:val="center"/>
          </w:tcPr>
          <w:p w14:paraId="12E6B851" w14:textId="77777777" w:rsidR="00AA75FC" w:rsidRPr="00926D59" w:rsidRDefault="00AA75FC" w:rsidP="00C42015">
            <w:pPr>
              <w:pStyle w:val="TableText"/>
              <w:jc w:val="center"/>
            </w:pPr>
          </w:p>
        </w:tc>
        <w:tc>
          <w:tcPr>
            <w:tcW w:w="530" w:type="pct"/>
            <w:shd w:val="clear" w:color="auto" w:fill="FFFFFF" w:themeFill="background1"/>
            <w:vAlign w:val="center"/>
          </w:tcPr>
          <w:p w14:paraId="3839B4AC" w14:textId="77777777" w:rsidR="00AA75FC" w:rsidRPr="00926D59" w:rsidRDefault="00AA75FC" w:rsidP="00C42015">
            <w:pPr>
              <w:pStyle w:val="TableText"/>
              <w:jc w:val="center"/>
            </w:pPr>
          </w:p>
        </w:tc>
        <w:tc>
          <w:tcPr>
            <w:tcW w:w="530" w:type="pct"/>
            <w:shd w:val="clear" w:color="auto" w:fill="FFFFFF" w:themeFill="background1"/>
            <w:vAlign w:val="center"/>
          </w:tcPr>
          <w:p w14:paraId="18D4FBA2" w14:textId="77777777" w:rsidR="00AA75FC" w:rsidRPr="00926D59" w:rsidRDefault="00AA75FC" w:rsidP="00C42015">
            <w:pPr>
              <w:pStyle w:val="TableText"/>
              <w:jc w:val="center"/>
            </w:pPr>
          </w:p>
        </w:tc>
        <w:tc>
          <w:tcPr>
            <w:tcW w:w="589" w:type="pct"/>
            <w:shd w:val="clear" w:color="auto" w:fill="FFFFFF" w:themeFill="background1"/>
            <w:vAlign w:val="center"/>
          </w:tcPr>
          <w:p w14:paraId="3DC644D4" w14:textId="77777777" w:rsidR="00AA75FC" w:rsidRPr="00926D59" w:rsidRDefault="00AA75FC" w:rsidP="00C42015">
            <w:pPr>
              <w:pStyle w:val="TableText"/>
              <w:jc w:val="center"/>
            </w:pPr>
          </w:p>
        </w:tc>
        <w:tc>
          <w:tcPr>
            <w:tcW w:w="589" w:type="pct"/>
            <w:shd w:val="clear" w:color="auto" w:fill="FF9831"/>
            <w:vAlign w:val="center"/>
          </w:tcPr>
          <w:p w14:paraId="7A4B3DB9" w14:textId="77777777" w:rsidR="00AA75FC" w:rsidRPr="00926D59" w:rsidRDefault="00AA75FC" w:rsidP="00C42015">
            <w:pPr>
              <w:pStyle w:val="TableText"/>
              <w:jc w:val="center"/>
            </w:pPr>
          </w:p>
        </w:tc>
        <w:tc>
          <w:tcPr>
            <w:tcW w:w="528" w:type="pct"/>
            <w:shd w:val="clear" w:color="auto" w:fill="FFFFFF" w:themeFill="background1"/>
            <w:vAlign w:val="center"/>
          </w:tcPr>
          <w:p w14:paraId="338BD1B4" w14:textId="77777777" w:rsidR="00AA75FC" w:rsidRPr="00926D59" w:rsidRDefault="00AA75FC" w:rsidP="00C42015">
            <w:pPr>
              <w:pStyle w:val="TableText"/>
              <w:jc w:val="center"/>
            </w:pPr>
          </w:p>
        </w:tc>
      </w:tr>
    </w:tbl>
    <w:p w14:paraId="095D38DF" w14:textId="77777777" w:rsidR="00953DF2" w:rsidRDefault="00953DF2" w:rsidP="00EF2527">
      <w:pPr>
        <w:pStyle w:val="EYHeading2"/>
        <w:sectPr w:rsidR="00953DF2" w:rsidSect="00CB4BA0">
          <w:footerReference w:type="default" r:id="rId17"/>
          <w:pgSz w:w="16834" w:h="11909" w:orient="landscape" w:code="9"/>
          <w:pgMar w:top="1440" w:right="1440" w:bottom="1440" w:left="1440" w:header="720" w:footer="720" w:gutter="0"/>
          <w:cols w:space="720"/>
          <w:docGrid w:linePitch="360"/>
        </w:sectPr>
      </w:pPr>
    </w:p>
    <w:p w14:paraId="238A8DB1" w14:textId="77777777" w:rsidR="00B61CD6" w:rsidRDefault="0089159C" w:rsidP="00B61CD6">
      <w:pPr>
        <w:pStyle w:val="EYHeading2"/>
      </w:pPr>
      <w:bookmarkStart w:id="47" w:name="_Ref37850721"/>
      <w:bookmarkStart w:id="48" w:name="_Ref39591275"/>
      <w:bookmarkStart w:id="49" w:name="_Toc59015968"/>
      <w:r>
        <w:t>L</w:t>
      </w:r>
      <w:r w:rsidR="00EF2527" w:rsidRPr="00EF2527">
        <w:t>isting criteria</w:t>
      </w:r>
      <w:bookmarkEnd w:id="47"/>
      <w:r>
        <w:t xml:space="preserve"> and </w:t>
      </w:r>
      <w:r w:rsidR="00726765">
        <w:t>c</w:t>
      </w:r>
      <w:r>
        <w:t>ategorisation</w:t>
      </w:r>
      <w:bookmarkEnd w:id="48"/>
      <w:bookmarkEnd w:id="49"/>
    </w:p>
    <w:p w14:paraId="487B83F8" w14:textId="77777777" w:rsidR="00E403B5" w:rsidRDefault="00E403B5">
      <w:pPr>
        <w:pStyle w:val="Bodytextwithparaspace"/>
      </w:pPr>
      <w:r w:rsidRPr="00DF164D">
        <w:t xml:space="preserve">This </w:t>
      </w:r>
      <w:r w:rsidR="000736A8">
        <w:t>section</w:t>
      </w:r>
      <w:r w:rsidRPr="00DF164D">
        <w:t xml:space="preserve"> of the analysis</w:t>
      </w:r>
      <w:r>
        <w:t xml:space="preserve"> </w:t>
      </w:r>
      <w:r w:rsidRPr="00DF164D">
        <w:t>consider</w:t>
      </w:r>
      <w:r>
        <w:t>s</w:t>
      </w:r>
      <w:r w:rsidRPr="00DF164D">
        <w:t xml:space="preserve"> whether items listed in the </w:t>
      </w:r>
      <w:r>
        <w:t xml:space="preserve">GM </w:t>
      </w:r>
      <w:r w:rsidRPr="00DF164D">
        <w:t xml:space="preserve">category meet the current criteria for listing of prostheses on the </w:t>
      </w:r>
      <w:r>
        <w:t xml:space="preserve">PL </w:t>
      </w:r>
      <w:r w:rsidRPr="00DF164D">
        <w:t>as set out in legislation</w:t>
      </w:r>
      <w:r w:rsidRPr="002766B2">
        <w:t xml:space="preserve"> and guidance documents</w:t>
      </w:r>
      <w:r>
        <w:t>.</w:t>
      </w:r>
    </w:p>
    <w:p w14:paraId="45829E01" w14:textId="77777777" w:rsidR="00E403B5" w:rsidRDefault="00E403B5" w:rsidP="00E403B5">
      <w:pPr>
        <w:pStyle w:val="Bodytextwithparaspace"/>
      </w:pPr>
      <w:r>
        <w:t>In addition, it considers whether the listing criteria and categorisation approach themselves contribute to issues with the number and nature of items on the PL which, in turn, is leading to higher than necessary private healthcare costs.</w:t>
      </w:r>
    </w:p>
    <w:p w14:paraId="3EF46F32" w14:textId="7C758BCB" w:rsidR="00E403B5" w:rsidRDefault="007F4EF6" w:rsidP="00E403B5">
      <w:pPr>
        <w:pStyle w:val="Bodytextwithparaspace"/>
      </w:pPr>
      <w:r>
        <w:t>The</w:t>
      </w:r>
      <w:r w:rsidR="00E403B5">
        <w:t xml:space="preserve"> approach was to review relevant legislation and guidance, and to consult with clinical </w:t>
      </w:r>
      <w:r w:rsidR="00DB435D">
        <w:t>subject matter resources</w:t>
      </w:r>
      <w:r w:rsidR="00E403B5">
        <w:t>.</w:t>
      </w:r>
    </w:p>
    <w:p w14:paraId="425A9B0B" w14:textId="77777777" w:rsidR="00E403B5" w:rsidRDefault="00E403B5" w:rsidP="00E403B5">
      <w:pPr>
        <w:pStyle w:val="Bodytextwithparaspace"/>
      </w:pPr>
      <w:r>
        <w:t>This component is intended to address the Terms of Reference item 1.</w:t>
      </w:r>
    </w:p>
    <w:p w14:paraId="28FAD295" w14:textId="77777777" w:rsidR="0089159C" w:rsidRPr="00FA60DD" w:rsidRDefault="0089159C" w:rsidP="00A26B3B">
      <w:pPr>
        <w:pStyle w:val="EYHeading3"/>
      </w:pPr>
      <w:bookmarkStart w:id="50" w:name="_Ref38362422"/>
      <w:r>
        <w:t xml:space="preserve">Outline of </w:t>
      </w:r>
      <w:r w:rsidR="00726765">
        <w:t>c</w:t>
      </w:r>
      <w:r>
        <w:t>riteria</w:t>
      </w:r>
      <w:bookmarkEnd w:id="50"/>
    </w:p>
    <w:p w14:paraId="396D72F3" w14:textId="77777777" w:rsidR="00705035" w:rsidRDefault="009E0E00" w:rsidP="00EF2527">
      <w:pPr>
        <w:pStyle w:val="Bodytextwithparaspace"/>
      </w:pPr>
      <w:r>
        <w:t xml:space="preserve">The criteria governing the listing of </w:t>
      </w:r>
      <w:r w:rsidR="008A0CC1">
        <w:t xml:space="preserve">products on Part A of the PL </w:t>
      </w:r>
      <w:r w:rsidR="00EE12C1">
        <w:t>are</w:t>
      </w:r>
      <w:r w:rsidR="008A0CC1">
        <w:t xml:space="preserve"> provided within the </w:t>
      </w:r>
      <w:r w:rsidR="00F24211">
        <w:t>P</w:t>
      </w:r>
      <w:r w:rsidR="000736A8">
        <w:t xml:space="preserve">rostheses </w:t>
      </w:r>
      <w:r w:rsidR="00F24211">
        <w:t>L</w:t>
      </w:r>
      <w:r w:rsidR="000736A8">
        <w:t>ist</w:t>
      </w:r>
      <w:r w:rsidR="00B65ADE">
        <w:t xml:space="preserve"> Guide published by the Department. </w:t>
      </w:r>
      <w:r w:rsidR="00EC3BF8">
        <w:t xml:space="preserve">These criteria are applied by the </w:t>
      </w:r>
      <w:r w:rsidR="00B12C76">
        <w:t xml:space="preserve">PLAC. </w:t>
      </w:r>
      <w:r w:rsidR="00873077">
        <w:t xml:space="preserve">Beyond the requirement that the ‘prosthesis’ be listed with approval of the Minister in the </w:t>
      </w:r>
      <w:r w:rsidR="00873077">
        <w:rPr>
          <w:i/>
          <w:iCs/>
        </w:rPr>
        <w:t>Private Health Insurance (Prostheses) Rules</w:t>
      </w:r>
      <w:r w:rsidR="00873077">
        <w:t xml:space="preserve"> t</w:t>
      </w:r>
      <w:r w:rsidR="00A2187E">
        <w:t>here is no</w:t>
      </w:r>
      <w:r w:rsidR="001D2293">
        <w:t xml:space="preserve"> overarching ‘purpose’ for the PL</w:t>
      </w:r>
      <w:r w:rsidR="00DE5C97">
        <w:t>,</w:t>
      </w:r>
      <w:r w:rsidR="001D2293">
        <w:t xml:space="preserve"> </w:t>
      </w:r>
      <w:r w:rsidR="006F0504">
        <w:t xml:space="preserve">no </w:t>
      </w:r>
      <w:r w:rsidR="001D2293">
        <w:t xml:space="preserve">definition of </w:t>
      </w:r>
      <w:r w:rsidR="00B7188D">
        <w:t xml:space="preserve">the term </w:t>
      </w:r>
      <w:r w:rsidR="001D2293">
        <w:t>‘prosthesis’</w:t>
      </w:r>
      <w:r w:rsidR="00B7188D">
        <w:t xml:space="preserve"> </w:t>
      </w:r>
      <w:r w:rsidR="006F0504">
        <w:t>and no description of w</w:t>
      </w:r>
      <w:r w:rsidR="00B7188D">
        <w:t xml:space="preserve">hat is intended to be covered by the PL </w:t>
      </w:r>
      <w:r w:rsidR="001D2293">
        <w:t xml:space="preserve">within the </w:t>
      </w:r>
      <w:r w:rsidR="0079723B">
        <w:rPr>
          <w:i/>
          <w:iCs/>
        </w:rPr>
        <w:t>Private Health Insurance Act 2007</w:t>
      </w:r>
      <w:r w:rsidR="00F5026F">
        <w:rPr>
          <w:i/>
          <w:iCs/>
        </w:rPr>
        <w:t>.</w:t>
      </w:r>
      <w:r w:rsidR="008C52B1">
        <w:rPr>
          <w:i/>
          <w:iCs/>
        </w:rPr>
        <w:t xml:space="preserve"> </w:t>
      </w:r>
      <w:r w:rsidR="00AC782C">
        <w:t xml:space="preserve">Effectively, therefore, in the context of the PL a product is </w:t>
      </w:r>
      <w:r w:rsidR="002B3D0B">
        <w:t xml:space="preserve">eligible to be </w:t>
      </w:r>
      <w:r w:rsidR="00AC782C">
        <w:t xml:space="preserve">deemed a ‘prosthesis’ if it satisfies those criteria as set out in the </w:t>
      </w:r>
      <w:r w:rsidR="00F24211">
        <w:t>P</w:t>
      </w:r>
      <w:r w:rsidR="000736A8">
        <w:t xml:space="preserve">rostheses </w:t>
      </w:r>
      <w:r w:rsidR="00F24211">
        <w:t>L</w:t>
      </w:r>
      <w:r w:rsidR="000736A8">
        <w:t>ist</w:t>
      </w:r>
      <w:r w:rsidR="00AC782C">
        <w:t xml:space="preserve"> Guide. </w:t>
      </w:r>
    </w:p>
    <w:p w14:paraId="36DF9F6E" w14:textId="77777777" w:rsidR="00FC0AA2" w:rsidRDefault="003E3F29" w:rsidP="00EF2527">
      <w:pPr>
        <w:pStyle w:val="Bodytextwithparaspace"/>
      </w:pPr>
      <w:r>
        <w:t xml:space="preserve">The </w:t>
      </w:r>
      <w:r w:rsidR="008A4DBE">
        <w:t xml:space="preserve">criteria for listing as provided in the </w:t>
      </w:r>
      <w:r w:rsidR="00F24211">
        <w:t>P</w:t>
      </w:r>
      <w:r w:rsidR="000736A8">
        <w:t>rostheses List</w:t>
      </w:r>
      <w:r w:rsidR="008A4DBE">
        <w:t xml:space="preserve"> Guide as at February 2017</w:t>
      </w:r>
      <w:r w:rsidR="00A123C0">
        <w:t xml:space="preserve"> are </w:t>
      </w:r>
      <w:r w:rsidR="00C957FB">
        <w:t>reproduced</w:t>
      </w:r>
      <w:r w:rsidR="00A123C0">
        <w:t xml:space="preserve"> </w:t>
      </w:r>
      <w:r w:rsidR="0055303F">
        <w:t>below:</w:t>
      </w:r>
      <w:r w:rsidR="00C957FB">
        <w:t xml:space="preserve"> </w:t>
      </w:r>
    </w:p>
    <w:p w14:paraId="3BF41FEB" w14:textId="2FCE24D2" w:rsidR="0055303F" w:rsidRDefault="0055303F" w:rsidP="0055303F">
      <w:pPr>
        <w:pStyle w:val="Caption"/>
        <w:keepNext/>
      </w:pPr>
      <w:r>
        <w:t xml:space="preserve">Table </w:t>
      </w:r>
      <w:r w:rsidR="00FC6370">
        <w:fldChar w:fldCharType="begin"/>
      </w:r>
      <w:r w:rsidR="00FC6370">
        <w:instrText xml:space="preserve"> SEQ Table \* ARABIC </w:instrText>
      </w:r>
      <w:r w:rsidR="00FC6370">
        <w:fldChar w:fldCharType="separate"/>
      </w:r>
      <w:r w:rsidR="00784DE2">
        <w:rPr>
          <w:noProof/>
        </w:rPr>
        <w:t>6</w:t>
      </w:r>
      <w:r w:rsidR="00FC6370">
        <w:rPr>
          <w:noProof/>
        </w:rPr>
        <w:fldChar w:fldCharType="end"/>
      </w:r>
      <w:r>
        <w:t xml:space="preserve"> – </w:t>
      </w:r>
      <w:r w:rsidR="00F24211">
        <w:t>P</w:t>
      </w:r>
      <w:r w:rsidR="000736A8">
        <w:t>rostheses List</w:t>
      </w:r>
      <w:r w:rsidR="001E2397">
        <w:t xml:space="preserve"> Guide, February 2017, Revision 3 - </w:t>
      </w:r>
      <w:r>
        <w:t xml:space="preserve">Criteria for listing on </w:t>
      </w:r>
      <w:r w:rsidR="001E2397">
        <w:t>Part 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6 - Prostheses List Guide, February 2017, Revision 3 - Criteria for listing on Part A"/>
        <w:tblDescription w:val="This table describes the criteria for listing a product on Part A of the Prostheses List.&#10;1. The product must be entered and current on the Australian Register of Therapeutic Goods&#10;2. The product must be provided to a person as part of an episode of hospital treatment or hospital-substitute treatment&#10;3. A Medicare benefit must be payable in respect of the professional service associated with the provision of the product (or the provision of the product is associated with podiatric treatment by an accredited podiatrist)&#10;4. The product should: &#10;a. be surgically implanted in the patient and be purposely designed in order to &#10;i. replace an anatomical body part; or &#10;ii. combat a pathological process; or&#10;iii.  modulate a physiological process; or &#10;b. be essential to and specifically designed as an integral single-use aid for implanting a product, described in (a) (i), (ii) or (iii) above, which is only suitable for use with the patient in whom that product is implanted or &#10;c. be critical to the continuing function of the surgically implanted product to achieve (i), (ii) or (iii) above and which is only suitable for use by the patient in whom that product is implanted; and&#10;5. The product has been compared to alternative products on the Prostheses List or alternative treatments and &#10;i. assessed as being, at least, noninferior in terms of clinical effectiveness; and &#10;ii. the cost of the product is relative to its clinical effectiveness.&#10;"/>
      </w:tblPr>
      <w:tblGrid>
        <w:gridCol w:w="709"/>
        <w:gridCol w:w="8310"/>
      </w:tblGrid>
      <w:tr w:rsidR="0055303F" w14:paraId="7B9AA2DD" w14:textId="77777777" w:rsidTr="00BE4A3C">
        <w:tc>
          <w:tcPr>
            <w:tcW w:w="709" w:type="dxa"/>
            <w:tcBorders>
              <w:bottom w:val="single" w:sz="4" w:space="0" w:color="auto"/>
              <w:right w:val="single" w:sz="4" w:space="0" w:color="auto"/>
            </w:tcBorders>
          </w:tcPr>
          <w:p w14:paraId="1F7955DC" w14:textId="77777777" w:rsidR="0055303F" w:rsidRPr="001E2397" w:rsidRDefault="0055303F" w:rsidP="008C166F">
            <w:pPr>
              <w:pStyle w:val="Bodytextwithparaspace"/>
              <w:rPr>
                <w:b/>
                <w:bCs/>
              </w:rPr>
            </w:pPr>
          </w:p>
        </w:tc>
        <w:tc>
          <w:tcPr>
            <w:tcW w:w="8310" w:type="dxa"/>
            <w:tcBorders>
              <w:left w:val="single" w:sz="4" w:space="0" w:color="auto"/>
              <w:bottom w:val="single" w:sz="4" w:space="0" w:color="auto"/>
            </w:tcBorders>
          </w:tcPr>
          <w:p w14:paraId="0CDFAA73" w14:textId="77777777" w:rsidR="0055303F" w:rsidRPr="001E2397" w:rsidRDefault="001E2397" w:rsidP="008C166F">
            <w:pPr>
              <w:pStyle w:val="Bodytextwithparaspace"/>
              <w:rPr>
                <w:b/>
                <w:bCs/>
              </w:rPr>
            </w:pPr>
            <w:r w:rsidRPr="001E2397">
              <w:rPr>
                <w:b/>
                <w:bCs/>
              </w:rPr>
              <w:t>Criterion</w:t>
            </w:r>
          </w:p>
        </w:tc>
      </w:tr>
      <w:tr w:rsidR="0055303F" w14:paraId="460A12C1" w14:textId="77777777" w:rsidTr="00BE4A3C">
        <w:tc>
          <w:tcPr>
            <w:tcW w:w="709" w:type="dxa"/>
            <w:tcBorders>
              <w:top w:val="single" w:sz="4" w:space="0" w:color="auto"/>
              <w:right w:val="single" w:sz="4" w:space="0" w:color="auto"/>
            </w:tcBorders>
          </w:tcPr>
          <w:p w14:paraId="7666F51D" w14:textId="77777777" w:rsidR="0055303F" w:rsidRPr="00EF1DFE" w:rsidRDefault="001E2397" w:rsidP="00EF2527">
            <w:pPr>
              <w:pStyle w:val="Bodytextwithparaspace"/>
              <w:rPr>
                <w:b/>
                <w:bCs/>
              </w:rPr>
            </w:pPr>
            <w:r w:rsidRPr="00EF1DFE">
              <w:rPr>
                <w:b/>
                <w:bCs/>
              </w:rPr>
              <w:t>1</w:t>
            </w:r>
          </w:p>
        </w:tc>
        <w:tc>
          <w:tcPr>
            <w:tcW w:w="8310" w:type="dxa"/>
            <w:tcBorders>
              <w:top w:val="single" w:sz="4" w:space="0" w:color="auto"/>
              <w:left w:val="single" w:sz="4" w:space="0" w:color="auto"/>
            </w:tcBorders>
          </w:tcPr>
          <w:p w14:paraId="66D64B0D" w14:textId="77777777" w:rsidR="0055303F" w:rsidRDefault="001E2397" w:rsidP="00EF2527">
            <w:pPr>
              <w:pStyle w:val="Bodytextwithparaspace"/>
            </w:pPr>
            <w:r>
              <w:t>The product must be entered and current on the Australian Register of Therapeutic Goods</w:t>
            </w:r>
          </w:p>
        </w:tc>
      </w:tr>
      <w:tr w:rsidR="0055303F" w14:paraId="11B608E2" w14:textId="77777777" w:rsidTr="00BE4A3C">
        <w:tc>
          <w:tcPr>
            <w:tcW w:w="709" w:type="dxa"/>
            <w:tcBorders>
              <w:right w:val="single" w:sz="4" w:space="0" w:color="auto"/>
            </w:tcBorders>
          </w:tcPr>
          <w:p w14:paraId="0B7E5893" w14:textId="77777777" w:rsidR="0055303F" w:rsidRPr="00EF1DFE" w:rsidRDefault="001E2397" w:rsidP="00EF2527">
            <w:pPr>
              <w:pStyle w:val="Bodytextwithparaspace"/>
              <w:rPr>
                <w:b/>
                <w:bCs/>
              </w:rPr>
            </w:pPr>
            <w:r w:rsidRPr="00EF1DFE">
              <w:rPr>
                <w:b/>
                <w:bCs/>
              </w:rPr>
              <w:t>2</w:t>
            </w:r>
          </w:p>
        </w:tc>
        <w:tc>
          <w:tcPr>
            <w:tcW w:w="8310" w:type="dxa"/>
            <w:tcBorders>
              <w:left w:val="single" w:sz="4" w:space="0" w:color="auto"/>
            </w:tcBorders>
          </w:tcPr>
          <w:p w14:paraId="0918A672" w14:textId="77777777" w:rsidR="0055303F" w:rsidRDefault="001E2397" w:rsidP="00EF2527">
            <w:pPr>
              <w:pStyle w:val="Bodytextwithparaspace"/>
            </w:pPr>
            <w:r>
              <w:t>The product must be provided to a person as part of an episode of hospital treatment or hospital-substitute treatment</w:t>
            </w:r>
          </w:p>
        </w:tc>
      </w:tr>
      <w:tr w:rsidR="0055303F" w14:paraId="15CB3824" w14:textId="77777777" w:rsidTr="00BE4A3C">
        <w:tc>
          <w:tcPr>
            <w:tcW w:w="709" w:type="dxa"/>
            <w:tcBorders>
              <w:right w:val="single" w:sz="4" w:space="0" w:color="auto"/>
            </w:tcBorders>
          </w:tcPr>
          <w:p w14:paraId="0F7F72B0" w14:textId="77777777" w:rsidR="0055303F" w:rsidRPr="00EF1DFE" w:rsidRDefault="001E2397" w:rsidP="00EF2527">
            <w:pPr>
              <w:pStyle w:val="Bodytextwithparaspace"/>
              <w:rPr>
                <w:b/>
                <w:bCs/>
              </w:rPr>
            </w:pPr>
            <w:r w:rsidRPr="00EF1DFE">
              <w:rPr>
                <w:b/>
                <w:bCs/>
              </w:rPr>
              <w:t>3</w:t>
            </w:r>
          </w:p>
        </w:tc>
        <w:tc>
          <w:tcPr>
            <w:tcW w:w="8310" w:type="dxa"/>
            <w:tcBorders>
              <w:left w:val="single" w:sz="4" w:space="0" w:color="auto"/>
            </w:tcBorders>
          </w:tcPr>
          <w:p w14:paraId="275F8056" w14:textId="77777777" w:rsidR="0055303F" w:rsidRDefault="001E2397" w:rsidP="00EF2527">
            <w:pPr>
              <w:pStyle w:val="Bodytextwithparaspace"/>
            </w:pPr>
            <w:r>
              <w:t>A Medicare benefit must be payable in respect of the professional service associated with the provision of the product (or the provision of the product is associated with podiatric treatment by an accredited podiatrist)</w:t>
            </w:r>
          </w:p>
        </w:tc>
      </w:tr>
      <w:tr w:rsidR="0055303F" w14:paraId="058027A2" w14:textId="77777777" w:rsidTr="00BE4A3C">
        <w:tc>
          <w:tcPr>
            <w:tcW w:w="709" w:type="dxa"/>
            <w:tcBorders>
              <w:right w:val="single" w:sz="4" w:space="0" w:color="auto"/>
            </w:tcBorders>
          </w:tcPr>
          <w:p w14:paraId="303568D6" w14:textId="77777777" w:rsidR="0055303F" w:rsidRPr="00EF1DFE" w:rsidRDefault="001E2397" w:rsidP="00EF2527">
            <w:pPr>
              <w:pStyle w:val="Bodytextwithparaspace"/>
              <w:rPr>
                <w:b/>
                <w:bCs/>
              </w:rPr>
            </w:pPr>
            <w:r w:rsidRPr="00EF1DFE">
              <w:rPr>
                <w:b/>
                <w:bCs/>
              </w:rPr>
              <w:t>4</w:t>
            </w:r>
          </w:p>
        </w:tc>
        <w:tc>
          <w:tcPr>
            <w:tcW w:w="8310" w:type="dxa"/>
            <w:tcBorders>
              <w:left w:val="single" w:sz="4" w:space="0" w:color="auto"/>
            </w:tcBorders>
          </w:tcPr>
          <w:p w14:paraId="0C03B695" w14:textId="77777777" w:rsidR="0055303F" w:rsidRDefault="001E2397" w:rsidP="00EF2527">
            <w:pPr>
              <w:pStyle w:val="Bodytextwithparaspace"/>
            </w:pPr>
            <w:r>
              <w:t>A prosthesis should:</w:t>
            </w:r>
          </w:p>
        </w:tc>
      </w:tr>
      <w:tr w:rsidR="0055303F" w14:paraId="2ADC851B" w14:textId="77777777" w:rsidTr="00BE4A3C">
        <w:tc>
          <w:tcPr>
            <w:tcW w:w="709" w:type="dxa"/>
            <w:tcBorders>
              <w:right w:val="single" w:sz="4" w:space="0" w:color="auto"/>
            </w:tcBorders>
          </w:tcPr>
          <w:p w14:paraId="207D197E" w14:textId="77777777" w:rsidR="0055303F" w:rsidRDefault="001E2397" w:rsidP="00255694">
            <w:pPr>
              <w:pStyle w:val="Bodytextwithparaspace"/>
              <w:ind w:left="142"/>
            </w:pPr>
            <w:r>
              <w:t>a</w:t>
            </w:r>
          </w:p>
        </w:tc>
        <w:tc>
          <w:tcPr>
            <w:tcW w:w="8310" w:type="dxa"/>
            <w:tcBorders>
              <w:left w:val="single" w:sz="4" w:space="0" w:color="auto"/>
            </w:tcBorders>
          </w:tcPr>
          <w:p w14:paraId="7A47AD9E" w14:textId="77777777" w:rsidR="0055303F" w:rsidRDefault="00BE4A3C" w:rsidP="00255694">
            <w:pPr>
              <w:pStyle w:val="Bodytextwithparaspace"/>
              <w:ind w:left="142"/>
            </w:pPr>
            <w:r>
              <w:t>b</w:t>
            </w:r>
            <w:r w:rsidR="001E2397">
              <w:t>e surgically implanted in the patient and be purposely designed in order to</w:t>
            </w:r>
          </w:p>
        </w:tc>
      </w:tr>
      <w:tr w:rsidR="001E2397" w14:paraId="4AE25271" w14:textId="77777777" w:rsidTr="00BE4A3C">
        <w:tc>
          <w:tcPr>
            <w:tcW w:w="709" w:type="dxa"/>
            <w:tcBorders>
              <w:right w:val="single" w:sz="4" w:space="0" w:color="auto"/>
            </w:tcBorders>
          </w:tcPr>
          <w:p w14:paraId="68EB1647" w14:textId="77777777" w:rsidR="001E2397" w:rsidRDefault="001E2397" w:rsidP="00255694">
            <w:pPr>
              <w:pStyle w:val="Bodytextwithparaspace"/>
              <w:ind w:left="284"/>
            </w:pPr>
            <w:r>
              <w:t>i</w:t>
            </w:r>
          </w:p>
        </w:tc>
        <w:tc>
          <w:tcPr>
            <w:tcW w:w="8310" w:type="dxa"/>
            <w:tcBorders>
              <w:left w:val="single" w:sz="4" w:space="0" w:color="auto"/>
            </w:tcBorders>
          </w:tcPr>
          <w:p w14:paraId="1DC287D9" w14:textId="77777777" w:rsidR="001E2397" w:rsidRDefault="00BE4A3C" w:rsidP="00255694">
            <w:pPr>
              <w:pStyle w:val="Bodytextwithparaspace"/>
              <w:ind w:left="284"/>
            </w:pPr>
            <w:r>
              <w:t>r</w:t>
            </w:r>
            <w:r w:rsidR="001E2397">
              <w:t>eplace an anatomical body part; or</w:t>
            </w:r>
          </w:p>
        </w:tc>
      </w:tr>
      <w:tr w:rsidR="001E2397" w14:paraId="59828D1A" w14:textId="77777777" w:rsidTr="00BE4A3C">
        <w:tc>
          <w:tcPr>
            <w:tcW w:w="709" w:type="dxa"/>
            <w:tcBorders>
              <w:right w:val="single" w:sz="4" w:space="0" w:color="auto"/>
            </w:tcBorders>
          </w:tcPr>
          <w:p w14:paraId="6781A53F" w14:textId="77777777" w:rsidR="001E2397" w:rsidRDefault="001E2397" w:rsidP="00255694">
            <w:pPr>
              <w:pStyle w:val="Bodytextwithparaspace"/>
              <w:ind w:left="284"/>
            </w:pPr>
            <w:r>
              <w:t>ii</w:t>
            </w:r>
          </w:p>
        </w:tc>
        <w:tc>
          <w:tcPr>
            <w:tcW w:w="8310" w:type="dxa"/>
            <w:tcBorders>
              <w:left w:val="single" w:sz="4" w:space="0" w:color="auto"/>
            </w:tcBorders>
          </w:tcPr>
          <w:p w14:paraId="73AD46D0" w14:textId="77777777" w:rsidR="001E2397" w:rsidRDefault="00BE4A3C" w:rsidP="00255694">
            <w:pPr>
              <w:pStyle w:val="Bodytextwithparaspace"/>
              <w:ind w:left="284"/>
            </w:pPr>
            <w:r>
              <w:t>c</w:t>
            </w:r>
            <w:r w:rsidR="001E2397">
              <w:t>ombat a pathological process; or</w:t>
            </w:r>
          </w:p>
        </w:tc>
      </w:tr>
      <w:tr w:rsidR="001E2397" w14:paraId="39933DF2" w14:textId="77777777" w:rsidTr="00BE4A3C">
        <w:tc>
          <w:tcPr>
            <w:tcW w:w="709" w:type="dxa"/>
            <w:tcBorders>
              <w:right w:val="single" w:sz="4" w:space="0" w:color="auto"/>
            </w:tcBorders>
          </w:tcPr>
          <w:p w14:paraId="006BFBE3" w14:textId="77777777" w:rsidR="001E2397" w:rsidRDefault="001E2397" w:rsidP="00255694">
            <w:pPr>
              <w:pStyle w:val="Bodytextwithparaspace"/>
              <w:ind w:left="284"/>
            </w:pPr>
            <w:r>
              <w:t>iii</w:t>
            </w:r>
          </w:p>
        </w:tc>
        <w:tc>
          <w:tcPr>
            <w:tcW w:w="8310" w:type="dxa"/>
            <w:tcBorders>
              <w:left w:val="single" w:sz="4" w:space="0" w:color="auto"/>
            </w:tcBorders>
          </w:tcPr>
          <w:p w14:paraId="49AAD3FC" w14:textId="77777777" w:rsidR="001E2397" w:rsidRDefault="00BE4A3C" w:rsidP="00255694">
            <w:pPr>
              <w:pStyle w:val="Bodytextwithparaspace"/>
              <w:ind w:left="284"/>
            </w:pPr>
            <w:r>
              <w:t>m</w:t>
            </w:r>
            <w:r w:rsidR="001E2397">
              <w:t>odulate a physiological process;</w:t>
            </w:r>
          </w:p>
        </w:tc>
      </w:tr>
      <w:tr w:rsidR="001E2397" w14:paraId="5186415E" w14:textId="77777777" w:rsidTr="00BE4A3C">
        <w:tc>
          <w:tcPr>
            <w:tcW w:w="709" w:type="dxa"/>
            <w:tcBorders>
              <w:right w:val="single" w:sz="4" w:space="0" w:color="auto"/>
            </w:tcBorders>
          </w:tcPr>
          <w:p w14:paraId="60BC3239" w14:textId="77777777" w:rsidR="001E2397" w:rsidRDefault="001E2397" w:rsidP="00EF2527">
            <w:pPr>
              <w:pStyle w:val="Bodytextwithparaspace"/>
            </w:pPr>
          </w:p>
        </w:tc>
        <w:tc>
          <w:tcPr>
            <w:tcW w:w="8310" w:type="dxa"/>
            <w:tcBorders>
              <w:left w:val="single" w:sz="4" w:space="0" w:color="auto"/>
            </w:tcBorders>
          </w:tcPr>
          <w:p w14:paraId="2EDF8F39" w14:textId="77777777" w:rsidR="001E2397" w:rsidRDefault="00BE4A3C" w:rsidP="00255694">
            <w:pPr>
              <w:pStyle w:val="Bodytextwithparaspace"/>
              <w:ind w:left="142"/>
            </w:pPr>
            <w:r>
              <w:t>o</w:t>
            </w:r>
            <w:r w:rsidR="00106273">
              <w:t>r</w:t>
            </w:r>
          </w:p>
        </w:tc>
      </w:tr>
      <w:tr w:rsidR="00106273" w14:paraId="4A599551" w14:textId="77777777" w:rsidTr="00BE4A3C">
        <w:tc>
          <w:tcPr>
            <w:tcW w:w="709" w:type="dxa"/>
            <w:tcBorders>
              <w:right w:val="single" w:sz="4" w:space="0" w:color="auto"/>
            </w:tcBorders>
          </w:tcPr>
          <w:p w14:paraId="26868DD0" w14:textId="77777777" w:rsidR="00106273" w:rsidRDefault="00106273" w:rsidP="00255694">
            <w:pPr>
              <w:pStyle w:val="Bodytextwithparaspace"/>
              <w:ind w:left="142"/>
            </w:pPr>
            <w:r>
              <w:t>b</w:t>
            </w:r>
          </w:p>
        </w:tc>
        <w:tc>
          <w:tcPr>
            <w:tcW w:w="8310" w:type="dxa"/>
            <w:tcBorders>
              <w:left w:val="single" w:sz="4" w:space="0" w:color="auto"/>
            </w:tcBorders>
          </w:tcPr>
          <w:p w14:paraId="12FB362A" w14:textId="77777777" w:rsidR="00106273" w:rsidRDefault="00BE4A3C" w:rsidP="00255694">
            <w:pPr>
              <w:pStyle w:val="Bodytextwithparaspace"/>
              <w:ind w:left="142"/>
            </w:pPr>
            <w:r>
              <w:t>b</w:t>
            </w:r>
            <w:r w:rsidR="00106273">
              <w:t>e essential to and specifically designed as an integral single-use aid for implanting a product, described in (a) (i), (ii) or (iii) above, which is only suitable for use with the patient in whom that product is implanted</w:t>
            </w:r>
          </w:p>
        </w:tc>
      </w:tr>
      <w:tr w:rsidR="00106273" w14:paraId="04D12734" w14:textId="77777777" w:rsidTr="00BE4A3C">
        <w:tc>
          <w:tcPr>
            <w:tcW w:w="709" w:type="dxa"/>
            <w:tcBorders>
              <w:right w:val="single" w:sz="4" w:space="0" w:color="auto"/>
            </w:tcBorders>
          </w:tcPr>
          <w:p w14:paraId="69C216C5" w14:textId="77777777" w:rsidR="00106273" w:rsidRDefault="00106273" w:rsidP="00255694">
            <w:pPr>
              <w:pStyle w:val="Bodytextwithparaspace"/>
              <w:ind w:left="142"/>
            </w:pPr>
            <w:r>
              <w:t>c</w:t>
            </w:r>
          </w:p>
        </w:tc>
        <w:tc>
          <w:tcPr>
            <w:tcW w:w="8310" w:type="dxa"/>
            <w:tcBorders>
              <w:left w:val="single" w:sz="4" w:space="0" w:color="auto"/>
            </w:tcBorders>
          </w:tcPr>
          <w:p w14:paraId="55F0754E" w14:textId="77777777" w:rsidR="00106273" w:rsidRDefault="00BE4A3C" w:rsidP="00255694">
            <w:pPr>
              <w:pStyle w:val="Bodytextwithparaspace"/>
              <w:ind w:left="142"/>
            </w:pPr>
            <w:r>
              <w:t>b</w:t>
            </w:r>
            <w:r w:rsidR="00106273">
              <w:t>e critical to the continuing function of the surgically implanted product to achieve (i), (ii) or (iii) above and which is only suitable for use by the patient in whom that product is implanted</w:t>
            </w:r>
          </w:p>
        </w:tc>
      </w:tr>
      <w:tr w:rsidR="00106273" w14:paraId="6291C750" w14:textId="77777777" w:rsidTr="00BE4A3C">
        <w:tc>
          <w:tcPr>
            <w:tcW w:w="709" w:type="dxa"/>
            <w:tcBorders>
              <w:right w:val="single" w:sz="4" w:space="0" w:color="auto"/>
            </w:tcBorders>
          </w:tcPr>
          <w:p w14:paraId="66D99EA6" w14:textId="77777777" w:rsidR="00106273" w:rsidRPr="00EF1DFE" w:rsidRDefault="00255694" w:rsidP="00EF2527">
            <w:pPr>
              <w:pStyle w:val="Bodytextwithparaspace"/>
              <w:rPr>
                <w:b/>
                <w:bCs/>
              </w:rPr>
            </w:pPr>
            <w:r w:rsidRPr="00EF1DFE">
              <w:rPr>
                <w:b/>
                <w:bCs/>
              </w:rPr>
              <w:t>5</w:t>
            </w:r>
          </w:p>
        </w:tc>
        <w:tc>
          <w:tcPr>
            <w:tcW w:w="8310" w:type="dxa"/>
            <w:tcBorders>
              <w:left w:val="single" w:sz="4" w:space="0" w:color="auto"/>
            </w:tcBorders>
          </w:tcPr>
          <w:p w14:paraId="45A83F50" w14:textId="77777777" w:rsidR="00106273" w:rsidRDefault="00255694" w:rsidP="00EF2527">
            <w:pPr>
              <w:pStyle w:val="Bodytextwithparaspace"/>
            </w:pPr>
            <w:r>
              <w:t xml:space="preserve">The product has been compared to alternative products on the </w:t>
            </w:r>
            <w:r w:rsidR="00F24211">
              <w:t>PL</w:t>
            </w:r>
            <w:r>
              <w:t xml:space="preserve"> or alternative treatments and</w:t>
            </w:r>
          </w:p>
        </w:tc>
      </w:tr>
      <w:tr w:rsidR="00255694" w14:paraId="78036967" w14:textId="77777777" w:rsidTr="00BE4A3C">
        <w:tc>
          <w:tcPr>
            <w:tcW w:w="709" w:type="dxa"/>
            <w:tcBorders>
              <w:right w:val="single" w:sz="4" w:space="0" w:color="auto"/>
            </w:tcBorders>
          </w:tcPr>
          <w:p w14:paraId="0D982D72" w14:textId="77777777" w:rsidR="00255694" w:rsidRDefault="00255694" w:rsidP="00255694">
            <w:pPr>
              <w:pStyle w:val="Bodytextwithparaspace"/>
              <w:ind w:left="284"/>
            </w:pPr>
            <w:r>
              <w:t>i</w:t>
            </w:r>
          </w:p>
        </w:tc>
        <w:tc>
          <w:tcPr>
            <w:tcW w:w="8310" w:type="dxa"/>
            <w:tcBorders>
              <w:left w:val="single" w:sz="4" w:space="0" w:color="auto"/>
            </w:tcBorders>
          </w:tcPr>
          <w:p w14:paraId="221418AD" w14:textId="77777777" w:rsidR="00255694" w:rsidRDefault="00BE4A3C" w:rsidP="00BE4A3C">
            <w:pPr>
              <w:pStyle w:val="Bodytextwithparaspace"/>
              <w:ind w:left="284"/>
            </w:pPr>
            <w:r>
              <w:t>a</w:t>
            </w:r>
            <w:r w:rsidR="00255694">
              <w:t>ssessed as being, at least, of similar clinical effectiveness; and</w:t>
            </w:r>
          </w:p>
        </w:tc>
      </w:tr>
      <w:tr w:rsidR="00255694" w14:paraId="6BA4FB31" w14:textId="77777777" w:rsidTr="00BE4A3C">
        <w:tc>
          <w:tcPr>
            <w:tcW w:w="709" w:type="dxa"/>
            <w:tcBorders>
              <w:right w:val="single" w:sz="4" w:space="0" w:color="auto"/>
            </w:tcBorders>
          </w:tcPr>
          <w:p w14:paraId="35EF9C57" w14:textId="77777777" w:rsidR="00255694" w:rsidRDefault="00255694" w:rsidP="00255694">
            <w:pPr>
              <w:pStyle w:val="Bodytextwithparaspace"/>
              <w:ind w:left="284"/>
            </w:pPr>
            <w:r>
              <w:t>ii</w:t>
            </w:r>
          </w:p>
        </w:tc>
        <w:tc>
          <w:tcPr>
            <w:tcW w:w="8310" w:type="dxa"/>
            <w:tcBorders>
              <w:left w:val="single" w:sz="4" w:space="0" w:color="auto"/>
            </w:tcBorders>
          </w:tcPr>
          <w:p w14:paraId="444D7C43" w14:textId="77777777" w:rsidR="00255694" w:rsidRDefault="00BE4A3C" w:rsidP="00BE4A3C">
            <w:pPr>
              <w:pStyle w:val="Bodytextwithparaspace"/>
              <w:ind w:left="284"/>
            </w:pPr>
            <w:r>
              <w:t>t</w:t>
            </w:r>
            <w:r w:rsidR="00255694">
              <w:t>he cost of the product is relative to its clinical effectiveness</w:t>
            </w:r>
          </w:p>
        </w:tc>
      </w:tr>
    </w:tbl>
    <w:p w14:paraId="0A67E4FF" w14:textId="77777777" w:rsidR="000736A8" w:rsidRDefault="00EF1DFE" w:rsidP="00BA5CA5">
      <w:pPr>
        <w:pStyle w:val="Bodytextwithparaspace"/>
      </w:pPr>
      <w:r>
        <w:t xml:space="preserve">In short, </w:t>
      </w:r>
      <w:r w:rsidR="00846C4E">
        <w:t>to be deemed eligible for listing</w:t>
      </w:r>
      <w:r w:rsidR="000736A8">
        <w:t>,</w:t>
      </w:r>
      <w:r w:rsidR="00FD0DC2">
        <w:t xml:space="preserve"> in addition to legislative requirements </w:t>
      </w:r>
      <w:r w:rsidR="006B1CDE">
        <w:t>pertaining to</w:t>
      </w:r>
      <w:r w:rsidR="00FD0DC2">
        <w:t xml:space="preserve"> therapeutic goods and</w:t>
      </w:r>
      <w:r w:rsidR="006B1CDE">
        <w:t xml:space="preserve"> eligible</w:t>
      </w:r>
      <w:r w:rsidR="00FD0DC2">
        <w:t xml:space="preserve"> private health insurance treatment</w:t>
      </w:r>
      <w:r w:rsidR="006B1CDE">
        <w:t>s</w:t>
      </w:r>
      <w:r w:rsidR="000736A8">
        <w:t>,</w:t>
      </w:r>
      <w:r w:rsidR="00846C4E">
        <w:t xml:space="preserve"> a product must either be</w:t>
      </w:r>
      <w:r w:rsidR="00E14F85">
        <w:t>:</w:t>
      </w:r>
    </w:p>
    <w:p w14:paraId="4EC8CA2D" w14:textId="77777777" w:rsidR="000736A8" w:rsidRDefault="00846C4E" w:rsidP="00463B2D">
      <w:pPr>
        <w:pStyle w:val="Bodytextwithparaspace"/>
        <w:numPr>
          <w:ilvl w:val="1"/>
          <w:numId w:val="11"/>
        </w:numPr>
        <w:ind w:left="709"/>
      </w:pPr>
      <w:r>
        <w:t xml:space="preserve">surgically implantable </w:t>
      </w:r>
      <w:r w:rsidR="00933346">
        <w:t xml:space="preserve">specifically </w:t>
      </w:r>
      <w:r>
        <w:t xml:space="preserve">for </w:t>
      </w:r>
      <w:r w:rsidR="00933346">
        <w:t>certain core purposes such as replacing an anatomical body part</w:t>
      </w:r>
      <w:r w:rsidR="00411CC2">
        <w:t>;</w:t>
      </w:r>
      <w:r>
        <w:t xml:space="preserve"> or </w:t>
      </w:r>
    </w:p>
    <w:p w14:paraId="0800FB64" w14:textId="77777777" w:rsidR="000736A8" w:rsidRDefault="00846C4E" w:rsidP="00463B2D">
      <w:pPr>
        <w:pStyle w:val="Bodytextwithparaspace"/>
        <w:numPr>
          <w:ilvl w:val="1"/>
          <w:numId w:val="11"/>
        </w:numPr>
        <w:ind w:left="709"/>
      </w:pPr>
      <w:r>
        <w:t>constitute a</w:t>
      </w:r>
      <w:r w:rsidR="00411CC2">
        <w:t>n essential single-use aid for implantation of such a product; or</w:t>
      </w:r>
    </w:p>
    <w:p w14:paraId="28B8D30B" w14:textId="77777777" w:rsidR="000736A8" w:rsidRDefault="00411CC2" w:rsidP="00463B2D">
      <w:pPr>
        <w:pStyle w:val="Bodytextwithparaspace"/>
        <w:numPr>
          <w:ilvl w:val="1"/>
          <w:numId w:val="11"/>
        </w:numPr>
        <w:ind w:left="709"/>
      </w:pPr>
      <w:r>
        <w:t xml:space="preserve">be critical to </w:t>
      </w:r>
      <w:r w:rsidR="00EC0B9C">
        <w:t>the continuing function of such an implantable product.</w:t>
      </w:r>
    </w:p>
    <w:p w14:paraId="55850AD0" w14:textId="77777777" w:rsidR="00BA5CA5" w:rsidRDefault="00BA5CA5" w:rsidP="00BA5CA5">
      <w:pPr>
        <w:pStyle w:val="Bodytextwithparaspace"/>
      </w:pPr>
      <w:r>
        <w:t xml:space="preserve">It is </w:t>
      </w:r>
      <w:r w:rsidR="006B1CDE">
        <w:t>further</w:t>
      </w:r>
      <w:r>
        <w:t xml:space="preserve"> provided that any </w:t>
      </w:r>
      <w:r w:rsidR="00B82696">
        <w:t xml:space="preserve">such product </w:t>
      </w:r>
      <w:r>
        <w:t xml:space="preserve">must be compared to alternatives on the PL and deemed to be of at least similar clinical </w:t>
      </w:r>
      <w:r w:rsidR="00B82696">
        <w:t xml:space="preserve">effectiveness </w:t>
      </w:r>
      <w:r w:rsidR="00EC0B9C">
        <w:t>and</w:t>
      </w:r>
      <w:r>
        <w:t xml:space="preserve"> having a cost relative to its clinical effectiveness. </w:t>
      </w:r>
    </w:p>
    <w:p w14:paraId="6BFCA1C8" w14:textId="77777777" w:rsidR="004412CC" w:rsidRDefault="003C68B0" w:rsidP="00BA5CA5">
      <w:pPr>
        <w:pStyle w:val="Bodytextwithparaspace"/>
      </w:pPr>
      <w:r>
        <w:t xml:space="preserve">The </w:t>
      </w:r>
      <w:r w:rsidR="000736A8">
        <w:t>Prostheses List</w:t>
      </w:r>
      <w:r>
        <w:t xml:space="preserve"> Guide provides some rationale for the inclusion of each of these criteria</w:t>
      </w:r>
      <w:r w:rsidR="00F94C0C">
        <w:t xml:space="preserve">. In particular, it notes that </w:t>
      </w:r>
      <w:r w:rsidR="00FC0AA2">
        <w:t>for criterion 4</w:t>
      </w:r>
      <w:r w:rsidR="00456FCA">
        <w:t>(b)</w:t>
      </w:r>
      <w:r w:rsidR="00FC0AA2">
        <w:t xml:space="preserve"> </w:t>
      </w:r>
      <w:r w:rsidR="00C14467">
        <w:t xml:space="preserve">the requirement for a single-use aid to be </w:t>
      </w:r>
      <w:r w:rsidR="0055303F">
        <w:t>“</w:t>
      </w:r>
      <w:r w:rsidR="00C14467">
        <w:t>specifically designed</w:t>
      </w:r>
      <w:r w:rsidR="0055303F">
        <w:t>”</w:t>
      </w:r>
      <w:r w:rsidR="00C14467">
        <w:t xml:space="preserve"> and </w:t>
      </w:r>
      <w:r w:rsidR="0055303F">
        <w:t>“</w:t>
      </w:r>
      <w:r w:rsidR="00C14467">
        <w:t>integral</w:t>
      </w:r>
      <w:r w:rsidR="0055303F">
        <w:t>”</w:t>
      </w:r>
      <w:r w:rsidR="00C14467">
        <w:t xml:space="preserve"> precludes </w:t>
      </w:r>
      <w:r w:rsidR="002F3A4F">
        <w:t xml:space="preserve">products of a more general nature, such as </w:t>
      </w:r>
      <w:r w:rsidR="006B3D18">
        <w:t>“</w:t>
      </w:r>
      <w:r w:rsidR="002F3A4F">
        <w:t>sutures, scalpels</w:t>
      </w:r>
      <w:r w:rsidR="006B3D18">
        <w:t>,</w:t>
      </w:r>
      <w:r w:rsidR="002F3A4F">
        <w:t xml:space="preserve"> </w:t>
      </w:r>
      <w:r w:rsidR="006B3D18">
        <w:t>[</w:t>
      </w:r>
      <w:r w:rsidR="002F3A4F">
        <w:t>and</w:t>
      </w:r>
      <w:r w:rsidR="006B3D18">
        <w:t>]</w:t>
      </w:r>
      <w:r w:rsidR="002F3A4F">
        <w:t xml:space="preserve"> trocars</w:t>
      </w:r>
      <w:r w:rsidR="006B3D18">
        <w:t>”</w:t>
      </w:r>
      <w:r w:rsidR="002F3A4F">
        <w:t>, which</w:t>
      </w:r>
      <w:r w:rsidR="0055303F">
        <w:t xml:space="preserve"> do not have a “unique and direct connection to the [implantable] product”.</w:t>
      </w:r>
      <w:r w:rsidR="0052442B">
        <w:t xml:space="preserve"> Further c</w:t>
      </w:r>
      <w:r w:rsidR="004412CC">
        <w:t xml:space="preserve">larification is provided that </w:t>
      </w:r>
      <w:r w:rsidR="00E0714E">
        <w:t xml:space="preserve">“single-use” means the product is “incapable of future use, and may only be discarded” and that it “does not have a general-purpose use”. </w:t>
      </w:r>
    </w:p>
    <w:p w14:paraId="55D755CA" w14:textId="77777777" w:rsidR="0014756A" w:rsidRDefault="00D27FE5" w:rsidP="00BA5CA5">
      <w:pPr>
        <w:pStyle w:val="Bodytextwithparaspace"/>
      </w:pPr>
      <w:r>
        <w:t>Additionally, it is further clarified that for criterion 4</w:t>
      </w:r>
      <w:r w:rsidR="00456FCA">
        <w:t xml:space="preserve"> (c)</w:t>
      </w:r>
      <w:r>
        <w:t xml:space="preserve"> </w:t>
      </w:r>
      <w:r w:rsidR="00646A99">
        <w:t>the product must “not be a generic disposable or consumable item</w:t>
      </w:r>
      <w:r w:rsidR="00FB2F19">
        <w:t>” and that items such as “batteries, catheters, cannula and similar accessories” without an ongoing association with the product are “considered to be disposable products” and hence do not meet criterion 4</w:t>
      </w:r>
      <w:r w:rsidR="00456FCA">
        <w:t xml:space="preserve"> (c).</w:t>
      </w:r>
    </w:p>
    <w:p w14:paraId="41030205" w14:textId="77777777" w:rsidR="00132731" w:rsidRDefault="00BA5B58" w:rsidP="00A26B3B">
      <w:pPr>
        <w:pStyle w:val="Bodytextwithparaspace"/>
      </w:pPr>
      <w:r>
        <w:t xml:space="preserve">It should be noted also that criterion </w:t>
      </w:r>
      <w:r w:rsidR="0014756A">
        <w:t>5</w:t>
      </w:r>
      <w:r w:rsidR="00456FCA">
        <w:t xml:space="preserve"> (ii)</w:t>
      </w:r>
      <w:r>
        <w:t xml:space="preserve"> explicitly does not make reference to “cost-effectiveness”</w:t>
      </w:r>
      <w:r w:rsidR="000E76FC">
        <w:t xml:space="preserve">, which is not considered as part of the assessment procedure for consideration of products for inclusion, as per the rationale provided in the </w:t>
      </w:r>
      <w:r w:rsidR="000736A8">
        <w:t>Prostheses List</w:t>
      </w:r>
      <w:r w:rsidR="000E76FC">
        <w:t xml:space="preserve"> Guide</w:t>
      </w:r>
      <w:r w:rsidR="00687702">
        <w:t xml:space="preserve">. </w:t>
      </w:r>
    </w:p>
    <w:p w14:paraId="2B715947" w14:textId="77777777" w:rsidR="0089159C" w:rsidRDefault="00E167A8">
      <w:pPr>
        <w:pStyle w:val="EYHeading3"/>
      </w:pPr>
      <w:bookmarkStart w:id="51" w:name="_Ref39048041"/>
      <w:r w:rsidRPr="00A26B3B">
        <w:t>A</w:t>
      </w:r>
      <w:r w:rsidR="00D011FF">
        <w:t>lignment</w:t>
      </w:r>
      <w:r w:rsidRPr="00A26B3B">
        <w:t xml:space="preserve"> of </w:t>
      </w:r>
      <w:r w:rsidR="00726765" w:rsidRPr="00A26B3B">
        <w:t>c</w:t>
      </w:r>
      <w:r w:rsidRPr="00A26B3B">
        <w:t>riteria</w:t>
      </w:r>
      <w:bookmarkEnd w:id="51"/>
      <w:r w:rsidR="0089159C" w:rsidRPr="00A26B3B">
        <w:t xml:space="preserve"> </w:t>
      </w:r>
    </w:p>
    <w:p w14:paraId="367ABC01" w14:textId="77777777" w:rsidR="00E57B0C" w:rsidRDefault="00DE5C97" w:rsidP="00DE5C97">
      <w:pPr>
        <w:pStyle w:val="Bodytextwithparaspace"/>
      </w:pPr>
      <w:r>
        <w:t xml:space="preserve">As part of the review, products in the GM category of the PL were considered at a high level against the listing criteria </w:t>
      </w:r>
      <w:r w:rsidR="00E57B0C">
        <w:t xml:space="preserve">outlined above </w:t>
      </w:r>
      <w:r>
        <w:t>to identify potential cases where groups of items may be considered to not fully align with these criteria</w:t>
      </w:r>
      <w:r w:rsidR="00FC511E">
        <w:t>.</w:t>
      </w:r>
      <w:r w:rsidR="00E57B0C">
        <w:t xml:space="preserve"> Instances where application of the current criteria and processes have </w:t>
      </w:r>
      <w:r w:rsidR="0060554F">
        <w:t xml:space="preserve">potentially </w:t>
      </w:r>
      <w:r w:rsidR="00E57B0C">
        <w:t xml:space="preserve">led to poor outcomes have also been considered. </w:t>
      </w:r>
    </w:p>
    <w:p w14:paraId="1D8B4995" w14:textId="2225046A" w:rsidR="0060554F" w:rsidRDefault="00DE5C97" w:rsidP="00DE5C97">
      <w:pPr>
        <w:pStyle w:val="Bodytextwithparaspace"/>
      </w:pPr>
      <w:r>
        <w:t>For the purposes of the review, the Department identified several product subcategories or groups as being likely to constitute products of primary importance to the patient’s treatment</w:t>
      </w:r>
      <w:r w:rsidR="00E57B0C">
        <w:t xml:space="preserve"> and</w:t>
      </w:r>
      <w:r>
        <w:t xml:space="preserve"> </w:t>
      </w:r>
      <w:r w:rsidR="00FC77B1">
        <w:t xml:space="preserve">are therefore </w:t>
      </w:r>
      <w:r w:rsidR="00FC511E">
        <w:t xml:space="preserve">of lesser priority for the review, as outlined in Section </w:t>
      </w:r>
      <w:r w:rsidR="00FC511E">
        <w:fldChar w:fldCharType="begin"/>
      </w:r>
      <w:r w:rsidR="00FC511E">
        <w:instrText xml:space="preserve"> REF _Ref37841539 \w \h </w:instrText>
      </w:r>
      <w:r w:rsidR="00FC511E">
        <w:fldChar w:fldCharType="separate"/>
      </w:r>
      <w:r w:rsidR="00784DE2">
        <w:t>4.1</w:t>
      </w:r>
      <w:r w:rsidR="00FC511E">
        <w:fldChar w:fldCharType="end"/>
      </w:r>
      <w:r w:rsidR="00FC511E">
        <w:t>.</w:t>
      </w:r>
      <w:r w:rsidR="00FC77B1">
        <w:t xml:space="preserve"> </w:t>
      </w:r>
      <w:r w:rsidR="0060554F">
        <w:t xml:space="preserve">These </w:t>
      </w:r>
      <w:r w:rsidR="00662433">
        <w:t>were</w:t>
      </w:r>
      <w:r w:rsidR="0060554F">
        <w:t xml:space="preserve"> considered as being not of concern in regard to assessment against the listing criteria and</w:t>
      </w:r>
      <w:r w:rsidR="000736A8">
        <w:t>,</w:t>
      </w:r>
      <w:r w:rsidR="0060554F">
        <w:t xml:space="preserve"> as such</w:t>
      </w:r>
      <w:r w:rsidR="000736A8">
        <w:t>,</w:t>
      </w:r>
      <w:r w:rsidR="0060554F">
        <w:t xml:space="preserve"> whether these products align to the criteria has</w:t>
      </w:r>
      <w:r w:rsidR="00216784">
        <w:t xml:space="preserve"> not been explicitly </w:t>
      </w:r>
      <w:r w:rsidR="002E7A21">
        <w:t>considered</w:t>
      </w:r>
      <w:r w:rsidR="00216784">
        <w:t xml:space="preserve">. </w:t>
      </w:r>
    </w:p>
    <w:p w14:paraId="03929D18" w14:textId="54F594D8" w:rsidR="0060554F" w:rsidRDefault="0060554F" w:rsidP="00DE5C97">
      <w:pPr>
        <w:pStyle w:val="Bodytextwithparaspace"/>
      </w:pPr>
      <w:r>
        <w:t xml:space="preserve">For those parts of the GM category which </w:t>
      </w:r>
      <w:r w:rsidR="00662433">
        <w:t>were</w:t>
      </w:r>
      <w:r>
        <w:t xml:space="preserve"> deemed as ‘High’ priority by the Department, several instances where products may not fully align with the criteria</w:t>
      </w:r>
      <w:r w:rsidR="000736A8">
        <w:t>,</w:t>
      </w:r>
      <w:r>
        <w:t xml:space="preserve"> </w:t>
      </w:r>
      <w:r w:rsidR="00216784">
        <w:t>or where there are apparent inconsistencies in product classifications</w:t>
      </w:r>
      <w:r w:rsidR="000736A8">
        <w:t>,</w:t>
      </w:r>
      <w:r w:rsidR="00216784">
        <w:t xml:space="preserve"> </w:t>
      </w:r>
      <w:r>
        <w:t>have been identified</w:t>
      </w:r>
      <w:r w:rsidR="00216784">
        <w:t xml:space="preserve"> on the basis of the more detailed analysis performed for these items and stakeholder consultation submissions. This section highlights key examples where potential issues have been identified but is not necessarily </w:t>
      </w:r>
      <w:r w:rsidR="00943064">
        <w:t xml:space="preserve">an </w:t>
      </w:r>
      <w:r w:rsidR="00216784">
        <w:t xml:space="preserve">exhaustive list. </w:t>
      </w:r>
      <w:r w:rsidR="000736A8">
        <w:t>Opportunities for improvements</w:t>
      </w:r>
      <w:r w:rsidR="00044E11">
        <w:t xml:space="preserve"> based on these observations are provided in Section </w:t>
      </w:r>
      <w:r w:rsidR="00FC45CB">
        <w:fldChar w:fldCharType="begin"/>
      </w:r>
      <w:r w:rsidR="00FC45CB">
        <w:instrText xml:space="preserve"> REF _Ref39047763 \r \h </w:instrText>
      </w:r>
      <w:r w:rsidR="00FC45CB">
        <w:fldChar w:fldCharType="separate"/>
      </w:r>
      <w:r w:rsidR="00784DE2">
        <w:t>6</w:t>
      </w:r>
      <w:r w:rsidR="00FC45CB">
        <w:fldChar w:fldCharType="end"/>
      </w:r>
      <w:r w:rsidR="00FC45CB">
        <w:t>.</w:t>
      </w:r>
    </w:p>
    <w:p w14:paraId="2AA14B88" w14:textId="77777777" w:rsidR="00802676" w:rsidRPr="00000506" w:rsidRDefault="004A4F83" w:rsidP="000736A8">
      <w:pPr>
        <w:pStyle w:val="EYHeading4"/>
      </w:pPr>
      <w:r>
        <w:t>Potential issues with i</w:t>
      </w:r>
      <w:r w:rsidR="00802676">
        <w:t xml:space="preserve">nternal </w:t>
      </w:r>
      <w:r>
        <w:t>a</w:t>
      </w:r>
      <w:r w:rsidR="00802676">
        <w:t>dhesives</w:t>
      </w:r>
    </w:p>
    <w:p w14:paraId="08DB6186" w14:textId="6E70D5D2" w:rsidR="00075C1C" w:rsidRDefault="00216784" w:rsidP="00DE5C97">
      <w:pPr>
        <w:pStyle w:val="Bodytextwithparaspace"/>
      </w:pPr>
      <w:r>
        <w:t>There is evidence of items being included on the PL in sections which may be inconsistent with their actual or intended use. Of particular note is the inclusion of topic</w:t>
      </w:r>
      <w:r w:rsidR="006D3019">
        <w:t>al</w:t>
      </w:r>
      <w:r>
        <w:t xml:space="preserve"> skin adhesive products in the ’03.08.02 – Internal Adhesives’ group, as part of the ’03.08 – Closure Devices’ subcategory. </w:t>
      </w:r>
      <w:r w:rsidR="006D3019">
        <w:t xml:space="preserve">These products </w:t>
      </w:r>
      <w:r w:rsidR="00662433">
        <w:t>were</w:t>
      </w:r>
      <w:r w:rsidR="006D3019">
        <w:t xml:space="preserve"> identified in stakeholder submissions and from product descriptions as being intended for use on the surface of the skin and it </w:t>
      </w:r>
      <w:r w:rsidR="00662433">
        <w:t xml:space="preserve">is </w:t>
      </w:r>
      <w:r w:rsidR="006D3019">
        <w:t xml:space="preserve">consequently </w:t>
      </w:r>
      <w:r w:rsidR="0098047B">
        <w:t>questionable</w:t>
      </w:r>
      <w:r w:rsidR="006D3019">
        <w:t xml:space="preserve"> whether they </w:t>
      </w:r>
      <w:r w:rsidR="0098047B">
        <w:t>should</w:t>
      </w:r>
      <w:r w:rsidR="006D3019">
        <w:t xml:space="preserve"> be considered as ‘internal adhesives’.</w:t>
      </w:r>
    </w:p>
    <w:p w14:paraId="6338FF3C" w14:textId="1F97E396" w:rsidR="006D3019" w:rsidRDefault="006D3019" w:rsidP="007D0BD7">
      <w:pPr>
        <w:pStyle w:val="Bodytextwithparaspace"/>
      </w:pPr>
      <w:r>
        <w:t>Th</w:t>
      </w:r>
      <w:r w:rsidR="00075C1C">
        <w:t>e</w:t>
      </w:r>
      <w:r>
        <w:t xml:space="preserve"> suggestion that these topical skin adhesive products are distinct from other products in the ’03.08.02 – Internal Adhesives’ group is supported by the fact that, following their introduction</w:t>
      </w:r>
      <w:r w:rsidR="006B3D18">
        <w:t xml:space="preserve"> in February 2017, total benefits for the ’03.08.02.01 - </w:t>
      </w:r>
      <w:r w:rsidR="006B3D18" w:rsidRPr="006B3D18">
        <w:t>Adhesive ≤2ml</w:t>
      </w:r>
      <w:r w:rsidR="006B3D18">
        <w:t>’ subgroup increased from $3.0m in FY17 to $18.6m in FY19</w:t>
      </w:r>
      <w:r w:rsidR="0085050A">
        <w:t>:</w:t>
      </w:r>
      <w:r w:rsidR="006B3D18">
        <w:t xml:space="preserve"> an increase of over $15.6m in a two year period. </w:t>
      </w:r>
      <w:r w:rsidR="002E7A21" w:rsidRPr="0034516C">
        <w:t xml:space="preserve">Further discussion of usage for this group is provided in </w:t>
      </w:r>
      <w:r w:rsidR="002E7A21">
        <w:t xml:space="preserve">the case study </w:t>
      </w:r>
      <w:r w:rsidR="007D0BD7">
        <w:t xml:space="preserve">in Section </w:t>
      </w:r>
      <w:r w:rsidR="007D0BD7">
        <w:fldChar w:fldCharType="begin"/>
      </w:r>
      <w:r w:rsidR="007D0BD7">
        <w:instrText xml:space="preserve"> REF _Ref39852607 \r \h  \* MERGEFORMAT </w:instrText>
      </w:r>
      <w:r w:rsidR="007D0BD7">
        <w:fldChar w:fldCharType="separate"/>
      </w:r>
      <w:r w:rsidR="00784DE2">
        <w:t>5.2</w:t>
      </w:r>
      <w:r w:rsidR="007D0BD7">
        <w:fldChar w:fldCharType="end"/>
      </w:r>
      <w:r w:rsidR="007D0BD7">
        <w:t>.</w:t>
      </w:r>
    </w:p>
    <w:p w14:paraId="1CA48B6C" w14:textId="4EAA0B16" w:rsidR="00B716CF" w:rsidRDefault="006B3D18" w:rsidP="00DE5C97">
      <w:pPr>
        <w:pStyle w:val="Bodytextwithparaspace"/>
      </w:pPr>
      <w:r>
        <w:t xml:space="preserve">Furthermore, there may be reasonable grounds to question the fulfilment of the listing criteria for these topical skin adhesive products. As a product intended to be used on the surface, </w:t>
      </w:r>
      <w:r w:rsidR="002E7A21">
        <w:t xml:space="preserve">it appears that </w:t>
      </w:r>
      <w:r w:rsidR="00B9182A">
        <w:t xml:space="preserve">such topical skin adhesives cannot be claimed to be “surgically implanted” and so cannot meet criterion </w:t>
      </w:r>
      <w:r w:rsidR="00753BC9">
        <w:t>4a</w:t>
      </w:r>
      <w:r w:rsidR="00B9182A">
        <w:t xml:space="preserve">. Therefore, argument for their inclusion must </w:t>
      </w:r>
      <w:r w:rsidR="000C457A">
        <w:t>be based on either</w:t>
      </w:r>
      <w:r w:rsidR="00B9182A">
        <w:t xml:space="preserve"> of criteria 4</w:t>
      </w:r>
      <w:r w:rsidR="00753BC9">
        <w:t>b</w:t>
      </w:r>
      <w:r w:rsidR="00B9182A">
        <w:t xml:space="preserve"> or 4</w:t>
      </w:r>
      <w:r w:rsidR="00753BC9">
        <w:t>c</w:t>
      </w:r>
      <w:r w:rsidR="00B9182A">
        <w:t>.</w:t>
      </w:r>
    </w:p>
    <w:p w14:paraId="6F8573EA" w14:textId="02A9D448" w:rsidR="00213000" w:rsidRDefault="00B716CF" w:rsidP="00DE5C97">
      <w:pPr>
        <w:pStyle w:val="Bodytextwithparaspace"/>
      </w:pPr>
      <w:r>
        <w:t>T</w:t>
      </w:r>
      <w:r w:rsidR="00B9182A">
        <w:t>he rationale for criterion 4</w:t>
      </w:r>
      <w:r w:rsidR="00753BC9">
        <w:t>b</w:t>
      </w:r>
      <w:r w:rsidR="006F4136">
        <w:t xml:space="preserve"> provided in the </w:t>
      </w:r>
      <w:r w:rsidR="000736A8">
        <w:t>Prostheses List</w:t>
      </w:r>
      <w:r w:rsidR="006F4136">
        <w:t xml:space="preserve"> Guide</w:t>
      </w:r>
      <w:r w:rsidR="00B9182A">
        <w:t xml:space="preserve">, </w:t>
      </w:r>
      <w:r w:rsidR="006B3D18">
        <w:t xml:space="preserve">as discussed in Section </w:t>
      </w:r>
      <w:r w:rsidR="006B3D18">
        <w:fldChar w:fldCharType="begin"/>
      </w:r>
      <w:r w:rsidR="006B3D18">
        <w:instrText xml:space="preserve"> REF _Ref38362422 \w \h </w:instrText>
      </w:r>
      <w:r w:rsidR="006B3D18">
        <w:fldChar w:fldCharType="separate"/>
      </w:r>
      <w:r w:rsidR="00784DE2">
        <w:t>4.3.1</w:t>
      </w:r>
      <w:r w:rsidR="006B3D18">
        <w:fldChar w:fldCharType="end"/>
      </w:r>
      <w:r w:rsidR="00B9182A">
        <w:t xml:space="preserve">, specifically </w:t>
      </w:r>
      <w:r w:rsidR="008D0C18">
        <w:t>indicates that</w:t>
      </w:r>
      <w:r w:rsidR="00B9182A">
        <w:t xml:space="preserve"> items of “a more general nature (e.g. sutures, scalpels, trocars)” </w:t>
      </w:r>
      <w:r w:rsidR="0057699F">
        <w:t>are not included because</w:t>
      </w:r>
      <w:r w:rsidR="00B9182A">
        <w:t xml:space="preserve"> these would not fulfil </w:t>
      </w:r>
      <w:r w:rsidR="00CD02E3">
        <w:t xml:space="preserve">the </w:t>
      </w:r>
      <w:r w:rsidR="00B9182A">
        <w:t xml:space="preserve">need for a product to be “specifically designed for implanting a product </w:t>
      </w:r>
      <w:r w:rsidR="00CD02E3">
        <w:t>[</w:t>
      </w:r>
      <w:r w:rsidR="00B9182A">
        <w:t>that meets criterion 4</w:t>
      </w:r>
      <w:r w:rsidR="00753BC9">
        <w:t>a</w:t>
      </w:r>
      <w:r w:rsidR="00CD02E3">
        <w:t>]”</w:t>
      </w:r>
      <w:r w:rsidR="00B9182A">
        <w:t xml:space="preserve">. Based on stakeholder submissions and clinical input, it may be argued that these items are </w:t>
      </w:r>
      <w:r w:rsidR="00CD02E3">
        <w:t xml:space="preserve">indeed </w:t>
      </w:r>
      <w:r w:rsidR="00B9182A">
        <w:t>of a general nature</w:t>
      </w:r>
      <w:r w:rsidR="00CD02E3">
        <w:t xml:space="preserve"> in that their use is not specific to the implantation of a prosthetic item,</w:t>
      </w:r>
      <w:r w:rsidR="00B9182A">
        <w:t xml:space="preserve"> with parallels drawn to sutures which are similarly used for skin closure</w:t>
      </w:r>
      <w:r w:rsidR="00667C02">
        <w:t xml:space="preserve">. </w:t>
      </w:r>
      <w:r w:rsidR="00CE36EF">
        <w:t xml:space="preserve">There is therefore </w:t>
      </w:r>
      <w:r w:rsidR="00875DE6">
        <w:t>reason to question whether these topical skin adhesives meet</w:t>
      </w:r>
      <w:r w:rsidR="00B9182A">
        <w:t xml:space="preserve"> criterion 4</w:t>
      </w:r>
      <w:r w:rsidR="00753BC9">
        <w:t>b</w:t>
      </w:r>
      <w:r w:rsidR="00B9182A">
        <w:t xml:space="preserve">. It </w:t>
      </w:r>
      <w:r w:rsidR="00213000">
        <w:t xml:space="preserve">also </w:t>
      </w:r>
      <w:r w:rsidR="00B9182A">
        <w:t>stands to reason that criterion 4</w:t>
      </w:r>
      <w:r w:rsidR="00753BC9">
        <w:t>c</w:t>
      </w:r>
      <w:r w:rsidR="00B9182A">
        <w:t xml:space="preserve"> </w:t>
      </w:r>
      <w:r w:rsidR="00C23096">
        <w:t xml:space="preserve">may </w:t>
      </w:r>
      <w:r w:rsidR="002232B3">
        <w:t xml:space="preserve">also </w:t>
      </w:r>
      <w:r w:rsidR="00C23096">
        <w:t xml:space="preserve">be considered </w:t>
      </w:r>
      <w:r w:rsidR="00B9182A">
        <w:t xml:space="preserve">insufficient </w:t>
      </w:r>
      <w:r w:rsidR="00C23096">
        <w:t xml:space="preserve">for these products </w:t>
      </w:r>
      <w:r w:rsidR="00B9182A">
        <w:t xml:space="preserve">due to </w:t>
      </w:r>
      <w:r w:rsidR="00C23096">
        <w:t>their temporary nature</w:t>
      </w:r>
      <w:r w:rsidR="00792255">
        <w:t>,</w:t>
      </w:r>
      <w:r w:rsidR="00CD02E3">
        <w:t xml:space="preserve"> which suggests</w:t>
      </w:r>
      <w:r w:rsidR="00B9182A">
        <w:t xml:space="preserve"> that they cannot be considered as “critical to the </w:t>
      </w:r>
      <w:r w:rsidR="00B9182A" w:rsidRPr="00A26B3B">
        <w:rPr>
          <w:b/>
          <w:bCs/>
        </w:rPr>
        <w:t>continuing</w:t>
      </w:r>
      <w:r w:rsidR="00B9182A">
        <w:t xml:space="preserve"> function of the surgically implanted product”</w:t>
      </w:r>
      <w:r w:rsidR="00CD02E3">
        <w:t xml:space="preserve"> (emphasis added)</w:t>
      </w:r>
      <w:r w:rsidR="00B9182A">
        <w:t xml:space="preserve">. </w:t>
      </w:r>
      <w:r w:rsidR="000B43CF">
        <w:t>It follows then that the</w:t>
      </w:r>
      <w:r w:rsidR="00D23FB8">
        <w:t>re is</w:t>
      </w:r>
      <w:r w:rsidR="00AC3D30">
        <w:t xml:space="preserve"> significant room to question whether these</w:t>
      </w:r>
      <w:r w:rsidR="000B43CF">
        <w:t xml:space="preserve"> topical skin adhesive products </w:t>
      </w:r>
      <w:r w:rsidR="00AC3D30">
        <w:t>meet the PL listing criteria</w:t>
      </w:r>
      <w:r w:rsidR="002C1B04">
        <w:t xml:space="preserve">. </w:t>
      </w:r>
    </w:p>
    <w:p w14:paraId="3A898A40" w14:textId="77777777" w:rsidR="00153874" w:rsidRDefault="00153874" w:rsidP="00153874">
      <w:pPr>
        <w:pStyle w:val="EYHeading4"/>
      </w:pPr>
      <w:bookmarkStart w:id="52" w:name="_Ref41292583"/>
      <w:r>
        <w:t>Potential issues with infusion pumps</w:t>
      </w:r>
      <w:bookmarkEnd w:id="52"/>
    </w:p>
    <w:p w14:paraId="6A6FCB04" w14:textId="79C7DB49" w:rsidR="00957FE9" w:rsidRDefault="00153874" w:rsidP="00153874">
      <w:pPr>
        <w:pStyle w:val="Bodytextwithparaspace"/>
      </w:pPr>
      <w:r>
        <w:t>Infusion pumps are designed to assist in the management of pain or to provide medication</w:t>
      </w:r>
      <w:r w:rsidR="0074314F">
        <w:t xml:space="preserve"> to a patient</w:t>
      </w:r>
      <w:r>
        <w:t xml:space="preserve"> </w:t>
      </w:r>
      <w:r w:rsidR="0074314F">
        <w:t>for relatively short periods that may be repeated over a longer period of time</w:t>
      </w:r>
      <w:r>
        <w:t xml:space="preserve">. Potential issues regarding the listing criteria </w:t>
      </w:r>
      <w:r w:rsidR="00662433">
        <w:t>were</w:t>
      </w:r>
      <w:r>
        <w:t xml:space="preserve"> noted for these devices. It is clear that infusion pumps cannot themselves be considered surgically implanted due to their function external to the patient’s body.</w:t>
      </w:r>
    </w:p>
    <w:p w14:paraId="0D73235E" w14:textId="6CBB9C98" w:rsidR="00957FE9" w:rsidRPr="000C7ECB" w:rsidRDefault="00153874" w:rsidP="00153874">
      <w:pPr>
        <w:pStyle w:val="Bodytextwithparaspace"/>
        <w:rPr>
          <w:strike/>
        </w:rPr>
      </w:pPr>
      <w:r>
        <w:t xml:space="preserve">In that case, the surgically implanted device that their usage may be considered to relate to would necessarily be </w:t>
      </w:r>
      <w:r w:rsidR="00957FE9">
        <w:t xml:space="preserve">a portacath or long term vascular access line </w:t>
      </w:r>
      <w:r>
        <w:t xml:space="preserve">to which the </w:t>
      </w:r>
      <w:r w:rsidR="009B44E8">
        <w:t>pump</w:t>
      </w:r>
      <w:r>
        <w:t xml:space="preserve"> is connected to enable delivery of the medication.</w:t>
      </w:r>
      <w:r w:rsidR="0074314F">
        <w:t xml:space="preserve"> Whether the pump is critical to the functioning of the portacath or access line, or vice versa, is debatable – especially as other mechanisms for administering medicine through the implanted device may be available.</w:t>
      </w:r>
    </w:p>
    <w:p w14:paraId="5B4F990B" w14:textId="4EBED2BC" w:rsidR="00957FE9" w:rsidRDefault="00957FE9" w:rsidP="00153874">
      <w:pPr>
        <w:pStyle w:val="Bodytextwithparaspace"/>
      </w:pPr>
      <w:r>
        <w:t>Conversely, as shown in Appendix B (</w:t>
      </w:r>
      <w:r>
        <w:fldChar w:fldCharType="begin"/>
      </w:r>
      <w:r>
        <w:instrText xml:space="preserve"> REF _Ref41291821 \h </w:instrText>
      </w:r>
      <w:r>
        <w:fldChar w:fldCharType="separate"/>
      </w:r>
      <w:r w:rsidR="00784DE2">
        <w:t xml:space="preserve">Figure </w:t>
      </w:r>
      <w:r w:rsidR="00784DE2">
        <w:rPr>
          <w:noProof/>
        </w:rPr>
        <w:t>44</w:t>
      </w:r>
      <w:r>
        <w:fldChar w:fldCharType="end"/>
      </w:r>
      <w:r w:rsidR="00FC444E">
        <w:t xml:space="preserve"> and</w:t>
      </w:r>
      <w:r>
        <w:t xml:space="preserve"> </w:t>
      </w:r>
      <w:r>
        <w:fldChar w:fldCharType="begin"/>
      </w:r>
      <w:r>
        <w:instrText xml:space="preserve"> REF _Ref41291833 \h </w:instrText>
      </w:r>
      <w:r>
        <w:fldChar w:fldCharType="separate"/>
      </w:r>
      <w:r w:rsidR="00784DE2">
        <w:t xml:space="preserve">Figure </w:t>
      </w:r>
      <w:r w:rsidR="00784DE2">
        <w:rPr>
          <w:noProof/>
        </w:rPr>
        <w:t>45</w:t>
      </w:r>
      <w:r>
        <w:fldChar w:fldCharType="end"/>
      </w:r>
      <w:r>
        <w:t xml:space="preserve">), infusion pumps are often used without </w:t>
      </w:r>
      <w:r w:rsidR="00CF244D">
        <w:t xml:space="preserve">another implantable device on the PL. This occurs around 50% of the time for balloon-based infusion pumps, 40% of the time for other pharmacology battery powered infusion pumps and 15% of the time for programmable/reprogrammable flow rate and bolus battery powered infusion pumps are “only suitable for use by the patient in whom that product </w:t>
      </w:r>
      <w:r w:rsidR="00662433">
        <w:t>(</w:t>
      </w:r>
      <w:r w:rsidR="00CF244D">
        <w:t>i.e. the portacath or long term vascular line</w:t>
      </w:r>
      <w:r w:rsidR="00662433">
        <w:t>)</w:t>
      </w:r>
      <w:r w:rsidR="00CF244D">
        <w:t xml:space="preserve"> is implanted.”</w:t>
      </w:r>
    </w:p>
    <w:p w14:paraId="49897FE8" w14:textId="232CEC54" w:rsidR="00153874" w:rsidRDefault="00153874" w:rsidP="00153874">
      <w:pPr>
        <w:pStyle w:val="Bodytextwithparaspace"/>
      </w:pPr>
      <w:r>
        <w:t>Further, there is a case that the infusion pump and port in tandem are purposely designed to modulate a physiological process or combat a pathological process in that they are designed to allow the delivery of medication to the patient, with the medication performing the modulating or combating role.</w:t>
      </w:r>
    </w:p>
    <w:p w14:paraId="3AFCCC23" w14:textId="77777777" w:rsidR="00153874" w:rsidRDefault="00153874" w:rsidP="00153874">
      <w:pPr>
        <w:pStyle w:val="Bodytextwithparaspace"/>
      </w:pPr>
      <w:r>
        <w:t>These arguments similarly extend to infusion pump accessories.</w:t>
      </w:r>
    </w:p>
    <w:p w14:paraId="64119620" w14:textId="6EEDBFF7" w:rsidR="00CF244D" w:rsidRDefault="00CF244D" w:rsidP="00CF244D">
      <w:pPr>
        <w:pStyle w:val="Bodytextwithparaspace"/>
      </w:pPr>
      <w:r>
        <w:t xml:space="preserve">The case that infusion pumps meet the criteria for listing on the PL relies on the infusion pump and portacath working in tandem to modulate a physiological process or combat a pathological process. It ignores the issues above about whether each is critical to the functioning of the other, and also that it is technically the medication which is modulating or combating processes. Indeed, </w:t>
      </w:r>
      <w:r w:rsidR="00153874">
        <w:t xml:space="preserve">it </w:t>
      </w:r>
      <w:r w:rsidR="00662433">
        <w:t>was also</w:t>
      </w:r>
      <w:r w:rsidR="00153874">
        <w:t xml:space="preserve"> suggested in consultation submissions that these devices do not represent ‘true’ prosthetic devices as they are primarily a method for the delivery of medication and do not remain well beyond discharge.</w:t>
      </w:r>
    </w:p>
    <w:p w14:paraId="446BDF24" w14:textId="656D317A" w:rsidR="00153874" w:rsidRDefault="00153874" w:rsidP="00153874">
      <w:pPr>
        <w:pStyle w:val="Bodytextwithparaspace"/>
      </w:pPr>
      <w:r>
        <w:t xml:space="preserve">For some battery-powered infusion pumps there is further potential argument against their meeting of the listing criteria. It </w:t>
      </w:r>
      <w:r w:rsidR="00662433">
        <w:t>was</w:t>
      </w:r>
      <w:r>
        <w:t xml:space="preserve"> suggested both by stakeholder consultation submissions and clinical </w:t>
      </w:r>
      <w:r w:rsidR="00DB435D">
        <w:t>subject matter resources</w:t>
      </w:r>
      <w:r>
        <w:t xml:space="preserve"> that battery-powered pumps are capable of being reused for multiple patients and are not single use. If this is </w:t>
      </w:r>
      <w:r w:rsidR="00662433">
        <w:t>true</w:t>
      </w:r>
      <w:r>
        <w:t xml:space="preserve">, then these products appear to not meet with the listing criteria as both criteria </w:t>
      </w:r>
      <w:r w:rsidR="0090163D">
        <w:t>4b</w:t>
      </w:r>
      <w:r>
        <w:t xml:space="preserve"> and 4</w:t>
      </w:r>
      <w:r w:rsidR="0090163D">
        <w:t>c</w:t>
      </w:r>
      <w:r>
        <w:t xml:space="preserve"> require the product to be “only suitable for use with the patient in whom that product is implanted”. This is supported by that fact that some battery-powered infusion pumps included in Part A of the PL can cost as much as $4,950 per item as at February 2020. </w:t>
      </w:r>
    </w:p>
    <w:tbl>
      <w:tblPr>
        <w:tblStyle w:val="TableGrid"/>
        <w:tblW w:w="0" w:type="auto"/>
        <w:shd w:val="clear" w:color="auto" w:fill="D9D9D9" w:themeFill="background1" w:themeFillShade="D9"/>
        <w:tblLook w:val="04A0" w:firstRow="1" w:lastRow="0" w:firstColumn="1" w:lastColumn="0" w:noHBand="0" w:noVBand="1"/>
        <w:tblCaption w:val="Finding 4.3.2 (1)"/>
        <w:tblDescription w:val="This table describes Finding 4.3.2 (1):&#10;Finding 4.3.2 (1)&#10;There are specific examples on the PL that can be considered as not meeting the criteria for listing.&#10;On the basis that topical skin adhesives are used externally and not necessarily in conjunction with other implanted devices (except potentially other ‘High’ priority GM items), the expectation is that these items do not meet the criteria. It is also noted that these items have previously been funded through case based or bundled fee arrangements between hospitals and insurers.&#10;For a number of reasons outlined in Section 4.3.2.2 above, the case that infusion pumps meet the criteria for listing is tenuous at best. Given that pumps are regularly used without implantable devices and, conversely, that implantable devices (portacaths and long term vascular lines) can be used without pumps, the expectation is that these items do not meet the criteria.&#10;"/>
      </w:tblPr>
      <w:tblGrid>
        <w:gridCol w:w="9019"/>
      </w:tblGrid>
      <w:tr w:rsidR="009B44E8" w14:paraId="41E4198E" w14:textId="77777777" w:rsidTr="00A37319">
        <w:trPr>
          <w:tblHeader/>
        </w:trPr>
        <w:tc>
          <w:tcPr>
            <w:tcW w:w="9019" w:type="dxa"/>
            <w:shd w:val="clear" w:color="auto" w:fill="D2D2DA" w:themeFill="text1" w:themeFillTint="33"/>
          </w:tcPr>
          <w:p w14:paraId="2F3AE936" w14:textId="73C2947C" w:rsidR="009B44E8" w:rsidRDefault="009B44E8" w:rsidP="009B44E8">
            <w:pPr>
              <w:pStyle w:val="Bodytextwithparaspace"/>
              <w:rPr>
                <w:b/>
              </w:rPr>
            </w:pPr>
            <w:r>
              <w:rPr>
                <w:b/>
              </w:rPr>
              <w:t xml:space="preserve">Finding </w:t>
            </w:r>
            <w:r>
              <w:rPr>
                <w:b/>
              </w:rPr>
              <w:fldChar w:fldCharType="begin"/>
            </w:r>
            <w:r>
              <w:rPr>
                <w:b/>
              </w:rPr>
              <w:instrText xml:space="preserve"> REF _Ref39048041 \r \h  \* MERGEFORMAT </w:instrText>
            </w:r>
            <w:r>
              <w:rPr>
                <w:b/>
              </w:rPr>
            </w:r>
            <w:r>
              <w:rPr>
                <w:b/>
              </w:rPr>
              <w:fldChar w:fldCharType="separate"/>
            </w:r>
            <w:r w:rsidR="00784DE2">
              <w:rPr>
                <w:b/>
              </w:rPr>
              <w:t>4.3.2</w:t>
            </w:r>
            <w:r>
              <w:rPr>
                <w:b/>
              </w:rPr>
              <w:fldChar w:fldCharType="end"/>
            </w:r>
            <w:r>
              <w:rPr>
                <w:b/>
              </w:rPr>
              <w:t xml:space="preserve"> (1)</w:t>
            </w:r>
          </w:p>
          <w:p w14:paraId="021195C9" w14:textId="290FFD3F" w:rsidR="009B44E8" w:rsidRDefault="009B44E8" w:rsidP="009B44E8">
            <w:pPr>
              <w:pStyle w:val="Bodytextwithparaspace"/>
            </w:pPr>
            <w:r>
              <w:t xml:space="preserve">There </w:t>
            </w:r>
            <w:r w:rsidR="0005742E">
              <w:t xml:space="preserve">are </w:t>
            </w:r>
            <w:r>
              <w:t>specific examples on the PL that can be considered as not meeting the criteria for listing.</w:t>
            </w:r>
          </w:p>
          <w:p w14:paraId="0D663FAA" w14:textId="6F268055" w:rsidR="009B44E8" w:rsidRDefault="009B44E8" w:rsidP="009B44E8">
            <w:pPr>
              <w:pStyle w:val="Bodytextwithparaspace"/>
            </w:pPr>
            <w:r>
              <w:t xml:space="preserve">On the basis that topical skin adhesives are used externally and not necessarily in conjunction with other implanted devices (except potentially other ‘High’ priority GM items), the expectation is that these items do not meet the criteria. It is also noted that these items have previously been funded through </w:t>
            </w:r>
            <w:r w:rsidR="00801C91">
              <w:t>case based or bundled fee</w:t>
            </w:r>
            <w:r>
              <w:t xml:space="preserve"> arrangements between hospitals and insurers.</w:t>
            </w:r>
          </w:p>
          <w:p w14:paraId="4A29D52E" w14:textId="1D52F704" w:rsidR="00CF244D" w:rsidRDefault="008E77A9">
            <w:pPr>
              <w:pStyle w:val="Bodytextwithparaspace"/>
              <w:rPr>
                <w:highlight w:val="yellow"/>
              </w:rPr>
            </w:pPr>
            <w:r>
              <w:t xml:space="preserve">For a number of reasons outlined in Section </w:t>
            </w:r>
            <w:r>
              <w:fldChar w:fldCharType="begin"/>
            </w:r>
            <w:r>
              <w:instrText xml:space="preserve"> REF _Ref41292583 \r \h </w:instrText>
            </w:r>
            <w:r>
              <w:fldChar w:fldCharType="separate"/>
            </w:r>
            <w:r w:rsidR="00784DE2">
              <w:t>4.3.2.2</w:t>
            </w:r>
            <w:r>
              <w:fldChar w:fldCharType="end"/>
            </w:r>
            <w:r>
              <w:t xml:space="preserve"> above, the case that infusion pumps meet the criteria for listing is tenuous at best. Given that pumps are regularly used without implantable devices and, conversely, that implantable devices (portacaths and long term vascular lines) can be used without pumps, </w:t>
            </w:r>
            <w:r w:rsidR="007E1CA6">
              <w:t xml:space="preserve">the </w:t>
            </w:r>
            <w:r>
              <w:t>expectation is that these items do not meet the criteria.</w:t>
            </w:r>
          </w:p>
        </w:tc>
      </w:tr>
    </w:tbl>
    <w:p w14:paraId="59F15D3E" w14:textId="77777777" w:rsidR="00B84628" w:rsidRDefault="00B84628" w:rsidP="00DC636B">
      <w:pPr>
        <w:pStyle w:val="EYHeading4"/>
        <w:spacing w:before="240"/>
      </w:pPr>
      <w:r>
        <w:t xml:space="preserve">Potential issues with </w:t>
      </w:r>
      <w:r w:rsidR="00295F01">
        <w:t>haemostatic devices</w:t>
      </w:r>
    </w:p>
    <w:p w14:paraId="1B92E74C" w14:textId="0D2AD586" w:rsidR="006B18D0" w:rsidRDefault="006B18D0" w:rsidP="00295F01">
      <w:pPr>
        <w:pStyle w:val="Bodytextwithparaspace"/>
      </w:pPr>
      <w:r>
        <w:t>Whilst</w:t>
      </w:r>
      <w:r w:rsidR="00295F01">
        <w:t xml:space="preserve"> it is clear that products included in the ’03.05 – Haemostatic</w:t>
      </w:r>
      <w:r w:rsidR="00295F01" w:rsidRPr="00740C4A">
        <w:t xml:space="preserve"> </w:t>
      </w:r>
      <w:r w:rsidR="00295F01">
        <w:t xml:space="preserve">Devices’ sub-category are specifically designed to modulate a physiological process by way of stopping bleeding or the leakage of fluid, many of them are designed to dissolve and disappear a short while after their application or insertion. In the current criteria there is no indication that duration is a factor in defining a product as being “surgically implanted”. However, consultation submissions and clinical </w:t>
      </w:r>
      <w:r w:rsidR="00DB435D">
        <w:t>subject matter resources</w:t>
      </w:r>
      <w:r>
        <w:t xml:space="preserve"> </w:t>
      </w:r>
      <w:r w:rsidR="007E1CA6">
        <w:t>i</w:t>
      </w:r>
      <w:r w:rsidR="00295F01">
        <w:t xml:space="preserve">ndicated concern as to the </w:t>
      </w:r>
      <w:r w:rsidR="0074314F">
        <w:t xml:space="preserve">appropriateness </w:t>
      </w:r>
      <w:r w:rsidR="00295F01">
        <w:t>of claiming such items as being truly “surgically implanted” or in line with the intention of the criteria</w:t>
      </w:r>
      <w:r>
        <w:t xml:space="preserve"> </w:t>
      </w:r>
      <w:r w:rsidR="00295F01">
        <w:t>or the PL more generally.</w:t>
      </w:r>
    </w:p>
    <w:p w14:paraId="6DC004EE" w14:textId="799F9D49" w:rsidR="00295F01" w:rsidRDefault="00295F01" w:rsidP="00295F01">
      <w:pPr>
        <w:pStyle w:val="Bodytextwithparaspace"/>
      </w:pPr>
      <w:r>
        <w:t>It is acknowledged that the</w:t>
      </w:r>
      <w:r w:rsidR="006B18D0">
        <w:t>re is no overall purpose o</w:t>
      </w:r>
      <w:r>
        <w:t>f the PL</w:t>
      </w:r>
      <w:r w:rsidR="006B18D0">
        <w:t>, which means that the</w:t>
      </w:r>
      <w:r w:rsidR="00AF3AAB">
        <w:t xml:space="preserve"> broad interpretability of the current listing criteria </w:t>
      </w:r>
      <w:r w:rsidR="006B18D0">
        <w:t xml:space="preserve">results </w:t>
      </w:r>
      <w:r w:rsidR="00AF3AAB">
        <w:t xml:space="preserve">in a lack of clarity around what </w:t>
      </w:r>
      <w:r w:rsidR="006B18D0">
        <w:t>should and should</w:t>
      </w:r>
      <w:r w:rsidR="00AF3AAB">
        <w:t xml:space="preserve"> not </w:t>
      </w:r>
      <w:r w:rsidR="00D85D3F">
        <w:t xml:space="preserve">be </w:t>
      </w:r>
      <w:r w:rsidR="00AF3AAB">
        <w:t xml:space="preserve">considered a prosthesis. </w:t>
      </w:r>
      <w:r w:rsidR="002E7A21">
        <w:t>Further, in the case of these items</w:t>
      </w:r>
      <w:r w:rsidR="006B18D0">
        <w:t>,</w:t>
      </w:r>
      <w:r w:rsidR="002E7A21">
        <w:t xml:space="preserve"> the process being modulated is that of bleeding or leakage often as a consequence of a surgical procedure (rather than </w:t>
      </w:r>
      <w:r w:rsidR="008E77A9">
        <w:t>modulating or combatting a process being the primary reason for the surgery in the first place</w:t>
      </w:r>
      <w:r w:rsidR="002E7A21">
        <w:t>) which may represent a broader effective coverage than originally intended.</w:t>
      </w:r>
    </w:p>
    <w:p w14:paraId="7A8A12BF" w14:textId="77777777" w:rsidR="002E7A21" w:rsidRDefault="002E7A21" w:rsidP="000736A8">
      <w:pPr>
        <w:pStyle w:val="EYHeading4"/>
      </w:pPr>
      <w:r>
        <w:t>Potential issues with staples and tackers</w:t>
      </w:r>
    </w:p>
    <w:p w14:paraId="1DFE25FF" w14:textId="36B59C60" w:rsidR="00A40269" w:rsidRPr="001C4975" w:rsidRDefault="00135210" w:rsidP="00A26B3B">
      <w:pPr>
        <w:pStyle w:val="Bodytextwithparaspace"/>
      </w:pPr>
      <w:r>
        <w:t xml:space="preserve">Similarly, it is clear that staple and tacker </w:t>
      </w:r>
      <w:r w:rsidR="006B18D0">
        <w:t xml:space="preserve">items </w:t>
      </w:r>
      <w:r>
        <w:t>from the ’03.08.04 – Staples &amp; Tackers’ group represent clinically effective products tha</w:t>
      </w:r>
      <w:r w:rsidR="00BE1582">
        <w:t>t help to achieve wound closure</w:t>
      </w:r>
      <w:r w:rsidR="008030BB">
        <w:t>, connect tissues</w:t>
      </w:r>
      <w:r w:rsidR="00BE1582">
        <w:t xml:space="preserve"> and manage leakage of fluids</w:t>
      </w:r>
      <w:r w:rsidR="008030BB">
        <w:t>.</w:t>
      </w:r>
      <w:r w:rsidR="00F951BD">
        <w:t xml:space="preserve"> However, clinical </w:t>
      </w:r>
      <w:r w:rsidR="00DB435D">
        <w:t>subject matter resources</w:t>
      </w:r>
      <w:r w:rsidR="006B18D0">
        <w:t xml:space="preserve"> </w:t>
      </w:r>
      <w:r w:rsidR="00F951BD">
        <w:t xml:space="preserve">also </w:t>
      </w:r>
      <w:r w:rsidR="00364A90">
        <w:t>indicated</w:t>
      </w:r>
      <w:r w:rsidR="006D4BAD">
        <w:t xml:space="preserve"> that there is room for argument as to</w:t>
      </w:r>
      <w:r w:rsidR="00F951BD">
        <w:t xml:space="preserve"> </w:t>
      </w:r>
      <w:r w:rsidR="00674372">
        <w:t xml:space="preserve">whether </w:t>
      </w:r>
      <w:r w:rsidR="00224393">
        <w:t xml:space="preserve">these items are considered </w:t>
      </w:r>
      <w:r w:rsidR="006D4BAD">
        <w:t>‘</w:t>
      </w:r>
      <w:r w:rsidR="004D3ECE">
        <w:t>prostheses</w:t>
      </w:r>
      <w:r w:rsidR="006D4BAD">
        <w:t xml:space="preserve">’ </w:t>
      </w:r>
      <w:r w:rsidR="00364A90">
        <w:t xml:space="preserve">outside of the context of the specific listing criteria. </w:t>
      </w:r>
      <w:r w:rsidR="00525750">
        <w:t xml:space="preserve">Again, this is reflective of the broad interpretability of </w:t>
      </w:r>
      <w:r w:rsidR="00723FDB">
        <w:t>the listing criteria, particular</w:t>
      </w:r>
      <w:r w:rsidR="006B18D0">
        <w:t>ly</w:t>
      </w:r>
      <w:r w:rsidR="00723FDB">
        <w:t xml:space="preserve"> regarding the term “surgically implanted” and </w:t>
      </w:r>
      <w:r w:rsidR="00A00FF9">
        <w:t xml:space="preserve">the </w:t>
      </w:r>
      <w:r w:rsidR="00F8512C">
        <w:t>wide</w:t>
      </w:r>
      <w:r w:rsidR="00A00FF9">
        <w:t xml:space="preserve"> range of </w:t>
      </w:r>
      <w:r w:rsidR="00094AEA">
        <w:t xml:space="preserve">purposes covered by </w:t>
      </w:r>
      <w:r w:rsidR="006B18D0">
        <w:t xml:space="preserve">criteria </w:t>
      </w:r>
      <w:r w:rsidR="008E1E8C">
        <w:t>4 (a) i – iii</w:t>
      </w:r>
      <w:r w:rsidR="004529E9">
        <w:t>.</w:t>
      </w:r>
    </w:p>
    <w:p w14:paraId="3F65037C" w14:textId="77777777" w:rsidR="007707F8" w:rsidRDefault="00C249BA" w:rsidP="000736A8">
      <w:pPr>
        <w:pStyle w:val="EYHeading4"/>
      </w:pPr>
      <w:r>
        <w:t xml:space="preserve">Usage of </w:t>
      </w:r>
      <w:r w:rsidR="004A4F83">
        <w:t>‘High’ priority GM items</w:t>
      </w:r>
      <w:r w:rsidR="00C12600">
        <w:t xml:space="preserve"> with other prosthetic items</w:t>
      </w:r>
    </w:p>
    <w:p w14:paraId="76663100" w14:textId="703CD049" w:rsidR="003D7030" w:rsidRDefault="00DB0ED8" w:rsidP="0096431E">
      <w:pPr>
        <w:pStyle w:val="Bodytextwithparaspace"/>
      </w:pPr>
      <w:r>
        <w:t xml:space="preserve">More generally, </w:t>
      </w:r>
      <w:r w:rsidR="008B63BF">
        <w:t xml:space="preserve">many of the ‘High’ priority GM items </w:t>
      </w:r>
      <w:r w:rsidR="007E1CA6">
        <w:t xml:space="preserve">were </w:t>
      </w:r>
      <w:r w:rsidR="00494B2C">
        <w:t xml:space="preserve">infrequently used </w:t>
      </w:r>
      <w:r w:rsidR="00EE6ED9">
        <w:t xml:space="preserve">in the same episode of care as </w:t>
      </w:r>
      <w:r w:rsidR="003F107D">
        <w:t xml:space="preserve">items from other parts of the PL (i.e. other PL categories or ‘Low’ priority GM items). </w:t>
      </w:r>
      <w:r w:rsidR="00F40C8C">
        <w:t xml:space="preserve">In these circumstances, the </w:t>
      </w:r>
      <w:r w:rsidR="00C7333C">
        <w:t>item cannot be claimed to meet criteria 4b or 4c and so therefore can only be eligible if it meets criterion 4a</w:t>
      </w:r>
      <w:r w:rsidR="003D7030">
        <w:t>.</w:t>
      </w:r>
    </w:p>
    <w:p w14:paraId="214383A4" w14:textId="582E579E" w:rsidR="00E205DE" w:rsidRDefault="003D7030" w:rsidP="0096431E">
      <w:pPr>
        <w:pStyle w:val="Bodytextwithparaspace"/>
      </w:pPr>
      <w:r>
        <w:t xml:space="preserve">In order to meet criterion 4a, the </w:t>
      </w:r>
      <w:r w:rsidR="00F40C8C">
        <w:t>GM item is</w:t>
      </w:r>
      <w:r w:rsidR="00F6201D">
        <w:t xml:space="preserve"> essentially</w:t>
      </w:r>
      <w:r w:rsidR="00F40C8C">
        <w:t xml:space="preserve"> the primary </w:t>
      </w:r>
      <w:r w:rsidR="00F6201D">
        <w:t xml:space="preserve">purpose </w:t>
      </w:r>
      <w:r w:rsidR="0033565C">
        <w:t>prosthe</w:t>
      </w:r>
      <w:r w:rsidR="005C6C3D">
        <w:t>tic</w:t>
      </w:r>
      <w:r w:rsidR="0033565C">
        <w:t xml:space="preserve"> </w:t>
      </w:r>
      <w:r w:rsidR="00F6201D">
        <w:t>item</w:t>
      </w:r>
      <w:r w:rsidR="00BA0118">
        <w:t xml:space="preserve"> in the procedure</w:t>
      </w:r>
      <w:r w:rsidR="003F5B7F">
        <w:t xml:space="preserve">, which may be at odds with the </w:t>
      </w:r>
      <w:r>
        <w:t>intention of the PL</w:t>
      </w:r>
      <w:r w:rsidR="003F5B7F">
        <w:t>.</w:t>
      </w:r>
      <w:r w:rsidR="00F40C8C">
        <w:t xml:space="preserve"> </w:t>
      </w:r>
      <w:r w:rsidR="0017291A">
        <w:t xml:space="preserve">In particular, </w:t>
      </w:r>
      <w:r w:rsidR="00840DE5">
        <w:t>product groups such as ’03.08.04 – Staples &amp; Tackers’</w:t>
      </w:r>
      <w:r w:rsidR="00E317B5">
        <w:t xml:space="preserve">, </w:t>
      </w:r>
      <w:r w:rsidR="00A7507D">
        <w:t>’</w:t>
      </w:r>
      <w:r w:rsidR="00C06C67">
        <w:t xml:space="preserve">03.08.03 – Ligating Devices’ (except clips and clip appliers), ’03.08.01 – Adhesion Barriers’ and </w:t>
      </w:r>
      <w:r w:rsidR="00A7507D">
        <w:t>’</w:t>
      </w:r>
      <w:r w:rsidR="00C06C67">
        <w:t xml:space="preserve">03.05.06 – Foam’ </w:t>
      </w:r>
      <w:r w:rsidR="00E317B5">
        <w:t xml:space="preserve">all </w:t>
      </w:r>
      <w:r w:rsidR="00BD4D56">
        <w:t xml:space="preserve">showed greater than 80% of total benefits paid </w:t>
      </w:r>
      <w:r w:rsidR="00A46226">
        <w:t xml:space="preserve">were </w:t>
      </w:r>
      <w:r w:rsidR="00BD4D56">
        <w:t xml:space="preserve">not associated with any usage outside of the ‘High’ priority GM items. </w:t>
      </w:r>
      <w:r w:rsidR="002E7A21">
        <w:t xml:space="preserve">This is shown in </w:t>
      </w:r>
      <w:r w:rsidR="002E7A21">
        <w:fldChar w:fldCharType="begin"/>
      </w:r>
      <w:r w:rsidR="002E7A21">
        <w:instrText xml:space="preserve"> REF _Ref39565025 \h </w:instrText>
      </w:r>
      <w:r w:rsidR="002E7A21">
        <w:fldChar w:fldCharType="separate"/>
      </w:r>
      <w:r w:rsidR="00784DE2">
        <w:t xml:space="preserve">Figure </w:t>
      </w:r>
      <w:r w:rsidR="00784DE2">
        <w:rPr>
          <w:noProof/>
        </w:rPr>
        <w:t>5</w:t>
      </w:r>
      <w:r w:rsidR="002E7A21">
        <w:fldChar w:fldCharType="end"/>
      </w:r>
      <w:r w:rsidR="002E7A21">
        <w:t xml:space="preserve"> </w:t>
      </w:r>
      <w:r w:rsidR="002E7A21">
        <w:fldChar w:fldCharType="begin"/>
      </w:r>
      <w:r w:rsidR="002E7A21">
        <w:instrText xml:space="preserve"> REF _Ref39565029 \p \h </w:instrText>
      </w:r>
      <w:r w:rsidR="002E7A21">
        <w:fldChar w:fldCharType="separate"/>
      </w:r>
      <w:r w:rsidR="00784DE2">
        <w:t>below</w:t>
      </w:r>
      <w:r w:rsidR="002E7A21">
        <w:fldChar w:fldCharType="end"/>
      </w:r>
      <w:r w:rsidR="002E7A21">
        <w:t>.</w:t>
      </w:r>
      <w:r w:rsidR="001C4975">
        <w:t xml:space="preserve"> It is noted that this does not necessarily indicate a lack of compliance with the listing criteria as stated, since these items can be argued to be implantable.</w:t>
      </w:r>
    </w:p>
    <w:p w14:paraId="361DEB04" w14:textId="732789B8" w:rsidR="002E7A21" w:rsidRDefault="002E7A21" w:rsidP="002E7A21">
      <w:pPr>
        <w:pStyle w:val="Caption"/>
        <w:keepNext/>
      </w:pPr>
      <w:bookmarkStart w:id="53" w:name="_Ref39565025"/>
      <w:bookmarkStart w:id="54" w:name="_Ref39565029"/>
      <w:r>
        <w:t xml:space="preserve">Figure </w:t>
      </w:r>
      <w:r w:rsidR="00FC6370">
        <w:fldChar w:fldCharType="begin"/>
      </w:r>
      <w:r w:rsidR="00FC6370">
        <w:instrText xml:space="preserve"> SEQ Figure \* ARABIC </w:instrText>
      </w:r>
      <w:r w:rsidR="00FC6370">
        <w:fldChar w:fldCharType="separate"/>
      </w:r>
      <w:r w:rsidR="00784DE2">
        <w:rPr>
          <w:noProof/>
        </w:rPr>
        <w:t>5</w:t>
      </w:r>
      <w:r w:rsidR="00FC6370">
        <w:rPr>
          <w:noProof/>
        </w:rPr>
        <w:fldChar w:fldCharType="end"/>
      </w:r>
      <w:bookmarkEnd w:id="53"/>
      <w:r>
        <w:t xml:space="preserve"> – ‘High’ priority GM – Proportion of usage with other categories</w:t>
      </w:r>
      <w:bookmarkEnd w:id="54"/>
    </w:p>
    <w:p w14:paraId="34CDDA63" w14:textId="2F989276" w:rsidR="007E1CA6" w:rsidRDefault="3D96BBCB" w:rsidP="002E7A21">
      <w:pPr>
        <w:pStyle w:val="Bodytextwithparaspace"/>
      </w:pPr>
      <w:r>
        <w:rPr>
          <w:noProof/>
          <w:lang w:val="en-AU" w:eastAsia="en-AU"/>
        </w:rPr>
        <w:drawing>
          <wp:inline distT="0" distB="0" distL="0" distR="0" wp14:anchorId="60B0EC86" wp14:editId="4B6A3737">
            <wp:extent cx="3812345" cy="2769649"/>
            <wp:effectExtent l="0" t="0" r="0" b="0"/>
            <wp:docPr id="1504685385" name="Picture 43923260" descr="This figure describes the proportion of time the high priority group prosthese are used with other PL categories" title="Figure 5 - High priority GM - Proportion of usage with other categ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2326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820496" cy="2775571"/>
                    </a:xfrm>
                    <a:prstGeom prst="rect">
                      <a:avLst/>
                    </a:prstGeom>
                  </pic:spPr>
                </pic:pic>
              </a:graphicData>
            </a:graphic>
          </wp:inline>
        </w:drawing>
      </w:r>
    </w:p>
    <w:tbl>
      <w:tblPr>
        <w:tblStyle w:val="TableGrid"/>
        <w:tblW w:w="0" w:type="auto"/>
        <w:tblLook w:val="04A0" w:firstRow="1" w:lastRow="0" w:firstColumn="1" w:lastColumn="0" w:noHBand="0" w:noVBand="1"/>
        <w:tblCaption w:val="Finding 4.3.2 (2)"/>
        <w:tblDescription w:val="This table describes Finding 4.3.2 (2):&#10;There has been an expansion in the nature of items being included on the PL. There is now a spectrum of items on the PL: from items that are clearly implanted prosthetic items through to items that are not strictly implanted themselves and/or are general use items that do not directly address the reason for surgery, and a range of items in between.&#10;There are a number of grey areas around the boundary for inclusion under criterion 4a. Specific issues arise from:&#10;● The lack of a clear definition for a ‘prosthetic’ item;&#10;● Ambiguity in the term ‘implantable’ – in particular, whether this should be long-term/permanent; and&#10;● Ambiguity in the terms ‘pathological process’ and ‘physiological process’ – for example, whether these include processes such as bleeding which can result from the surgery itself but are not the main reason for the surgery in the first place.&#10;Similarly, criteria 4b and 4c are open to interpretation since they do not require an explicit link to implantable devices to be specified, nor the extent to which it aids or continues to be critical to the implantable device. &#10;This has resulted in items on the PL that arguably meet the criteria but that are potentially at odds with the purpose of the PL.&#10;"/>
      </w:tblPr>
      <w:tblGrid>
        <w:gridCol w:w="9019"/>
      </w:tblGrid>
      <w:tr w:rsidR="00684ADC" w14:paraId="2E87548B" w14:textId="77777777" w:rsidTr="00A37319">
        <w:trPr>
          <w:tblHeader/>
        </w:trPr>
        <w:tc>
          <w:tcPr>
            <w:tcW w:w="9019" w:type="dxa"/>
            <w:shd w:val="clear" w:color="auto" w:fill="D2D2DA" w:themeFill="text1" w:themeFillTint="33"/>
          </w:tcPr>
          <w:p w14:paraId="583FCAF3" w14:textId="3F588BF4" w:rsidR="00684ADC" w:rsidRDefault="00684ADC" w:rsidP="00684ADC">
            <w:pPr>
              <w:pStyle w:val="Bodytextwithparaspace"/>
              <w:rPr>
                <w:b/>
              </w:rPr>
            </w:pPr>
            <w:r>
              <w:rPr>
                <w:b/>
              </w:rPr>
              <w:t xml:space="preserve">Finding </w:t>
            </w:r>
            <w:r>
              <w:rPr>
                <w:b/>
              </w:rPr>
              <w:fldChar w:fldCharType="begin"/>
            </w:r>
            <w:r>
              <w:rPr>
                <w:b/>
              </w:rPr>
              <w:instrText xml:space="preserve"> REF _Ref39048041 \r \h </w:instrText>
            </w:r>
            <w:r>
              <w:rPr>
                <w:b/>
              </w:rPr>
            </w:r>
            <w:r>
              <w:rPr>
                <w:b/>
              </w:rPr>
              <w:fldChar w:fldCharType="separate"/>
            </w:r>
            <w:r w:rsidR="00784DE2">
              <w:rPr>
                <w:b/>
              </w:rPr>
              <w:t>4.3.2</w:t>
            </w:r>
            <w:r>
              <w:rPr>
                <w:b/>
              </w:rPr>
              <w:fldChar w:fldCharType="end"/>
            </w:r>
            <w:r>
              <w:rPr>
                <w:b/>
              </w:rPr>
              <w:t xml:space="preserve"> (2)</w:t>
            </w:r>
          </w:p>
          <w:p w14:paraId="2259B4F4" w14:textId="7603648F" w:rsidR="007A5B2F" w:rsidRDefault="007A5B2F" w:rsidP="005C2A44">
            <w:pPr>
              <w:pStyle w:val="Bodytextwithparaspace"/>
            </w:pPr>
            <w:r>
              <w:t>There has been</w:t>
            </w:r>
            <w:r w:rsidR="005C2A44">
              <w:t xml:space="preserve"> an expansion in the nature of items being included on the PL. There is </w:t>
            </w:r>
            <w:r w:rsidR="001007D8">
              <w:t>now</w:t>
            </w:r>
            <w:r w:rsidR="005C2A44">
              <w:t xml:space="preserve"> a spectrum of items on the PL: from items that are clearly implanted prosthetic items through to items that are not strictly implanted themselves and/or </w:t>
            </w:r>
            <w:r w:rsidR="008E77A9">
              <w:t>are general use items that do not directly address the reason for surgery</w:t>
            </w:r>
            <w:r w:rsidR="005C2A44">
              <w:t xml:space="preserve">, and </w:t>
            </w:r>
            <w:r w:rsidR="00D20693">
              <w:t>a range</w:t>
            </w:r>
            <w:r w:rsidR="00F33C8A">
              <w:t xml:space="preserve"> of</w:t>
            </w:r>
            <w:r w:rsidR="005C2A44">
              <w:t xml:space="preserve"> items in between.</w:t>
            </w:r>
          </w:p>
          <w:p w14:paraId="4EB406C7" w14:textId="58386E55" w:rsidR="00A7507D" w:rsidRDefault="00446BA8" w:rsidP="00A7507D">
            <w:pPr>
              <w:pStyle w:val="Bodytextwithparaspace"/>
            </w:pPr>
            <w:r>
              <w:t>There are a number of</w:t>
            </w:r>
            <w:r w:rsidR="00A7507D">
              <w:t xml:space="preserve"> grey areas around the boundary for inclusion</w:t>
            </w:r>
            <w:r>
              <w:t xml:space="preserve"> under criterion 4a</w:t>
            </w:r>
            <w:r w:rsidR="00A7507D">
              <w:t>. Specific issues arise from:</w:t>
            </w:r>
          </w:p>
          <w:p w14:paraId="6B74F255" w14:textId="77777777" w:rsidR="00A7507D" w:rsidRDefault="00A7507D" w:rsidP="00463B2D">
            <w:pPr>
              <w:pStyle w:val="Bodytextwithparaspace"/>
              <w:numPr>
                <w:ilvl w:val="1"/>
                <w:numId w:val="11"/>
              </w:numPr>
              <w:ind w:left="709"/>
            </w:pPr>
            <w:r>
              <w:t>The lack of a clear definition for a ‘prosthetic’ item;</w:t>
            </w:r>
          </w:p>
          <w:p w14:paraId="00819241" w14:textId="62D89189" w:rsidR="00A7507D" w:rsidRDefault="00A7507D" w:rsidP="00463B2D">
            <w:pPr>
              <w:pStyle w:val="Bodytextwithparaspace"/>
              <w:numPr>
                <w:ilvl w:val="1"/>
                <w:numId w:val="11"/>
              </w:numPr>
              <w:ind w:left="709"/>
            </w:pPr>
            <w:r>
              <w:t>Ambiguity in the term ‘implantable’ – in particular, whether this should be long-term/permanent;</w:t>
            </w:r>
            <w:r w:rsidR="00446BA8">
              <w:t xml:space="preserve"> and</w:t>
            </w:r>
          </w:p>
          <w:p w14:paraId="05D48655" w14:textId="07EDA945" w:rsidR="00A7507D" w:rsidRDefault="00A7507D" w:rsidP="00463B2D">
            <w:pPr>
              <w:pStyle w:val="Bodytextwithparaspace"/>
              <w:numPr>
                <w:ilvl w:val="1"/>
                <w:numId w:val="11"/>
              </w:numPr>
              <w:ind w:left="709"/>
            </w:pPr>
            <w:r>
              <w:t xml:space="preserve">Ambiguity in the terms ‘pathological process’ and ‘physiological process’ – for example, whether these include </w:t>
            </w:r>
            <w:r w:rsidR="00446BA8">
              <w:t xml:space="preserve">processes such as </w:t>
            </w:r>
            <w:r w:rsidRPr="00707467">
              <w:t>bleeding</w:t>
            </w:r>
            <w:r w:rsidR="00446BA8">
              <w:t xml:space="preserve"> which can result from the surgery itself but are not the main reason for the surgery in the first place.</w:t>
            </w:r>
          </w:p>
          <w:p w14:paraId="4F4F4DE9" w14:textId="592DDC33" w:rsidR="00446BA8" w:rsidRDefault="00446BA8" w:rsidP="008E77A9">
            <w:pPr>
              <w:pStyle w:val="Bodytextwithparaspace"/>
            </w:pPr>
            <w:r>
              <w:t>Similarly, criteria 4b and 4c are open to interpretation since they do not</w:t>
            </w:r>
            <w:r w:rsidR="00A7507D" w:rsidRPr="00707467">
              <w:t xml:space="preserve"> </w:t>
            </w:r>
            <w:r w:rsidR="00A7507D">
              <w:t xml:space="preserve">require an explicit link </w:t>
            </w:r>
            <w:r>
              <w:t xml:space="preserve">to implantable devices </w:t>
            </w:r>
            <w:r w:rsidR="00A7507D">
              <w:t>to be specified,</w:t>
            </w:r>
            <w:r w:rsidR="00A7507D" w:rsidRPr="00707467">
              <w:t xml:space="preserve"> nor the extent to which it aids or continues to be critical</w:t>
            </w:r>
            <w:r w:rsidR="00A7507D">
              <w:t xml:space="preserve"> to the </w:t>
            </w:r>
            <w:r>
              <w:t xml:space="preserve">implantable device. </w:t>
            </w:r>
          </w:p>
          <w:p w14:paraId="71463C61" w14:textId="44D22F1C" w:rsidR="00684ADC" w:rsidRPr="00A26B3B" w:rsidRDefault="005D2B45" w:rsidP="00DC636B">
            <w:pPr>
              <w:pStyle w:val="Bodytextwithparaspace"/>
            </w:pPr>
            <w:r>
              <w:t>This has resulted in items on the PL that arguably meet the criteria but that are potentially at odds with the purpose of the PL.</w:t>
            </w:r>
          </w:p>
        </w:tc>
      </w:tr>
    </w:tbl>
    <w:p w14:paraId="112FF8C8" w14:textId="77777777" w:rsidR="00C12600" w:rsidRDefault="00FE2378" w:rsidP="000C7ECB">
      <w:pPr>
        <w:pStyle w:val="EYHeading4"/>
        <w:spacing w:before="240"/>
      </w:pPr>
      <w:bookmarkStart w:id="55" w:name="_Ref41296027"/>
      <w:r>
        <w:t>Apparent consequences of the listing process</w:t>
      </w:r>
      <w:bookmarkEnd w:id="55"/>
    </w:p>
    <w:p w14:paraId="472F50C8" w14:textId="6D3DAACE" w:rsidR="00570B1D" w:rsidRDefault="00BD4F7E" w:rsidP="0096431E">
      <w:pPr>
        <w:pStyle w:val="Bodytextwithparaspace"/>
      </w:pPr>
      <w:r>
        <w:t xml:space="preserve">Additionally, </w:t>
      </w:r>
      <w:r w:rsidR="00506DBA">
        <w:t xml:space="preserve">there is evidence that </w:t>
      </w:r>
      <w:r w:rsidR="00C80CA1">
        <w:t xml:space="preserve">assessment against the </w:t>
      </w:r>
      <w:r w:rsidR="00506DBA">
        <w:t xml:space="preserve">criteria are not always effectively </w:t>
      </w:r>
      <w:r w:rsidR="003A47CE">
        <w:t xml:space="preserve">and consistently </w:t>
      </w:r>
      <w:r w:rsidR="00506DBA">
        <w:t>applied</w:t>
      </w:r>
      <w:r w:rsidR="00697E60">
        <w:t>,</w:t>
      </w:r>
      <w:r w:rsidR="00506DBA">
        <w:t xml:space="preserve"> leading to poor outcomes</w:t>
      </w:r>
      <w:r w:rsidR="00697E60">
        <w:t xml:space="preserve"> for the PL. </w:t>
      </w:r>
      <w:r w:rsidR="00446BA8">
        <w:t xml:space="preserve">The Department </w:t>
      </w:r>
      <w:r w:rsidR="007E1CA6">
        <w:t xml:space="preserve">noted </w:t>
      </w:r>
      <w:r w:rsidR="00446BA8">
        <w:t>that the application assessment is</w:t>
      </w:r>
      <w:r w:rsidR="00570B1D">
        <w:t xml:space="preserve"> often</w:t>
      </w:r>
      <w:r w:rsidR="00446BA8">
        <w:t xml:space="preserve"> performed </w:t>
      </w:r>
      <w:r w:rsidR="00570B1D">
        <w:t xml:space="preserve">by individual clinicians with a focus on the absolute clinical benefits of the product </w:t>
      </w:r>
      <w:r w:rsidR="00B43DF6">
        <w:t xml:space="preserve">with limited awareness of any cost implications of the decision </w:t>
      </w:r>
      <w:r w:rsidR="00570B1D">
        <w:t xml:space="preserve">– </w:t>
      </w:r>
      <w:r w:rsidR="00B43DF6">
        <w:t>i.e. it is not</w:t>
      </w:r>
      <w:r w:rsidR="00570B1D">
        <w:t xml:space="preserve"> a robust assessment of the extent to which the product meets the criteria and whether more appropriate funding mechanisms might exist</w:t>
      </w:r>
      <w:r w:rsidR="00B43DF6">
        <w:t xml:space="preserve"> from an efficiency perspective</w:t>
      </w:r>
      <w:r w:rsidR="00570B1D">
        <w:t>.</w:t>
      </w:r>
    </w:p>
    <w:p w14:paraId="1991973C" w14:textId="4F576A5D" w:rsidR="00446BA8" w:rsidRDefault="00C112D7" w:rsidP="0096431E">
      <w:pPr>
        <w:pStyle w:val="Bodytextwithparaspace"/>
      </w:pPr>
      <w:r>
        <w:t>Th</w:t>
      </w:r>
      <w:r w:rsidR="0028399C">
        <w:t>ere was one example where rapid growth in usage of a product occurred in the months immediately after its introduction to the PL. A competitor successfully challenged the introduction on the basis that it did not meet the criteria, and the item was subsequently removed.</w:t>
      </w:r>
    </w:p>
    <w:p w14:paraId="71CFFC91" w14:textId="5B93C886" w:rsidR="00F53BBE" w:rsidRDefault="00F53BBE" w:rsidP="00F53BBE">
      <w:pPr>
        <w:pStyle w:val="Bodytextwithparaspace"/>
      </w:pPr>
      <w:r>
        <w:t xml:space="preserve">That the competitor undertook this challenge indicates that </w:t>
      </w:r>
      <w:r w:rsidR="004E50E7">
        <w:t>there</w:t>
      </w:r>
      <w:r>
        <w:t xml:space="preserve"> is a commercial advantage for an item such as this to be funded through the PL compared to </w:t>
      </w:r>
      <w:r w:rsidR="00867E5E">
        <w:t xml:space="preserve">it </w:t>
      </w:r>
      <w:r>
        <w:t>being included within case based or bundled payments</w:t>
      </w:r>
      <w:r w:rsidR="00867E5E">
        <w:t>. As a conse</w:t>
      </w:r>
      <w:r w:rsidR="003515DF">
        <w:t>quence,</w:t>
      </w:r>
      <w:r w:rsidR="007E1CA6">
        <w:t xml:space="preserve"> </w:t>
      </w:r>
      <w:r>
        <w:t>the PL may not be the most clinically efficient means of funding low-cost high-usage items.</w:t>
      </w:r>
    </w:p>
    <w:p w14:paraId="7867D643" w14:textId="776B3479" w:rsidR="00F64130" w:rsidRDefault="00F64130" w:rsidP="0096431E">
      <w:pPr>
        <w:pStyle w:val="Bodytextwithparaspace"/>
      </w:pPr>
      <w:r>
        <w:t xml:space="preserve">Parallels can be drawn </w:t>
      </w:r>
      <w:r w:rsidR="00201B29">
        <w:t>between this incident and the recent introduction of topical skin adhesives</w:t>
      </w:r>
      <w:r w:rsidR="00C80CA1">
        <w:t>,</w:t>
      </w:r>
      <w:r w:rsidR="00201B29">
        <w:t xml:space="preserve"> </w:t>
      </w:r>
      <w:r w:rsidR="00647478">
        <w:t xml:space="preserve">which </w:t>
      </w:r>
      <w:r w:rsidR="007E1CA6">
        <w:t xml:space="preserve">was </w:t>
      </w:r>
      <w:r w:rsidR="00647478">
        <w:t xml:space="preserve">similarly </w:t>
      </w:r>
      <w:r w:rsidR="00C80CA1">
        <w:t>followed by</w:t>
      </w:r>
      <w:r w:rsidR="00647478">
        <w:t xml:space="preserve"> a large increase in total benefits paid in a short time</w:t>
      </w:r>
      <w:r w:rsidR="007E1CA6">
        <w:t>.</w:t>
      </w:r>
    </w:p>
    <w:p w14:paraId="4293BEBA" w14:textId="2099F4E0" w:rsidR="004B75DD" w:rsidRDefault="00FE3220" w:rsidP="0096431E">
      <w:pPr>
        <w:pStyle w:val="Bodytextwithparaspace"/>
      </w:pPr>
      <w:r>
        <w:t xml:space="preserve">Furthermore, </w:t>
      </w:r>
      <w:r w:rsidR="007B25BC">
        <w:t xml:space="preserve">there </w:t>
      </w:r>
      <w:r w:rsidR="007E1CA6">
        <w:t>was</w:t>
      </w:r>
      <w:r w:rsidR="007B25BC">
        <w:t xml:space="preserve"> evidence that </w:t>
      </w:r>
      <w:r w:rsidR="00D33C1F">
        <w:t xml:space="preserve">large increases in the amount of benefits paid for certain products </w:t>
      </w:r>
      <w:r w:rsidR="007E1CA6">
        <w:t>were</w:t>
      </w:r>
      <w:r w:rsidR="00D33C1F">
        <w:t xml:space="preserve"> </w:t>
      </w:r>
      <w:r w:rsidR="005C6C3D">
        <w:t>driven</w:t>
      </w:r>
      <w:r w:rsidR="005F2FB3">
        <w:t xml:space="preserve"> by reclassifying existing products into higher benefit subgroups or suffix groupings</w:t>
      </w:r>
      <w:r w:rsidR="00671A4F">
        <w:t xml:space="preserve">, without any evident change to the product itself. </w:t>
      </w:r>
      <w:r w:rsidR="00DF01CA">
        <w:t xml:space="preserve">Instances </w:t>
      </w:r>
      <w:r w:rsidR="007E1CA6">
        <w:t>were</w:t>
      </w:r>
      <w:r w:rsidR="00DF01CA">
        <w:t xml:space="preserve"> seen where this has resulted in the minimum benefit amount per item increasing by up to 400%. </w:t>
      </w:r>
      <w:r w:rsidR="00394A7D">
        <w:t xml:space="preserve">It </w:t>
      </w:r>
      <w:r w:rsidR="007E1CA6">
        <w:t>was</w:t>
      </w:r>
      <w:r w:rsidR="00394A7D">
        <w:t xml:space="preserve"> suggested that this </w:t>
      </w:r>
      <w:r w:rsidR="006A0144">
        <w:t xml:space="preserve">may be reflective of the </w:t>
      </w:r>
      <w:r w:rsidR="004B3F41">
        <w:t xml:space="preserve">process by which </w:t>
      </w:r>
      <w:r w:rsidR="00CF68F5">
        <w:t>a single</w:t>
      </w:r>
      <w:r w:rsidR="00B121C6">
        <w:t xml:space="preserve"> new</w:t>
      </w:r>
      <w:r w:rsidR="00CF68F5">
        <w:t xml:space="preserve"> product is listed at a new, more expensive suffix</w:t>
      </w:r>
      <w:r w:rsidR="00C80CA1">
        <w:t>. This</w:t>
      </w:r>
      <w:r w:rsidR="00CF68F5">
        <w:t xml:space="preserve"> creates a comparator </w:t>
      </w:r>
      <w:r w:rsidR="00B11D24">
        <w:t xml:space="preserve">which other products previously listed at </w:t>
      </w:r>
      <w:r w:rsidR="00515FAD">
        <w:t>a</w:t>
      </w:r>
      <w:r w:rsidR="00B11D24">
        <w:t xml:space="preserve"> lower amount can </w:t>
      </w:r>
      <w:r w:rsidR="009021C6">
        <w:t xml:space="preserve">use to </w:t>
      </w:r>
      <w:r w:rsidR="00515FAD">
        <w:t xml:space="preserve">apply for </w:t>
      </w:r>
      <w:r w:rsidR="004E1D7C">
        <w:t>a reclassification</w:t>
      </w:r>
      <w:r w:rsidR="007D37A1">
        <w:t xml:space="preserve"> without necessarily having to justify the commensurate increase in cost that this represents. </w:t>
      </w:r>
      <w:r w:rsidR="00CA28CC">
        <w:t xml:space="preserve">Examples of these are discussed further in Section </w:t>
      </w:r>
      <w:r w:rsidR="00CA28CC">
        <w:fldChar w:fldCharType="begin"/>
      </w:r>
      <w:r w:rsidR="00CA28CC">
        <w:instrText xml:space="preserve"> REF _Ref39505624 \r \h </w:instrText>
      </w:r>
      <w:r w:rsidR="00CA28CC">
        <w:fldChar w:fldCharType="separate"/>
      </w:r>
      <w:r w:rsidR="00784DE2">
        <w:t>4.5.2</w:t>
      </w:r>
      <w:r w:rsidR="00CA28CC">
        <w:fldChar w:fldCharType="end"/>
      </w:r>
      <w:r w:rsidR="00CA28CC">
        <w:t>.</w:t>
      </w:r>
    </w:p>
    <w:tbl>
      <w:tblPr>
        <w:tblStyle w:val="TableGrid"/>
        <w:tblW w:w="0" w:type="auto"/>
        <w:tblLook w:val="04A0" w:firstRow="1" w:lastRow="0" w:firstColumn="1" w:lastColumn="0" w:noHBand="0" w:noVBand="1"/>
        <w:tblCaption w:val="Finding 4.3.2 (3)"/>
        <w:tblDescription w:val="This table describes Finding 4.3.2 (3):&#10;Finding 4.3.2 (3)&#10;For a number of general use items, it is commercially beneficial for the manufacturer if the item is funded through the PL. Evidence for this includes:&#10;● high levels of usage – including increased usage since listing (discussed in Section 4.4);&#10;● cases where benefit amounts have increased significantly with no reduction in usage (discussed in Section 4.5); and&#10;● an example where a manufacturer sought the removal of a competitor’s product from the PL as its listing was giving the competitor a commercial advantage.&#10;That items have been listed on the PL but do not meet the criteria strongly suggests that there are issues with the listing process.&#10;"/>
      </w:tblPr>
      <w:tblGrid>
        <w:gridCol w:w="9019"/>
      </w:tblGrid>
      <w:tr w:rsidR="00446BA8" w14:paraId="69FB4550" w14:textId="77777777" w:rsidTr="00A37319">
        <w:trPr>
          <w:tblHeader/>
        </w:trPr>
        <w:tc>
          <w:tcPr>
            <w:tcW w:w="9019" w:type="dxa"/>
            <w:shd w:val="clear" w:color="auto" w:fill="D2D2DA" w:themeFill="text1" w:themeFillTint="33"/>
          </w:tcPr>
          <w:p w14:paraId="5C354C67" w14:textId="2C264AAC" w:rsidR="00446BA8" w:rsidRDefault="00446BA8" w:rsidP="00446BA8">
            <w:pPr>
              <w:pStyle w:val="Bodytextwithparaspace"/>
              <w:rPr>
                <w:b/>
              </w:rPr>
            </w:pPr>
            <w:r>
              <w:rPr>
                <w:b/>
              </w:rPr>
              <w:t xml:space="preserve">Finding </w:t>
            </w:r>
            <w:r>
              <w:rPr>
                <w:b/>
              </w:rPr>
              <w:fldChar w:fldCharType="begin"/>
            </w:r>
            <w:r>
              <w:rPr>
                <w:b/>
              </w:rPr>
              <w:instrText xml:space="preserve"> REF _Ref39048041 \r \h </w:instrText>
            </w:r>
            <w:r>
              <w:rPr>
                <w:b/>
              </w:rPr>
            </w:r>
            <w:r>
              <w:rPr>
                <w:b/>
              </w:rPr>
              <w:fldChar w:fldCharType="separate"/>
            </w:r>
            <w:r w:rsidR="00784DE2">
              <w:rPr>
                <w:b/>
              </w:rPr>
              <w:t>4.3.2</w:t>
            </w:r>
            <w:r>
              <w:rPr>
                <w:b/>
              </w:rPr>
              <w:fldChar w:fldCharType="end"/>
            </w:r>
            <w:r>
              <w:rPr>
                <w:b/>
              </w:rPr>
              <w:t xml:space="preserve"> (3)</w:t>
            </w:r>
          </w:p>
          <w:p w14:paraId="3E515388" w14:textId="65F2D26B" w:rsidR="00570B1D" w:rsidRDefault="00570B1D" w:rsidP="0096431E">
            <w:pPr>
              <w:pStyle w:val="Bodytextwithparaspace"/>
            </w:pPr>
            <w:r>
              <w:t>For a number of general use items, it is commercially beneficial for the manufacturer if the item is funded through the PL. Evidence for this includes:</w:t>
            </w:r>
          </w:p>
          <w:p w14:paraId="2F7F5300" w14:textId="568E131A" w:rsidR="00570B1D" w:rsidRDefault="0005742E" w:rsidP="0028399C">
            <w:pPr>
              <w:pStyle w:val="Bodytextwithparaspace"/>
              <w:numPr>
                <w:ilvl w:val="1"/>
                <w:numId w:val="11"/>
              </w:numPr>
              <w:ind w:left="709"/>
            </w:pPr>
            <w:r>
              <w:t xml:space="preserve">high </w:t>
            </w:r>
            <w:r w:rsidR="00570B1D">
              <w:t xml:space="preserve">levels of usage – including increased usage since listing (discussed in Section </w:t>
            </w:r>
            <w:r w:rsidR="00570B1D">
              <w:fldChar w:fldCharType="begin"/>
            </w:r>
            <w:r w:rsidR="00570B1D">
              <w:instrText xml:space="preserve"> REF _Ref39602441 \r \h </w:instrText>
            </w:r>
            <w:r w:rsidR="008C2459">
              <w:instrText xml:space="preserve"> \* MERGEFORMAT </w:instrText>
            </w:r>
            <w:r w:rsidR="00570B1D">
              <w:fldChar w:fldCharType="separate"/>
            </w:r>
            <w:r w:rsidR="00784DE2">
              <w:t>4.4</w:t>
            </w:r>
            <w:r w:rsidR="00570B1D">
              <w:fldChar w:fldCharType="end"/>
            </w:r>
            <w:r w:rsidR="00570B1D">
              <w:t>);</w:t>
            </w:r>
          </w:p>
          <w:p w14:paraId="018748F5" w14:textId="74F83AB8" w:rsidR="00570B1D" w:rsidRDefault="0005742E" w:rsidP="0028399C">
            <w:pPr>
              <w:pStyle w:val="Bodytextwithparaspace"/>
              <w:numPr>
                <w:ilvl w:val="1"/>
                <w:numId w:val="11"/>
              </w:numPr>
              <w:ind w:left="709"/>
            </w:pPr>
            <w:r>
              <w:t xml:space="preserve">cases </w:t>
            </w:r>
            <w:r w:rsidR="00570B1D">
              <w:t xml:space="preserve">where benefit amounts have increased significantly with no reduction in usage (discussed in Section </w:t>
            </w:r>
            <w:r w:rsidR="00570B1D">
              <w:fldChar w:fldCharType="begin"/>
            </w:r>
            <w:r w:rsidR="00570B1D">
              <w:instrText xml:space="preserve"> REF _Ref39602485 \r \h </w:instrText>
            </w:r>
            <w:r w:rsidR="008C2459">
              <w:instrText xml:space="preserve"> \* MERGEFORMAT </w:instrText>
            </w:r>
            <w:r w:rsidR="00570B1D">
              <w:fldChar w:fldCharType="separate"/>
            </w:r>
            <w:r w:rsidR="00784DE2">
              <w:t>4.5</w:t>
            </w:r>
            <w:r w:rsidR="00570B1D">
              <w:fldChar w:fldCharType="end"/>
            </w:r>
            <w:r w:rsidR="00570B1D">
              <w:t>); and</w:t>
            </w:r>
          </w:p>
          <w:p w14:paraId="1E487CCF" w14:textId="78CF90DB" w:rsidR="00570B1D" w:rsidRDefault="0005742E" w:rsidP="00463B2D">
            <w:pPr>
              <w:pStyle w:val="Bodytextwithparaspace"/>
              <w:numPr>
                <w:ilvl w:val="1"/>
                <w:numId w:val="11"/>
              </w:numPr>
              <w:ind w:left="709"/>
            </w:pPr>
            <w:r>
              <w:t xml:space="preserve">an </w:t>
            </w:r>
            <w:r w:rsidR="00570B1D">
              <w:t>example where a manufacturer sought the removal of a competitor’s product from the PL as it</w:t>
            </w:r>
            <w:r w:rsidR="008C2459">
              <w:t>s listing</w:t>
            </w:r>
            <w:r w:rsidR="00570B1D">
              <w:t xml:space="preserve"> was </w:t>
            </w:r>
            <w:r w:rsidR="008C2459">
              <w:t>giving the competitor a commercial advantage.</w:t>
            </w:r>
          </w:p>
          <w:p w14:paraId="02CF68FC" w14:textId="1C08C125" w:rsidR="00446BA8" w:rsidRDefault="00570B1D" w:rsidP="0096431E">
            <w:pPr>
              <w:pStyle w:val="Bodytextwithparaspace"/>
            </w:pPr>
            <w:r>
              <w:t>That items have been listed on the PL but do not meet the criteria strongly suggests that there are issues with the listing process.</w:t>
            </w:r>
          </w:p>
        </w:tc>
      </w:tr>
    </w:tbl>
    <w:p w14:paraId="3908BF1C" w14:textId="77777777" w:rsidR="00BD4513" w:rsidRPr="00BD4513" w:rsidRDefault="00613A67" w:rsidP="00BD4513">
      <w:pPr>
        <w:pStyle w:val="EYHeading2"/>
      </w:pPr>
      <w:bookmarkStart w:id="56" w:name="_Toc42006215"/>
      <w:bookmarkStart w:id="57" w:name="_Toc38572714"/>
      <w:bookmarkStart w:id="58" w:name="_Toc38986863"/>
      <w:bookmarkStart w:id="59" w:name="_Toc38572715"/>
      <w:bookmarkStart w:id="60" w:name="_Toc38986864"/>
      <w:bookmarkStart w:id="61" w:name="_Toc38572716"/>
      <w:bookmarkStart w:id="62" w:name="_Toc38986865"/>
      <w:bookmarkStart w:id="63" w:name="_Toc38572717"/>
      <w:bookmarkStart w:id="64" w:name="_Toc38986866"/>
      <w:bookmarkStart w:id="65" w:name="_Toc38572718"/>
      <w:bookmarkStart w:id="66" w:name="_Toc38986867"/>
      <w:bookmarkStart w:id="67" w:name="_Toc38572719"/>
      <w:bookmarkStart w:id="68" w:name="_Toc38986868"/>
      <w:bookmarkStart w:id="69" w:name="_Toc38572720"/>
      <w:bookmarkStart w:id="70" w:name="_Toc38986869"/>
      <w:bookmarkStart w:id="71" w:name="_Toc38572721"/>
      <w:bookmarkStart w:id="72" w:name="_Toc38986870"/>
      <w:bookmarkStart w:id="73" w:name="_Toc38572722"/>
      <w:bookmarkStart w:id="74" w:name="_Toc38986871"/>
      <w:bookmarkStart w:id="75" w:name="_Toc38572723"/>
      <w:bookmarkStart w:id="76" w:name="_Toc38986872"/>
      <w:bookmarkStart w:id="77" w:name="_Toc38572724"/>
      <w:bookmarkStart w:id="78" w:name="_Toc38986873"/>
      <w:bookmarkStart w:id="79" w:name="_Toc38572725"/>
      <w:bookmarkStart w:id="80" w:name="_Toc38986874"/>
      <w:bookmarkStart w:id="81" w:name="_Toc38572726"/>
      <w:bookmarkStart w:id="82" w:name="_Toc38986875"/>
      <w:bookmarkStart w:id="83" w:name="_Toc38572727"/>
      <w:bookmarkStart w:id="84" w:name="_Toc38986876"/>
      <w:bookmarkStart w:id="85" w:name="_Toc38572728"/>
      <w:bookmarkStart w:id="86" w:name="_Toc38986877"/>
      <w:bookmarkStart w:id="87" w:name="_Toc38572729"/>
      <w:bookmarkStart w:id="88" w:name="_Toc38986878"/>
      <w:bookmarkStart w:id="89" w:name="_Ref39602441"/>
      <w:bookmarkStart w:id="90" w:name="_Ref39604813"/>
      <w:bookmarkStart w:id="91" w:name="_Ref39606423"/>
      <w:bookmarkStart w:id="92" w:name="_Toc59015969"/>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r>
        <w:t>Usage</w:t>
      </w:r>
      <w:bookmarkEnd w:id="89"/>
      <w:bookmarkEnd w:id="90"/>
      <w:bookmarkEnd w:id="91"/>
      <w:bookmarkEnd w:id="92"/>
    </w:p>
    <w:p w14:paraId="1F987156" w14:textId="53B35D96" w:rsidR="00E403B5" w:rsidRDefault="007F4EF6" w:rsidP="00E403B5">
      <w:pPr>
        <w:pStyle w:val="Bodytextwithparaspace"/>
      </w:pPr>
      <w:r>
        <w:t>The</w:t>
      </w:r>
      <w:r w:rsidR="00E403B5" w:rsidRPr="00B92FB4">
        <w:t xml:space="preserve"> general approach for this </w:t>
      </w:r>
      <w:r w:rsidR="00602FD4">
        <w:t>part</w:t>
      </w:r>
      <w:r w:rsidR="00602FD4" w:rsidRPr="00B92FB4">
        <w:t xml:space="preserve"> </w:t>
      </w:r>
      <w:r w:rsidR="00E403B5" w:rsidRPr="00B92FB4">
        <w:t>of the analysis</w:t>
      </w:r>
      <w:r w:rsidR="00602FD4">
        <w:t xml:space="preserve"> </w:t>
      </w:r>
      <w:r w:rsidR="00E403B5" w:rsidRPr="00B92FB4">
        <w:t>was to analyse the HCP</w:t>
      </w:r>
      <w:r w:rsidR="00E403B5">
        <w:t>1</w:t>
      </w:r>
      <w:r w:rsidR="00E403B5" w:rsidRPr="00B92FB4">
        <w:t xml:space="preserve"> data and </w:t>
      </w:r>
      <w:r w:rsidR="00C34CB1">
        <w:t xml:space="preserve">to </w:t>
      </w:r>
      <w:r w:rsidR="00E403B5" w:rsidRPr="00B92FB4">
        <w:t xml:space="preserve">discuss with clinical </w:t>
      </w:r>
      <w:r w:rsidR="00DB435D">
        <w:t>subject matter resources</w:t>
      </w:r>
      <w:r w:rsidR="00E403B5" w:rsidRPr="00B92FB4">
        <w:t xml:space="preserve"> for reasonable explanations behind usage and total benefit amount observations. </w:t>
      </w:r>
      <w:r>
        <w:t>The</w:t>
      </w:r>
      <w:r w:rsidR="00E403B5" w:rsidRPr="00B92FB4">
        <w:t xml:space="preserve"> report highlights the situations where there may be a residual issue with the PL. </w:t>
      </w:r>
    </w:p>
    <w:p w14:paraId="3640B3C1" w14:textId="231A2700" w:rsidR="00E403B5" w:rsidRDefault="00E403B5" w:rsidP="00E403B5">
      <w:pPr>
        <w:pStyle w:val="Bodytextwithparaspace"/>
      </w:pPr>
      <w:r>
        <w:t xml:space="preserve">Fundamentally, the </w:t>
      </w:r>
      <w:r w:rsidR="0046054D">
        <w:t>concern</w:t>
      </w:r>
      <w:r>
        <w:t xml:space="preserve"> under investigation is that using PL as a funding mechanism may not send a direct price signal to hospitals, so:</w:t>
      </w:r>
    </w:p>
    <w:p w14:paraId="6B3CBFD6" w14:textId="77CF2525" w:rsidR="00E403B5" w:rsidRDefault="0005742E" w:rsidP="00463B2D">
      <w:pPr>
        <w:pStyle w:val="Bodytextwithparaspace"/>
        <w:numPr>
          <w:ilvl w:val="1"/>
          <w:numId w:val="11"/>
        </w:numPr>
        <w:ind w:left="709"/>
      </w:pPr>
      <w:r>
        <w:t xml:space="preserve">Usage </w:t>
      </w:r>
      <w:r w:rsidR="00E403B5">
        <w:t xml:space="preserve">of the item over and above the minimum level necessary to ensure patient outcomes </w:t>
      </w:r>
      <w:r w:rsidR="004846C2">
        <w:t>is</w:t>
      </w:r>
      <w:r>
        <w:t xml:space="preserve"> </w:t>
      </w:r>
      <w:r w:rsidR="00E403B5">
        <w:t>not disincentivised; and</w:t>
      </w:r>
      <w:r w:rsidR="00C34CB1">
        <w:t>/</w:t>
      </w:r>
      <w:r w:rsidR="00E403B5">
        <w:t>or</w:t>
      </w:r>
    </w:p>
    <w:p w14:paraId="149874F3" w14:textId="3F1DA06B" w:rsidR="00E403B5" w:rsidRDefault="0005742E" w:rsidP="00463B2D">
      <w:pPr>
        <w:pStyle w:val="Bodytextwithparaspace"/>
        <w:numPr>
          <w:ilvl w:val="1"/>
          <w:numId w:val="11"/>
        </w:numPr>
        <w:ind w:left="709"/>
      </w:pPr>
      <w:r>
        <w:t>T</w:t>
      </w:r>
      <w:r w:rsidR="00E403B5">
        <w:t>here may be higher than necessary usage of more expensive versions of equivalent products, including when they provide little/no clinical benefit over cheaper alternatives.</w:t>
      </w:r>
    </w:p>
    <w:p w14:paraId="37CB39A9" w14:textId="77777777" w:rsidR="00E403B5" w:rsidRPr="00DF164D" w:rsidRDefault="007F4EF6" w:rsidP="00F979CF">
      <w:pPr>
        <w:pStyle w:val="Bodytextwithparaspace"/>
        <w:keepNext/>
      </w:pPr>
      <w:r>
        <w:t>The</w:t>
      </w:r>
      <w:r w:rsidR="00E403B5">
        <w:t xml:space="preserve"> approach was to:</w:t>
      </w:r>
    </w:p>
    <w:p w14:paraId="0A6FE8C2" w14:textId="77777777" w:rsidR="00E403B5" w:rsidRPr="00DF164D" w:rsidRDefault="00E403B5" w:rsidP="00463B2D">
      <w:pPr>
        <w:pStyle w:val="Bodytextwithparaspace"/>
        <w:numPr>
          <w:ilvl w:val="1"/>
          <w:numId w:val="11"/>
        </w:numPr>
        <w:ind w:left="709"/>
      </w:pPr>
      <w:r>
        <w:t>Identify</w:t>
      </w:r>
      <w:r w:rsidRPr="00DF164D">
        <w:t xml:space="preserve"> high-volume items which have seen significant increase in </w:t>
      </w:r>
      <w:r w:rsidR="00C34CB1">
        <w:t>usage</w:t>
      </w:r>
      <w:r w:rsidR="00C34CB1" w:rsidRPr="00DF164D">
        <w:t xml:space="preserve"> </w:t>
      </w:r>
      <w:r w:rsidRPr="00DF164D">
        <w:t>since listing;</w:t>
      </w:r>
    </w:p>
    <w:p w14:paraId="0240FE39" w14:textId="0A613FA1" w:rsidR="00E403B5" w:rsidRPr="00DF164D" w:rsidRDefault="00E403B5" w:rsidP="00463B2D">
      <w:pPr>
        <w:pStyle w:val="Bodytextwithparaspace"/>
        <w:numPr>
          <w:ilvl w:val="1"/>
          <w:numId w:val="11"/>
        </w:numPr>
        <w:ind w:left="709"/>
      </w:pPr>
      <w:r w:rsidRPr="00DF164D">
        <w:t>Match the use of prostheses with associated Diagnosis</w:t>
      </w:r>
      <w:r w:rsidR="00591EAB">
        <w:t>-</w:t>
      </w:r>
      <w:r w:rsidRPr="00DF164D">
        <w:t xml:space="preserve">Related Group (DRG) code or Medicare Benefits Schedule (MBS) items to eliminate cases where the change in usage of the </w:t>
      </w:r>
      <w:r w:rsidR="005C6C3D" w:rsidRPr="00DF164D">
        <w:t>prosthe</w:t>
      </w:r>
      <w:r w:rsidR="005C6C3D">
        <w:t>tic</w:t>
      </w:r>
      <w:r w:rsidR="005C6C3D" w:rsidRPr="00DF164D">
        <w:t xml:space="preserve"> </w:t>
      </w:r>
      <w:r w:rsidRPr="00DF164D">
        <w:t xml:space="preserve">item is in direct correlation to the change in broader clinical procedures, and to identify any low-risk procedures that are costing more than they </w:t>
      </w:r>
      <w:r w:rsidR="005C6C3D">
        <w:t>might</w:t>
      </w:r>
      <w:r w:rsidRPr="00DF164D">
        <w:t>;</w:t>
      </w:r>
    </w:p>
    <w:p w14:paraId="12657679" w14:textId="77777777" w:rsidR="00E403B5" w:rsidRDefault="00E403B5" w:rsidP="00463B2D">
      <w:pPr>
        <w:pStyle w:val="Bodytextwithparaspace"/>
        <w:numPr>
          <w:ilvl w:val="1"/>
          <w:numId w:val="11"/>
        </w:numPr>
        <w:ind w:left="709"/>
      </w:pPr>
      <w:r w:rsidRPr="00DF164D">
        <w:t>Compar</w:t>
      </w:r>
      <w:r>
        <w:t>e</w:t>
      </w:r>
      <w:r w:rsidRPr="00DF164D">
        <w:t xml:space="preserve"> differences of usage between hospitals for similar procedures, which might imply drivers behind usage not concerning clinical need;</w:t>
      </w:r>
    </w:p>
    <w:p w14:paraId="597EC86A" w14:textId="77777777" w:rsidR="00E403B5" w:rsidRPr="00DF164D" w:rsidRDefault="00E403B5" w:rsidP="00463B2D">
      <w:pPr>
        <w:pStyle w:val="Bodytextwithparaspace"/>
        <w:numPr>
          <w:ilvl w:val="1"/>
          <w:numId w:val="11"/>
        </w:numPr>
        <w:ind w:left="709"/>
      </w:pPr>
      <w:r w:rsidRPr="00DF164D">
        <w:t>Identif</w:t>
      </w:r>
      <w:r>
        <w:t xml:space="preserve">y </w:t>
      </w:r>
      <w:r w:rsidRPr="00DF164D">
        <w:t xml:space="preserve">pairs or groups of items which seem to be of similar purpose and have had complementary movements in </w:t>
      </w:r>
      <w:r w:rsidR="00C34CB1" w:rsidRPr="00DF164D">
        <w:t>u</w:t>
      </w:r>
      <w:r w:rsidR="00C34CB1">
        <w:t>sage</w:t>
      </w:r>
      <w:r w:rsidR="00C34CB1" w:rsidRPr="00DF164D">
        <w:t xml:space="preserve"> </w:t>
      </w:r>
      <w:r w:rsidRPr="00DF164D">
        <w:t>at similar times; and</w:t>
      </w:r>
    </w:p>
    <w:p w14:paraId="6FDB6DC9" w14:textId="4FD2C98C" w:rsidR="00E403B5" w:rsidRDefault="00C34CB1" w:rsidP="00463B2D">
      <w:pPr>
        <w:pStyle w:val="Bodytextwithparaspace"/>
        <w:numPr>
          <w:ilvl w:val="1"/>
          <w:numId w:val="11"/>
        </w:numPr>
        <w:ind w:left="709"/>
      </w:pPr>
      <w:r>
        <w:t>Discuss observations</w:t>
      </w:r>
      <w:r w:rsidR="00E403B5" w:rsidRPr="00DF164D">
        <w:t xml:space="preserve"> with clinical </w:t>
      </w:r>
      <w:r w:rsidR="00DB435D">
        <w:t>subject matter resources</w:t>
      </w:r>
      <w:r w:rsidR="00E403B5" w:rsidRPr="00DF164D">
        <w:t>.</w:t>
      </w:r>
    </w:p>
    <w:p w14:paraId="500FABB5" w14:textId="77777777" w:rsidR="00E403B5" w:rsidRDefault="00E403B5" w:rsidP="00E403B5">
      <w:pPr>
        <w:pStyle w:val="Bodytextwithparaspace"/>
      </w:pPr>
      <w:r>
        <w:t>This component is intended to address the Terms of Reference item 2.</w:t>
      </w:r>
    </w:p>
    <w:p w14:paraId="043B29FB" w14:textId="37BF8C79" w:rsidR="00436432" w:rsidRDefault="00436432" w:rsidP="00613A67">
      <w:pPr>
        <w:pStyle w:val="Bodytextwithparaspace"/>
      </w:pPr>
      <w:r>
        <w:t xml:space="preserve">In this analysis, evidence </w:t>
      </w:r>
      <w:r w:rsidR="0046054D">
        <w:t>was</w:t>
      </w:r>
      <w:r w:rsidR="007121F1">
        <w:t xml:space="preserve"> considered</w:t>
      </w:r>
      <w:r>
        <w:t xml:space="preserve"> at a group, subgroup, </w:t>
      </w:r>
      <w:r w:rsidR="003B3C5E">
        <w:t>suffix</w:t>
      </w:r>
      <w:r>
        <w:t xml:space="preserve"> and billing code level. </w:t>
      </w:r>
      <w:r w:rsidR="00C34CB1">
        <w:t>Both</w:t>
      </w:r>
      <w:r>
        <w:t xml:space="preserve"> usage and benefits paid </w:t>
      </w:r>
      <w:r w:rsidR="00C17D7B">
        <w:t>through</w:t>
      </w:r>
      <w:r>
        <w:t xml:space="preserve"> time </w:t>
      </w:r>
      <w:r w:rsidR="0046054D">
        <w:t>were</w:t>
      </w:r>
      <w:r w:rsidR="00B87334">
        <w:t xml:space="preserve"> compared </w:t>
      </w:r>
      <w:r>
        <w:t xml:space="preserve">at an absolute level and per separation. </w:t>
      </w:r>
      <w:r w:rsidR="00C17D7B">
        <w:t xml:space="preserve"> </w:t>
      </w:r>
      <w:r w:rsidR="00B87334">
        <w:t>Areas</w:t>
      </w:r>
      <w:r w:rsidR="00C17D7B">
        <w:t xml:space="preserve"> </w:t>
      </w:r>
      <w:r w:rsidR="0046054D">
        <w:t>were</w:t>
      </w:r>
      <w:r w:rsidR="00B87334">
        <w:t xml:space="preserve"> </w:t>
      </w:r>
      <w:r w:rsidR="00C17D7B">
        <w:t>identified</w:t>
      </w:r>
      <w:r w:rsidR="00677AED">
        <w:t xml:space="preserve"> where the increase in usage exceeds that </w:t>
      </w:r>
      <w:r w:rsidR="00E66748">
        <w:t xml:space="preserve">of similar products or </w:t>
      </w:r>
      <w:r w:rsidR="00677AED">
        <w:t xml:space="preserve">that which </w:t>
      </w:r>
      <w:r w:rsidR="00686825">
        <w:t>might</w:t>
      </w:r>
      <w:r w:rsidR="00677AED">
        <w:t xml:space="preserve"> be expected </w:t>
      </w:r>
      <w:r w:rsidR="00B66D54">
        <w:t>given changes in the occurrence of the underlying procedures.</w:t>
      </w:r>
    </w:p>
    <w:p w14:paraId="6CC632E2" w14:textId="77777777" w:rsidR="00873EF6" w:rsidRDefault="00A372FA" w:rsidP="00892123">
      <w:pPr>
        <w:pStyle w:val="EYHeading3"/>
      </w:pPr>
      <w:bookmarkStart w:id="93" w:name="_Ref39053415"/>
      <w:r>
        <w:t>General t</w:t>
      </w:r>
      <w:r w:rsidR="00892123">
        <w:t xml:space="preserve">rends in GM </w:t>
      </w:r>
      <w:r>
        <w:t>c</w:t>
      </w:r>
      <w:r w:rsidR="00892123">
        <w:t>ategory</w:t>
      </w:r>
      <w:bookmarkEnd w:id="93"/>
    </w:p>
    <w:p w14:paraId="07D1C366" w14:textId="77777777" w:rsidR="00784DE2" w:rsidRPr="00717063" w:rsidRDefault="0082411A" w:rsidP="00717063">
      <w:r>
        <w:t xml:space="preserve">The GM category of the PL </w:t>
      </w:r>
      <w:r w:rsidR="0046054D">
        <w:t>saw</w:t>
      </w:r>
      <w:r>
        <w:t xml:space="preserve"> significant increases in utilisation and total benefits paid </w:t>
      </w:r>
      <w:r w:rsidR="00812768">
        <w:t>each year</w:t>
      </w:r>
      <w:r>
        <w:t xml:space="preserve"> over the period from FY14 through to FY19. </w:t>
      </w:r>
      <w:r w:rsidR="0083755F">
        <w:t xml:space="preserve">In this period, there </w:t>
      </w:r>
      <w:r w:rsidR="0046054D">
        <w:t>was</w:t>
      </w:r>
      <w:r w:rsidR="0083755F">
        <w:t xml:space="preserve"> an</w:t>
      </w:r>
      <w:r>
        <w:t xml:space="preserve"> 11% compound annual growth rate (CAGR) in the number of items used per year and a 9% CAGR in the total benefits paid. More recently,</w:t>
      </w:r>
      <w:r w:rsidR="0083755F">
        <w:t xml:space="preserve"> </w:t>
      </w:r>
      <w:r w:rsidR="00EC6361">
        <w:t>from</w:t>
      </w:r>
      <w:r>
        <w:t xml:space="preserve"> FY18 to FY19 the growth in utilisation of items in the GM </w:t>
      </w:r>
      <w:r w:rsidR="00EC6361">
        <w:t xml:space="preserve">category </w:t>
      </w:r>
      <w:r>
        <w:t xml:space="preserve">was 15%, although the corresponding growth in total benefits paid was lower, at 3%, due to decreases in the average benefit amounts paid per item. </w:t>
      </w:r>
      <w:r w:rsidR="009D5ECA">
        <w:t xml:space="preserve">The following figures </w:t>
      </w:r>
      <w:r w:rsidR="000325B7">
        <w:t>show the total number of PL items used and total PL benefits paid for the GM category from FY14 to FY19</w:t>
      </w:r>
      <w:r w:rsidR="001E36F0">
        <w:t xml:space="preserve">, with </w:t>
      </w:r>
      <w:r w:rsidR="009C6622">
        <w:fldChar w:fldCharType="begin"/>
      </w:r>
      <w:r w:rsidR="009C6622">
        <w:instrText xml:space="preserve"> REF _Ref38439965 \h </w:instrText>
      </w:r>
      <w:r w:rsidR="009C6622">
        <w:fldChar w:fldCharType="separate"/>
      </w:r>
    </w:p>
    <w:p w14:paraId="1541CAD7" w14:textId="77777777" w:rsidR="00784DE2" w:rsidRDefault="00784DE2">
      <w:pPr>
        <w:autoSpaceDE/>
        <w:autoSpaceDN/>
        <w:adjustRightInd/>
        <w:rPr>
          <w:b/>
          <w:bCs/>
          <w:color w:val="747480"/>
          <w:sz w:val="18"/>
          <w:szCs w:val="18"/>
        </w:rPr>
      </w:pPr>
      <w:r>
        <w:br w:type="page"/>
      </w:r>
    </w:p>
    <w:p w14:paraId="0A9B0ADB" w14:textId="124CECD7" w:rsidR="0082411A" w:rsidRPr="00A26B3B" w:rsidRDefault="00784DE2" w:rsidP="00A26B3B">
      <w:pPr>
        <w:pStyle w:val="Bodytextwithparaspace"/>
      </w:pPr>
      <w:r>
        <w:t xml:space="preserve">Table </w:t>
      </w:r>
      <w:r>
        <w:rPr>
          <w:noProof/>
        </w:rPr>
        <w:t>7</w:t>
      </w:r>
      <w:r w:rsidR="009C6622">
        <w:fldChar w:fldCharType="end"/>
      </w:r>
      <w:r w:rsidR="00354EDD">
        <w:t xml:space="preserve"> </w:t>
      </w:r>
      <w:r w:rsidR="009C6622">
        <w:t xml:space="preserve">and </w:t>
      </w:r>
      <w:r w:rsidR="009C6622">
        <w:fldChar w:fldCharType="begin"/>
      </w:r>
      <w:r w:rsidR="009C6622">
        <w:instrText xml:space="preserve"> REF _Ref38439966 \h </w:instrText>
      </w:r>
      <w:r w:rsidR="009C6622">
        <w:fldChar w:fldCharType="separate"/>
      </w:r>
      <w:r>
        <w:t xml:space="preserve">Table </w:t>
      </w:r>
      <w:r>
        <w:rPr>
          <w:noProof/>
        </w:rPr>
        <w:t>8</w:t>
      </w:r>
      <w:r w:rsidR="009C6622">
        <w:fldChar w:fldCharType="end"/>
      </w:r>
      <w:r w:rsidR="001E36F0">
        <w:t xml:space="preserve"> showing the growth figures for the same period. </w:t>
      </w:r>
    </w:p>
    <w:tbl>
      <w:tblPr>
        <w:tblStyle w:val="TableGrid"/>
        <w:tblW w:w="9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Figure 6 and Figure 7"/>
        <w:tblDescription w:val="This table includes two figures: Figure 6 - GM - Total Prosthetic Items and Figure 7 - GM - Total Prostheses Benefits."/>
      </w:tblPr>
      <w:tblGrid>
        <w:gridCol w:w="5019"/>
        <w:gridCol w:w="4754"/>
      </w:tblGrid>
      <w:tr w:rsidR="00B148CA" w14:paraId="086465E9" w14:textId="77777777" w:rsidTr="00A37319">
        <w:trPr>
          <w:trHeight w:val="248"/>
          <w:tblHeader/>
        </w:trPr>
        <w:tc>
          <w:tcPr>
            <w:tcW w:w="5054" w:type="dxa"/>
          </w:tcPr>
          <w:p w14:paraId="78FC25AF" w14:textId="6F4BB0C5" w:rsidR="00B148CA" w:rsidRDefault="00B148CA" w:rsidP="00A26B3B">
            <w:pPr>
              <w:pStyle w:val="Caption"/>
              <w:spacing w:after="0"/>
            </w:pPr>
            <w:bookmarkStart w:id="94" w:name="_Ref37831331"/>
            <w:bookmarkStart w:id="95" w:name="_Ref37955880"/>
            <w:r>
              <w:t xml:space="preserve">Figure </w:t>
            </w:r>
            <w:r w:rsidR="00FC6370">
              <w:fldChar w:fldCharType="begin"/>
            </w:r>
            <w:r w:rsidR="00FC6370">
              <w:instrText xml:space="preserve"> SEQ Figure \* ARABIC </w:instrText>
            </w:r>
            <w:r w:rsidR="00FC6370">
              <w:fldChar w:fldCharType="separate"/>
            </w:r>
            <w:r w:rsidR="00784DE2">
              <w:rPr>
                <w:noProof/>
              </w:rPr>
              <w:t>6</w:t>
            </w:r>
            <w:r w:rsidR="00FC6370">
              <w:rPr>
                <w:noProof/>
              </w:rPr>
              <w:fldChar w:fldCharType="end"/>
            </w:r>
            <w:bookmarkEnd w:id="94"/>
            <w:r>
              <w:t xml:space="preserve"> – GM – Total Prosthe</w:t>
            </w:r>
            <w:r w:rsidR="00DB435D">
              <w:t xml:space="preserve">tic </w:t>
            </w:r>
            <w:r>
              <w:t>Items</w:t>
            </w:r>
            <w:bookmarkEnd w:id="95"/>
          </w:p>
        </w:tc>
        <w:tc>
          <w:tcPr>
            <w:tcW w:w="4719" w:type="dxa"/>
          </w:tcPr>
          <w:p w14:paraId="7C3E9844" w14:textId="3DB9894E" w:rsidR="00B148CA" w:rsidRDefault="00B148CA" w:rsidP="00B83783">
            <w:pPr>
              <w:pStyle w:val="Caption"/>
              <w:keepNext/>
              <w:spacing w:after="0"/>
            </w:pPr>
            <w:r>
              <w:t xml:space="preserve">Figure </w:t>
            </w:r>
            <w:r w:rsidR="00FC6370">
              <w:fldChar w:fldCharType="begin"/>
            </w:r>
            <w:r w:rsidR="00FC6370">
              <w:instrText xml:space="preserve"> SEQ Figure \* ARABIC </w:instrText>
            </w:r>
            <w:r w:rsidR="00FC6370">
              <w:fldChar w:fldCharType="separate"/>
            </w:r>
            <w:r w:rsidR="00784DE2">
              <w:rPr>
                <w:noProof/>
              </w:rPr>
              <w:t>7</w:t>
            </w:r>
            <w:r w:rsidR="00FC6370">
              <w:rPr>
                <w:noProof/>
              </w:rPr>
              <w:fldChar w:fldCharType="end"/>
            </w:r>
            <w:r>
              <w:t xml:space="preserve"> – GM – Total Prostheses Benefits</w:t>
            </w:r>
          </w:p>
        </w:tc>
      </w:tr>
      <w:tr w:rsidR="00B148CA" w14:paraId="33AA69EA" w14:textId="77777777" w:rsidTr="00A26B3B">
        <w:trPr>
          <w:trHeight w:val="2955"/>
        </w:trPr>
        <w:tc>
          <w:tcPr>
            <w:tcW w:w="5054" w:type="dxa"/>
          </w:tcPr>
          <w:p w14:paraId="0EA66334" w14:textId="028D2827" w:rsidR="00B148CA" w:rsidRDefault="00E27FB1" w:rsidP="00B83783">
            <w:pPr>
              <w:keepNext/>
            </w:pPr>
            <w:r>
              <w:rPr>
                <w:noProof/>
                <w:lang w:val="en-AU" w:eastAsia="en-AU"/>
              </w:rPr>
              <w:drawing>
                <wp:inline distT="0" distB="0" distL="0" distR="0" wp14:anchorId="7A565688" wp14:editId="065A499F">
                  <wp:extent cx="2896301" cy="1952625"/>
                  <wp:effectExtent l="0" t="0" r="0" b="0"/>
                  <wp:docPr id="345811283" name="Picture 345811283" descr="Figure 6 - GM - Total Prosthetic Items&#10;&#10;Figure 6 shows the total number of General Miscellaneous PL items used for the FY14 and FY19 period, split into the high and low priority group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12490" cy="1963540"/>
                          </a:xfrm>
                          <a:prstGeom prst="rect">
                            <a:avLst/>
                          </a:prstGeom>
                          <a:noFill/>
                        </pic:spPr>
                      </pic:pic>
                    </a:graphicData>
                  </a:graphic>
                </wp:inline>
              </w:drawing>
            </w:r>
          </w:p>
        </w:tc>
        <w:tc>
          <w:tcPr>
            <w:tcW w:w="4719" w:type="dxa"/>
          </w:tcPr>
          <w:p w14:paraId="20388747" w14:textId="7C4A0B19" w:rsidR="00B148CA" w:rsidRDefault="00E27FB1" w:rsidP="00B83783">
            <w:r>
              <w:rPr>
                <w:noProof/>
                <w:lang w:val="en-AU" w:eastAsia="en-AU"/>
              </w:rPr>
              <w:drawing>
                <wp:inline distT="0" distB="0" distL="0" distR="0" wp14:anchorId="5F5C7C24" wp14:editId="569B3E0B">
                  <wp:extent cx="2882173" cy="1943100"/>
                  <wp:effectExtent l="0" t="0" r="0" b="0"/>
                  <wp:docPr id="345811284" name="Picture 345811284" descr="Figure 7 - GM - Total Prostheses Benefits&#10;&#10;Figure 7 shows the total General Miscellaneous PL benefits for FY14 to FY19 for both high and low priority group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93496" cy="1950734"/>
                          </a:xfrm>
                          <a:prstGeom prst="rect">
                            <a:avLst/>
                          </a:prstGeom>
                          <a:noFill/>
                        </pic:spPr>
                      </pic:pic>
                    </a:graphicData>
                  </a:graphic>
                </wp:inline>
              </w:drawing>
            </w:r>
          </w:p>
        </w:tc>
      </w:tr>
    </w:tbl>
    <w:p w14:paraId="53776472" w14:textId="77777777" w:rsidR="00717063" w:rsidRPr="00717063" w:rsidRDefault="00717063" w:rsidP="00717063">
      <w:bookmarkStart w:id="96" w:name="_Ref38439965"/>
      <w:bookmarkStart w:id="97" w:name="_Ref38372512"/>
    </w:p>
    <w:p w14:paraId="3978DD3A" w14:textId="77777777" w:rsidR="00F979CF" w:rsidRDefault="00F979CF">
      <w:pPr>
        <w:autoSpaceDE/>
        <w:autoSpaceDN/>
        <w:adjustRightInd/>
        <w:rPr>
          <w:b/>
          <w:bCs/>
          <w:color w:val="747480"/>
          <w:sz w:val="18"/>
          <w:szCs w:val="18"/>
        </w:rPr>
      </w:pPr>
      <w:r>
        <w:br w:type="page"/>
      </w:r>
    </w:p>
    <w:p w14:paraId="2BADF58C" w14:textId="67DD2ED1" w:rsidR="00D22D22" w:rsidRDefault="00D22D22" w:rsidP="00D22D22">
      <w:pPr>
        <w:pStyle w:val="Caption"/>
        <w:keepNext/>
      </w:pPr>
      <w:r>
        <w:t xml:space="preserve">Table </w:t>
      </w:r>
      <w:r>
        <w:rPr>
          <w:noProof/>
        </w:rPr>
        <w:fldChar w:fldCharType="begin"/>
      </w:r>
      <w:r>
        <w:rPr>
          <w:noProof/>
        </w:rPr>
        <w:instrText xml:space="preserve"> SEQ Table \* ARABIC </w:instrText>
      </w:r>
      <w:r>
        <w:rPr>
          <w:noProof/>
        </w:rPr>
        <w:fldChar w:fldCharType="separate"/>
      </w:r>
      <w:r w:rsidR="00784DE2">
        <w:rPr>
          <w:noProof/>
        </w:rPr>
        <w:t>7</w:t>
      </w:r>
      <w:r>
        <w:rPr>
          <w:noProof/>
        </w:rPr>
        <w:fldChar w:fldCharType="end"/>
      </w:r>
      <w:bookmarkEnd w:id="96"/>
      <w:r>
        <w:t xml:space="preserve"> – GM - growth in prosthe</w:t>
      </w:r>
      <w:r w:rsidR="00DB435D">
        <w:t>tic</w:t>
      </w:r>
      <w:r>
        <w:t xml:space="preserve"> items </w:t>
      </w:r>
    </w:p>
    <w:tbl>
      <w:tblPr>
        <w:tblStyle w:val="TableGrid"/>
        <w:tblW w:w="0" w:type="auto"/>
        <w:tblLook w:val="04A0" w:firstRow="1" w:lastRow="0" w:firstColumn="1" w:lastColumn="0" w:noHBand="0" w:noVBand="1"/>
        <w:tblCaption w:val="Table 7 - GM - growth in prosthetic Items"/>
        <w:tblDescription w:val="This table describes annual growth rates in prostheses in the General Miscellaneous Category from FY 15 to FY19. Between FY14-19, there was a Compound Annual Growth Rate of 11% across the General Miscellaneous Category as a whole, 11% across the 'high' priority items and 5% across the 'Low' Priority items."/>
      </w:tblPr>
      <w:tblGrid>
        <w:gridCol w:w="2443"/>
        <w:gridCol w:w="760"/>
        <w:gridCol w:w="692"/>
        <w:gridCol w:w="692"/>
        <w:gridCol w:w="692"/>
        <w:gridCol w:w="760"/>
        <w:gridCol w:w="2220"/>
      </w:tblGrid>
      <w:tr w:rsidR="00D22D22" w:rsidRPr="006B2F71" w14:paraId="3B6C4C34" w14:textId="77777777" w:rsidTr="00A37319">
        <w:trPr>
          <w:tblHeader/>
        </w:trPr>
        <w:tc>
          <w:tcPr>
            <w:tcW w:w="2443" w:type="dxa"/>
            <w:tcBorders>
              <w:top w:val="nil"/>
              <w:left w:val="nil"/>
            </w:tcBorders>
            <w:vAlign w:val="center"/>
          </w:tcPr>
          <w:p w14:paraId="4BB1D6E6" w14:textId="49E0373C" w:rsidR="00D22D22" w:rsidRPr="006B2F71" w:rsidRDefault="00D22D22" w:rsidP="0069571F">
            <w:pPr>
              <w:rPr>
                <w:b/>
              </w:rPr>
            </w:pPr>
            <w:r>
              <w:rPr>
                <w:b/>
              </w:rPr>
              <w:t>Total Prosthe</w:t>
            </w:r>
            <w:r w:rsidR="00DB435D">
              <w:rPr>
                <w:b/>
              </w:rPr>
              <w:t>tic</w:t>
            </w:r>
            <w:r>
              <w:rPr>
                <w:b/>
              </w:rPr>
              <w:t xml:space="preserve"> Items</w:t>
            </w:r>
          </w:p>
        </w:tc>
        <w:tc>
          <w:tcPr>
            <w:tcW w:w="3595" w:type="dxa"/>
            <w:gridSpan w:val="5"/>
            <w:shd w:val="clear" w:color="auto" w:fill="FFE600" w:themeFill="text2"/>
            <w:vAlign w:val="center"/>
          </w:tcPr>
          <w:p w14:paraId="008E03A2" w14:textId="77777777" w:rsidR="00D22D22" w:rsidRDefault="00D22D22" w:rsidP="00AF1D4E">
            <w:pPr>
              <w:rPr>
                <w:rFonts w:cs="Calibri"/>
                <w:b/>
                <w:color w:val="000000"/>
              </w:rPr>
            </w:pPr>
            <w:r>
              <w:rPr>
                <w:rFonts w:cs="Calibri"/>
                <w:b/>
                <w:color w:val="000000"/>
              </w:rPr>
              <w:t>Annual growth rates</w:t>
            </w:r>
          </w:p>
          <w:p w14:paraId="632E1BAA" w14:textId="77777777" w:rsidR="00D22D22" w:rsidRPr="006B2F71" w:rsidRDefault="00D22D22" w:rsidP="00AF1D4E">
            <w:pPr>
              <w:rPr>
                <w:rFonts w:cs="Calibri"/>
                <w:b/>
                <w:color w:val="000000"/>
              </w:rPr>
            </w:pPr>
            <w:r>
              <w:rPr>
                <w:rFonts w:cs="Calibri"/>
                <w:b/>
                <w:color w:val="000000"/>
              </w:rPr>
              <w:t>(over previous year)</w:t>
            </w:r>
          </w:p>
        </w:tc>
        <w:tc>
          <w:tcPr>
            <w:tcW w:w="2220" w:type="dxa"/>
            <w:shd w:val="clear" w:color="auto" w:fill="FFE600" w:themeFill="text2"/>
            <w:vAlign w:val="center"/>
          </w:tcPr>
          <w:p w14:paraId="7AE84357" w14:textId="77777777" w:rsidR="00D22D22" w:rsidRPr="006B2F71" w:rsidRDefault="00D22D22" w:rsidP="00AF1D4E">
            <w:pPr>
              <w:rPr>
                <w:rFonts w:cs="Calibri"/>
                <w:b/>
                <w:color w:val="000000"/>
              </w:rPr>
            </w:pPr>
            <w:r w:rsidRPr="006B2F71">
              <w:rPr>
                <w:rFonts w:cs="Calibri"/>
                <w:b/>
                <w:color w:val="000000"/>
              </w:rPr>
              <w:t>Compound Annual Growth Rate (CAGR)</w:t>
            </w:r>
          </w:p>
        </w:tc>
      </w:tr>
      <w:tr w:rsidR="00D22D22" w:rsidRPr="006B2F71" w14:paraId="4C0E7434" w14:textId="77777777" w:rsidTr="00463B2D">
        <w:tc>
          <w:tcPr>
            <w:tcW w:w="2443" w:type="dxa"/>
            <w:shd w:val="clear" w:color="auto" w:fill="D2D2DA" w:themeFill="text1" w:themeFillTint="33"/>
            <w:vAlign w:val="center"/>
          </w:tcPr>
          <w:p w14:paraId="44B43A70" w14:textId="77777777" w:rsidR="00D22D22" w:rsidRPr="00AF1D4E" w:rsidRDefault="00D22D22" w:rsidP="0069571F">
            <w:pPr>
              <w:rPr>
                <w:b/>
              </w:rPr>
            </w:pPr>
            <w:r w:rsidRPr="00AF1D4E">
              <w:rPr>
                <w:b/>
              </w:rPr>
              <w:t>Year</w:t>
            </w:r>
          </w:p>
        </w:tc>
        <w:tc>
          <w:tcPr>
            <w:tcW w:w="719" w:type="dxa"/>
            <w:shd w:val="clear" w:color="auto" w:fill="D2D2DA" w:themeFill="text1" w:themeFillTint="33"/>
            <w:vAlign w:val="center"/>
          </w:tcPr>
          <w:p w14:paraId="5132A278" w14:textId="77777777" w:rsidR="00D22D22" w:rsidRPr="00AF1D4E" w:rsidRDefault="00D22D22" w:rsidP="00AF1D4E">
            <w:pPr>
              <w:rPr>
                <w:rFonts w:cs="Calibri"/>
                <w:b/>
              </w:rPr>
            </w:pPr>
            <w:r w:rsidRPr="00AF1D4E">
              <w:rPr>
                <w:rFonts w:cs="Calibri"/>
                <w:b/>
              </w:rPr>
              <w:t>FY15</w:t>
            </w:r>
          </w:p>
        </w:tc>
        <w:tc>
          <w:tcPr>
            <w:tcW w:w="0" w:type="auto"/>
            <w:shd w:val="clear" w:color="auto" w:fill="D2D2DA" w:themeFill="text1" w:themeFillTint="33"/>
            <w:vAlign w:val="center"/>
          </w:tcPr>
          <w:p w14:paraId="1E8FAFE2" w14:textId="77777777" w:rsidR="00D22D22" w:rsidRPr="00AF1D4E" w:rsidRDefault="00D22D22" w:rsidP="00AF1D4E">
            <w:pPr>
              <w:rPr>
                <w:rFonts w:cs="Calibri"/>
                <w:b/>
              </w:rPr>
            </w:pPr>
            <w:r w:rsidRPr="00AF1D4E">
              <w:rPr>
                <w:rFonts w:cs="Calibri"/>
                <w:b/>
              </w:rPr>
              <w:t>FY16</w:t>
            </w:r>
          </w:p>
        </w:tc>
        <w:tc>
          <w:tcPr>
            <w:tcW w:w="0" w:type="auto"/>
            <w:shd w:val="clear" w:color="auto" w:fill="D2D2DA" w:themeFill="text1" w:themeFillTint="33"/>
            <w:vAlign w:val="center"/>
          </w:tcPr>
          <w:p w14:paraId="095B4639" w14:textId="77777777" w:rsidR="00D22D22" w:rsidRPr="00AF1D4E" w:rsidRDefault="00D22D22" w:rsidP="00AF1D4E">
            <w:pPr>
              <w:rPr>
                <w:rFonts w:cs="Calibri"/>
                <w:b/>
              </w:rPr>
            </w:pPr>
            <w:r w:rsidRPr="00AF1D4E">
              <w:rPr>
                <w:rFonts w:cs="Calibri"/>
                <w:b/>
              </w:rPr>
              <w:t>FY17</w:t>
            </w:r>
          </w:p>
        </w:tc>
        <w:tc>
          <w:tcPr>
            <w:tcW w:w="0" w:type="auto"/>
            <w:shd w:val="clear" w:color="auto" w:fill="D2D2DA" w:themeFill="text1" w:themeFillTint="33"/>
            <w:vAlign w:val="center"/>
          </w:tcPr>
          <w:p w14:paraId="0DA1B960" w14:textId="77777777" w:rsidR="00D22D22" w:rsidRPr="00AF1D4E" w:rsidRDefault="00D22D22" w:rsidP="00AF1D4E">
            <w:pPr>
              <w:rPr>
                <w:rFonts w:cs="Calibri"/>
                <w:b/>
              </w:rPr>
            </w:pPr>
            <w:r w:rsidRPr="00AF1D4E">
              <w:rPr>
                <w:rFonts w:cs="Calibri"/>
                <w:b/>
              </w:rPr>
              <w:t>FY18</w:t>
            </w:r>
          </w:p>
        </w:tc>
        <w:tc>
          <w:tcPr>
            <w:tcW w:w="719" w:type="dxa"/>
            <w:shd w:val="clear" w:color="auto" w:fill="D2D2DA" w:themeFill="text1" w:themeFillTint="33"/>
            <w:vAlign w:val="center"/>
          </w:tcPr>
          <w:p w14:paraId="105141FD" w14:textId="77777777" w:rsidR="00D22D22" w:rsidRPr="00AF1D4E" w:rsidRDefault="00D22D22" w:rsidP="00AF1D4E">
            <w:pPr>
              <w:rPr>
                <w:rFonts w:cs="Calibri"/>
                <w:b/>
              </w:rPr>
            </w:pPr>
            <w:r w:rsidRPr="00AF1D4E">
              <w:rPr>
                <w:rFonts w:cs="Calibri"/>
                <w:b/>
              </w:rPr>
              <w:t>FY19</w:t>
            </w:r>
          </w:p>
        </w:tc>
        <w:tc>
          <w:tcPr>
            <w:tcW w:w="2220" w:type="dxa"/>
            <w:shd w:val="clear" w:color="auto" w:fill="D2D2DA" w:themeFill="text1" w:themeFillTint="33"/>
            <w:vAlign w:val="center"/>
          </w:tcPr>
          <w:p w14:paraId="185D3D89" w14:textId="77777777" w:rsidR="00D22D22" w:rsidRPr="00AF1D4E" w:rsidRDefault="00D22D22" w:rsidP="00AF1D4E">
            <w:pPr>
              <w:rPr>
                <w:rFonts w:cs="Calibri"/>
              </w:rPr>
            </w:pPr>
            <w:r w:rsidRPr="00AF1D4E">
              <w:rPr>
                <w:rFonts w:cs="Calibri"/>
                <w:b/>
              </w:rPr>
              <w:t>FY14 – FY19</w:t>
            </w:r>
          </w:p>
        </w:tc>
      </w:tr>
      <w:tr w:rsidR="00D22D22" w:rsidRPr="006B2F71" w14:paraId="2E80025A" w14:textId="77777777" w:rsidTr="0069571F">
        <w:tc>
          <w:tcPr>
            <w:tcW w:w="2443" w:type="dxa"/>
          </w:tcPr>
          <w:p w14:paraId="618CDB03" w14:textId="77777777" w:rsidR="00D22D22" w:rsidRPr="006B2F71" w:rsidRDefault="00F24211" w:rsidP="0069571F">
            <w:r>
              <w:t>GM</w:t>
            </w:r>
          </w:p>
        </w:tc>
        <w:tc>
          <w:tcPr>
            <w:tcW w:w="719" w:type="dxa"/>
            <w:vAlign w:val="bottom"/>
          </w:tcPr>
          <w:p w14:paraId="73BAE00C" w14:textId="77777777" w:rsidR="00D22D22" w:rsidRPr="006B2F71" w:rsidRDefault="00D22D22" w:rsidP="0069571F">
            <w:pPr>
              <w:jc w:val="center"/>
            </w:pPr>
            <w:r>
              <w:rPr>
                <w:rFonts w:cs="Calibri"/>
                <w:color w:val="000000"/>
              </w:rPr>
              <w:t>14%</w:t>
            </w:r>
          </w:p>
        </w:tc>
        <w:tc>
          <w:tcPr>
            <w:tcW w:w="0" w:type="auto"/>
            <w:vAlign w:val="bottom"/>
          </w:tcPr>
          <w:p w14:paraId="63322405" w14:textId="77777777" w:rsidR="00D22D22" w:rsidRPr="006B2F71" w:rsidRDefault="00D22D22" w:rsidP="0069571F">
            <w:pPr>
              <w:jc w:val="center"/>
            </w:pPr>
            <w:r>
              <w:rPr>
                <w:rFonts w:cs="Calibri"/>
                <w:color w:val="000000"/>
              </w:rPr>
              <w:t>4%</w:t>
            </w:r>
          </w:p>
        </w:tc>
        <w:tc>
          <w:tcPr>
            <w:tcW w:w="0" w:type="auto"/>
            <w:vAlign w:val="bottom"/>
          </w:tcPr>
          <w:p w14:paraId="159CB0CE" w14:textId="77777777" w:rsidR="00D22D22" w:rsidRPr="006B2F71" w:rsidRDefault="00D22D22" w:rsidP="0069571F">
            <w:pPr>
              <w:jc w:val="center"/>
            </w:pPr>
            <w:r>
              <w:rPr>
                <w:rFonts w:cs="Calibri"/>
                <w:color w:val="000000"/>
              </w:rPr>
              <w:t>11%</w:t>
            </w:r>
          </w:p>
        </w:tc>
        <w:tc>
          <w:tcPr>
            <w:tcW w:w="0" w:type="auto"/>
            <w:vAlign w:val="bottom"/>
          </w:tcPr>
          <w:p w14:paraId="37379246" w14:textId="77777777" w:rsidR="00D22D22" w:rsidRPr="006B2F71" w:rsidRDefault="00D22D22" w:rsidP="0069571F">
            <w:pPr>
              <w:jc w:val="center"/>
            </w:pPr>
            <w:r>
              <w:rPr>
                <w:rFonts w:cs="Calibri"/>
                <w:color w:val="000000"/>
              </w:rPr>
              <w:t>10%</w:t>
            </w:r>
          </w:p>
        </w:tc>
        <w:tc>
          <w:tcPr>
            <w:tcW w:w="719" w:type="dxa"/>
            <w:vAlign w:val="bottom"/>
          </w:tcPr>
          <w:p w14:paraId="69F34D30" w14:textId="77777777" w:rsidR="00D22D22" w:rsidRPr="006B2F71" w:rsidRDefault="00D22D22" w:rsidP="0069571F">
            <w:pPr>
              <w:jc w:val="center"/>
            </w:pPr>
            <w:r>
              <w:rPr>
                <w:rFonts w:cs="Calibri"/>
                <w:color w:val="000000"/>
              </w:rPr>
              <w:t>15%</w:t>
            </w:r>
          </w:p>
        </w:tc>
        <w:tc>
          <w:tcPr>
            <w:tcW w:w="2220" w:type="dxa"/>
            <w:vAlign w:val="bottom"/>
          </w:tcPr>
          <w:p w14:paraId="35E50866" w14:textId="77777777" w:rsidR="00D22D22" w:rsidRPr="006B2F71" w:rsidRDefault="00D22D22" w:rsidP="0069571F">
            <w:pPr>
              <w:jc w:val="center"/>
              <w:rPr>
                <w:rFonts w:cs="Calibri"/>
                <w:color w:val="000000"/>
              </w:rPr>
            </w:pPr>
            <w:r>
              <w:rPr>
                <w:rFonts w:cs="Calibri"/>
                <w:color w:val="000000"/>
              </w:rPr>
              <w:t>11%</w:t>
            </w:r>
          </w:p>
        </w:tc>
      </w:tr>
      <w:tr w:rsidR="00D22D22" w:rsidRPr="006B2F71" w14:paraId="17AE2E4B" w14:textId="77777777" w:rsidTr="0069571F">
        <w:tc>
          <w:tcPr>
            <w:tcW w:w="2443" w:type="dxa"/>
          </w:tcPr>
          <w:p w14:paraId="7FE7139A" w14:textId="77777777" w:rsidR="00D22D22" w:rsidRPr="006B2F71" w:rsidRDefault="00D22D22" w:rsidP="0069571F">
            <w:pPr>
              <w:ind w:left="113"/>
            </w:pPr>
            <w:r>
              <w:t>‘High’ priority</w:t>
            </w:r>
          </w:p>
        </w:tc>
        <w:tc>
          <w:tcPr>
            <w:tcW w:w="719" w:type="dxa"/>
            <w:vAlign w:val="bottom"/>
          </w:tcPr>
          <w:p w14:paraId="5EE80423" w14:textId="77777777" w:rsidR="00D22D22" w:rsidRPr="006B2F71" w:rsidRDefault="00D22D22" w:rsidP="0069571F">
            <w:pPr>
              <w:jc w:val="center"/>
              <w:rPr>
                <w:rFonts w:cs="Calibri"/>
                <w:color w:val="000000"/>
              </w:rPr>
            </w:pPr>
            <w:r>
              <w:rPr>
                <w:rFonts w:cs="Calibri"/>
                <w:color w:val="000000"/>
              </w:rPr>
              <w:t>14%</w:t>
            </w:r>
          </w:p>
        </w:tc>
        <w:tc>
          <w:tcPr>
            <w:tcW w:w="0" w:type="auto"/>
            <w:vAlign w:val="bottom"/>
          </w:tcPr>
          <w:p w14:paraId="05F3A309" w14:textId="77777777" w:rsidR="00D22D22" w:rsidRPr="006B2F71" w:rsidRDefault="00D22D22" w:rsidP="0069571F">
            <w:pPr>
              <w:jc w:val="center"/>
              <w:rPr>
                <w:rFonts w:cs="Calibri"/>
                <w:color w:val="000000"/>
              </w:rPr>
            </w:pPr>
            <w:r>
              <w:rPr>
                <w:rFonts w:cs="Calibri"/>
                <w:color w:val="000000"/>
              </w:rPr>
              <w:t>4%</w:t>
            </w:r>
          </w:p>
        </w:tc>
        <w:tc>
          <w:tcPr>
            <w:tcW w:w="0" w:type="auto"/>
            <w:vAlign w:val="bottom"/>
          </w:tcPr>
          <w:p w14:paraId="6EC24E75" w14:textId="77777777" w:rsidR="00D22D22" w:rsidRPr="006B2F71" w:rsidRDefault="00D22D22" w:rsidP="0069571F">
            <w:pPr>
              <w:jc w:val="center"/>
              <w:rPr>
                <w:rFonts w:cs="Calibri"/>
                <w:color w:val="000000"/>
              </w:rPr>
            </w:pPr>
            <w:r>
              <w:rPr>
                <w:rFonts w:cs="Calibri"/>
                <w:color w:val="000000"/>
              </w:rPr>
              <w:t>12%</w:t>
            </w:r>
          </w:p>
        </w:tc>
        <w:tc>
          <w:tcPr>
            <w:tcW w:w="0" w:type="auto"/>
            <w:vAlign w:val="bottom"/>
          </w:tcPr>
          <w:p w14:paraId="2F48D591" w14:textId="77777777" w:rsidR="00D22D22" w:rsidRPr="006B2F71" w:rsidRDefault="00D22D22" w:rsidP="0069571F">
            <w:pPr>
              <w:jc w:val="center"/>
              <w:rPr>
                <w:rFonts w:cs="Calibri"/>
                <w:color w:val="000000"/>
              </w:rPr>
            </w:pPr>
            <w:r>
              <w:rPr>
                <w:rFonts w:cs="Calibri"/>
                <w:color w:val="000000"/>
              </w:rPr>
              <w:t>10%</w:t>
            </w:r>
          </w:p>
        </w:tc>
        <w:tc>
          <w:tcPr>
            <w:tcW w:w="719" w:type="dxa"/>
            <w:vAlign w:val="bottom"/>
          </w:tcPr>
          <w:p w14:paraId="1835E748" w14:textId="77777777" w:rsidR="00D22D22" w:rsidRPr="006B2F71" w:rsidRDefault="00D22D22" w:rsidP="0069571F">
            <w:pPr>
              <w:jc w:val="center"/>
              <w:rPr>
                <w:rFonts w:cs="Calibri"/>
                <w:color w:val="000000"/>
              </w:rPr>
            </w:pPr>
            <w:r>
              <w:rPr>
                <w:rFonts w:cs="Calibri"/>
                <w:color w:val="000000"/>
              </w:rPr>
              <w:t>15%</w:t>
            </w:r>
          </w:p>
        </w:tc>
        <w:tc>
          <w:tcPr>
            <w:tcW w:w="2220" w:type="dxa"/>
            <w:vAlign w:val="bottom"/>
          </w:tcPr>
          <w:p w14:paraId="66F67332" w14:textId="77777777" w:rsidR="00D22D22" w:rsidRPr="006B2F71" w:rsidRDefault="00D22D22" w:rsidP="0069571F">
            <w:pPr>
              <w:jc w:val="center"/>
              <w:rPr>
                <w:rFonts w:cs="Calibri"/>
                <w:color w:val="000000"/>
              </w:rPr>
            </w:pPr>
            <w:r>
              <w:rPr>
                <w:rFonts w:cs="Calibri"/>
                <w:color w:val="000000"/>
              </w:rPr>
              <w:t>11%</w:t>
            </w:r>
          </w:p>
        </w:tc>
      </w:tr>
      <w:tr w:rsidR="00D22D22" w:rsidRPr="006B2F71" w14:paraId="10341D11" w14:textId="77777777" w:rsidTr="0069571F">
        <w:tc>
          <w:tcPr>
            <w:tcW w:w="2443" w:type="dxa"/>
          </w:tcPr>
          <w:p w14:paraId="1032A0A8" w14:textId="77777777" w:rsidR="00D22D22" w:rsidRPr="006B2F71" w:rsidRDefault="00D22D22" w:rsidP="0069571F">
            <w:pPr>
              <w:ind w:left="113"/>
            </w:pPr>
            <w:r>
              <w:t>‘Low’ priority</w:t>
            </w:r>
          </w:p>
        </w:tc>
        <w:tc>
          <w:tcPr>
            <w:tcW w:w="719" w:type="dxa"/>
            <w:vAlign w:val="bottom"/>
          </w:tcPr>
          <w:p w14:paraId="014A035C" w14:textId="77777777" w:rsidR="00D22D22" w:rsidRPr="006B2F71" w:rsidRDefault="00D22D22" w:rsidP="0069571F">
            <w:pPr>
              <w:jc w:val="center"/>
              <w:rPr>
                <w:rFonts w:cs="Calibri"/>
                <w:color w:val="000000"/>
              </w:rPr>
            </w:pPr>
            <w:r>
              <w:rPr>
                <w:rFonts w:cs="Calibri"/>
                <w:color w:val="000000"/>
              </w:rPr>
              <w:t>5%</w:t>
            </w:r>
          </w:p>
        </w:tc>
        <w:tc>
          <w:tcPr>
            <w:tcW w:w="0" w:type="auto"/>
            <w:vAlign w:val="bottom"/>
          </w:tcPr>
          <w:p w14:paraId="0F6F87FD" w14:textId="77777777" w:rsidR="00D22D22" w:rsidRPr="006B2F71" w:rsidRDefault="00D22D22" w:rsidP="0069571F">
            <w:pPr>
              <w:jc w:val="center"/>
              <w:rPr>
                <w:rFonts w:cs="Calibri"/>
                <w:color w:val="000000"/>
              </w:rPr>
            </w:pPr>
            <w:r>
              <w:rPr>
                <w:rFonts w:cs="Calibri"/>
                <w:color w:val="000000"/>
              </w:rPr>
              <w:t>-3%</w:t>
            </w:r>
          </w:p>
        </w:tc>
        <w:tc>
          <w:tcPr>
            <w:tcW w:w="0" w:type="auto"/>
            <w:vAlign w:val="bottom"/>
          </w:tcPr>
          <w:p w14:paraId="44C0A4CA" w14:textId="77777777" w:rsidR="00D22D22" w:rsidRPr="006B2F71" w:rsidRDefault="00D22D22" w:rsidP="0069571F">
            <w:pPr>
              <w:jc w:val="center"/>
              <w:rPr>
                <w:rFonts w:cs="Calibri"/>
                <w:color w:val="000000"/>
              </w:rPr>
            </w:pPr>
            <w:r>
              <w:rPr>
                <w:rFonts w:cs="Calibri"/>
                <w:color w:val="000000"/>
              </w:rPr>
              <w:t>9%</w:t>
            </w:r>
          </w:p>
        </w:tc>
        <w:tc>
          <w:tcPr>
            <w:tcW w:w="0" w:type="auto"/>
            <w:vAlign w:val="bottom"/>
          </w:tcPr>
          <w:p w14:paraId="2D7EC159" w14:textId="77777777" w:rsidR="00D22D22" w:rsidRPr="006B2F71" w:rsidRDefault="00D22D22" w:rsidP="0069571F">
            <w:pPr>
              <w:jc w:val="center"/>
              <w:rPr>
                <w:rFonts w:cs="Calibri"/>
                <w:color w:val="000000"/>
              </w:rPr>
            </w:pPr>
            <w:r>
              <w:rPr>
                <w:rFonts w:cs="Calibri"/>
                <w:color w:val="000000"/>
              </w:rPr>
              <w:t>8%</w:t>
            </w:r>
          </w:p>
        </w:tc>
        <w:tc>
          <w:tcPr>
            <w:tcW w:w="719" w:type="dxa"/>
            <w:vAlign w:val="bottom"/>
          </w:tcPr>
          <w:p w14:paraId="72CC3AF6" w14:textId="77777777" w:rsidR="00D22D22" w:rsidRPr="006B2F71" w:rsidRDefault="00D22D22" w:rsidP="0069571F">
            <w:pPr>
              <w:jc w:val="center"/>
              <w:rPr>
                <w:rFonts w:cs="Calibri"/>
                <w:color w:val="000000"/>
              </w:rPr>
            </w:pPr>
            <w:r>
              <w:rPr>
                <w:rFonts w:cs="Calibri"/>
                <w:color w:val="000000"/>
              </w:rPr>
              <w:t>4%</w:t>
            </w:r>
          </w:p>
        </w:tc>
        <w:tc>
          <w:tcPr>
            <w:tcW w:w="2220" w:type="dxa"/>
            <w:vAlign w:val="bottom"/>
          </w:tcPr>
          <w:p w14:paraId="1FFEE216" w14:textId="77777777" w:rsidR="00D22D22" w:rsidRPr="006B2F71" w:rsidRDefault="00D22D22" w:rsidP="0069571F">
            <w:pPr>
              <w:jc w:val="center"/>
              <w:rPr>
                <w:rFonts w:cs="Calibri"/>
                <w:color w:val="000000"/>
              </w:rPr>
            </w:pPr>
            <w:r>
              <w:rPr>
                <w:rFonts w:cs="Calibri"/>
                <w:color w:val="000000"/>
              </w:rPr>
              <w:t>5%</w:t>
            </w:r>
          </w:p>
        </w:tc>
      </w:tr>
    </w:tbl>
    <w:p w14:paraId="3A4BDC0F" w14:textId="77777777" w:rsidR="00D22D22" w:rsidRDefault="00D22D22" w:rsidP="00A26B3B">
      <w:pPr>
        <w:pStyle w:val="Bodytextwithparaspace"/>
        <w:spacing w:after="0"/>
      </w:pPr>
    </w:p>
    <w:p w14:paraId="0B45FED9" w14:textId="3B601EC3" w:rsidR="00D22D22" w:rsidRDefault="00D22D22" w:rsidP="00D22D22">
      <w:pPr>
        <w:pStyle w:val="Caption"/>
        <w:keepNext/>
      </w:pPr>
      <w:bookmarkStart w:id="98" w:name="_Ref38439966"/>
      <w:r>
        <w:t xml:space="preserve">Table </w:t>
      </w:r>
      <w:r>
        <w:rPr>
          <w:noProof/>
        </w:rPr>
        <w:fldChar w:fldCharType="begin"/>
      </w:r>
      <w:r>
        <w:rPr>
          <w:noProof/>
        </w:rPr>
        <w:instrText xml:space="preserve"> SEQ Table \* ARABIC </w:instrText>
      </w:r>
      <w:r>
        <w:rPr>
          <w:noProof/>
        </w:rPr>
        <w:fldChar w:fldCharType="separate"/>
      </w:r>
      <w:r w:rsidR="00784DE2">
        <w:rPr>
          <w:noProof/>
        </w:rPr>
        <w:t>8</w:t>
      </w:r>
      <w:r>
        <w:rPr>
          <w:noProof/>
        </w:rPr>
        <w:fldChar w:fldCharType="end"/>
      </w:r>
      <w:bookmarkEnd w:id="98"/>
      <w:r>
        <w:t xml:space="preserve"> – GM - growth in prostheses benefits</w:t>
      </w:r>
    </w:p>
    <w:tbl>
      <w:tblPr>
        <w:tblStyle w:val="TableGrid"/>
        <w:tblW w:w="0" w:type="auto"/>
        <w:tblLook w:val="04A0" w:firstRow="1" w:lastRow="0" w:firstColumn="1" w:lastColumn="0" w:noHBand="0" w:noVBand="1"/>
        <w:tblCaption w:val="Table 8 - GM growth in prostheses benefits"/>
        <w:tblDescription w:val="This table describes the growth in total prostheses benefits, with a compound annual growth rate between FY14 - FY19 of 10% across the General Miscellaneosu categories, 12% for the high priority items and -1% for the low priority items."/>
      </w:tblPr>
      <w:tblGrid>
        <w:gridCol w:w="2443"/>
        <w:gridCol w:w="760"/>
        <w:gridCol w:w="692"/>
        <w:gridCol w:w="692"/>
        <w:gridCol w:w="692"/>
        <w:gridCol w:w="760"/>
        <w:gridCol w:w="2220"/>
      </w:tblGrid>
      <w:tr w:rsidR="00D22D22" w:rsidRPr="006B2F71" w14:paraId="4902B8A2" w14:textId="77777777" w:rsidTr="00A37319">
        <w:trPr>
          <w:tblHeader/>
        </w:trPr>
        <w:tc>
          <w:tcPr>
            <w:tcW w:w="2443" w:type="dxa"/>
            <w:tcBorders>
              <w:top w:val="nil"/>
              <w:left w:val="nil"/>
            </w:tcBorders>
            <w:vAlign w:val="center"/>
          </w:tcPr>
          <w:p w14:paraId="174E84AE" w14:textId="77777777" w:rsidR="00D22D22" w:rsidRPr="006B2F71" w:rsidRDefault="00D22D22" w:rsidP="0069571F">
            <w:pPr>
              <w:rPr>
                <w:b/>
              </w:rPr>
            </w:pPr>
            <w:r>
              <w:rPr>
                <w:b/>
              </w:rPr>
              <w:t>Total Prostheses Benefits</w:t>
            </w:r>
          </w:p>
        </w:tc>
        <w:tc>
          <w:tcPr>
            <w:tcW w:w="3595" w:type="dxa"/>
            <w:gridSpan w:val="5"/>
            <w:shd w:val="clear" w:color="auto" w:fill="FFE600" w:themeFill="text2"/>
            <w:vAlign w:val="center"/>
          </w:tcPr>
          <w:p w14:paraId="3A44C361" w14:textId="77777777" w:rsidR="00D22D22" w:rsidRDefault="00D22D22" w:rsidP="00AF1D4E">
            <w:pPr>
              <w:rPr>
                <w:rFonts w:cs="Calibri"/>
                <w:b/>
                <w:color w:val="000000"/>
              </w:rPr>
            </w:pPr>
            <w:r>
              <w:rPr>
                <w:rFonts w:cs="Calibri"/>
                <w:b/>
                <w:color w:val="000000"/>
              </w:rPr>
              <w:t>Annual growth rates</w:t>
            </w:r>
          </w:p>
          <w:p w14:paraId="7B08349B" w14:textId="77777777" w:rsidR="00D22D22" w:rsidRPr="006B2F71" w:rsidRDefault="00D22D22" w:rsidP="00AF1D4E">
            <w:pPr>
              <w:rPr>
                <w:rFonts w:cs="Calibri"/>
                <w:b/>
                <w:color w:val="000000"/>
              </w:rPr>
            </w:pPr>
            <w:r>
              <w:rPr>
                <w:rFonts w:cs="Calibri"/>
                <w:b/>
                <w:color w:val="000000"/>
              </w:rPr>
              <w:t>(over previous year)</w:t>
            </w:r>
          </w:p>
        </w:tc>
        <w:tc>
          <w:tcPr>
            <w:tcW w:w="2220" w:type="dxa"/>
            <w:shd w:val="clear" w:color="auto" w:fill="FFE600" w:themeFill="text2"/>
            <w:vAlign w:val="center"/>
          </w:tcPr>
          <w:p w14:paraId="04D70C62" w14:textId="77777777" w:rsidR="00D22D22" w:rsidRPr="006B2F71" w:rsidRDefault="00D22D22" w:rsidP="00AF1D4E">
            <w:pPr>
              <w:rPr>
                <w:rFonts w:cs="Calibri"/>
                <w:b/>
                <w:color w:val="000000"/>
              </w:rPr>
            </w:pPr>
            <w:r w:rsidRPr="006B2F71">
              <w:rPr>
                <w:rFonts w:cs="Calibri"/>
                <w:b/>
                <w:color w:val="000000"/>
              </w:rPr>
              <w:t>Compound Annual Growth Rate (CAGR)</w:t>
            </w:r>
          </w:p>
        </w:tc>
      </w:tr>
      <w:tr w:rsidR="00D22D22" w:rsidRPr="006B2F71" w14:paraId="54BC9D63" w14:textId="77777777" w:rsidTr="00463B2D">
        <w:tc>
          <w:tcPr>
            <w:tcW w:w="2443" w:type="dxa"/>
            <w:shd w:val="clear" w:color="auto" w:fill="D2D2DA" w:themeFill="text1" w:themeFillTint="33"/>
          </w:tcPr>
          <w:p w14:paraId="0871FF10" w14:textId="77777777" w:rsidR="00D22D22" w:rsidRPr="00AF1D4E" w:rsidRDefault="00D22D22" w:rsidP="0069571F">
            <w:pPr>
              <w:rPr>
                <w:b/>
              </w:rPr>
            </w:pPr>
            <w:r w:rsidRPr="00AF1D4E">
              <w:rPr>
                <w:b/>
              </w:rPr>
              <w:t>Year</w:t>
            </w:r>
          </w:p>
        </w:tc>
        <w:tc>
          <w:tcPr>
            <w:tcW w:w="719" w:type="dxa"/>
            <w:shd w:val="clear" w:color="auto" w:fill="D2D2DA" w:themeFill="text1" w:themeFillTint="33"/>
          </w:tcPr>
          <w:p w14:paraId="1852C4FC" w14:textId="77777777" w:rsidR="00D22D22" w:rsidRPr="00AF1D4E" w:rsidRDefault="00D22D22" w:rsidP="0069571F">
            <w:pPr>
              <w:jc w:val="center"/>
              <w:rPr>
                <w:rFonts w:cs="Calibri"/>
                <w:b/>
              </w:rPr>
            </w:pPr>
            <w:r w:rsidRPr="00AF1D4E">
              <w:rPr>
                <w:rFonts w:cs="Calibri"/>
                <w:b/>
              </w:rPr>
              <w:t>FY15</w:t>
            </w:r>
          </w:p>
        </w:tc>
        <w:tc>
          <w:tcPr>
            <w:tcW w:w="0" w:type="auto"/>
            <w:shd w:val="clear" w:color="auto" w:fill="D2D2DA" w:themeFill="text1" w:themeFillTint="33"/>
          </w:tcPr>
          <w:p w14:paraId="3A5BA58E" w14:textId="77777777" w:rsidR="00D22D22" w:rsidRPr="00AF1D4E" w:rsidRDefault="00D22D22" w:rsidP="0069571F">
            <w:pPr>
              <w:jc w:val="center"/>
              <w:rPr>
                <w:rFonts w:cs="Calibri"/>
                <w:b/>
              </w:rPr>
            </w:pPr>
            <w:r w:rsidRPr="00AF1D4E">
              <w:rPr>
                <w:rFonts w:cs="Calibri"/>
                <w:b/>
              </w:rPr>
              <w:t>FY16</w:t>
            </w:r>
          </w:p>
        </w:tc>
        <w:tc>
          <w:tcPr>
            <w:tcW w:w="0" w:type="auto"/>
            <w:shd w:val="clear" w:color="auto" w:fill="D2D2DA" w:themeFill="text1" w:themeFillTint="33"/>
          </w:tcPr>
          <w:p w14:paraId="68EB004A" w14:textId="77777777" w:rsidR="00D22D22" w:rsidRPr="00AF1D4E" w:rsidRDefault="00D22D22" w:rsidP="0069571F">
            <w:pPr>
              <w:jc w:val="center"/>
              <w:rPr>
                <w:rFonts w:cs="Calibri"/>
                <w:b/>
              </w:rPr>
            </w:pPr>
            <w:r w:rsidRPr="00AF1D4E">
              <w:rPr>
                <w:rFonts w:cs="Calibri"/>
                <w:b/>
              </w:rPr>
              <w:t>FY17</w:t>
            </w:r>
          </w:p>
        </w:tc>
        <w:tc>
          <w:tcPr>
            <w:tcW w:w="0" w:type="auto"/>
            <w:shd w:val="clear" w:color="auto" w:fill="D2D2DA" w:themeFill="text1" w:themeFillTint="33"/>
          </w:tcPr>
          <w:p w14:paraId="1A771092" w14:textId="77777777" w:rsidR="00D22D22" w:rsidRPr="00AF1D4E" w:rsidRDefault="00D22D22" w:rsidP="0069571F">
            <w:pPr>
              <w:jc w:val="center"/>
              <w:rPr>
                <w:rFonts w:cs="Calibri"/>
                <w:b/>
              </w:rPr>
            </w:pPr>
            <w:r w:rsidRPr="00AF1D4E">
              <w:rPr>
                <w:rFonts w:cs="Calibri"/>
                <w:b/>
              </w:rPr>
              <w:t>FY18</w:t>
            </w:r>
          </w:p>
        </w:tc>
        <w:tc>
          <w:tcPr>
            <w:tcW w:w="719" w:type="dxa"/>
            <w:shd w:val="clear" w:color="auto" w:fill="D2D2DA" w:themeFill="text1" w:themeFillTint="33"/>
          </w:tcPr>
          <w:p w14:paraId="64C363EA" w14:textId="77777777" w:rsidR="00D22D22" w:rsidRPr="00AF1D4E" w:rsidRDefault="00D22D22" w:rsidP="0069571F">
            <w:pPr>
              <w:jc w:val="center"/>
              <w:rPr>
                <w:rFonts w:cs="Calibri"/>
                <w:b/>
              </w:rPr>
            </w:pPr>
            <w:r w:rsidRPr="00AF1D4E">
              <w:rPr>
                <w:rFonts w:cs="Calibri"/>
                <w:b/>
              </w:rPr>
              <w:t>FY19</w:t>
            </w:r>
          </w:p>
        </w:tc>
        <w:tc>
          <w:tcPr>
            <w:tcW w:w="2220" w:type="dxa"/>
            <w:shd w:val="clear" w:color="auto" w:fill="D2D2DA" w:themeFill="text1" w:themeFillTint="33"/>
          </w:tcPr>
          <w:p w14:paraId="36DCEEA9" w14:textId="77777777" w:rsidR="00D22D22" w:rsidRPr="00AF1D4E" w:rsidRDefault="00D22D22" w:rsidP="0069571F">
            <w:pPr>
              <w:jc w:val="center"/>
              <w:rPr>
                <w:rFonts w:cs="Calibri"/>
              </w:rPr>
            </w:pPr>
            <w:r w:rsidRPr="00AF1D4E">
              <w:rPr>
                <w:rFonts w:cs="Calibri"/>
                <w:b/>
              </w:rPr>
              <w:t>FY14 – FY19</w:t>
            </w:r>
          </w:p>
        </w:tc>
      </w:tr>
      <w:tr w:rsidR="00D22D22" w:rsidRPr="006B2F71" w14:paraId="073A978A" w14:textId="77777777" w:rsidTr="0069571F">
        <w:tc>
          <w:tcPr>
            <w:tcW w:w="2443" w:type="dxa"/>
          </w:tcPr>
          <w:p w14:paraId="62EED08E" w14:textId="77777777" w:rsidR="00D22D22" w:rsidRPr="006B2F71" w:rsidRDefault="00F24211" w:rsidP="0069571F">
            <w:r>
              <w:t>GM</w:t>
            </w:r>
          </w:p>
        </w:tc>
        <w:tc>
          <w:tcPr>
            <w:tcW w:w="719" w:type="dxa"/>
            <w:vAlign w:val="bottom"/>
          </w:tcPr>
          <w:p w14:paraId="7EC3BF82" w14:textId="77777777" w:rsidR="00D22D22" w:rsidRPr="006B2F71" w:rsidRDefault="00D22D22" w:rsidP="0069571F">
            <w:pPr>
              <w:jc w:val="center"/>
            </w:pPr>
            <w:r>
              <w:rPr>
                <w:rFonts w:cs="Calibri"/>
                <w:color w:val="000000"/>
              </w:rPr>
              <w:t>16%</w:t>
            </w:r>
          </w:p>
        </w:tc>
        <w:tc>
          <w:tcPr>
            <w:tcW w:w="0" w:type="auto"/>
            <w:vAlign w:val="bottom"/>
          </w:tcPr>
          <w:p w14:paraId="3696DBF5" w14:textId="77777777" w:rsidR="00D22D22" w:rsidRPr="006B2F71" w:rsidRDefault="00D22D22" w:rsidP="0069571F">
            <w:pPr>
              <w:jc w:val="center"/>
            </w:pPr>
            <w:r>
              <w:rPr>
                <w:rFonts w:cs="Calibri"/>
                <w:color w:val="000000"/>
              </w:rPr>
              <w:t>9%</w:t>
            </w:r>
          </w:p>
        </w:tc>
        <w:tc>
          <w:tcPr>
            <w:tcW w:w="0" w:type="auto"/>
            <w:vAlign w:val="bottom"/>
          </w:tcPr>
          <w:p w14:paraId="5481180D" w14:textId="77777777" w:rsidR="00D22D22" w:rsidRPr="006B2F71" w:rsidRDefault="00D22D22" w:rsidP="0069571F">
            <w:pPr>
              <w:jc w:val="center"/>
            </w:pPr>
            <w:r>
              <w:rPr>
                <w:rFonts w:cs="Calibri"/>
                <w:color w:val="000000"/>
              </w:rPr>
              <w:t>14%</w:t>
            </w:r>
          </w:p>
        </w:tc>
        <w:tc>
          <w:tcPr>
            <w:tcW w:w="0" w:type="auto"/>
            <w:vAlign w:val="bottom"/>
          </w:tcPr>
          <w:p w14:paraId="77848096" w14:textId="77777777" w:rsidR="00D22D22" w:rsidRPr="006B2F71" w:rsidRDefault="00D22D22" w:rsidP="0069571F">
            <w:pPr>
              <w:jc w:val="center"/>
            </w:pPr>
            <w:r>
              <w:rPr>
                <w:rFonts w:cs="Calibri"/>
                <w:color w:val="000000"/>
              </w:rPr>
              <w:t>7%</w:t>
            </w:r>
          </w:p>
        </w:tc>
        <w:tc>
          <w:tcPr>
            <w:tcW w:w="719" w:type="dxa"/>
            <w:vAlign w:val="bottom"/>
          </w:tcPr>
          <w:p w14:paraId="314600D7" w14:textId="77777777" w:rsidR="00D22D22" w:rsidRPr="006B2F71" w:rsidRDefault="00D22D22" w:rsidP="0069571F">
            <w:pPr>
              <w:jc w:val="center"/>
            </w:pPr>
            <w:r>
              <w:rPr>
                <w:rFonts w:cs="Calibri"/>
                <w:color w:val="000000"/>
              </w:rPr>
              <w:t>4%</w:t>
            </w:r>
          </w:p>
        </w:tc>
        <w:tc>
          <w:tcPr>
            <w:tcW w:w="2220" w:type="dxa"/>
            <w:vAlign w:val="bottom"/>
          </w:tcPr>
          <w:p w14:paraId="659B05CE" w14:textId="77777777" w:rsidR="00D22D22" w:rsidRPr="006B2F71" w:rsidRDefault="00D22D22" w:rsidP="0069571F">
            <w:pPr>
              <w:jc w:val="center"/>
              <w:rPr>
                <w:rFonts w:cs="Calibri"/>
                <w:color w:val="000000"/>
              </w:rPr>
            </w:pPr>
            <w:r>
              <w:rPr>
                <w:rFonts w:cs="Calibri"/>
                <w:color w:val="000000"/>
              </w:rPr>
              <w:t>10%</w:t>
            </w:r>
          </w:p>
        </w:tc>
      </w:tr>
      <w:tr w:rsidR="00D22D22" w:rsidRPr="006B2F71" w14:paraId="5A18E8A3" w14:textId="77777777" w:rsidTr="0069571F">
        <w:tc>
          <w:tcPr>
            <w:tcW w:w="2443" w:type="dxa"/>
          </w:tcPr>
          <w:p w14:paraId="6DD44B97" w14:textId="77777777" w:rsidR="00D22D22" w:rsidRPr="006B2F71" w:rsidRDefault="00D22D22" w:rsidP="0069571F">
            <w:pPr>
              <w:ind w:left="113"/>
            </w:pPr>
            <w:r>
              <w:t>‘High’ priority</w:t>
            </w:r>
          </w:p>
        </w:tc>
        <w:tc>
          <w:tcPr>
            <w:tcW w:w="719" w:type="dxa"/>
            <w:vAlign w:val="bottom"/>
          </w:tcPr>
          <w:p w14:paraId="0464E47C" w14:textId="77777777" w:rsidR="00D22D22" w:rsidRPr="006B2F71" w:rsidRDefault="00D22D22" w:rsidP="0069571F">
            <w:pPr>
              <w:jc w:val="center"/>
              <w:rPr>
                <w:rFonts w:cs="Calibri"/>
                <w:color w:val="000000"/>
              </w:rPr>
            </w:pPr>
            <w:r>
              <w:rPr>
                <w:rFonts w:cs="Calibri"/>
                <w:color w:val="000000"/>
              </w:rPr>
              <w:t>21%</w:t>
            </w:r>
          </w:p>
        </w:tc>
        <w:tc>
          <w:tcPr>
            <w:tcW w:w="0" w:type="auto"/>
            <w:vAlign w:val="bottom"/>
          </w:tcPr>
          <w:p w14:paraId="2D9E09A4" w14:textId="77777777" w:rsidR="00D22D22" w:rsidRPr="006B2F71" w:rsidRDefault="00D22D22" w:rsidP="0069571F">
            <w:pPr>
              <w:jc w:val="center"/>
              <w:rPr>
                <w:rFonts w:cs="Calibri"/>
                <w:color w:val="000000"/>
              </w:rPr>
            </w:pPr>
            <w:r>
              <w:rPr>
                <w:rFonts w:cs="Calibri"/>
                <w:color w:val="000000"/>
              </w:rPr>
              <w:t>11%</w:t>
            </w:r>
          </w:p>
        </w:tc>
        <w:tc>
          <w:tcPr>
            <w:tcW w:w="0" w:type="auto"/>
            <w:vAlign w:val="bottom"/>
          </w:tcPr>
          <w:p w14:paraId="22E4B2F2" w14:textId="77777777" w:rsidR="00D22D22" w:rsidRPr="006B2F71" w:rsidRDefault="00D22D22" w:rsidP="0069571F">
            <w:pPr>
              <w:jc w:val="center"/>
              <w:rPr>
                <w:rFonts w:cs="Calibri"/>
                <w:color w:val="000000"/>
              </w:rPr>
            </w:pPr>
            <w:r>
              <w:rPr>
                <w:rFonts w:cs="Calibri"/>
                <w:color w:val="000000"/>
              </w:rPr>
              <w:t>16%</w:t>
            </w:r>
          </w:p>
        </w:tc>
        <w:tc>
          <w:tcPr>
            <w:tcW w:w="0" w:type="auto"/>
            <w:vAlign w:val="bottom"/>
          </w:tcPr>
          <w:p w14:paraId="3AB1A3A3" w14:textId="77777777" w:rsidR="00D22D22" w:rsidRPr="006B2F71" w:rsidRDefault="00D22D22" w:rsidP="0069571F">
            <w:pPr>
              <w:jc w:val="center"/>
              <w:rPr>
                <w:rFonts w:cs="Calibri"/>
                <w:color w:val="000000"/>
              </w:rPr>
            </w:pPr>
            <w:r>
              <w:rPr>
                <w:rFonts w:cs="Calibri"/>
                <w:color w:val="000000"/>
              </w:rPr>
              <w:t>9%</w:t>
            </w:r>
          </w:p>
        </w:tc>
        <w:tc>
          <w:tcPr>
            <w:tcW w:w="719" w:type="dxa"/>
            <w:vAlign w:val="bottom"/>
          </w:tcPr>
          <w:p w14:paraId="4BDF871F" w14:textId="77777777" w:rsidR="00D22D22" w:rsidRPr="006B2F71" w:rsidRDefault="00D22D22" w:rsidP="0069571F">
            <w:pPr>
              <w:jc w:val="center"/>
              <w:rPr>
                <w:rFonts w:cs="Calibri"/>
                <w:color w:val="000000"/>
              </w:rPr>
            </w:pPr>
            <w:r>
              <w:rPr>
                <w:rFonts w:cs="Calibri"/>
                <w:color w:val="000000"/>
              </w:rPr>
              <w:t>6%</w:t>
            </w:r>
          </w:p>
        </w:tc>
        <w:tc>
          <w:tcPr>
            <w:tcW w:w="2220" w:type="dxa"/>
            <w:vAlign w:val="bottom"/>
          </w:tcPr>
          <w:p w14:paraId="594F811C" w14:textId="77777777" w:rsidR="00D22D22" w:rsidRPr="006B2F71" w:rsidRDefault="00D22D22" w:rsidP="0069571F">
            <w:pPr>
              <w:jc w:val="center"/>
              <w:rPr>
                <w:rFonts w:cs="Calibri"/>
                <w:color w:val="000000"/>
              </w:rPr>
            </w:pPr>
            <w:r>
              <w:rPr>
                <w:rFonts w:cs="Calibri"/>
                <w:color w:val="000000"/>
              </w:rPr>
              <w:t>12%</w:t>
            </w:r>
          </w:p>
        </w:tc>
      </w:tr>
      <w:tr w:rsidR="00D22D22" w:rsidRPr="006B2F71" w14:paraId="6FD0C436" w14:textId="77777777" w:rsidTr="0069571F">
        <w:tc>
          <w:tcPr>
            <w:tcW w:w="2443" w:type="dxa"/>
          </w:tcPr>
          <w:p w14:paraId="08A18A69" w14:textId="77777777" w:rsidR="00D22D22" w:rsidRPr="006B2F71" w:rsidRDefault="00D22D22" w:rsidP="0069571F">
            <w:pPr>
              <w:ind w:left="113"/>
            </w:pPr>
            <w:r>
              <w:t>‘Low’ priority</w:t>
            </w:r>
          </w:p>
        </w:tc>
        <w:tc>
          <w:tcPr>
            <w:tcW w:w="719" w:type="dxa"/>
            <w:vAlign w:val="bottom"/>
          </w:tcPr>
          <w:p w14:paraId="3847A5C7" w14:textId="77777777" w:rsidR="00D22D22" w:rsidRPr="006B2F71" w:rsidRDefault="00D22D22" w:rsidP="0069571F">
            <w:pPr>
              <w:jc w:val="center"/>
              <w:rPr>
                <w:rFonts w:cs="Calibri"/>
                <w:color w:val="000000"/>
              </w:rPr>
            </w:pPr>
            <w:r>
              <w:rPr>
                <w:rFonts w:cs="Calibri"/>
                <w:color w:val="000000"/>
              </w:rPr>
              <w:t>-1%</w:t>
            </w:r>
          </w:p>
        </w:tc>
        <w:tc>
          <w:tcPr>
            <w:tcW w:w="0" w:type="auto"/>
            <w:vAlign w:val="bottom"/>
          </w:tcPr>
          <w:p w14:paraId="2FAF8FA5" w14:textId="77777777" w:rsidR="00D22D22" w:rsidRPr="006B2F71" w:rsidRDefault="00D22D22" w:rsidP="0069571F">
            <w:pPr>
              <w:jc w:val="center"/>
              <w:rPr>
                <w:rFonts w:cs="Calibri"/>
                <w:color w:val="000000"/>
              </w:rPr>
            </w:pPr>
            <w:r>
              <w:rPr>
                <w:rFonts w:cs="Calibri"/>
                <w:color w:val="000000"/>
              </w:rPr>
              <w:t>-1%</w:t>
            </w:r>
          </w:p>
        </w:tc>
        <w:tc>
          <w:tcPr>
            <w:tcW w:w="0" w:type="auto"/>
            <w:vAlign w:val="bottom"/>
          </w:tcPr>
          <w:p w14:paraId="7D268A4C" w14:textId="77777777" w:rsidR="00D22D22" w:rsidRPr="006B2F71" w:rsidRDefault="00D22D22" w:rsidP="0069571F">
            <w:pPr>
              <w:jc w:val="center"/>
              <w:rPr>
                <w:rFonts w:cs="Calibri"/>
                <w:color w:val="000000"/>
              </w:rPr>
            </w:pPr>
            <w:r>
              <w:rPr>
                <w:rFonts w:cs="Calibri"/>
                <w:color w:val="000000"/>
              </w:rPr>
              <w:t>3%</w:t>
            </w:r>
          </w:p>
        </w:tc>
        <w:tc>
          <w:tcPr>
            <w:tcW w:w="0" w:type="auto"/>
            <w:vAlign w:val="bottom"/>
          </w:tcPr>
          <w:p w14:paraId="4A949240" w14:textId="77777777" w:rsidR="00D22D22" w:rsidRPr="006B2F71" w:rsidRDefault="00D22D22" w:rsidP="0069571F">
            <w:pPr>
              <w:jc w:val="center"/>
              <w:rPr>
                <w:rFonts w:cs="Calibri"/>
                <w:color w:val="000000"/>
              </w:rPr>
            </w:pPr>
            <w:r>
              <w:rPr>
                <w:rFonts w:cs="Calibri"/>
                <w:color w:val="000000"/>
              </w:rPr>
              <w:t>-2%</w:t>
            </w:r>
          </w:p>
        </w:tc>
        <w:tc>
          <w:tcPr>
            <w:tcW w:w="719" w:type="dxa"/>
            <w:vAlign w:val="bottom"/>
          </w:tcPr>
          <w:p w14:paraId="40BB78D7" w14:textId="77777777" w:rsidR="00D22D22" w:rsidRPr="006B2F71" w:rsidRDefault="00D22D22" w:rsidP="0069571F">
            <w:pPr>
              <w:jc w:val="center"/>
              <w:rPr>
                <w:rFonts w:cs="Calibri"/>
                <w:color w:val="000000"/>
              </w:rPr>
            </w:pPr>
            <w:r>
              <w:rPr>
                <w:rFonts w:cs="Calibri"/>
                <w:color w:val="000000"/>
              </w:rPr>
              <w:t>-6%</w:t>
            </w:r>
          </w:p>
        </w:tc>
        <w:tc>
          <w:tcPr>
            <w:tcW w:w="2220" w:type="dxa"/>
            <w:vAlign w:val="bottom"/>
          </w:tcPr>
          <w:p w14:paraId="7317B6E7" w14:textId="77777777" w:rsidR="00D22D22" w:rsidRPr="006B2F71" w:rsidRDefault="00D22D22" w:rsidP="0069571F">
            <w:pPr>
              <w:jc w:val="center"/>
              <w:rPr>
                <w:rFonts w:cs="Calibri"/>
                <w:color w:val="000000"/>
              </w:rPr>
            </w:pPr>
            <w:r>
              <w:rPr>
                <w:rFonts w:cs="Calibri"/>
                <w:color w:val="000000"/>
              </w:rPr>
              <w:t>-1%</w:t>
            </w:r>
          </w:p>
        </w:tc>
      </w:tr>
    </w:tbl>
    <w:p w14:paraId="3704350B" w14:textId="77777777" w:rsidR="00D22D22" w:rsidRPr="004D3EBE" w:rsidRDefault="00D22D22" w:rsidP="00A26B3B">
      <w:pPr>
        <w:pStyle w:val="Bodytextwithparaspace"/>
        <w:spacing w:after="0"/>
      </w:pPr>
    </w:p>
    <w:p w14:paraId="3773B05A" w14:textId="7FA144A0" w:rsidR="00D22D22" w:rsidRDefault="00D22D22" w:rsidP="00D22D22">
      <w:pPr>
        <w:pStyle w:val="Bodytextwithparaspace"/>
      </w:pPr>
      <w:r>
        <w:t xml:space="preserve">It is evident that the ‘High’ priority items </w:t>
      </w:r>
      <w:r w:rsidR="0046054D">
        <w:t xml:space="preserve">made </w:t>
      </w:r>
      <w:r>
        <w:t>up the majority of all items and benefits paid for the GM category, comprising 96% and 89%</w:t>
      </w:r>
      <w:r w:rsidR="004D79BE">
        <w:t>,</w:t>
      </w:r>
      <w:r>
        <w:t xml:space="preserve"> respectively. It is </w:t>
      </w:r>
      <w:r w:rsidR="004D3324">
        <w:t xml:space="preserve">also </w:t>
      </w:r>
      <w:r>
        <w:t xml:space="preserve">noted </w:t>
      </w:r>
      <w:r w:rsidR="004D79BE">
        <w:t>that</w:t>
      </w:r>
      <w:r>
        <w:t xml:space="preserve"> the ‘Low’ priority items experienced significantly lower growth in items each year than the ‘High’ priority group, with an overall decrease in benefits seen most years.</w:t>
      </w:r>
      <w:r w:rsidR="00DD74BB">
        <w:t xml:space="preserve"> </w:t>
      </w:r>
      <w:r w:rsidR="00BD683D">
        <w:t xml:space="preserve">This suggests there would be little </w:t>
      </w:r>
      <w:r w:rsidR="006479A6">
        <w:t>additional benefit</w:t>
      </w:r>
      <w:r w:rsidR="00BD683D">
        <w:t xml:space="preserve"> </w:t>
      </w:r>
      <w:r w:rsidR="006C0B55">
        <w:t xml:space="preserve">from a further review into the ‘Low’ priority </w:t>
      </w:r>
      <w:r w:rsidR="006479A6">
        <w:t xml:space="preserve">GM </w:t>
      </w:r>
      <w:r w:rsidR="006C0B55">
        <w:t>items.</w:t>
      </w:r>
    </w:p>
    <w:p w14:paraId="6C413FDD" w14:textId="0791FB23" w:rsidR="00D22D22" w:rsidRDefault="00D22D22" w:rsidP="00D22D22">
      <w:pPr>
        <w:pStyle w:val="Bodytextwithparaspace"/>
      </w:pPr>
      <w:r>
        <w:t xml:space="preserve">Within the ‘High’ priority GM items there are 19 product groups, 4 of which (Staples &amp; Tackers, Internal Adhesives, Matrix and Ligating Devices, highlighted in </w:t>
      </w:r>
      <w:r w:rsidR="00DD74BB" w:rsidRPr="00463B2D">
        <w:rPr>
          <w:color w:val="FFFFFF" w:themeColor="background1"/>
          <w:shd w:val="clear" w:color="auto" w:fill="E1362C"/>
        </w:rPr>
        <w:t>red</w:t>
      </w:r>
      <w:r w:rsidR="00DD74BB" w:rsidRPr="00463B2D">
        <w:rPr>
          <w:color w:val="FFFFFF" w:themeColor="background1"/>
        </w:rPr>
        <w:t xml:space="preserve"> </w:t>
      </w:r>
      <w:r>
        <w:fldChar w:fldCharType="begin"/>
      </w:r>
      <w:r>
        <w:instrText xml:space="preserve"> REF _Ref38378256 \p \h </w:instrText>
      </w:r>
      <w:r>
        <w:fldChar w:fldCharType="separate"/>
      </w:r>
      <w:r w:rsidR="00784DE2">
        <w:t>below</w:t>
      </w:r>
      <w:r>
        <w:fldChar w:fldCharType="end"/>
      </w:r>
      <w:r>
        <w:t xml:space="preserve">) </w:t>
      </w:r>
      <w:r w:rsidR="00A626BB">
        <w:t>made</w:t>
      </w:r>
      <w:r>
        <w:t xml:space="preserve"> up 88% of all benefits paid in FY19 in respect of the ‘High’ priority GM items</w:t>
      </w:r>
      <w:r w:rsidR="00A626BB">
        <w:t xml:space="preserve"> and 93% of the growth in benefits from FY14 through FY19</w:t>
      </w:r>
      <w:r>
        <w:t xml:space="preserve">. </w:t>
      </w:r>
      <w:r w:rsidR="00A626BB">
        <w:t>T</w:t>
      </w:r>
      <w:r>
        <w:t>he fourth largest group, ’03.08.03 – Ligating Devices’, contributed more total benefits than the remaining 15 groups combined</w:t>
      </w:r>
      <w:r w:rsidR="006344A6">
        <w:t xml:space="preserve"> in FY19</w:t>
      </w:r>
      <w:r>
        <w:t xml:space="preserve">. Total benefits by product group for the ‘High’ priority GM grouping is summarised in </w:t>
      </w:r>
      <w:r>
        <w:fldChar w:fldCharType="begin"/>
      </w:r>
      <w:r>
        <w:instrText xml:space="preserve"> REF _Ref38378253 \h </w:instrText>
      </w:r>
      <w:r>
        <w:fldChar w:fldCharType="separate"/>
      </w:r>
      <w:r w:rsidR="00784DE2">
        <w:t xml:space="preserve">Table </w:t>
      </w:r>
      <w:r w:rsidR="00784DE2">
        <w:rPr>
          <w:noProof/>
        </w:rPr>
        <w:t>9</w:t>
      </w:r>
      <w:r>
        <w:fldChar w:fldCharType="end"/>
      </w:r>
      <w:r>
        <w:t xml:space="preserve"> </w:t>
      </w:r>
      <w:r>
        <w:fldChar w:fldCharType="begin"/>
      </w:r>
      <w:r>
        <w:instrText xml:space="preserve"> REF _Ref38378256 \p \h </w:instrText>
      </w:r>
      <w:r>
        <w:fldChar w:fldCharType="separate"/>
      </w:r>
      <w:r w:rsidR="00784DE2">
        <w:t>below</w:t>
      </w:r>
      <w:r>
        <w:fldChar w:fldCharType="end"/>
      </w:r>
      <w:r w:rsidR="005D104A">
        <w:t>, including the CAGR observed over the FY14 – FY19 period</w:t>
      </w:r>
      <w:r>
        <w:t>.</w:t>
      </w:r>
      <w:r w:rsidR="005D104A">
        <w:t xml:space="preserve"> </w:t>
      </w:r>
    </w:p>
    <w:p w14:paraId="1E3BF2F4" w14:textId="4D5CC433" w:rsidR="00DD74BB" w:rsidRDefault="00B44875" w:rsidP="00D22D22">
      <w:pPr>
        <w:pStyle w:val="Bodytextwithparaspace"/>
      </w:pPr>
      <w:r>
        <w:fldChar w:fldCharType="begin"/>
      </w:r>
      <w:r>
        <w:instrText xml:space="preserve"> REF _Ref38378253 \h </w:instrText>
      </w:r>
      <w:r>
        <w:fldChar w:fldCharType="separate"/>
      </w:r>
      <w:r w:rsidR="00784DE2">
        <w:t xml:space="preserve">Table </w:t>
      </w:r>
      <w:r w:rsidR="00784DE2">
        <w:rPr>
          <w:noProof/>
        </w:rPr>
        <w:t>9</w:t>
      </w:r>
      <w:r>
        <w:fldChar w:fldCharType="end"/>
      </w:r>
      <w:r>
        <w:t xml:space="preserve"> </w:t>
      </w:r>
      <w:r>
        <w:fldChar w:fldCharType="begin"/>
      </w:r>
      <w:r>
        <w:instrText xml:space="preserve"> REF _Ref38378256 \p \h </w:instrText>
      </w:r>
      <w:r>
        <w:fldChar w:fldCharType="separate"/>
      </w:r>
      <w:r w:rsidR="00784DE2">
        <w:t>below</w:t>
      </w:r>
      <w:r>
        <w:fldChar w:fldCharType="end"/>
      </w:r>
      <w:r w:rsidR="00014336">
        <w:t xml:space="preserve"> shows the compound annual growth rates for each of these product groups over the period from the end of FY14 through to the end of FY19, summarising the rate at which benefits increased each year on average </w:t>
      </w:r>
      <w:r w:rsidR="00E0189F">
        <w:t xml:space="preserve">above and beyond the previous year. An adjusted version of this rate is also shown, accounting for the simultaneous growth in the underlying number of separations over the same time period. </w:t>
      </w:r>
      <w:r w:rsidR="001739DF">
        <w:t>This adjusted rate therefore reflects the</w:t>
      </w:r>
      <w:r w:rsidR="003F5300">
        <w:t xml:space="preserve"> rate of</w:t>
      </w:r>
      <w:r w:rsidR="001739DF">
        <w:t xml:space="preserve"> growth in the amount of benefits per separation over time</w:t>
      </w:r>
      <w:r w:rsidR="00DD50EA">
        <w:t>. This shows the ex</w:t>
      </w:r>
      <w:r w:rsidR="000E3CA8">
        <w:t xml:space="preserve">tent to which the amount of benefits </w:t>
      </w:r>
      <w:r w:rsidR="0046054D">
        <w:t xml:space="preserve">was </w:t>
      </w:r>
      <w:r w:rsidR="000E3CA8">
        <w:t xml:space="preserve">growing faster than </w:t>
      </w:r>
      <w:r w:rsidR="008404FE">
        <w:t>the number of separations</w:t>
      </w:r>
      <w:r>
        <w:t xml:space="preserve">. </w:t>
      </w:r>
    </w:p>
    <w:p w14:paraId="7CE4433E" w14:textId="083EA42F" w:rsidR="00D22D22" w:rsidRDefault="00D22D22" w:rsidP="00D22D22">
      <w:pPr>
        <w:pStyle w:val="Caption"/>
        <w:keepNext/>
      </w:pPr>
      <w:bookmarkStart w:id="99" w:name="_Ref38378253"/>
      <w:bookmarkStart w:id="100" w:name="_Ref38378256"/>
      <w:r>
        <w:t xml:space="preserve">Table </w:t>
      </w:r>
      <w:r w:rsidR="00FC6370">
        <w:fldChar w:fldCharType="begin"/>
      </w:r>
      <w:r w:rsidR="00FC6370">
        <w:instrText xml:space="preserve"> SEQ Table \* ARABIC </w:instrText>
      </w:r>
      <w:r w:rsidR="00FC6370">
        <w:fldChar w:fldCharType="separate"/>
      </w:r>
      <w:r w:rsidR="00784DE2">
        <w:rPr>
          <w:noProof/>
        </w:rPr>
        <w:t>9</w:t>
      </w:r>
      <w:r w:rsidR="00FC6370">
        <w:rPr>
          <w:noProof/>
        </w:rPr>
        <w:fldChar w:fldCharType="end"/>
      </w:r>
      <w:bookmarkEnd w:id="99"/>
      <w:r>
        <w:t xml:space="preserve"> – ‘High’ priority GM – Total PL benefits in FY19 by product group</w:t>
      </w:r>
      <w:bookmarkEnd w:id="100"/>
    </w:p>
    <w:tbl>
      <w:tblPr>
        <w:tblStyle w:val="TableGrid"/>
        <w:tblW w:w="0" w:type="auto"/>
        <w:tblBorders>
          <w:top w:val="single" w:sz="4" w:space="0" w:color="000000" w:themeColor="background2"/>
          <w:left w:val="single" w:sz="4" w:space="0" w:color="000000" w:themeColor="background2"/>
          <w:bottom w:val="single" w:sz="4" w:space="0" w:color="000000" w:themeColor="background2"/>
          <w:right w:val="single" w:sz="4" w:space="0" w:color="000000" w:themeColor="background2"/>
          <w:insideH w:val="single" w:sz="4" w:space="0" w:color="000000" w:themeColor="background2"/>
          <w:insideV w:val="single" w:sz="4" w:space="0" w:color="000000" w:themeColor="background2"/>
        </w:tblBorders>
        <w:tblLook w:val="04A0" w:firstRow="1" w:lastRow="0" w:firstColumn="1" w:lastColumn="0" w:noHBand="0" w:noVBand="1"/>
        <w:tblCaption w:val="Table 9 - High Priority GM - Total PL benefits in FY 19 by Product Group"/>
        <w:tblDescription w:val="This table provides total benefits paid in FY19 for the high priority items. Totals for the high priority items are:&#10;Total benefits paid in FY 19: $224 million&#10;CAGR FY15 - FY19 - 12%&#10;CAGR Adjusted for growth in the number of separations of 9%.&#10;Further details are provided for each of the individual high priority items."/>
      </w:tblPr>
      <w:tblGrid>
        <w:gridCol w:w="3058"/>
        <w:gridCol w:w="1601"/>
        <w:gridCol w:w="1956"/>
        <w:gridCol w:w="940"/>
        <w:gridCol w:w="1464"/>
      </w:tblGrid>
      <w:tr w:rsidR="00E5688F" w:rsidRPr="00677489" w14:paraId="64D3E763" w14:textId="77777777" w:rsidTr="00AF1D4E">
        <w:trPr>
          <w:tblHeader/>
        </w:trPr>
        <w:tc>
          <w:tcPr>
            <w:tcW w:w="0" w:type="auto"/>
            <w:shd w:val="clear" w:color="auto" w:fill="FFE600" w:themeFill="text2"/>
            <w:vAlign w:val="center"/>
          </w:tcPr>
          <w:p w14:paraId="5BF4A219" w14:textId="77777777" w:rsidR="009E4D99" w:rsidRPr="00AF1D4E" w:rsidRDefault="009E4D99" w:rsidP="0069571F">
            <w:pPr>
              <w:rPr>
                <w:b/>
              </w:rPr>
            </w:pPr>
            <w:r w:rsidRPr="00AF1D4E">
              <w:rPr>
                <w:b/>
              </w:rPr>
              <w:t>Product Group</w:t>
            </w:r>
          </w:p>
        </w:tc>
        <w:tc>
          <w:tcPr>
            <w:tcW w:w="0" w:type="auto"/>
            <w:shd w:val="clear" w:color="auto" w:fill="FFE600" w:themeFill="text2"/>
            <w:vAlign w:val="center"/>
          </w:tcPr>
          <w:p w14:paraId="52FB8D98" w14:textId="77777777" w:rsidR="009E4D99" w:rsidRPr="00AF1D4E" w:rsidRDefault="009E4D99" w:rsidP="00463B2D">
            <w:pPr>
              <w:jc w:val="center"/>
              <w:rPr>
                <w:rFonts w:cs="Calibri"/>
                <w:b/>
              </w:rPr>
            </w:pPr>
            <w:r w:rsidRPr="00AF1D4E">
              <w:rPr>
                <w:rFonts w:cs="Calibri"/>
                <w:b/>
              </w:rPr>
              <w:t>Total PL benefits FY19 ($m)</w:t>
            </w:r>
          </w:p>
        </w:tc>
        <w:tc>
          <w:tcPr>
            <w:tcW w:w="0" w:type="auto"/>
            <w:shd w:val="clear" w:color="auto" w:fill="FFE600" w:themeFill="text2"/>
            <w:vAlign w:val="center"/>
          </w:tcPr>
          <w:p w14:paraId="1773EB5E" w14:textId="77777777" w:rsidR="009E4D99" w:rsidRPr="00AF1D4E" w:rsidRDefault="009E4D99" w:rsidP="00463B2D">
            <w:pPr>
              <w:jc w:val="center"/>
              <w:rPr>
                <w:rFonts w:cs="Calibri"/>
                <w:b/>
              </w:rPr>
            </w:pPr>
            <w:r w:rsidRPr="00AF1D4E">
              <w:rPr>
                <w:rFonts w:cs="Calibri"/>
                <w:b/>
              </w:rPr>
              <w:t>Proportion of total ‘High’ priority</w:t>
            </w:r>
          </w:p>
          <w:p w14:paraId="5519453F" w14:textId="77777777" w:rsidR="009E4D99" w:rsidRPr="00AF1D4E" w:rsidRDefault="009E4D99" w:rsidP="00463B2D">
            <w:pPr>
              <w:jc w:val="center"/>
              <w:rPr>
                <w:rFonts w:cs="Calibri"/>
                <w:b/>
              </w:rPr>
            </w:pPr>
            <w:r w:rsidRPr="00AF1D4E">
              <w:rPr>
                <w:rFonts w:cs="Calibri"/>
                <w:b/>
              </w:rPr>
              <w:t>FY19</w:t>
            </w:r>
          </w:p>
        </w:tc>
        <w:tc>
          <w:tcPr>
            <w:tcW w:w="0" w:type="auto"/>
            <w:shd w:val="clear" w:color="auto" w:fill="FFE600" w:themeFill="text2"/>
            <w:vAlign w:val="center"/>
          </w:tcPr>
          <w:p w14:paraId="45826265" w14:textId="77777777" w:rsidR="009E4D99" w:rsidRPr="00AF1D4E" w:rsidRDefault="009E4D99" w:rsidP="00463B2D">
            <w:pPr>
              <w:jc w:val="center"/>
              <w:rPr>
                <w:rFonts w:cs="Calibri"/>
                <w:b/>
              </w:rPr>
            </w:pPr>
            <w:r w:rsidRPr="00AF1D4E">
              <w:rPr>
                <w:rFonts w:cs="Calibri"/>
                <w:b/>
              </w:rPr>
              <w:t>CAGR</w:t>
            </w:r>
          </w:p>
          <w:p w14:paraId="360594BC" w14:textId="77777777" w:rsidR="009E4D99" w:rsidRPr="00AF1D4E" w:rsidRDefault="009E4D99" w:rsidP="00463B2D">
            <w:pPr>
              <w:jc w:val="center"/>
              <w:rPr>
                <w:rFonts w:cs="Calibri"/>
                <w:b/>
              </w:rPr>
            </w:pPr>
            <w:r w:rsidRPr="00AF1D4E">
              <w:rPr>
                <w:rFonts w:cs="Calibri"/>
                <w:b/>
              </w:rPr>
              <w:t>FY14 – FY19</w:t>
            </w:r>
          </w:p>
        </w:tc>
        <w:tc>
          <w:tcPr>
            <w:tcW w:w="0" w:type="auto"/>
            <w:shd w:val="clear" w:color="auto" w:fill="FFE600" w:themeFill="text2"/>
            <w:vAlign w:val="center"/>
          </w:tcPr>
          <w:p w14:paraId="0F27B42F" w14:textId="77777777" w:rsidR="009E4D99" w:rsidRPr="00AF1D4E" w:rsidRDefault="009E4D99" w:rsidP="00463B2D">
            <w:pPr>
              <w:jc w:val="center"/>
              <w:rPr>
                <w:rFonts w:cs="Calibri"/>
                <w:b/>
              </w:rPr>
            </w:pPr>
            <w:r w:rsidRPr="00AF1D4E">
              <w:rPr>
                <w:rFonts w:cs="Calibri"/>
                <w:b/>
              </w:rPr>
              <w:t>CAGR (adjusted)^</w:t>
            </w:r>
          </w:p>
          <w:p w14:paraId="01383849" w14:textId="77777777" w:rsidR="009E4D99" w:rsidRPr="00AF1D4E" w:rsidRDefault="009E4D99" w:rsidP="00463B2D">
            <w:pPr>
              <w:jc w:val="center"/>
              <w:rPr>
                <w:rFonts w:cs="Calibri"/>
                <w:b/>
              </w:rPr>
            </w:pPr>
            <w:r w:rsidRPr="00AF1D4E">
              <w:rPr>
                <w:rFonts w:cs="Calibri"/>
                <w:b/>
              </w:rPr>
              <w:t>FY14 – FY19</w:t>
            </w:r>
          </w:p>
        </w:tc>
      </w:tr>
      <w:tr w:rsidR="00FB0770" w:rsidRPr="00677489" w14:paraId="1F972121" w14:textId="77777777" w:rsidTr="00A26B3B">
        <w:tc>
          <w:tcPr>
            <w:tcW w:w="0" w:type="auto"/>
            <w:shd w:val="clear" w:color="auto" w:fill="D2D2DA" w:themeFill="text1" w:themeFillTint="33"/>
            <w:vAlign w:val="bottom"/>
          </w:tcPr>
          <w:p w14:paraId="3060BAE0" w14:textId="77777777" w:rsidR="009E4D99" w:rsidRPr="00677489" w:rsidRDefault="009E4D99" w:rsidP="00B03526">
            <w:r w:rsidRPr="00677489">
              <w:rPr>
                <w:rFonts w:cs="Calibri"/>
                <w:color w:val="000000"/>
              </w:rPr>
              <w:t>03.02.01 - Infusion Ports</w:t>
            </w:r>
          </w:p>
        </w:tc>
        <w:tc>
          <w:tcPr>
            <w:tcW w:w="0" w:type="auto"/>
            <w:shd w:val="clear" w:color="auto" w:fill="D2D2DA" w:themeFill="text1" w:themeFillTint="33"/>
            <w:vAlign w:val="bottom"/>
          </w:tcPr>
          <w:p w14:paraId="09EDF6A0" w14:textId="77777777" w:rsidR="009E4D99" w:rsidRPr="00677489" w:rsidRDefault="009E4D99" w:rsidP="00463B2D">
            <w:pPr>
              <w:jc w:val="center"/>
              <w:rPr>
                <w:rFonts w:cs="Calibri"/>
                <w:color w:val="000000"/>
              </w:rPr>
            </w:pPr>
            <w:r w:rsidRPr="00A26B3B">
              <w:rPr>
                <w:rFonts w:cs="Calibri"/>
                <w:color w:val="000000"/>
              </w:rPr>
              <w:t>0.27</w:t>
            </w:r>
          </w:p>
        </w:tc>
        <w:tc>
          <w:tcPr>
            <w:tcW w:w="0" w:type="auto"/>
            <w:shd w:val="clear" w:color="auto" w:fill="D2D2DA" w:themeFill="text1" w:themeFillTint="33"/>
            <w:vAlign w:val="bottom"/>
          </w:tcPr>
          <w:p w14:paraId="091B0409" w14:textId="77777777" w:rsidR="009E4D99" w:rsidRPr="00677489" w:rsidRDefault="009E4D99" w:rsidP="00463B2D">
            <w:pPr>
              <w:jc w:val="center"/>
              <w:rPr>
                <w:rFonts w:cs="Calibri"/>
                <w:color w:val="000000"/>
              </w:rPr>
            </w:pPr>
            <w:r w:rsidRPr="00A26B3B">
              <w:rPr>
                <w:rFonts w:cs="Calibri"/>
                <w:color w:val="000000"/>
              </w:rPr>
              <w:t>0.1%</w:t>
            </w:r>
          </w:p>
        </w:tc>
        <w:tc>
          <w:tcPr>
            <w:tcW w:w="0" w:type="auto"/>
            <w:shd w:val="clear" w:color="auto" w:fill="D2D2DA" w:themeFill="text1" w:themeFillTint="33"/>
            <w:vAlign w:val="bottom"/>
          </w:tcPr>
          <w:p w14:paraId="6C7691AD" w14:textId="77777777" w:rsidR="009E4D99" w:rsidRPr="00677489" w:rsidRDefault="009E4D99" w:rsidP="00463B2D">
            <w:pPr>
              <w:jc w:val="center"/>
              <w:rPr>
                <w:rFonts w:cs="Calibri"/>
                <w:color w:val="000000"/>
              </w:rPr>
            </w:pPr>
            <w:r w:rsidRPr="00A26B3B">
              <w:rPr>
                <w:rFonts w:cs="Calibri"/>
                <w:color w:val="000000"/>
              </w:rPr>
              <w:t>13%</w:t>
            </w:r>
          </w:p>
        </w:tc>
        <w:tc>
          <w:tcPr>
            <w:tcW w:w="0" w:type="auto"/>
            <w:shd w:val="clear" w:color="auto" w:fill="D2D2DA" w:themeFill="text1" w:themeFillTint="33"/>
            <w:vAlign w:val="bottom"/>
          </w:tcPr>
          <w:p w14:paraId="1BBF93D5" w14:textId="77777777" w:rsidR="009E4D99" w:rsidRPr="00677489" w:rsidRDefault="00A77719" w:rsidP="00463B2D">
            <w:pPr>
              <w:jc w:val="center"/>
              <w:rPr>
                <w:rFonts w:cs="Calibri"/>
                <w:color w:val="000000"/>
              </w:rPr>
            </w:pPr>
            <w:r>
              <w:rPr>
                <w:rFonts w:cs="Calibri"/>
                <w:color w:val="000000"/>
              </w:rPr>
              <w:t>10%</w:t>
            </w:r>
          </w:p>
        </w:tc>
      </w:tr>
      <w:tr w:rsidR="00FB0770" w:rsidRPr="00677489" w14:paraId="069CC2DC" w14:textId="77777777" w:rsidTr="00463B2D">
        <w:tc>
          <w:tcPr>
            <w:tcW w:w="0" w:type="auto"/>
            <w:shd w:val="clear" w:color="auto" w:fill="FF9831"/>
            <w:vAlign w:val="bottom"/>
          </w:tcPr>
          <w:p w14:paraId="03DEC529" w14:textId="77777777" w:rsidR="009E4D99" w:rsidRPr="00463B2D" w:rsidRDefault="009E4D99" w:rsidP="00B03526">
            <w:pPr>
              <w:rPr>
                <w:color w:val="FFFFFF" w:themeColor="background1"/>
              </w:rPr>
            </w:pPr>
            <w:r w:rsidRPr="00463B2D">
              <w:rPr>
                <w:rFonts w:cs="Calibri"/>
                <w:color w:val="FFFFFF" w:themeColor="background1"/>
              </w:rPr>
              <w:t>03.02.02 - Infusion Pumps, Balloon Based</w:t>
            </w:r>
          </w:p>
        </w:tc>
        <w:tc>
          <w:tcPr>
            <w:tcW w:w="0" w:type="auto"/>
            <w:shd w:val="clear" w:color="auto" w:fill="FF9831"/>
            <w:vAlign w:val="bottom"/>
          </w:tcPr>
          <w:p w14:paraId="143E6507" w14:textId="77777777" w:rsidR="009E4D99" w:rsidRPr="00463B2D" w:rsidRDefault="009E4D99" w:rsidP="00463B2D">
            <w:pPr>
              <w:jc w:val="center"/>
              <w:rPr>
                <w:rFonts w:cs="Calibri"/>
                <w:color w:val="FFFFFF" w:themeColor="background1"/>
              </w:rPr>
            </w:pPr>
            <w:r w:rsidRPr="00463B2D">
              <w:rPr>
                <w:rFonts w:cs="Calibri"/>
                <w:color w:val="FFFFFF" w:themeColor="background1"/>
              </w:rPr>
              <w:t>5.80</w:t>
            </w:r>
          </w:p>
        </w:tc>
        <w:tc>
          <w:tcPr>
            <w:tcW w:w="0" w:type="auto"/>
            <w:shd w:val="clear" w:color="auto" w:fill="FF9831"/>
            <w:vAlign w:val="bottom"/>
          </w:tcPr>
          <w:p w14:paraId="38B67AAF" w14:textId="77777777" w:rsidR="009E4D99" w:rsidRPr="00463B2D" w:rsidRDefault="009E4D99" w:rsidP="00463B2D">
            <w:pPr>
              <w:jc w:val="center"/>
              <w:rPr>
                <w:rFonts w:cs="Calibri"/>
                <w:color w:val="FFFFFF" w:themeColor="background1"/>
              </w:rPr>
            </w:pPr>
            <w:r w:rsidRPr="00463B2D">
              <w:rPr>
                <w:rFonts w:cs="Calibri"/>
                <w:color w:val="FFFFFF" w:themeColor="background1"/>
              </w:rPr>
              <w:t>2.6%</w:t>
            </w:r>
          </w:p>
        </w:tc>
        <w:tc>
          <w:tcPr>
            <w:tcW w:w="0" w:type="auto"/>
            <w:shd w:val="clear" w:color="auto" w:fill="FF9831"/>
            <w:vAlign w:val="bottom"/>
          </w:tcPr>
          <w:p w14:paraId="4B8D6DCE" w14:textId="77777777" w:rsidR="009E4D99" w:rsidRPr="00463B2D" w:rsidRDefault="009E4D99" w:rsidP="00463B2D">
            <w:pPr>
              <w:jc w:val="center"/>
              <w:rPr>
                <w:rFonts w:cs="Calibri"/>
                <w:color w:val="FFFFFF" w:themeColor="background1"/>
              </w:rPr>
            </w:pPr>
            <w:r w:rsidRPr="00463B2D">
              <w:rPr>
                <w:rFonts w:cs="Calibri"/>
                <w:color w:val="FFFFFF" w:themeColor="background1"/>
              </w:rPr>
              <w:t>12%</w:t>
            </w:r>
          </w:p>
        </w:tc>
        <w:tc>
          <w:tcPr>
            <w:tcW w:w="0" w:type="auto"/>
            <w:shd w:val="clear" w:color="auto" w:fill="FF9831"/>
            <w:vAlign w:val="bottom"/>
          </w:tcPr>
          <w:p w14:paraId="0BBA56B3" w14:textId="77777777" w:rsidR="009E4D99" w:rsidRPr="00463B2D" w:rsidRDefault="00A77719" w:rsidP="00463B2D">
            <w:pPr>
              <w:jc w:val="center"/>
              <w:rPr>
                <w:rFonts w:cs="Calibri"/>
                <w:color w:val="FFFFFF" w:themeColor="background1"/>
              </w:rPr>
            </w:pPr>
            <w:r w:rsidRPr="00463B2D">
              <w:rPr>
                <w:rFonts w:cs="Calibri"/>
                <w:color w:val="FFFFFF" w:themeColor="background1"/>
              </w:rPr>
              <w:t>9%</w:t>
            </w:r>
          </w:p>
        </w:tc>
      </w:tr>
      <w:tr w:rsidR="00FB0770" w:rsidRPr="00677489" w14:paraId="5C945960" w14:textId="77777777" w:rsidTr="00463B2D">
        <w:tc>
          <w:tcPr>
            <w:tcW w:w="0" w:type="auto"/>
            <w:shd w:val="clear" w:color="auto" w:fill="FF9831"/>
            <w:vAlign w:val="bottom"/>
          </w:tcPr>
          <w:p w14:paraId="46EC1D61" w14:textId="77777777" w:rsidR="009E4D99" w:rsidRPr="00463B2D" w:rsidRDefault="009E4D99" w:rsidP="00B03526">
            <w:pPr>
              <w:rPr>
                <w:color w:val="FFFFFF" w:themeColor="background1"/>
              </w:rPr>
            </w:pPr>
            <w:r w:rsidRPr="00463B2D">
              <w:rPr>
                <w:rFonts w:cs="Calibri"/>
                <w:color w:val="FFFFFF" w:themeColor="background1"/>
              </w:rPr>
              <w:t>03.02.03 - Infusion Pumps, Battery Powered</w:t>
            </w:r>
          </w:p>
        </w:tc>
        <w:tc>
          <w:tcPr>
            <w:tcW w:w="0" w:type="auto"/>
            <w:shd w:val="clear" w:color="auto" w:fill="FF9831"/>
            <w:vAlign w:val="bottom"/>
          </w:tcPr>
          <w:p w14:paraId="6B2FF990" w14:textId="77777777" w:rsidR="009E4D99" w:rsidRPr="00463B2D" w:rsidRDefault="009E4D99" w:rsidP="00463B2D">
            <w:pPr>
              <w:jc w:val="center"/>
              <w:rPr>
                <w:rFonts w:cs="Calibri"/>
                <w:color w:val="FFFFFF" w:themeColor="background1"/>
              </w:rPr>
            </w:pPr>
            <w:r w:rsidRPr="00463B2D">
              <w:rPr>
                <w:rFonts w:cs="Calibri"/>
                <w:color w:val="FFFFFF" w:themeColor="background1"/>
              </w:rPr>
              <w:t>4.39</w:t>
            </w:r>
          </w:p>
        </w:tc>
        <w:tc>
          <w:tcPr>
            <w:tcW w:w="0" w:type="auto"/>
            <w:shd w:val="clear" w:color="auto" w:fill="FF9831"/>
            <w:vAlign w:val="bottom"/>
          </w:tcPr>
          <w:p w14:paraId="2A85F5A9" w14:textId="77777777" w:rsidR="009E4D99" w:rsidRPr="00463B2D" w:rsidRDefault="009E4D99" w:rsidP="00463B2D">
            <w:pPr>
              <w:jc w:val="center"/>
              <w:rPr>
                <w:rFonts w:cs="Calibri"/>
                <w:color w:val="FFFFFF" w:themeColor="background1"/>
              </w:rPr>
            </w:pPr>
            <w:r w:rsidRPr="00463B2D">
              <w:rPr>
                <w:rFonts w:cs="Calibri"/>
                <w:color w:val="FFFFFF" w:themeColor="background1"/>
              </w:rPr>
              <w:t>2.0%</w:t>
            </w:r>
          </w:p>
        </w:tc>
        <w:tc>
          <w:tcPr>
            <w:tcW w:w="0" w:type="auto"/>
            <w:shd w:val="clear" w:color="auto" w:fill="FF9831"/>
            <w:vAlign w:val="bottom"/>
          </w:tcPr>
          <w:p w14:paraId="702E210B" w14:textId="77777777" w:rsidR="009E4D99" w:rsidRPr="00463B2D" w:rsidRDefault="009E4D99" w:rsidP="00463B2D">
            <w:pPr>
              <w:jc w:val="center"/>
              <w:rPr>
                <w:rFonts w:cs="Calibri"/>
                <w:color w:val="FFFFFF" w:themeColor="background1"/>
              </w:rPr>
            </w:pPr>
            <w:r w:rsidRPr="00463B2D">
              <w:rPr>
                <w:rFonts w:cs="Calibri"/>
                <w:color w:val="FFFFFF" w:themeColor="background1"/>
              </w:rPr>
              <w:t>26%</w:t>
            </w:r>
          </w:p>
        </w:tc>
        <w:tc>
          <w:tcPr>
            <w:tcW w:w="0" w:type="auto"/>
            <w:shd w:val="clear" w:color="auto" w:fill="FF9831"/>
            <w:vAlign w:val="bottom"/>
          </w:tcPr>
          <w:p w14:paraId="34B69C3B" w14:textId="77777777" w:rsidR="009E4D99" w:rsidRPr="00463B2D" w:rsidRDefault="00A77719" w:rsidP="00463B2D">
            <w:pPr>
              <w:jc w:val="center"/>
              <w:rPr>
                <w:rFonts w:cs="Calibri"/>
                <w:color w:val="FFFFFF" w:themeColor="background1"/>
              </w:rPr>
            </w:pPr>
            <w:r w:rsidRPr="00463B2D">
              <w:rPr>
                <w:rFonts w:cs="Calibri"/>
                <w:color w:val="FFFFFF" w:themeColor="background1"/>
              </w:rPr>
              <w:t>23%</w:t>
            </w:r>
          </w:p>
        </w:tc>
      </w:tr>
      <w:tr w:rsidR="00FB0770" w:rsidRPr="00677489" w14:paraId="7F3FFC0C" w14:textId="77777777" w:rsidTr="00A26B3B">
        <w:tc>
          <w:tcPr>
            <w:tcW w:w="0" w:type="auto"/>
            <w:shd w:val="clear" w:color="auto" w:fill="D2D2DA" w:themeFill="text1" w:themeFillTint="33"/>
            <w:vAlign w:val="bottom"/>
          </w:tcPr>
          <w:p w14:paraId="42359ED4" w14:textId="77777777" w:rsidR="009E4D99" w:rsidRPr="00677489" w:rsidRDefault="009E4D99" w:rsidP="00B03526">
            <w:r w:rsidRPr="00677489">
              <w:rPr>
                <w:rFonts w:cs="Calibri"/>
                <w:color w:val="000000"/>
              </w:rPr>
              <w:t>03.02.04 - Infusion Pumps, Spring Powered</w:t>
            </w:r>
          </w:p>
        </w:tc>
        <w:tc>
          <w:tcPr>
            <w:tcW w:w="0" w:type="auto"/>
            <w:shd w:val="clear" w:color="auto" w:fill="D2D2DA" w:themeFill="text1" w:themeFillTint="33"/>
            <w:vAlign w:val="bottom"/>
          </w:tcPr>
          <w:p w14:paraId="1E1AF486" w14:textId="77777777" w:rsidR="009E4D99" w:rsidRPr="00677489" w:rsidRDefault="009E4D99" w:rsidP="00463B2D">
            <w:pPr>
              <w:jc w:val="center"/>
              <w:rPr>
                <w:rFonts w:cs="Calibri"/>
                <w:color w:val="000000"/>
              </w:rPr>
            </w:pPr>
            <w:r w:rsidRPr="00A26B3B">
              <w:rPr>
                <w:rFonts w:cs="Calibri"/>
                <w:color w:val="000000"/>
              </w:rPr>
              <w:t>0.75</w:t>
            </w:r>
          </w:p>
        </w:tc>
        <w:tc>
          <w:tcPr>
            <w:tcW w:w="0" w:type="auto"/>
            <w:shd w:val="clear" w:color="auto" w:fill="D2D2DA" w:themeFill="text1" w:themeFillTint="33"/>
            <w:vAlign w:val="bottom"/>
          </w:tcPr>
          <w:p w14:paraId="0B23736D" w14:textId="77777777" w:rsidR="009E4D99" w:rsidRPr="00677489" w:rsidRDefault="009E4D99" w:rsidP="00463B2D">
            <w:pPr>
              <w:jc w:val="center"/>
              <w:rPr>
                <w:rFonts w:cs="Calibri"/>
                <w:color w:val="000000"/>
              </w:rPr>
            </w:pPr>
            <w:r w:rsidRPr="00A26B3B">
              <w:rPr>
                <w:rFonts w:cs="Calibri"/>
                <w:color w:val="000000"/>
              </w:rPr>
              <w:t>0.3%</w:t>
            </w:r>
          </w:p>
        </w:tc>
        <w:tc>
          <w:tcPr>
            <w:tcW w:w="0" w:type="auto"/>
            <w:shd w:val="clear" w:color="auto" w:fill="D2D2DA" w:themeFill="text1" w:themeFillTint="33"/>
            <w:vAlign w:val="bottom"/>
          </w:tcPr>
          <w:p w14:paraId="6A0FDFA8" w14:textId="77777777" w:rsidR="009E4D99" w:rsidRPr="00677489" w:rsidRDefault="009E4D99" w:rsidP="00463B2D">
            <w:pPr>
              <w:jc w:val="center"/>
              <w:rPr>
                <w:rFonts w:cs="Calibri"/>
                <w:color w:val="000000"/>
              </w:rPr>
            </w:pPr>
            <w:r w:rsidRPr="00A26B3B">
              <w:rPr>
                <w:rFonts w:cs="Calibri"/>
                <w:color w:val="000000"/>
              </w:rPr>
              <w:t>-23%</w:t>
            </w:r>
          </w:p>
        </w:tc>
        <w:tc>
          <w:tcPr>
            <w:tcW w:w="0" w:type="auto"/>
            <w:shd w:val="clear" w:color="auto" w:fill="D2D2DA" w:themeFill="text1" w:themeFillTint="33"/>
            <w:vAlign w:val="bottom"/>
          </w:tcPr>
          <w:p w14:paraId="7E041FAC" w14:textId="77777777" w:rsidR="009E4D99" w:rsidRPr="00677489" w:rsidRDefault="00A77719" w:rsidP="00463B2D">
            <w:pPr>
              <w:jc w:val="center"/>
              <w:rPr>
                <w:rFonts w:cs="Calibri"/>
                <w:color w:val="000000"/>
              </w:rPr>
            </w:pPr>
            <w:r>
              <w:rPr>
                <w:rFonts w:cs="Calibri"/>
                <w:color w:val="000000"/>
              </w:rPr>
              <w:t>-25%</w:t>
            </w:r>
          </w:p>
        </w:tc>
      </w:tr>
      <w:tr w:rsidR="00FB0770" w:rsidRPr="00677489" w14:paraId="37A97899" w14:textId="77777777" w:rsidTr="00463B2D">
        <w:tc>
          <w:tcPr>
            <w:tcW w:w="0" w:type="auto"/>
            <w:shd w:val="clear" w:color="auto" w:fill="FF9831"/>
            <w:vAlign w:val="bottom"/>
          </w:tcPr>
          <w:p w14:paraId="54B54E38" w14:textId="77777777" w:rsidR="009E4D99" w:rsidRPr="00463B2D" w:rsidRDefault="009E4D99" w:rsidP="00B03526">
            <w:pPr>
              <w:rPr>
                <w:color w:val="FFFFFF" w:themeColor="background1"/>
              </w:rPr>
            </w:pPr>
            <w:r w:rsidRPr="00463B2D">
              <w:rPr>
                <w:rFonts w:cs="Calibri"/>
                <w:color w:val="FFFFFF" w:themeColor="background1"/>
              </w:rPr>
              <w:t>03.02.05 - Infusion Pump Accessories</w:t>
            </w:r>
          </w:p>
        </w:tc>
        <w:tc>
          <w:tcPr>
            <w:tcW w:w="0" w:type="auto"/>
            <w:shd w:val="clear" w:color="auto" w:fill="FF9831"/>
            <w:vAlign w:val="bottom"/>
          </w:tcPr>
          <w:p w14:paraId="4A86AFE8" w14:textId="77777777" w:rsidR="009E4D99" w:rsidRPr="00463B2D" w:rsidRDefault="009E4D99" w:rsidP="00463B2D">
            <w:pPr>
              <w:jc w:val="center"/>
              <w:rPr>
                <w:rFonts w:cs="Calibri"/>
                <w:color w:val="FFFFFF" w:themeColor="background1"/>
              </w:rPr>
            </w:pPr>
            <w:r w:rsidRPr="00463B2D">
              <w:rPr>
                <w:rFonts w:cs="Calibri"/>
                <w:color w:val="FFFFFF" w:themeColor="background1"/>
              </w:rPr>
              <w:t>0.96</w:t>
            </w:r>
          </w:p>
        </w:tc>
        <w:tc>
          <w:tcPr>
            <w:tcW w:w="0" w:type="auto"/>
            <w:shd w:val="clear" w:color="auto" w:fill="FF9831"/>
            <w:vAlign w:val="bottom"/>
          </w:tcPr>
          <w:p w14:paraId="2C1730E6" w14:textId="77777777" w:rsidR="009E4D99" w:rsidRPr="00463B2D" w:rsidRDefault="009E4D99" w:rsidP="00463B2D">
            <w:pPr>
              <w:jc w:val="center"/>
              <w:rPr>
                <w:rFonts w:cs="Calibri"/>
                <w:color w:val="FFFFFF" w:themeColor="background1"/>
              </w:rPr>
            </w:pPr>
            <w:r w:rsidRPr="00463B2D">
              <w:rPr>
                <w:rFonts w:cs="Calibri"/>
                <w:color w:val="FFFFFF" w:themeColor="background1"/>
              </w:rPr>
              <w:t>0.4%</w:t>
            </w:r>
          </w:p>
        </w:tc>
        <w:tc>
          <w:tcPr>
            <w:tcW w:w="0" w:type="auto"/>
            <w:shd w:val="clear" w:color="auto" w:fill="FF9831"/>
            <w:vAlign w:val="bottom"/>
          </w:tcPr>
          <w:p w14:paraId="10BBA453" w14:textId="77777777" w:rsidR="009E4D99" w:rsidRPr="00463B2D" w:rsidRDefault="009E4D99" w:rsidP="00463B2D">
            <w:pPr>
              <w:jc w:val="center"/>
              <w:rPr>
                <w:rFonts w:cs="Calibri"/>
                <w:color w:val="FFFFFF" w:themeColor="background1"/>
              </w:rPr>
            </w:pPr>
            <w:r w:rsidRPr="00463B2D">
              <w:rPr>
                <w:rFonts w:cs="Calibri"/>
                <w:color w:val="FFFFFF" w:themeColor="background1"/>
              </w:rPr>
              <w:t>8%</w:t>
            </w:r>
          </w:p>
        </w:tc>
        <w:tc>
          <w:tcPr>
            <w:tcW w:w="0" w:type="auto"/>
            <w:shd w:val="clear" w:color="auto" w:fill="FF9831"/>
            <w:vAlign w:val="bottom"/>
          </w:tcPr>
          <w:p w14:paraId="099BC38C" w14:textId="77777777" w:rsidR="009E4D99" w:rsidRPr="00463B2D" w:rsidRDefault="00A77719" w:rsidP="00463B2D">
            <w:pPr>
              <w:jc w:val="center"/>
              <w:rPr>
                <w:rFonts w:cs="Calibri"/>
                <w:color w:val="FFFFFF" w:themeColor="background1"/>
              </w:rPr>
            </w:pPr>
            <w:r w:rsidRPr="00463B2D">
              <w:rPr>
                <w:rFonts w:cs="Calibri"/>
                <w:color w:val="FFFFFF" w:themeColor="background1"/>
              </w:rPr>
              <w:t>5%</w:t>
            </w:r>
          </w:p>
        </w:tc>
      </w:tr>
      <w:tr w:rsidR="00FB0770" w:rsidRPr="00677489" w14:paraId="6CE9A396" w14:textId="77777777" w:rsidTr="00A26B3B">
        <w:tc>
          <w:tcPr>
            <w:tcW w:w="0" w:type="auto"/>
            <w:shd w:val="clear" w:color="auto" w:fill="D2D2DA" w:themeFill="text1" w:themeFillTint="33"/>
            <w:vAlign w:val="bottom"/>
          </w:tcPr>
          <w:p w14:paraId="7B845BE5" w14:textId="77777777" w:rsidR="009E4D99" w:rsidRPr="00677489" w:rsidRDefault="009E4D99" w:rsidP="00B03526">
            <w:r w:rsidRPr="00677489">
              <w:rPr>
                <w:rFonts w:cs="Calibri"/>
                <w:color w:val="000000"/>
              </w:rPr>
              <w:t>03.02.06 - Pharmaceutical Beads</w:t>
            </w:r>
          </w:p>
        </w:tc>
        <w:tc>
          <w:tcPr>
            <w:tcW w:w="0" w:type="auto"/>
            <w:shd w:val="clear" w:color="auto" w:fill="D2D2DA" w:themeFill="text1" w:themeFillTint="33"/>
            <w:vAlign w:val="bottom"/>
          </w:tcPr>
          <w:p w14:paraId="1FC669FD" w14:textId="77777777" w:rsidR="009E4D99" w:rsidRPr="00677489" w:rsidRDefault="009E4D99" w:rsidP="00463B2D">
            <w:pPr>
              <w:jc w:val="center"/>
              <w:rPr>
                <w:rFonts w:cs="Calibri"/>
                <w:color w:val="000000"/>
              </w:rPr>
            </w:pPr>
            <w:r w:rsidRPr="00A26B3B">
              <w:rPr>
                <w:rFonts w:cs="Calibri"/>
                <w:color w:val="000000"/>
              </w:rPr>
              <w:t>0.11</w:t>
            </w:r>
          </w:p>
        </w:tc>
        <w:tc>
          <w:tcPr>
            <w:tcW w:w="0" w:type="auto"/>
            <w:shd w:val="clear" w:color="auto" w:fill="D2D2DA" w:themeFill="text1" w:themeFillTint="33"/>
            <w:vAlign w:val="bottom"/>
          </w:tcPr>
          <w:p w14:paraId="19DCC3E3" w14:textId="77777777" w:rsidR="009E4D99" w:rsidRPr="00677489" w:rsidRDefault="009E4D99" w:rsidP="00463B2D">
            <w:pPr>
              <w:jc w:val="center"/>
              <w:rPr>
                <w:rFonts w:cs="Calibri"/>
                <w:color w:val="000000"/>
              </w:rPr>
            </w:pPr>
            <w:r w:rsidRPr="00A26B3B">
              <w:rPr>
                <w:rFonts w:cs="Calibri"/>
                <w:color w:val="000000"/>
              </w:rPr>
              <w:t>&lt;0.1%</w:t>
            </w:r>
          </w:p>
        </w:tc>
        <w:tc>
          <w:tcPr>
            <w:tcW w:w="0" w:type="auto"/>
            <w:shd w:val="clear" w:color="auto" w:fill="D2D2DA" w:themeFill="text1" w:themeFillTint="33"/>
            <w:vAlign w:val="bottom"/>
          </w:tcPr>
          <w:p w14:paraId="45539F0D" w14:textId="77777777" w:rsidR="009E4D99" w:rsidRPr="00677489" w:rsidRDefault="009E4D99" w:rsidP="00463B2D">
            <w:pPr>
              <w:jc w:val="center"/>
              <w:rPr>
                <w:rFonts w:cs="Calibri"/>
                <w:color w:val="000000"/>
              </w:rPr>
            </w:pPr>
            <w:r w:rsidRPr="00A26B3B">
              <w:rPr>
                <w:rFonts w:cs="Calibri"/>
                <w:color w:val="000000"/>
              </w:rPr>
              <w:t>-15%</w:t>
            </w:r>
          </w:p>
        </w:tc>
        <w:tc>
          <w:tcPr>
            <w:tcW w:w="0" w:type="auto"/>
            <w:shd w:val="clear" w:color="auto" w:fill="D2D2DA" w:themeFill="text1" w:themeFillTint="33"/>
            <w:vAlign w:val="bottom"/>
          </w:tcPr>
          <w:p w14:paraId="3409896B" w14:textId="77777777" w:rsidR="009E4D99" w:rsidRPr="00677489" w:rsidRDefault="000A40DC" w:rsidP="00463B2D">
            <w:pPr>
              <w:jc w:val="center"/>
              <w:rPr>
                <w:rFonts w:cs="Calibri"/>
                <w:color w:val="000000"/>
              </w:rPr>
            </w:pPr>
            <w:r>
              <w:rPr>
                <w:rFonts w:cs="Calibri"/>
                <w:color w:val="000000"/>
              </w:rPr>
              <w:t>-17%</w:t>
            </w:r>
          </w:p>
        </w:tc>
      </w:tr>
      <w:tr w:rsidR="00FB0770" w:rsidRPr="00677489" w14:paraId="65A1D7E4" w14:textId="77777777" w:rsidTr="00A26B3B">
        <w:tc>
          <w:tcPr>
            <w:tcW w:w="0" w:type="auto"/>
            <w:shd w:val="clear" w:color="auto" w:fill="D2D2DA" w:themeFill="text1" w:themeFillTint="33"/>
            <w:vAlign w:val="bottom"/>
          </w:tcPr>
          <w:p w14:paraId="5A35A9E7" w14:textId="77777777" w:rsidR="009E4D99" w:rsidRPr="00677489" w:rsidRDefault="009E4D99" w:rsidP="00B03526">
            <w:r w:rsidRPr="00677489">
              <w:rPr>
                <w:rFonts w:cs="Calibri"/>
                <w:color w:val="000000"/>
              </w:rPr>
              <w:t>03.05.01 - Occluder Pin</w:t>
            </w:r>
          </w:p>
        </w:tc>
        <w:tc>
          <w:tcPr>
            <w:tcW w:w="0" w:type="auto"/>
            <w:shd w:val="clear" w:color="auto" w:fill="D2D2DA" w:themeFill="text1" w:themeFillTint="33"/>
            <w:vAlign w:val="bottom"/>
          </w:tcPr>
          <w:p w14:paraId="57C3D8DC" w14:textId="77777777" w:rsidR="009E4D99" w:rsidRPr="00677489" w:rsidRDefault="009E4D99" w:rsidP="00463B2D">
            <w:pPr>
              <w:jc w:val="center"/>
              <w:rPr>
                <w:rFonts w:cs="Calibri"/>
                <w:color w:val="000000"/>
              </w:rPr>
            </w:pPr>
            <w:r w:rsidRPr="00A26B3B">
              <w:rPr>
                <w:rFonts w:cs="Calibri"/>
                <w:color w:val="000000"/>
              </w:rPr>
              <w:t>&lt;0.01</w:t>
            </w:r>
          </w:p>
        </w:tc>
        <w:tc>
          <w:tcPr>
            <w:tcW w:w="0" w:type="auto"/>
            <w:shd w:val="clear" w:color="auto" w:fill="D2D2DA" w:themeFill="text1" w:themeFillTint="33"/>
            <w:vAlign w:val="bottom"/>
          </w:tcPr>
          <w:p w14:paraId="0F6356E0" w14:textId="77777777" w:rsidR="009E4D99" w:rsidRPr="00677489" w:rsidRDefault="009E4D99" w:rsidP="00463B2D">
            <w:pPr>
              <w:jc w:val="center"/>
              <w:rPr>
                <w:rFonts w:cs="Calibri"/>
                <w:color w:val="000000"/>
              </w:rPr>
            </w:pPr>
            <w:r w:rsidRPr="00A26B3B">
              <w:rPr>
                <w:rFonts w:cs="Calibri"/>
                <w:color w:val="000000"/>
              </w:rPr>
              <w:t>&lt;0.1%</w:t>
            </w:r>
          </w:p>
        </w:tc>
        <w:tc>
          <w:tcPr>
            <w:tcW w:w="0" w:type="auto"/>
            <w:shd w:val="clear" w:color="auto" w:fill="D2D2DA" w:themeFill="text1" w:themeFillTint="33"/>
            <w:vAlign w:val="bottom"/>
          </w:tcPr>
          <w:p w14:paraId="710898E1" w14:textId="77777777" w:rsidR="009E4D99" w:rsidRPr="00677489" w:rsidRDefault="009E4D99" w:rsidP="00463B2D">
            <w:pPr>
              <w:jc w:val="center"/>
              <w:rPr>
                <w:rFonts w:cs="Calibri"/>
                <w:color w:val="000000"/>
              </w:rPr>
            </w:pPr>
            <w:r w:rsidRPr="00A26B3B">
              <w:rPr>
                <w:rFonts w:cs="Calibri"/>
                <w:color w:val="000000"/>
              </w:rPr>
              <w:t>-22%</w:t>
            </w:r>
          </w:p>
        </w:tc>
        <w:tc>
          <w:tcPr>
            <w:tcW w:w="0" w:type="auto"/>
            <w:shd w:val="clear" w:color="auto" w:fill="D2D2DA" w:themeFill="text1" w:themeFillTint="33"/>
            <w:vAlign w:val="bottom"/>
          </w:tcPr>
          <w:p w14:paraId="71DDD0D8" w14:textId="77777777" w:rsidR="009E4D99" w:rsidRPr="00677489" w:rsidRDefault="000A40DC" w:rsidP="00463B2D">
            <w:pPr>
              <w:jc w:val="center"/>
              <w:rPr>
                <w:rFonts w:cs="Calibri"/>
                <w:color w:val="000000"/>
              </w:rPr>
            </w:pPr>
            <w:r>
              <w:rPr>
                <w:rFonts w:cs="Calibri"/>
                <w:color w:val="000000"/>
              </w:rPr>
              <w:t>-24%</w:t>
            </w:r>
          </w:p>
        </w:tc>
      </w:tr>
      <w:tr w:rsidR="00FB0770" w:rsidRPr="00677489" w14:paraId="59AD2AFE" w14:textId="77777777" w:rsidTr="00463B2D">
        <w:tc>
          <w:tcPr>
            <w:tcW w:w="0" w:type="auto"/>
            <w:shd w:val="clear" w:color="auto" w:fill="FF9831"/>
            <w:vAlign w:val="bottom"/>
          </w:tcPr>
          <w:p w14:paraId="0CE4358D" w14:textId="77777777" w:rsidR="009E4D99" w:rsidRPr="00463B2D" w:rsidRDefault="009E4D99" w:rsidP="00B03526">
            <w:pPr>
              <w:rPr>
                <w:color w:val="FFFFFF" w:themeColor="background1"/>
              </w:rPr>
            </w:pPr>
            <w:r w:rsidRPr="00463B2D">
              <w:rPr>
                <w:rFonts w:cs="Calibri"/>
                <w:color w:val="FFFFFF" w:themeColor="background1"/>
              </w:rPr>
              <w:t xml:space="preserve">03.05.02 </w:t>
            </w:r>
            <w:r w:rsidR="00AD617E" w:rsidRPr="00463B2D">
              <w:rPr>
                <w:rFonts w:cs="Calibri"/>
                <w:color w:val="FFFFFF" w:themeColor="background1"/>
              </w:rPr>
              <w:t>–</w:t>
            </w:r>
            <w:r w:rsidRPr="00463B2D">
              <w:rPr>
                <w:rFonts w:cs="Calibri"/>
                <w:color w:val="FFFFFF" w:themeColor="background1"/>
              </w:rPr>
              <w:t xml:space="preserve"> Powder</w:t>
            </w:r>
          </w:p>
        </w:tc>
        <w:tc>
          <w:tcPr>
            <w:tcW w:w="0" w:type="auto"/>
            <w:shd w:val="clear" w:color="auto" w:fill="FF9831"/>
            <w:vAlign w:val="bottom"/>
          </w:tcPr>
          <w:p w14:paraId="29E70F08" w14:textId="77777777" w:rsidR="009E4D99" w:rsidRPr="00463B2D" w:rsidRDefault="009E4D99" w:rsidP="00463B2D">
            <w:pPr>
              <w:jc w:val="center"/>
              <w:rPr>
                <w:rFonts w:cs="Calibri"/>
                <w:color w:val="FFFFFF" w:themeColor="background1"/>
              </w:rPr>
            </w:pPr>
            <w:r w:rsidRPr="00463B2D">
              <w:rPr>
                <w:rFonts w:cs="Calibri"/>
                <w:color w:val="FFFFFF" w:themeColor="background1"/>
              </w:rPr>
              <w:t>0.72</w:t>
            </w:r>
          </w:p>
        </w:tc>
        <w:tc>
          <w:tcPr>
            <w:tcW w:w="0" w:type="auto"/>
            <w:shd w:val="clear" w:color="auto" w:fill="FF9831"/>
            <w:vAlign w:val="bottom"/>
          </w:tcPr>
          <w:p w14:paraId="20387136" w14:textId="77777777" w:rsidR="009E4D99" w:rsidRPr="00463B2D" w:rsidRDefault="009E4D99" w:rsidP="00463B2D">
            <w:pPr>
              <w:jc w:val="center"/>
              <w:rPr>
                <w:rFonts w:cs="Calibri"/>
                <w:color w:val="FFFFFF" w:themeColor="background1"/>
              </w:rPr>
            </w:pPr>
            <w:r w:rsidRPr="00463B2D">
              <w:rPr>
                <w:rFonts w:cs="Calibri"/>
                <w:color w:val="FFFFFF" w:themeColor="background1"/>
              </w:rPr>
              <w:t>0.3%</w:t>
            </w:r>
          </w:p>
        </w:tc>
        <w:tc>
          <w:tcPr>
            <w:tcW w:w="0" w:type="auto"/>
            <w:shd w:val="clear" w:color="auto" w:fill="FF9831"/>
            <w:vAlign w:val="bottom"/>
          </w:tcPr>
          <w:p w14:paraId="305BED26" w14:textId="77777777" w:rsidR="009E4D99" w:rsidRPr="00463B2D" w:rsidRDefault="009E4D99" w:rsidP="00463B2D">
            <w:pPr>
              <w:jc w:val="center"/>
              <w:rPr>
                <w:rFonts w:cs="Calibri"/>
                <w:color w:val="FFFFFF" w:themeColor="background1"/>
              </w:rPr>
            </w:pPr>
            <w:r w:rsidRPr="00463B2D">
              <w:rPr>
                <w:rFonts w:cs="Calibri"/>
                <w:color w:val="FFFFFF" w:themeColor="background1"/>
              </w:rPr>
              <w:t>40%</w:t>
            </w:r>
          </w:p>
        </w:tc>
        <w:tc>
          <w:tcPr>
            <w:tcW w:w="0" w:type="auto"/>
            <w:shd w:val="clear" w:color="auto" w:fill="FF9831"/>
            <w:vAlign w:val="bottom"/>
          </w:tcPr>
          <w:p w14:paraId="51A59E0D" w14:textId="77777777" w:rsidR="009E4D99" w:rsidRPr="00463B2D" w:rsidRDefault="000A40DC" w:rsidP="00463B2D">
            <w:pPr>
              <w:jc w:val="center"/>
              <w:rPr>
                <w:rFonts w:cs="Calibri"/>
                <w:color w:val="FFFFFF" w:themeColor="background1"/>
              </w:rPr>
            </w:pPr>
            <w:r w:rsidRPr="00463B2D">
              <w:rPr>
                <w:rFonts w:cs="Calibri"/>
                <w:color w:val="FFFFFF" w:themeColor="background1"/>
              </w:rPr>
              <w:t>36%</w:t>
            </w:r>
          </w:p>
        </w:tc>
      </w:tr>
      <w:tr w:rsidR="00FB0770" w:rsidRPr="00677489" w14:paraId="1C7228B6" w14:textId="77777777" w:rsidTr="00463B2D">
        <w:tc>
          <w:tcPr>
            <w:tcW w:w="0" w:type="auto"/>
            <w:shd w:val="clear" w:color="auto" w:fill="FF9831"/>
            <w:vAlign w:val="bottom"/>
          </w:tcPr>
          <w:p w14:paraId="63573D0B" w14:textId="77777777" w:rsidR="000A40DC" w:rsidRPr="00463B2D" w:rsidRDefault="000A40DC" w:rsidP="00B03526">
            <w:pPr>
              <w:rPr>
                <w:color w:val="FFFFFF" w:themeColor="background1"/>
              </w:rPr>
            </w:pPr>
            <w:r w:rsidRPr="00463B2D">
              <w:rPr>
                <w:rFonts w:cs="Calibri"/>
                <w:color w:val="FFFFFF" w:themeColor="background1"/>
              </w:rPr>
              <w:t>03.05.03 - Sponges</w:t>
            </w:r>
          </w:p>
        </w:tc>
        <w:tc>
          <w:tcPr>
            <w:tcW w:w="0" w:type="auto"/>
            <w:shd w:val="clear" w:color="auto" w:fill="FF9831"/>
            <w:vAlign w:val="bottom"/>
          </w:tcPr>
          <w:p w14:paraId="24CDC8FB" w14:textId="77777777" w:rsidR="000A40DC" w:rsidRPr="00463B2D" w:rsidRDefault="000A40DC" w:rsidP="00463B2D">
            <w:pPr>
              <w:jc w:val="center"/>
              <w:rPr>
                <w:rFonts w:cs="Calibri"/>
                <w:color w:val="FFFFFF" w:themeColor="background1"/>
              </w:rPr>
            </w:pPr>
            <w:r w:rsidRPr="00463B2D">
              <w:rPr>
                <w:rFonts w:cs="Calibri"/>
                <w:color w:val="FFFFFF" w:themeColor="background1"/>
              </w:rPr>
              <w:t>0.62</w:t>
            </w:r>
          </w:p>
        </w:tc>
        <w:tc>
          <w:tcPr>
            <w:tcW w:w="0" w:type="auto"/>
            <w:shd w:val="clear" w:color="auto" w:fill="FF9831"/>
            <w:vAlign w:val="bottom"/>
          </w:tcPr>
          <w:p w14:paraId="05A413F0" w14:textId="77777777" w:rsidR="000A40DC" w:rsidRPr="00463B2D" w:rsidRDefault="000A40DC" w:rsidP="00463B2D">
            <w:pPr>
              <w:jc w:val="center"/>
              <w:rPr>
                <w:rFonts w:cs="Calibri"/>
                <w:color w:val="FFFFFF" w:themeColor="background1"/>
              </w:rPr>
            </w:pPr>
            <w:r w:rsidRPr="00463B2D">
              <w:rPr>
                <w:rFonts w:cs="Calibri"/>
                <w:color w:val="FFFFFF" w:themeColor="background1"/>
              </w:rPr>
              <w:t>0.3%</w:t>
            </w:r>
          </w:p>
        </w:tc>
        <w:tc>
          <w:tcPr>
            <w:tcW w:w="0" w:type="auto"/>
            <w:shd w:val="clear" w:color="auto" w:fill="FF9831"/>
            <w:vAlign w:val="bottom"/>
          </w:tcPr>
          <w:p w14:paraId="029D8DFF" w14:textId="77777777" w:rsidR="000A40DC" w:rsidRPr="00463B2D" w:rsidRDefault="000A40DC" w:rsidP="00463B2D">
            <w:pPr>
              <w:jc w:val="center"/>
              <w:rPr>
                <w:rFonts w:cs="Calibri"/>
                <w:color w:val="FFFFFF" w:themeColor="background1"/>
              </w:rPr>
            </w:pPr>
            <w:r w:rsidRPr="00463B2D">
              <w:rPr>
                <w:rFonts w:cs="Calibri"/>
                <w:color w:val="FFFFFF" w:themeColor="background1"/>
              </w:rPr>
              <w:t>0%</w:t>
            </w:r>
          </w:p>
        </w:tc>
        <w:tc>
          <w:tcPr>
            <w:tcW w:w="0" w:type="auto"/>
            <w:shd w:val="clear" w:color="auto" w:fill="FF9831"/>
            <w:vAlign w:val="bottom"/>
          </w:tcPr>
          <w:p w14:paraId="715D1EC4" w14:textId="77777777" w:rsidR="000A40DC" w:rsidRPr="00463B2D" w:rsidRDefault="000A40DC" w:rsidP="00463B2D">
            <w:pPr>
              <w:jc w:val="center"/>
              <w:rPr>
                <w:rFonts w:cs="Calibri"/>
                <w:color w:val="FFFFFF" w:themeColor="background1"/>
              </w:rPr>
            </w:pPr>
            <w:r w:rsidRPr="00463B2D">
              <w:rPr>
                <w:rFonts w:cs="Calibri"/>
                <w:color w:val="FFFFFF" w:themeColor="background1"/>
              </w:rPr>
              <w:t>-2%</w:t>
            </w:r>
          </w:p>
        </w:tc>
      </w:tr>
      <w:tr w:rsidR="00FB0770" w:rsidRPr="00677489" w14:paraId="3165536F" w14:textId="77777777" w:rsidTr="00463B2D">
        <w:tc>
          <w:tcPr>
            <w:tcW w:w="0" w:type="auto"/>
            <w:shd w:val="clear" w:color="auto" w:fill="FF9831"/>
            <w:vAlign w:val="bottom"/>
          </w:tcPr>
          <w:p w14:paraId="6290A110" w14:textId="77777777" w:rsidR="009E4D99" w:rsidRPr="00463B2D" w:rsidRDefault="009E4D99" w:rsidP="00B03526">
            <w:pPr>
              <w:rPr>
                <w:color w:val="FFFFFF" w:themeColor="background1"/>
              </w:rPr>
            </w:pPr>
            <w:r w:rsidRPr="00463B2D">
              <w:rPr>
                <w:rFonts w:cs="Calibri"/>
                <w:color w:val="FFFFFF" w:themeColor="background1"/>
              </w:rPr>
              <w:t>03.05.04 - Pliable Patches</w:t>
            </w:r>
          </w:p>
        </w:tc>
        <w:tc>
          <w:tcPr>
            <w:tcW w:w="0" w:type="auto"/>
            <w:shd w:val="clear" w:color="auto" w:fill="FF9831"/>
            <w:vAlign w:val="bottom"/>
          </w:tcPr>
          <w:p w14:paraId="617FBF92" w14:textId="77777777" w:rsidR="009E4D99" w:rsidRPr="00463B2D" w:rsidRDefault="009E4D99" w:rsidP="00463B2D">
            <w:pPr>
              <w:jc w:val="center"/>
              <w:rPr>
                <w:rFonts w:cs="Calibri"/>
                <w:color w:val="FFFFFF" w:themeColor="background1"/>
              </w:rPr>
            </w:pPr>
            <w:r w:rsidRPr="00463B2D">
              <w:rPr>
                <w:rFonts w:cs="Calibri"/>
                <w:color w:val="FFFFFF" w:themeColor="background1"/>
              </w:rPr>
              <w:t>3.01</w:t>
            </w:r>
          </w:p>
        </w:tc>
        <w:tc>
          <w:tcPr>
            <w:tcW w:w="0" w:type="auto"/>
            <w:shd w:val="clear" w:color="auto" w:fill="FF9831"/>
            <w:vAlign w:val="bottom"/>
          </w:tcPr>
          <w:p w14:paraId="7CE53F4B" w14:textId="77777777" w:rsidR="009E4D99" w:rsidRPr="00463B2D" w:rsidRDefault="009E4D99" w:rsidP="00463B2D">
            <w:pPr>
              <w:jc w:val="center"/>
              <w:rPr>
                <w:rFonts w:cs="Calibri"/>
                <w:color w:val="FFFFFF" w:themeColor="background1"/>
              </w:rPr>
            </w:pPr>
            <w:r w:rsidRPr="00463B2D">
              <w:rPr>
                <w:rFonts w:cs="Calibri"/>
                <w:color w:val="FFFFFF" w:themeColor="background1"/>
              </w:rPr>
              <w:t>1.3%</w:t>
            </w:r>
          </w:p>
        </w:tc>
        <w:tc>
          <w:tcPr>
            <w:tcW w:w="0" w:type="auto"/>
            <w:shd w:val="clear" w:color="auto" w:fill="FF9831"/>
            <w:vAlign w:val="bottom"/>
          </w:tcPr>
          <w:p w14:paraId="01BA18BC" w14:textId="77777777" w:rsidR="009E4D99" w:rsidRPr="00463B2D" w:rsidRDefault="009E4D99" w:rsidP="00463B2D">
            <w:pPr>
              <w:jc w:val="center"/>
              <w:rPr>
                <w:rFonts w:cs="Calibri"/>
                <w:color w:val="FFFFFF" w:themeColor="background1"/>
              </w:rPr>
            </w:pPr>
            <w:r w:rsidRPr="00463B2D">
              <w:rPr>
                <w:rFonts w:cs="Calibri"/>
                <w:color w:val="FFFFFF" w:themeColor="background1"/>
              </w:rPr>
              <w:t>4%</w:t>
            </w:r>
          </w:p>
        </w:tc>
        <w:tc>
          <w:tcPr>
            <w:tcW w:w="0" w:type="auto"/>
            <w:shd w:val="clear" w:color="auto" w:fill="FF9831"/>
            <w:vAlign w:val="bottom"/>
          </w:tcPr>
          <w:p w14:paraId="5B539AC5" w14:textId="77777777" w:rsidR="009E4D99" w:rsidRPr="00463B2D" w:rsidRDefault="000A40DC" w:rsidP="00463B2D">
            <w:pPr>
              <w:jc w:val="center"/>
              <w:rPr>
                <w:rFonts w:cs="Calibri"/>
                <w:color w:val="FFFFFF" w:themeColor="background1"/>
              </w:rPr>
            </w:pPr>
            <w:r w:rsidRPr="00463B2D">
              <w:rPr>
                <w:rFonts w:cs="Calibri"/>
                <w:color w:val="FFFFFF" w:themeColor="background1"/>
              </w:rPr>
              <w:t>1%</w:t>
            </w:r>
          </w:p>
        </w:tc>
      </w:tr>
      <w:tr w:rsidR="00E5688F" w:rsidRPr="00677489" w14:paraId="49B6FBDA" w14:textId="77777777" w:rsidTr="00463B2D">
        <w:tc>
          <w:tcPr>
            <w:tcW w:w="0" w:type="auto"/>
            <w:shd w:val="clear" w:color="auto" w:fill="E1362C"/>
            <w:vAlign w:val="bottom"/>
          </w:tcPr>
          <w:p w14:paraId="173E87F8" w14:textId="77777777" w:rsidR="009E4D99" w:rsidRPr="00463B2D" w:rsidRDefault="009E4D99" w:rsidP="00B03526">
            <w:pPr>
              <w:rPr>
                <w:color w:val="FFFFFF" w:themeColor="background1"/>
              </w:rPr>
            </w:pPr>
            <w:r w:rsidRPr="00463B2D">
              <w:rPr>
                <w:rFonts w:cs="Calibri"/>
                <w:color w:val="FFFFFF" w:themeColor="background1"/>
              </w:rPr>
              <w:t xml:space="preserve">03.05.05 </w:t>
            </w:r>
            <w:r w:rsidR="00AD617E" w:rsidRPr="00463B2D">
              <w:rPr>
                <w:rFonts w:cs="Calibri"/>
                <w:color w:val="FFFFFF" w:themeColor="background1"/>
              </w:rPr>
              <w:t>–</w:t>
            </w:r>
            <w:r w:rsidRPr="00463B2D">
              <w:rPr>
                <w:rFonts w:cs="Calibri"/>
                <w:color w:val="FFFFFF" w:themeColor="background1"/>
              </w:rPr>
              <w:t xml:space="preserve"> Matrix</w:t>
            </w:r>
          </w:p>
        </w:tc>
        <w:tc>
          <w:tcPr>
            <w:tcW w:w="0" w:type="auto"/>
            <w:shd w:val="clear" w:color="auto" w:fill="E1362C"/>
            <w:vAlign w:val="bottom"/>
          </w:tcPr>
          <w:p w14:paraId="54F2E2E0" w14:textId="77777777" w:rsidR="009E4D99" w:rsidRPr="00463B2D" w:rsidRDefault="009E4D99" w:rsidP="00463B2D">
            <w:pPr>
              <w:jc w:val="center"/>
              <w:rPr>
                <w:rFonts w:cs="Calibri"/>
                <w:color w:val="FFFFFF" w:themeColor="background1"/>
              </w:rPr>
            </w:pPr>
            <w:r w:rsidRPr="00463B2D">
              <w:rPr>
                <w:rFonts w:cs="Calibri"/>
                <w:color w:val="FFFFFF" w:themeColor="background1"/>
              </w:rPr>
              <w:t>30.31</w:t>
            </w:r>
          </w:p>
        </w:tc>
        <w:tc>
          <w:tcPr>
            <w:tcW w:w="0" w:type="auto"/>
            <w:shd w:val="clear" w:color="auto" w:fill="E1362C"/>
            <w:vAlign w:val="bottom"/>
          </w:tcPr>
          <w:p w14:paraId="04F6848B" w14:textId="77777777" w:rsidR="009E4D99" w:rsidRPr="00463B2D" w:rsidRDefault="009E4D99" w:rsidP="00463B2D">
            <w:pPr>
              <w:jc w:val="center"/>
              <w:rPr>
                <w:rFonts w:cs="Calibri"/>
                <w:color w:val="FFFFFF" w:themeColor="background1"/>
              </w:rPr>
            </w:pPr>
            <w:r w:rsidRPr="00463B2D">
              <w:rPr>
                <w:rFonts w:cs="Calibri"/>
                <w:color w:val="FFFFFF" w:themeColor="background1"/>
              </w:rPr>
              <w:t>13.6%</w:t>
            </w:r>
          </w:p>
        </w:tc>
        <w:tc>
          <w:tcPr>
            <w:tcW w:w="0" w:type="auto"/>
            <w:shd w:val="clear" w:color="auto" w:fill="E1362C"/>
            <w:vAlign w:val="bottom"/>
          </w:tcPr>
          <w:p w14:paraId="004781D2" w14:textId="77777777" w:rsidR="009E4D99" w:rsidRPr="00463B2D" w:rsidRDefault="009E4D99" w:rsidP="00463B2D">
            <w:pPr>
              <w:jc w:val="center"/>
              <w:rPr>
                <w:rFonts w:cs="Calibri"/>
                <w:color w:val="FFFFFF" w:themeColor="background1"/>
              </w:rPr>
            </w:pPr>
            <w:r w:rsidRPr="00463B2D">
              <w:rPr>
                <w:rFonts w:cs="Calibri"/>
                <w:color w:val="FFFFFF" w:themeColor="background1"/>
              </w:rPr>
              <w:t>15%</w:t>
            </w:r>
          </w:p>
        </w:tc>
        <w:tc>
          <w:tcPr>
            <w:tcW w:w="0" w:type="auto"/>
            <w:shd w:val="clear" w:color="auto" w:fill="E1362C"/>
            <w:vAlign w:val="bottom"/>
          </w:tcPr>
          <w:p w14:paraId="524C070A" w14:textId="77777777" w:rsidR="009E4D99" w:rsidRPr="00463B2D" w:rsidRDefault="000A40DC" w:rsidP="00463B2D">
            <w:pPr>
              <w:jc w:val="center"/>
              <w:rPr>
                <w:rFonts w:cs="Calibri"/>
                <w:color w:val="FFFFFF" w:themeColor="background1"/>
              </w:rPr>
            </w:pPr>
            <w:r w:rsidRPr="00463B2D">
              <w:rPr>
                <w:rFonts w:cs="Calibri"/>
                <w:color w:val="FFFFFF" w:themeColor="background1"/>
              </w:rPr>
              <w:t>12%</w:t>
            </w:r>
          </w:p>
        </w:tc>
      </w:tr>
      <w:tr w:rsidR="000A40DC" w:rsidRPr="00677489" w14:paraId="23F766AF" w14:textId="77777777" w:rsidTr="00463B2D">
        <w:tc>
          <w:tcPr>
            <w:tcW w:w="0" w:type="auto"/>
            <w:shd w:val="clear" w:color="auto" w:fill="FF9831"/>
            <w:vAlign w:val="bottom"/>
          </w:tcPr>
          <w:p w14:paraId="0BE8ADAB" w14:textId="77777777" w:rsidR="000A40DC" w:rsidRPr="00463B2D" w:rsidRDefault="000A40DC" w:rsidP="00B03526">
            <w:pPr>
              <w:rPr>
                <w:color w:val="FFFFFF" w:themeColor="background1"/>
              </w:rPr>
            </w:pPr>
            <w:r w:rsidRPr="00463B2D">
              <w:rPr>
                <w:rFonts w:cs="Calibri"/>
                <w:color w:val="FFFFFF" w:themeColor="background1"/>
              </w:rPr>
              <w:t xml:space="preserve">03.05.06 </w:t>
            </w:r>
            <w:r w:rsidR="00AD617E" w:rsidRPr="00463B2D">
              <w:rPr>
                <w:rFonts w:cs="Calibri"/>
                <w:color w:val="FFFFFF" w:themeColor="background1"/>
              </w:rPr>
              <w:t>–</w:t>
            </w:r>
            <w:r w:rsidRPr="00463B2D">
              <w:rPr>
                <w:rFonts w:cs="Calibri"/>
                <w:color w:val="FFFFFF" w:themeColor="background1"/>
              </w:rPr>
              <w:t xml:space="preserve"> Foam</w:t>
            </w:r>
          </w:p>
        </w:tc>
        <w:tc>
          <w:tcPr>
            <w:tcW w:w="0" w:type="auto"/>
            <w:shd w:val="clear" w:color="auto" w:fill="FF9831"/>
            <w:vAlign w:val="bottom"/>
          </w:tcPr>
          <w:p w14:paraId="785B39EE" w14:textId="77777777" w:rsidR="000A40DC" w:rsidRPr="00463B2D" w:rsidRDefault="000A40DC" w:rsidP="00463B2D">
            <w:pPr>
              <w:jc w:val="center"/>
              <w:rPr>
                <w:rFonts w:cs="Calibri"/>
                <w:color w:val="FFFFFF" w:themeColor="background1"/>
              </w:rPr>
            </w:pPr>
            <w:r w:rsidRPr="00463B2D">
              <w:rPr>
                <w:rFonts w:cs="Calibri"/>
                <w:color w:val="FFFFFF" w:themeColor="background1"/>
              </w:rPr>
              <w:t>2.12</w:t>
            </w:r>
          </w:p>
        </w:tc>
        <w:tc>
          <w:tcPr>
            <w:tcW w:w="0" w:type="auto"/>
            <w:shd w:val="clear" w:color="auto" w:fill="FF9831"/>
            <w:vAlign w:val="bottom"/>
          </w:tcPr>
          <w:p w14:paraId="5ECA643B" w14:textId="77777777" w:rsidR="000A40DC" w:rsidRPr="00463B2D" w:rsidRDefault="000A40DC" w:rsidP="00463B2D">
            <w:pPr>
              <w:jc w:val="center"/>
              <w:rPr>
                <w:rFonts w:cs="Calibri"/>
                <w:color w:val="FFFFFF" w:themeColor="background1"/>
              </w:rPr>
            </w:pPr>
            <w:r w:rsidRPr="00463B2D">
              <w:rPr>
                <w:rFonts w:cs="Calibri"/>
                <w:color w:val="FFFFFF" w:themeColor="background1"/>
              </w:rPr>
              <w:t>1.0%</w:t>
            </w:r>
          </w:p>
        </w:tc>
        <w:tc>
          <w:tcPr>
            <w:tcW w:w="0" w:type="auto"/>
            <w:gridSpan w:val="2"/>
            <w:shd w:val="clear" w:color="auto" w:fill="FF9831"/>
            <w:vAlign w:val="bottom"/>
          </w:tcPr>
          <w:p w14:paraId="1574268B" w14:textId="77777777" w:rsidR="000A40DC" w:rsidRPr="00463B2D" w:rsidRDefault="000A40DC" w:rsidP="00463B2D">
            <w:pPr>
              <w:jc w:val="center"/>
              <w:rPr>
                <w:rFonts w:cs="Calibri"/>
                <w:color w:val="FFFFFF" w:themeColor="background1"/>
              </w:rPr>
            </w:pPr>
            <w:r w:rsidRPr="00463B2D">
              <w:rPr>
                <w:rFonts w:cs="Calibri"/>
                <w:color w:val="FFFFFF" w:themeColor="background1"/>
              </w:rPr>
              <w:t>N/A –no usage in FY14</w:t>
            </w:r>
          </w:p>
        </w:tc>
      </w:tr>
      <w:tr w:rsidR="00FB0770" w:rsidRPr="00677489" w14:paraId="72452001" w14:textId="77777777" w:rsidTr="00463B2D">
        <w:tc>
          <w:tcPr>
            <w:tcW w:w="0" w:type="auto"/>
            <w:shd w:val="clear" w:color="auto" w:fill="FF9831"/>
            <w:vAlign w:val="bottom"/>
          </w:tcPr>
          <w:p w14:paraId="652B064A" w14:textId="77777777" w:rsidR="009E4D99" w:rsidRPr="00463B2D" w:rsidRDefault="009E4D99" w:rsidP="00B03526">
            <w:pPr>
              <w:rPr>
                <w:rFonts w:cs="Calibri"/>
                <w:color w:val="FFFFFF" w:themeColor="background1"/>
              </w:rPr>
            </w:pPr>
            <w:r w:rsidRPr="00463B2D">
              <w:rPr>
                <w:rFonts w:cs="Calibri"/>
                <w:color w:val="FFFFFF" w:themeColor="background1"/>
              </w:rPr>
              <w:t>03.08.01 - Adhesion Barriers</w:t>
            </w:r>
          </w:p>
        </w:tc>
        <w:tc>
          <w:tcPr>
            <w:tcW w:w="0" w:type="auto"/>
            <w:shd w:val="clear" w:color="auto" w:fill="FF9831"/>
            <w:vAlign w:val="bottom"/>
          </w:tcPr>
          <w:p w14:paraId="3E9D1FFF" w14:textId="77777777" w:rsidR="009E4D99" w:rsidRPr="00463B2D" w:rsidRDefault="009E4D99" w:rsidP="00463B2D">
            <w:pPr>
              <w:jc w:val="center"/>
              <w:rPr>
                <w:rFonts w:cs="Calibri"/>
                <w:color w:val="FFFFFF" w:themeColor="background1"/>
              </w:rPr>
            </w:pPr>
            <w:r w:rsidRPr="00463B2D">
              <w:rPr>
                <w:rFonts w:cs="Calibri"/>
                <w:color w:val="FFFFFF" w:themeColor="background1"/>
              </w:rPr>
              <w:t>4.58</w:t>
            </w:r>
          </w:p>
        </w:tc>
        <w:tc>
          <w:tcPr>
            <w:tcW w:w="0" w:type="auto"/>
            <w:shd w:val="clear" w:color="auto" w:fill="FF9831"/>
            <w:vAlign w:val="bottom"/>
          </w:tcPr>
          <w:p w14:paraId="2CE14EAF" w14:textId="77777777" w:rsidR="009E4D99" w:rsidRPr="00463B2D" w:rsidRDefault="009E4D99" w:rsidP="00463B2D">
            <w:pPr>
              <w:jc w:val="center"/>
              <w:rPr>
                <w:rFonts w:cs="Calibri"/>
                <w:color w:val="FFFFFF" w:themeColor="background1"/>
              </w:rPr>
            </w:pPr>
            <w:r w:rsidRPr="00463B2D">
              <w:rPr>
                <w:rFonts w:cs="Calibri"/>
                <w:color w:val="FFFFFF" w:themeColor="background1"/>
              </w:rPr>
              <w:t>2.0%</w:t>
            </w:r>
          </w:p>
        </w:tc>
        <w:tc>
          <w:tcPr>
            <w:tcW w:w="0" w:type="auto"/>
            <w:shd w:val="clear" w:color="auto" w:fill="FF9831"/>
            <w:vAlign w:val="bottom"/>
          </w:tcPr>
          <w:p w14:paraId="5A944945" w14:textId="77777777" w:rsidR="009E4D99" w:rsidRPr="00463B2D" w:rsidRDefault="009E4D99" w:rsidP="00463B2D">
            <w:pPr>
              <w:jc w:val="center"/>
              <w:rPr>
                <w:rFonts w:cs="Calibri"/>
                <w:color w:val="FFFFFF" w:themeColor="background1"/>
              </w:rPr>
            </w:pPr>
            <w:r w:rsidRPr="00463B2D">
              <w:rPr>
                <w:rFonts w:cs="Calibri"/>
                <w:color w:val="FFFFFF" w:themeColor="background1"/>
              </w:rPr>
              <w:t>3%</w:t>
            </w:r>
          </w:p>
        </w:tc>
        <w:tc>
          <w:tcPr>
            <w:tcW w:w="0" w:type="auto"/>
            <w:shd w:val="clear" w:color="auto" w:fill="FF9831"/>
            <w:vAlign w:val="bottom"/>
          </w:tcPr>
          <w:p w14:paraId="05CBB0AA" w14:textId="77777777" w:rsidR="009E4D99" w:rsidRPr="00463B2D" w:rsidRDefault="000A40DC" w:rsidP="00463B2D">
            <w:pPr>
              <w:jc w:val="center"/>
              <w:rPr>
                <w:rFonts w:cs="Calibri"/>
                <w:color w:val="FFFFFF" w:themeColor="background1"/>
              </w:rPr>
            </w:pPr>
            <w:r w:rsidRPr="00463B2D">
              <w:rPr>
                <w:rFonts w:cs="Calibri"/>
                <w:color w:val="FFFFFF" w:themeColor="background1"/>
              </w:rPr>
              <w:t>0%</w:t>
            </w:r>
          </w:p>
        </w:tc>
      </w:tr>
      <w:tr w:rsidR="00E5688F" w:rsidRPr="00677489" w14:paraId="4EDDCC25" w14:textId="77777777" w:rsidTr="00463B2D">
        <w:tc>
          <w:tcPr>
            <w:tcW w:w="0" w:type="auto"/>
            <w:shd w:val="clear" w:color="auto" w:fill="E1362C"/>
            <w:vAlign w:val="bottom"/>
          </w:tcPr>
          <w:p w14:paraId="60E9B3AF" w14:textId="77777777" w:rsidR="009E4D99" w:rsidRPr="00463B2D" w:rsidRDefault="009E4D99" w:rsidP="00B03526">
            <w:pPr>
              <w:rPr>
                <w:rFonts w:cs="Calibri"/>
                <w:color w:val="FFFFFF" w:themeColor="background1"/>
              </w:rPr>
            </w:pPr>
            <w:r w:rsidRPr="00463B2D">
              <w:rPr>
                <w:rFonts w:cs="Calibri"/>
                <w:color w:val="FFFFFF" w:themeColor="background1"/>
              </w:rPr>
              <w:t>03.08.02 - Internal Adhesives</w:t>
            </w:r>
          </w:p>
        </w:tc>
        <w:tc>
          <w:tcPr>
            <w:tcW w:w="0" w:type="auto"/>
            <w:shd w:val="clear" w:color="auto" w:fill="E1362C"/>
            <w:vAlign w:val="bottom"/>
          </w:tcPr>
          <w:p w14:paraId="009F1B04" w14:textId="77777777" w:rsidR="009E4D99" w:rsidRPr="00463B2D" w:rsidRDefault="009E4D99" w:rsidP="00463B2D">
            <w:pPr>
              <w:jc w:val="center"/>
              <w:rPr>
                <w:rFonts w:cs="Calibri"/>
                <w:color w:val="FFFFFF" w:themeColor="background1"/>
              </w:rPr>
            </w:pPr>
            <w:r w:rsidRPr="00463B2D">
              <w:rPr>
                <w:rFonts w:cs="Calibri"/>
                <w:color w:val="FFFFFF" w:themeColor="background1"/>
              </w:rPr>
              <w:t>42.98</w:t>
            </w:r>
          </w:p>
        </w:tc>
        <w:tc>
          <w:tcPr>
            <w:tcW w:w="0" w:type="auto"/>
            <w:shd w:val="clear" w:color="auto" w:fill="E1362C"/>
            <w:vAlign w:val="bottom"/>
          </w:tcPr>
          <w:p w14:paraId="72DC2524" w14:textId="77777777" w:rsidR="009E4D99" w:rsidRPr="00463B2D" w:rsidRDefault="009E4D99" w:rsidP="00463B2D">
            <w:pPr>
              <w:jc w:val="center"/>
              <w:rPr>
                <w:rFonts w:cs="Calibri"/>
                <w:color w:val="FFFFFF" w:themeColor="background1"/>
              </w:rPr>
            </w:pPr>
            <w:r w:rsidRPr="00463B2D">
              <w:rPr>
                <w:rFonts w:cs="Calibri"/>
                <w:color w:val="FFFFFF" w:themeColor="background1"/>
              </w:rPr>
              <w:t>19.2%</w:t>
            </w:r>
          </w:p>
        </w:tc>
        <w:tc>
          <w:tcPr>
            <w:tcW w:w="0" w:type="auto"/>
            <w:shd w:val="clear" w:color="auto" w:fill="E1362C"/>
            <w:vAlign w:val="bottom"/>
          </w:tcPr>
          <w:p w14:paraId="0289DB3B" w14:textId="77777777" w:rsidR="009E4D99" w:rsidRPr="00463B2D" w:rsidRDefault="009E4D99" w:rsidP="00463B2D">
            <w:pPr>
              <w:jc w:val="center"/>
              <w:rPr>
                <w:rFonts w:cs="Calibri"/>
                <w:color w:val="FFFFFF" w:themeColor="background1"/>
              </w:rPr>
            </w:pPr>
            <w:r w:rsidRPr="00463B2D">
              <w:rPr>
                <w:rFonts w:cs="Calibri"/>
                <w:color w:val="FFFFFF" w:themeColor="background1"/>
              </w:rPr>
              <w:t>28%</w:t>
            </w:r>
          </w:p>
        </w:tc>
        <w:tc>
          <w:tcPr>
            <w:tcW w:w="0" w:type="auto"/>
            <w:shd w:val="clear" w:color="auto" w:fill="E1362C"/>
            <w:vAlign w:val="bottom"/>
          </w:tcPr>
          <w:p w14:paraId="7DAC1CE7" w14:textId="77777777" w:rsidR="009E4D99" w:rsidRPr="00463B2D" w:rsidRDefault="002F231D" w:rsidP="00463B2D">
            <w:pPr>
              <w:jc w:val="center"/>
              <w:rPr>
                <w:rFonts w:cs="Calibri"/>
                <w:color w:val="FFFFFF" w:themeColor="background1"/>
              </w:rPr>
            </w:pPr>
            <w:r w:rsidRPr="00463B2D">
              <w:rPr>
                <w:rFonts w:cs="Calibri"/>
                <w:color w:val="FFFFFF" w:themeColor="background1"/>
              </w:rPr>
              <w:t>24%</w:t>
            </w:r>
          </w:p>
        </w:tc>
      </w:tr>
      <w:tr w:rsidR="00E5688F" w:rsidRPr="00677489" w14:paraId="6008B8A0" w14:textId="77777777" w:rsidTr="00463B2D">
        <w:tc>
          <w:tcPr>
            <w:tcW w:w="0" w:type="auto"/>
            <w:shd w:val="clear" w:color="auto" w:fill="E1362C"/>
            <w:vAlign w:val="bottom"/>
          </w:tcPr>
          <w:p w14:paraId="2DED8C85" w14:textId="77777777" w:rsidR="009E4D99" w:rsidRPr="00463B2D" w:rsidRDefault="009E4D99" w:rsidP="00B03526">
            <w:pPr>
              <w:rPr>
                <w:rFonts w:cs="Calibri"/>
                <w:color w:val="FFFFFF" w:themeColor="background1"/>
              </w:rPr>
            </w:pPr>
            <w:r w:rsidRPr="00463B2D">
              <w:rPr>
                <w:rFonts w:cs="Calibri"/>
                <w:color w:val="FFFFFF" w:themeColor="background1"/>
              </w:rPr>
              <w:t>03.08.03 - Ligating Devices</w:t>
            </w:r>
          </w:p>
        </w:tc>
        <w:tc>
          <w:tcPr>
            <w:tcW w:w="0" w:type="auto"/>
            <w:shd w:val="clear" w:color="auto" w:fill="E1362C"/>
            <w:vAlign w:val="bottom"/>
          </w:tcPr>
          <w:p w14:paraId="0D34A56F" w14:textId="77777777" w:rsidR="009E4D99" w:rsidRPr="00463B2D" w:rsidRDefault="009E4D99" w:rsidP="00463B2D">
            <w:pPr>
              <w:jc w:val="center"/>
              <w:rPr>
                <w:rFonts w:cs="Calibri"/>
                <w:color w:val="FFFFFF" w:themeColor="background1"/>
              </w:rPr>
            </w:pPr>
            <w:r w:rsidRPr="00463B2D">
              <w:rPr>
                <w:rFonts w:cs="Calibri"/>
                <w:color w:val="FFFFFF" w:themeColor="background1"/>
              </w:rPr>
              <w:t>27.31</w:t>
            </w:r>
          </w:p>
        </w:tc>
        <w:tc>
          <w:tcPr>
            <w:tcW w:w="0" w:type="auto"/>
            <w:shd w:val="clear" w:color="auto" w:fill="E1362C"/>
            <w:vAlign w:val="bottom"/>
          </w:tcPr>
          <w:p w14:paraId="37BB4201" w14:textId="77777777" w:rsidR="009E4D99" w:rsidRPr="00463B2D" w:rsidRDefault="009E4D99" w:rsidP="00463B2D">
            <w:pPr>
              <w:jc w:val="center"/>
              <w:rPr>
                <w:rFonts w:cs="Calibri"/>
                <w:color w:val="FFFFFF" w:themeColor="background1"/>
              </w:rPr>
            </w:pPr>
            <w:r w:rsidRPr="00463B2D">
              <w:rPr>
                <w:rFonts w:cs="Calibri"/>
                <w:color w:val="FFFFFF" w:themeColor="background1"/>
              </w:rPr>
              <w:t>12.2%</w:t>
            </w:r>
          </w:p>
        </w:tc>
        <w:tc>
          <w:tcPr>
            <w:tcW w:w="0" w:type="auto"/>
            <w:shd w:val="clear" w:color="auto" w:fill="E1362C"/>
            <w:vAlign w:val="bottom"/>
          </w:tcPr>
          <w:p w14:paraId="25E0006C" w14:textId="77777777" w:rsidR="009E4D99" w:rsidRPr="00463B2D" w:rsidRDefault="009E4D99" w:rsidP="00463B2D">
            <w:pPr>
              <w:jc w:val="center"/>
              <w:rPr>
                <w:rFonts w:cs="Calibri"/>
                <w:color w:val="FFFFFF" w:themeColor="background1"/>
              </w:rPr>
            </w:pPr>
            <w:r w:rsidRPr="00463B2D">
              <w:rPr>
                <w:rFonts w:cs="Calibri"/>
                <w:color w:val="FFFFFF" w:themeColor="background1"/>
              </w:rPr>
              <w:t>5%</w:t>
            </w:r>
          </w:p>
        </w:tc>
        <w:tc>
          <w:tcPr>
            <w:tcW w:w="0" w:type="auto"/>
            <w:shd w:val="clear" w:color="auto" w:fill="E1362C"/>
            <w:vAlign w:val="bottom"/>
          </w:tcPr>
          <w:p w14:paraId="1D7D03D5" w14:textId="77777777" w:rsidR="009E4D99" w:rsidRPr="00463B2D" w:rsidRDefault="002F231D" w:rsidP="00463B2D">
            <w:pPr>
              <w:jc w:val="center"/>
              <w:rPr>
                <w:rFonts w:cs="Calibri"/>
                <w:color w:val="FFFFFF" w:themeColor="background1"/>
              </w:rPr>
            </w:pPr>
            <w:r w:rsidRPr="00463B2D">
              <w:rPr>
                <w:rFonts w:cs="Calibri"/>
                <w:color w:val="FFFFFF" w:themeColor="background1"/>
              </w:rPr>
              <w:t>2%</w:t>
            </w:r>
          </w:p>
        </w:tc>
      </w:tr>
      <w:tr w:rsidR="00E5688F" w:rsidRPr="00677489" w14:paraId="69358058" w14:textId="77777777" w:rsidTr="00463B2D">
        <w:tc>
          <w:tcPr>
            <w:tcW w:w="0" w:type="auto"/>
            <w:shd w:val="clear" w:color="auto" w:fill="E1362C"/>
            <w:vAlign w:val="bottom"/>
          </w:tcPr>
          <w:p w14:paraId="499FBF72" w14:textId="77777777" w:rsidR="009E4D99" w:rsidRPr="00463B2D" w:rsidRDefault="009E4D99" w:rsidP="00B03526">
            <w:pPr>
              <w:rPr>
                <w:rFonts w:cs="Calibri"/>
                <w:color w:val="FFFFFF" w:themeColor="background1"/>
              </w:rPr>
            </w:pPr>
            <w:r w:rsidRPr="00463B2D">
              <w:rPr>
                <w:rFonts w:cs="Calibri"/>
                <w:color w:val="FFFFFF" w:themeColor="background1"/>
              </w:rPr>
              <w:t>03.08.04 - Staples &amp; Tackers</w:t>
            </w:r>
          </w:p>
        </w:tc>
        <w:tc>
          <w:tcPr>
            <w:tcW w:w="0" w:type="auto"/>
            <w:shd w:val="clear" w:color="auto" w:fill="E1362C"/>
            <w:vAlign w:val="bottom"/>
          </w:tcPr>
          <w:p w14:paraId="108052C8" w14:textId="77777777" w:rsidR="009E4D99" w:rsidRPr="00463B2D" w:rsidRDefault="009E4D99" w:rsidP="00463B2D">
            <w:pPr>
              <w:jc w:val="center"/>
              <w:rPr>
                <w:rFonts w:cs="Calibri"/>
                <w:color w:val="FFFFFF" w:themeColor="background1"/>
              </w:rPr>
            </w:pPr>
            <w:r w:rsidRPr="00463B2D">
              <w:rPr>
                <w:rFonts w:cs="Calibri"/>
                <w:color w:val="FFFFFF" w:themeColor="background1"/>
              </w:rPr>
              <w:t>95.92</w:t>
            </w:r>
          </w:p>
        </w:tc>
        <w:tc>
          <w:tcPr>
            <w:tcW w:w="0" w:type="auto"/>
            <w:shd w:val="clear" w:color="auto" w:fill="E1362C"/>
            <w:vAlign w:val="bottom"/>
          </w:tcPr>
          <w:p w14:paraId="25F47862" w14:textId="77777777" w:rsidR="009E4D99" w:rsidRPr="00463B2D" w:rsidRDefault="009E4D99" w:rsidP="00463B2D">
            <w:pPr>
              <w:jc w:val="center"/>
              <w:rPr>
                <w:rFonts w:cs="Calibri"/>
                <w:color w:val="FFFFFF" w:themeColor="background1"/>
              </w:rPr>
            </w:pPr>
            <w:r w:rsidRPr="00463B2D">
              <w:rPr>
                <w:rFonts w:cs="Calibri"/>
                <w:color w:val="FFFFFF" w:themeColor="background1"/>
              </w:rPr>
              <w:t>42.9%</w:t>
            </w:r>
          </w:p>
        </w:tc>
        <w:tc>
          <w:tcPr>
            <w:tcW w:w="0" w:type="auto"/>
            <w:shd w:val="clear" w:color="auto" w:fill="E1362C"/>
            <w:vAlign w:val="bottom"/>
          </w:tcPr>
          <w:p w14:paraId="2EBB0425" w14:textId="77777777" w:rsidR="009E4D99" w:rsidRPr="00463B2D" w:rsidRDefault="009E4D99" w:rsidP="00463B2D">
            <w:pPr>
              <w:jc w:val="center"/>
              <w:rPr>
                <w:rFonts w:cs="Calibri"/>
                <w:color w:val="FFFFFF" w:themeColor="background1"/>
              </w:rPr>
            </w:pPr>
            <w:r w:rsidRPr="00463B2D">
              <w:rPr>
                <w:rFonts w:cs="Calibri"/>
                <w:color w:val="FFFFFF" w:themeColor="background1"/>
              </w:rPr>
              <w:t>11%</w:t>
            </w:r>
          </w:p>
        </w:tc>
        <w:tc>
          <w:tcPr>
            <w:tcW w:w="0" w:type="auto"/>
            <w:shd w:val="clear" w:color="auto" w:fill="E1362C"/>
            <w:vAlign w:val="bottom"/>
          </w:tcPr>
          <w:p w14:paraId="579AD04A" w14:textId="77777777" w:rsidR="009E4D99" w:rsidRPr="00463B2D" w:rsidRDefault="002F231D" w:rsidP="00463B2D">
            <w:pPr>
              <w:jc w:val="center"/>
              <w:rPr>
                <w:rFonts w:cs="Calibri"/>
                <w:color w:val="FFFFFF" w:themeColor="background1"/>
              </w:rPr>
            </w:pPr>
            <w:r w:rsidRPr="00463B2D">
              <w:rPr>
                <w:rFonts w:cs="Calibri"/>
                <w:color w:val="FFFFFF" w:themeColor="background1"/>
              </w:rPr>
              <w:t>8%</w:t>
            </w:r>
          </w:p>
        </w:tc>
      </w:tr>
      <w:tr w:rsidR="00FB0770" w:rsidRPr="00677489" w14:paraId="3D9E936E" w14:textId="77777777" w:rsidTr="00A26B3B">
        <w:tc>
          <w:tcPr>
            <w:tcW w:w="0" w:type="auto"/>
            <w:shd w:val="clear" w:color="auto" w:fill="D2D2DA" w:themeFill="text1" w:themeFillTint="33"/>
            <w:vAlign w:val="bottom"/>
          </w:tcPr>
          <w:p w14:paraId="4489AB87" w14:textId="77777777" w:rsidR="009E4D99" w:rsidRPr="00677489" w:rsidRDefault="009E4D99" w:rsidP="00B03526">
            <w:pPr>
              <w:rPr>
                <w:rFonts w:cs="Calibri"/>
                <w:color w:val="000000"/>
              </w:rPr>
            </w:pPr>
            <w:r w:rsidRPr="00677489">
              <w:rPr>
                <w:rFonts w:cs="Calibri"/>
                <w:color w:val="000000"/>
              </w:rPr>
              <w:t>03.08.05 - Polypropylene/Polyester Mesh</w:t>
            </w:r>
          </w:p>
        </w:tc>
        <w:tc>
          <w:tcPr>
            <w:tcW w:w="0" w:type="auto"/>
            <w:shd w:val="clear" w:color="auto" w:fill="D2D2DA" w:themeFill="text1" w:themeFillTint="33"/>
            <w:vAlign w:val="bottom"/>
          </w:tcPr>
          <w:p w14:paraId="708621AC" w14:textId="77777777" w:rsidR="009E4D99" w:rsidRPr="00677489" w:rsidRDefault="009E4D99" w:rsidP="00463B2D">
            <w:pPr>
              <w:jc w:val="center"/>
              <w:rPr>
                <w:rFonts w:cs="Calibri"/>
                <w:color w:val="000000"/>
              </w:rPr>
            </w:pPr>
            <w:r w:rsidRPr="00A26B3B">
              <w:rPr>
                <w:rFonts w:cs="Calibri"/>
                <w:color w:val="000000"/>
              </w:rPr>
              <w:t>3.65</w:t>
            </w:r>
          </w:p>
        </w:tc>
        <w:tc>
          <w:tcPr>
            <w:tcW w:w="0" w:type="auto"/>
            <w:shd w:val="clear" w:color="auto" w:fill="D2D2DA" w:themeFill="text1" w:themeFillTint="33"/>
            <w:vAlign w:val="bottom"/>
          </w:tcPr>
          <w:p w14:paraId="64C6B633" w14:textId="77777777" w:rsidR="009E4D99" w:rsidRPr="00677489" w:rsidRDefault="009E4D99" w:rsidP="00463B2D">
            <w:pPr>
              <w:jc w:val="center"/>
              <w:rPr>
                <w:rFonts w:cs="Calibri"/>
                <w:color w:val="000000"/>
              </w:rPr>
            </w:pPr>
            <w:r w:rsidRPr="00A26B3B">
              <w:rPr>
                <w:rFonts w:cs="Calibri"/>
                <w:color w:val="000000"/>
              </w:rPr>
              <w:t>1.6%</w:t>
            </w:r>
          </w:p>
        </w:tc>
        <w:tc>
          <w:tcPr>
            <w:tcW w:w="0" w:type="auto"/>
            <w:shd w:val="clear" w:color="auto" w:fill="D2D2DA" w:themeFill="text1" w:themeFillTint="33"/>
            <w:vAlign w:val="bottom"/>
          </w:tcPr>
          <w:p w14:paraId="36489FF7" w14:textId="77777777" w:rsidR="009E4D99" w:rsidRPr="00677489" w:rsidRDefault="009E4D99" w:rsidP="00463B2D">
            <w:pPr>
              <w:jc w:val="center"/>
              <w:rPr>
                <w:rFonts w:cs="Calibri"/>
                <w:color w:val="000000"/>
              </w:rPr>
            </w:pPr>
            <w:r w:rsidRPr="00A26B3B">
              <w:rPr>
                <w:rFonts w:cs="Calibri"/>
                <w:color w:val="000000"/>
              </w:rPr>
              <w:t>-3%</w:t>
            </w:r>
          </w:p>
        </w:tc>
        <w:tc>
          <w:tcPr>
            <w:tcW w:w="0" w:type="auto"/>
            <w:shd w:val="clear" w:color="auto" w:fill="D2D2DA" w:themeFill="text1" w:themeFillTint="33"/>
            <w:vAlign w:val="bottom"/>
          </w:tcPr>
          <w:p w14:paraId="1B2D8D9D" w14:textId="77777777" w:rsidR="009E4D99" w:rsidRPr="00677489" w:rsidRDefault="002F231D" w:rsidP="00463B2D">
            <w:pPr>
              <w:jc w:val="center"/>
              <w:rPr>
                <w:rFonts w:cs="Calibri"/>
                <w:color w:val="000000"/>
              </w:rPr>
            </w:pPr>
            <w:r>
              <w:rPr>
                <w:rFonts w:cs="Calibri"/>
                <w:color w:val="000000"/>
              </w:rPr>
              <w:t>-6%</w:t>
            </w:r>
          </w:p>
        </w:tc>
      </w:tr>
      <w:tr w:rsidR="00B83EB6" w:rsidRPr="00677489" w14:paraId="024A559F" w14:textId="77777777" w:rsidTr="00A26B3B">
        <w:tc>
          <w:tcPr>
            <w:tcW w:w="0" w:type="auto"/>
            <w:tcBorders>
              <w:bottom w:val="single" w:sz="4" w:space="0" w:color="000000" w:themeColor="background2"/>
            </w:tcBorders>
            <w:shd w:val="clear" w:color="auto" w:fill="D2D2DA" w:themeFill="text1" w:themeFillTint="33"/>
            <w:vAlign w:val="bottom"/>
          </w:tcPr>
          <w:p w14:paraId="078AC32C" w14:textId="77777777" w:rsidR="009E4D99" w:rsidRPr="00677489" w:rsidRDefault="009E4D99" w:rsidP="00B03526">
            <w:pPr>
              <w:rPr>
                <w:rFonts w:cs="Calibri"/>
                <w:color w:val="000000"/>
              </w:rPr>
            </w:pPr>
            <w:r w:rsidRPr="00677489">
              <w:rPr>
                <w:rFonts w:cs="Calibri"/>
                <w:color w:val="000000"/>
              </w:rPr>
              <w:t>03.08.10 - Anastomosis Clip</w:t>
            </w:r>
          </w:p>
        </w:tc>
        <w:tc>
          <w:tcPr>
            <w:tcW w:w="0" w:type="auto"/>
            <w:tcBorders>
              <w:bottom w:val="single" w:sz="4" w:space="0" w:color="000000" w:themeColor="background2"/>
            </w:tcBorders>
            <w:shd w:val="clear" w:color="auto" w:fill="D2D2DA" w:themeFill="text1" w:themeFillTint="33"/>
            <w:vAlign w:val="bottom"/>
          </w:tcPr>
          <w:p w14:paraId="716E2B26" w14:textId="77777777" w:rsidR="009E4D99" w:rsidRPr="00677489" w:rsidRDefault="009E4D99" w:rsidP="00463B2D">
            <w:pPr>
              <w:jc w:val="center"/>
              <w:rPr>
                <w:rFonts w:cs="Calibri"/>
                <w:color w:val="000000"/>
              </w:rPr>
            </w:pPr>
            <w:r w:rsidRPr="00A26B3B">
              <w:rPr>
                <w:rFonts w:cs="Calibri"/>
                <w:color w:val="000000"/>
              </w:rPr>
              <w:t>0.03</w:t>
            </w:r>
          </w:p>
        </w:tc>
        <w:tc>
          <w:tcPr>
            <w:tcW w:w="0" w:type="auto"/>
            <w:tcBorders>
              <w:bottom w:val="single" w:sz="4" w:space="0" w:color="000000" w:themeColor="background2"/>
            </w:tcBorders>
            <w:shd w:val="clear" w:color="auto" w:fill="D2D2DA" w:themeFill="text1" w:themeFillTint="33"/>
            <w:vAlign w:val="bottom"/>
          </w:tcPr>
          <w:p w14:paraId="2A7A4B8A" w14:textId="77777777" w:rsidR="009E4D99" w:rsidRPr="00677489" w:rsidRDefault="009E4D99" w:rsidP="00463B2D">
            <w:pPr>
              <w:jc w:val="center"/>
              <w:rPr>
                <w:rFonts w:cs="Calibri"/>
                <w:color w:val="000000"/>
              </w:rPr>
            </w:pPr>
            <w:r w:rsidRPr="00A26B3B">
              <w:rPr>
                <w:rFonts w:cs="Calibri"/>
                <w:color w:val="000000"/>
              </w:rPr>
              <w:t>&lt;0.1%</w:t>
            </w:r>
          </w:p>
        </w:tc>
        <w:tc>
          <w:tcPr>
            <w:tcW w:w="0" w:type="auto"/>
            <w:tcBorders>
              <w:bottom w:val="single" w:sz="4" w:space="0" w:color="000000" w:themeColor="background2"/>
            </w:tcBorders>
            <w:shd w:val="clear" w:color="auto" w:fill="D2D2DA" w:themeFill="text1" w:themeFillTint="33"/>
            <w:vAlign w:val="bottom"/>
          </w:tcPr>
          <w:p w14:paraId="30B0B4FE" w14:textId="77777777" w:rsidR="009E4D99" w:rsidRPr="00677489" w:rsidRDefault="009E4D99" w:rsidP="00463B2D">
            <w:pPr>
              <w:jc w:val="center"/>
              <w:rPr>
                <w:rFonts w:cs="Calibri"/>
                <w:color w:val="000000"/>
              </w:rPr>
            </w:pPr>
            <w:r w:rsidRPr="00A26B3B">
              <w:rPr>
                <w:rFonts w:cs="Calibri"/>
                <w:color w:val="000000"/>
              </w:rPr>
              <w:t>-12%</w:t>
            </w:r>
          </w:p>
        </w:tc>
        <w:tc>
          <w:tcPr>
            <w:tcW w:w="0" w:type="auto"/>
            <w:tcBorders>
              <w:bottom w:val="single" w:sz="4" w:space="0" w:color="000000" w:themeColor="background2"/>
            </w:tcBorders>
            <w:shd w:val="clear" w:color="auto" w:fill="D2D2DA" w:themeFill="text1" w:themeFillTint="33"/>
            <w:vAlign w:val="bottom"/>
          </w:tcPr>
          <w:p w14:paraId="061C2F2C" w14:textId="77777777" w:rsidR="009E4D99" w:rsidRPr="00677489" w:rsidRDefault="002F231D" w:rsidP="00463B2D">
            <w:pPr>
              <w:jc w:val="center"/>
              <w:rPr>
                <w:rFonts w:cs="Calibri"/>
                <w:color w:val="000000"/>
              </w:rPr>
            </w:pPr>
            <w:r>
              <w:rPr>
                <w:rFonts w:cs="Calibri"/>
                <w:color w:val="000000"/>
              </w:rPr>
              <w:t>-14%</w:t>
            </w:r>
          </w:p>
        </w:tc>
      </w:tr>
      <w:tr w:rsidR="00B83EB6" w:rsidRPr="00677489" w14:paraId="145E27B0" w14:textId="77777777" w:rsidTr="00A26B3B">
        <w:tc>
          <w:tcPr>
            <w:tcW w:w="0" w:type="auto"/>
            <w:tcBorders>
              <w:bottom w:val="single" w:sz="18" w:space="0" w:color="000000" w:themeColor="background2"/>
            </w:tcBorders>
            <w:shd w:val="clear" w:color="auto" w:fill="D2D2DA" w:themeFill="text1" w:themeFillTint="33"/>
            <w:vAlign w:val="bottom"/>
          </w:tcPr>
          <w:p w14:paraId="78C375CC" w14:textId="77777777" w:rsidR="009E4D99" w:rsidRPr="00677489" w:rsidRDefault="009E4D99" w:rsidP="00B03526">
            <w:pPr>
              <w:rPr>
                <w:rFonts w:cs="Calibri"/>
                <w:color w:val="000000"/>
              </w:rPr>
            </w:pPr>
            <w:r w:rsidRPr="00677489">
              <w:rPr>
                <w:rFonts w:cs="Calibri"/>
                <w:color w:val="000000"/>
              </w:rPr>
              <w:t>03.08.11 - Dynamic Wound Closure Devices</w:t>
            </w:r>
          </w:p>
        </w:tc>
        <w:tc>
          <w:tcPr>
            <w:tcW w:w="0" w:type="auto"/>
            <w:tcBorders>
              <w:bottom w:val="single" w:sz="18" w:space="0" w:color="000000" w:themeColor="background2"/>
            </w:tcBorders>
            <w:shd w:val="clear" w:color="auto" w:fill="D2D2DA" w:themeFill="text1" w:themeFillTint="33"/>
            <w:vAlign w:val="bottom"/>
          </w:tcPr>
          <w:p w14:paraId="7D8B066C" w14:textId="77777777" w:rsidR="009E4D99" w:rsidRPr="00677489" w:rsidRDefault="009E4D99" w:rsidP="00463B2D">
            <w:pPr>
              <w:jc w:val="center"/>
              <w:rPr>
                <w:rFonts w:cs="Calibri"/>
                <w:color w:val="000000"/>
              </w:rPr>
            </w:pPr>
            <w:r w:rsidRPr="00A26B3B">
              <w:rPr>
                <w:rFonts w:cs="Calibri"/>
                <w:color w:val="000000"/>
              </w:rPr>
              <w:t>&lt;0.01</w:t>
            </w:r>
          </w:p>
        </w:tc>
        <w:tc>
          <w:tcPr>
            <w:tcW w:w="0" w:type="auto"/>
            <w:tcBorders>
              <w:bottom w:val="single" w:sz="18" w:space="0" w:color="000000" w:themeColor="background2"/>
            </w:tcBorders>
            <w:shd w:val="clear" w:color="auto" w:fill="D2D2DA" w:themeFill="text1" w:themeFillTint="33"/>
            <w:vAlign w:val="bottom"/>
          </w:tcPr>
          <w:p w14:paraId="598262FB" w14:textId="77777777" w:rsidR="009E4D99" w:rsidRPr="00677489" w:rsidRDefault="009E4D99" w:rsidP="00463B2D">
            <w:pPr>
              <w:jc w:val="center"/>
              <w:rPr>
                <w:rFonts w:cs="Calibri"/>
                <w:color w:val="000000"/>
              </w:rPr>
            </w:pPr>
            <w:r w:rsidRPr="00A26B3B">
              <w:rPr>
                <w:rFonts w:cs="Calibri"/>
                <w:color w:val="000000"/>
              </w:rPr>
              <w:t>&lt;0.1%</w:t>
            </w:r>
          </w:p>
        </w:tc>
        <w:tc>
          <w:tcPr>
            <w:tcW w:w="0" w:type="auto"/>
            <w:tcBorders>
              <w:bottom w:val="single" w:sz="18" w:space="0" w:color="000000" w:themeColor="background2"/>
            </w:tcBorders>
            <w:shd w:val="clear" w:color="auto" w:fill="D2D2DA" w:themeFill="text1" w:themeFillTint="33"/>
            <w:vAlign w:val="bottom"/>
          </w:tcPr>
          <w:p w14:paraId="7A1C19DC" w14:textId="77777777" w:rsidR="009E4D99" w:rsidRPr="00677489" w:rsidRDefault="009E4D99" w:rsidP="00463B2D">
            <w:pPr>
              <w:jc w:val="center"/>
              <w:rPr>
                <w:rFonts w:cs="Calibri"/>
                <w:color w:val="000000"/>
              </w:rPr>
            </w:pPr>
            <w:r w:rsidRPr="00A26B3B">
              <w:rPr>
                <w:rFonts w:cs="Calibri"/>
                <w:color w:val="000000"/>
              </w:rPr>
              <w:t>-1%</w:t>
            </w:r>
          </w:p>
        </w:tc>
        <w:tc>
          <w:tcPr>
            <w:tcW w:w="0" w:type="auto"/>
            <w:tcBorders>
              <w:bottom w:val="single" w:sz="18" w:space="0" w:color="000000" w:themeColor="background2"/>
            </w:tcBorders>
            <w:shd w:val="clear" w:color="auto" w:fill="D2D2DA" w:themeFill="text1" w:themeFillTint="33"/>
            <w:vAlign w:val="bottom"/>
          </w:tcPr>
          <w:p w14:paraId="23191598" w14:textId="77777777" w:rsidR="009E4D99" w:rsidRPr="00677489" w:rsidRDefault="002F231D" w:rsidP="00463B2D">
            <w:pPr>
              <w:jc w:val="center"/>
              <w:rPr>
                <w:rFonts w:cs="Calibri"/>
                <w:color w:val="000000"/>
              </w:rPr>
            </w:pPr>
            <w:r>
              <w:rPr>
                <w:rFonts w:cs="Calibri"/>
                <w:color w:val="000000"/>
              </w:rPr>
              <w:t>-4%</w:t>
            </w:r>
          </w:p>
        </w:tc>
      </w:tr>
      <w:tr w:rsidR="00B473AB" w:rsidRPr="00677489" w14:paraId="4B42C58B" w14:textId="77777777" w:rsidTr="000A40DC">
        <w:tc>
          <w:tcPr>
            <w:tcW w:w="0" w:type="auto"/>
            <w:tcBorders>
              <w:top w:val="single" w:sz="18" w:space="0" w:color="000000" w:themeColor="background2"/>
            </w:tcBorders>
            <w:shd w:val="clear" w:color="auto" w:fill="auto"/>
            <w:vAlign w:val="bottom"/>
          </w:tcPr>
          <w:p w14:paraId="7B2538A4" w14:textId="77777777" w:rsidR="009E4D99" w:rsidRPr="00677489" w:rsidRDefault="009E4D99" w:rsidP="0069571F">
            <w:pPr>
              <w:rPr>
                <w:rFonts w:cs="Calibri"/>
                <w:b/>
                <w:color w:val="000000"/>
              </w:rPr>
            </w:pPr>
            <w:r w:rsidRPr="00677489">
              <w:rPr>
                <w:rFonts w:cs="Calibri"/>
                <w:b/>
                <w:color w:val="000000"/>
              </w:rPr>
              <w:t>Total ‘High’ priority</w:t>
            </w:r>
          </w:p>
        </w:tc>
        <w:tc>
          <w:tcPr>
            <w:tcW w:w="0" w:type="auto"/>
            <w:tcBorders>
              <w:top w:val="single" w:sz="18" w:space="0" w:color="000000" w:themeColor="background2"/>
            </w:tcBorders>
            <w:shd w:val="clear" w:color="auto" w:fill="auto"/>
            <w:vAlign w:val="bottom"/>
          </w:tcPr>
          <w:p w14:paraId="5DFAE423" w14:textId="7EF08AB0" w:rsidR="009E4D99" w:rsidRPr="00677489" w:rsidRDefault="009E4D99" w:rsidP="00463B2D">
            <w:pPr>
              <w:jc w:val="center"/>
              <w:rPr>
                <w:rFonts w:cs="Calibri"/>
                <w:b/>
                <w:color w:val="000000"/>
              </w:rPr>
            </w:pPr>
            <w:r w:rsidRPr="00677489">
              <w:rPr>
                <w:rFonts w:cs="Calibri"/>
                <w:b/>
                <w:color w:val="000000"/>
              </w:rPr>
              <w:t>22</w:t>
            </w:r>
            <w:r w:rsidR="00D375CE">
              <w:rPr>
                <w:rFonts w:cs="Calibri"/>
                <w:b/>
                <w:color w:val="000000"/>
              </w:rPr>
              <w:t>4</w:t>
            </w:r>
            <w:r w:rsidR="00B3252A">
              <w:rPr>
                <w:rFonts w:cs="Calibri"/>
                <w:b/>
                <w:color w:val="000000"/>
              </w:rPr>
              <w:t>.00</w:t>
            </w:r>
          </w:p>
        </w:tc>
        <w:tc>
          <w:tcPr>
            <w:tcW w:w="0" w:type="auto"/>
            <w:tcBorders>
              <w:top w:val="single" w:sz="18" w:space="0" w:color="000000" w:themeColor="background2"/>
            </w:tcBorders>
          </w:tcPr>
          <w:p w14:paraId="7D0EF697" w14:textId="77777777" w:rsidR="009E4D99" w:rsidRPr="00677489" w:rsidRDefault="009E4D99" w:rsidP="00463B2D">
            <w:pPr>
              <w:jc w:val="center"/>
              <w:rPr>
                <w:rFonts w:cs="Calibri"/>
                <w:b/>
                <w:color w:val="000000"/>
              </w:rPr>
            </w:pPr>
            <w:r w:rsidRPr="00677489">
              <w:rPr>
                <w:rFonts w:cs="Calibri"/>
                <w:b/>
                <w:color w:val="000000"/>
              </w:rPr>
              <w:t>100%</w:t>
            </w:r>
          </w:p>
        </w:tc>
        <w:tc>
          <w:tcPr>
            <w:tcW w:w="0" w:type="auto"/>
            <w:tcBorders>
              <w:top w:val="single" w:sz="18" w:space="0" w:color="000000" w:themeColor="background2"/>
            </w:tcBorders>
            <w:vAlign w:val="bottom"/>
          </w:tcPr>
          <w:p w14:paraId="421703EE" w14:textId="77777777" w:rsidR="009E4D99" w:rsidRPr="00677489" w:rsidRDefault="009E4D99" w:rsidP="00463B2D">
            <w:pPr>
              <w:jc w:val="center"/>
              <w:rPr>
                <w:rFonts w:cs="Calibri"/>
                <w:b/>
                <w:color w:val="000000"/>
              </w:rPr>
            </w:pPr>
            <w:r w:rsidRPr="00677489">
              <w:rPr>
                <w:rFonts w:cs="Calibri"/>
                <w:b/>
                <w:color w:val="000000"/>
              </w:rPr>
              <w:t>12%</w:t>
            </w:r>
          </w:p>
        </w:tc>
        <w:tc>
          <w:tcPr>
            <w:tcW w:w="0" w:type="auto"/>
            <w:tcBorders>
              <w:top w:val="single" w:sz="18" w:space="0" w:color="000000" w:themeColor="background2"/>
            </w:tcBorders>
            <w:vAlign w:val="bottom"/>
          </w:tcPr>
          <w:p w14:paraId="07FE8BB8" w14:textId="77777777" w:rsidR="009E4D99" w:rsidRPr="00677489" w:rsidRDefault="002F231D" w:rsidP="00463B2D">
            <w:pPr>
              <w:jc w:val="center"/>
              <w:rPr>
                <w:rFonts w:cs="Calibri"/>
                <w:b/>
                <w:color w:val="000000"/>
              </w:rPr>
            </w:pPr>
            <w:r>
              <w:rPr>
                <w:rFonts w:cs="Calibri"/>
                <w:b/>
                <w:color w:val="000000"/>
              </w:rPr>
              <w:t>9%</w:t>
            </w:r>
          </w:p>
        </w:tc>
      </w:tr>
    </w:tbl>
    <w:p w14:paraId="5BA14C12" w14:textId="77777777" w:rsidR="00D22D22" w:rsidRPr="00A26B3B" w:rsidRDefault="009E4D99" w:rsidP="00A26B3B">
      <w:pPr>
        <w:pStyle w:val="Bodytextwithparaspace"/>
        <w:rPr>
          <w:sz w:val="18"/>
          <w:szCs w:val="18"/>
        </w:rPr>
      </w:pPr>
      <w:r w:rsidRPr="00A26B3B">
        <w:rPr>
          <w:sz w:val="18"/>
          <w:szCs w:val="18"/>
        </w:rPr>
        <w:t>^Adjusted for growth in the number of separations</w:t>
      </w:r>
    </w:p>
    <w:bookmarkEnd w:id="97"/>
    <w:p w14:paraId="55F041ED" w14:textId="14D44D94" w:rsidR="00951485" w:rsidRDefault="00157959">
      <w:pPr>
        <w:pStyle w:val="Bodytextwithparaspace"/>
      </w:pPr>
      <w:r w:rsidRPr="00951485">
        <w:t xml:space="preserve">A disproportionate amount of the growth in total benefits paid for this ‘High’ priority GM category </w:t>
      </w:r>
      <w:r w:rsidR="0046054D">
        <w:t>wa</w:t>
      </w:r>
      <w:r w:rsidRPr="00951485">
        <w:t xml:space="preserve">s due to a small number of individual billing codes. As at February 2020, there were 529 individual billing codes in the ‘High’ priority </w:t>
      </w:r>
      <w:r w:rsidR="00CC0B55" w:rsidRPr="00951485">
        <w:t xml:space="preserve">GM category. </w:t>
      </w:r>
      <w:r w:rsidR="008A3F0C" w:rsidRPr="00951485">
        <w:t>Out of these 529</w:t>
      </w:r>
      <w:r w:rsidR="00716D67" w:rsidRPr="00951485">
        <w:t xml:space="preserve">, just 10 </w:t>
      </w:r>
      <w:r w:rsidR="0024246E">
        <w:t>item</w:t>
      </w:r>
      <w:r w:rsidR="0024246E" w:rsidRPr="00951485">
        <w:t xml:space="preserve">s </w:t>
      </w:r>
      <w:r w:rsidR="00716D67" w:rsidRPr="00951485">
        <w:t xml:space="preserve">accounted for </w:t>
      </w:r>
      <w:r w:rsidR="00A9482C" w:rsidRPr="00951485">
        <w:t xml:space="preserve">70% of the </w:t>
      </w:r>
      <w:r w:rsidR="003D7030">
        <w:t xml:space="preserve">dollar </w:t>
      </w:r>
      <w:r w:rsidR="00A9482C" w:rsidRPr="00951485">
        <w:t xml:space="preserve">growth in total benefits over the five years from FY14 to FY19, despite only accounting for 27% of total benefits in FY14 (now up to 46% in FY19). This is summarised in </w:t>
      </w:r>
      <w:r w:rsidR="0070224D">
        <w:fldChar w:fldCharType="begin"/>
      </w:r>
      <w:r w:rsidR="0070224D">
        <w:instrText xml:space="preserve"> REF _Ref39053253 \h </w:instrText>
      </w:r>
      <w:r w:rsidR="0070224D">
        <w:fldChar w:fldCharType="separate"/>
      </w:r>
      <w:r w:rsidR="00784DE2">
        <w:t xml:space="preserve">Table </w:t>
      </w:r>
      <w:r w:rsidR="00784DE2">
        <w:rPr>
          <w:noProof/>
        </w:rPr>
        <w:t>10</w:t>
      </w:r>
      <w:r w:rsidR="0070224D">
        <w:fldChar w:fldCharType="end"/>
      </w:r>
      <w:r w:rsidR="00A87D81">
        <w:t xml:space="preserve"> </w:t>
      </w:r>
      <w:r w:rsidR="00A87D81">
        <w:fldChar w:fldCharType="begin"/>
      </w:r>
      <w:r w:rsidR="00A87D81">
        <w:instrText xml:space="preserve"> REF _Ref38538937 \p \h </w:instrText>
      </w:r>
      <w:r w:rsidR="00A87D81">
        <w:fldChar w:fldCharType="separate"/>
      </w:r>
      <w:r w:rsidR="00784DE2">
        <w:t>below</w:t>
      </w:r>
      <w:r w:rsidR="00A87D81">
        <w:fldChar w:fldCharType="end"/>
      </w:r>
      <w:r w:rsidR="00A9482C" w:rsidRPr="00951485">
        <w:t>.</w:t>
      </w:r>
    </w:p>
    <w:p w14:paraId="7D1E16CE" w14:textId="6C9F9753" w:rsidR="00951485" w:rsidRDefault="00951485" w:rsidP="00A26B3B">
      <w:pPr>
        <w:pStyle w:val="Caption"/>
        <w:keepNext/>
      </w:pPr>
      <w:bookmarkStart w:id="101" w:name="_Ref39053253"/>
      <w:r>
        <w:t xml:space="preserve">Table </w:t>
      </w:r>
      <w:bookmarkStart w:id="102" w:name="_Ref38538934"/>
      <w:r>
        <w:fldChar w:fldCharType="begin"/>
      </w:r>
      <w:r>
        <w:instrText xml:space="preserve"> SEQ Table \* ARABIC </w:instrText>
      </w:r>
      <w:r>
        <w:fldChar w:fldCharType="separate"/>
      </w:r>
      <w:r w:rsidR="00784DE2">
        <w:rPr>
          <w:noProof/>
        </w:rPr>
        <w:t>10</w:t>
      </w:r>
      <w:r>
        <w:fldChar w:fldCharType="end"/>
      </w:r>
      <w:bookmarkEnd w:id="101"/>
      <w:bookmarkEnd w:id="102"/>
      <w:r>
        <w:t xml:space="preserve"> – ‘High’ priority GM </w:t>
      </w:r>
      <w:r w:rsidR="002552E3">
        <w:t>–</w:t>
      </w:r>
      <w:r>
        <w:t xml:space="preserve"> </w:t>
      </w:r>
      <w:r w:rsidR="00A87D81">
        <w:t xml:space="preserve">Summary of growth for top </w:t>
      </w:r>
      <w:bookmarkStart w:id="103" w:name="_Ref38538937"/>
      <w:r w:rsidR="00A87D81">
        <w:t>10 items</w:t>
      </w:r>
      <w:bookmarkEnd w:id="103"/>
    </w:p>
    <w:tbl>
      <w:tblPr>
        <w:tblStyle w:val="TableGrid"/>
        <w:tblW w:w="0" w:type="auto"/>
        <w:tblBorders>
          <w:top w:val="single" w:sz="4" w:space="0" w:color="000000" w:themeColor="background2"/>
          <w:left w:val="single" w:sz="4" w:space="0" w:color="000000" w:themeColor="background2"/>
          <w:bottom w:val="single" w:sz="4" w:space="0" w:color="000000" w:themeColor="background2"/>
          <w:right w:val="single" w:sz="4" w:space="0" w:color="000000" w:themeColor="background2"/>
          <w:insideH w:val="single" w:sz="4" w:space="0" w:color="000000" w:themeColor="background2"/>
          <w:insideV w:val="single" w:sz="4" w:space="0" w:color="000000" w:themeColor="background2"/>
        </w:tblBorders>
        <w:tblLook w:val="04A0" w:firstRow="1" w:lastRow="0" w:firstColumn="1" w:lastColumn="0" w:noHBand="0" w:noVBand="1"/>
        <w:tblCaption w:val="Table 10 - High priority GM - Summary of growth for top 10 items"/>
        <w:tblDescription w:val="For the top 10 growth items in the high priority category:&#10;Proportion of total PL benefits FY 14: 27%&#10;Proportion of total PL benefits FY 19: 46%&#10;Proportion growth in PL benefits FY14 - FY19 ($m): 70%&#10;CAGR FY14 - FY19: 25%&#10;&#10;For the remaining items in the high priority category:&#10;Proportion of total PL benefits FY 14: 73%&#10;Proportion of total PL benefits FY 19: 54%&#10;Proportion growth in PL benefits FY14 - FY19 ($m): 30%&#10;CAGR FY14 - FY19: 6%&#10;"/>
      </w:tblPr>
      <w:tblGrid>
        <w:gridCol w:w="1696"/>
        <w:gridCol w:w="1280"/>
        <w:gridCol w:w="1414"/>
        <w:gridCol w:w="1559"/>
        <w:gridCol w:w="1984"/>
        <w:gridCol w:w="1086"/>
      </w:tblGrid>
      <w:tr w:rsidR="00951485" w:rsidRPr="003D6A70" w14:paraId="2AC6B9C7" w14:textId="77777777" w:rsidTr="00AF1D4E">
        <w:trPr>
          <w:tblHeader/>
        </w:trPr>
        <w:tc>
          <w:tcPr>
            <w:tcW w:w="1696" w:type="dxa"/>
            <w:shd w:val="clear" w:color="auto" w:fill="FFE600" w:themeFill="text2"/>
            <w:vAlign w:val="center"/>
          </w:tcPr>
          <w:p w14:paraId="065DEAC1" w14:textId="77777777" w:rsidR="00951485" w:rsidRPr="00AF1D4E" w:rsidRDefault="00951485" w:rsidP="003843B3">
            <w:pPr>
              <w:rPr>
                <w:b/>
              </w:rPr>
            </w:pPr>
            <w:r w:rsidRPr="00AF1D4E">
              <w:rPr>
                <w:b/>
              </w:rPr>
              <w:t>Group</w:t>
            </w:r>
          </w:p>
        </w:tc>
        <w:tc>
          <w:tcPr>
            <w:tcW w:w="1280" w:type="dxa"/>
            <w:shd w:val="clear" w:color="auto" w:fill="FFE600" w:themeFill="text2"/>
            <w:vAlign w:val="center"/>
          </w:tcPr>
          <w:p w14:paraId="5C03A2C9" w14:textId="77777777" w:rsidR="00951485" w:rsidRPr="00AF1D4E" w:rsidRDefault="00951485" w:rsidP="00AF1D4E">
            <w:pPr>
              <w:rPr>
                <w:rFonts w:cs="Calibri"/>
                <w:b/>
              </w:rPr>
            </w:pPr>
            <w:r w:rsidRPr="00AF1D4E">
              <w:rPr>
                <w:rFonts w:cs="Calibri"/>
                <w:b/>
              </w:rPr>
              <w:t>Proportion of total PL benefits</w:t>
            </w:r>
          </w:p>
          <w:p w14:paraId="1288ED76" w14:textId="77777777" w:rsidR="00951485" w:rsidRPr="00AF1D4E" w:rsidRDefault="00951485" w:rsidP="00AF1D4E">
            <w:pPr>
              <w:rPr>
                <w:rFonts w:cs="Calibri"/>
                <w:b/>
              </w:rPr>
            </w:pPr>
            <w:r w:rsidRPr="00AF1D4E">
              <w:rPr>
                <w:rFonts w:cs="Calibri"/>
                <w:b/>
              </w:rPr>
              <w:t>FY14</w:t>
            </w:r>
          </w:p>
        </w:tc>
        <w:tc>
          <w:tcPr>
            <w:tcW w:w="1414" w:type="dxa"/>
            <w:shd w:val="clear" w:color="auto" w:fill="FFE600" w:themeFill="text2"/>
            <w:vAlign w:val="center"/>
          </w:tcPr>
          <w:p w14:paraId="2A0A85AF" w14:textId="77777777" w:rsidR="00951485" w:rsidRPr="00AF1D4E" w:rsidRDefault="00951485" w:rsidP="00AF1D4E">
            <w:pPr>
              <w:rPr>
                <w:rFonts w:cs="Calibri"/>
                <w:b/>
              </w:rPr>
            </w:pPr>
            <w:r w:rsidRPr="00AF1D4E">
              <w:rPr>
                <w:rFonts w:cs="Calibri"/>
                <w:b/>
              </w:rPr>
              <w:t>Proportion of total PL benefits</w:t>
            </w:r>
          </w:p>
          <w:p w14:paraId="70B75ECA" w14:textId="77777777" w:rsidR="00951485" w:rsidRPr="00AF1D4E" w:rsidRDefault="00951485" w:rsidP="00AF1D4E">
            <w:pPr>
              <w:rPr>
                <w:rFonts w:cs="Calibri"/>
                <w:b/>
              </w:rPr>
            </w:pPr>
            <w:r w:rsidRPr="00AF1D4E">
              <w:rPr>
                <w:rFonts w:cs="Calibri"/>
                <w:b/>
              </w:rPr>
              <w:t>FY19</w:t>
            </w:r>
          </w:p>
        </w:tc>
        <w:tc>
          <w:tcPr>
            <w:tcW w:w="1559" w:type="dxa"/>
            <w:shd w:val="clear" w:color="auto" w:fill="FFE600" w:themeFill="text2"/>
            <w:vAlign w:val="center"/>
          </w:tcPr>
          <w:p w14:paraId="45BC71E1" w14:textId="77777777" w:rsidR="00951485" w:rsidRPr="00AF1D4E" w:rsidRDefault="00951485" w:rsidP="00AF1D4E">
            <w:pPr>
              <w:rPr>
                <w:rFonts w:cs="Calibri"/>
                <w:b/>
              </w:rPr>
            </w:pPr>
            <w:r w:rsidRPr="00AF1D4E">
              <w:rPr>
                <w:rFonts w:cs="Calibri"/>
                <w:b/>
              </w:rPr>
              <w:t>Total growth in PL benefits</w:t>
            </w:r>
          </w:p>
          <w:p w14:paraId="6969A060" w14:textId="77777777" w:rsidR="00951485" w:rsidRPr="00AF1D4E" w:rsidRDefault="00951485" w:rsidP="00AF1D4E">
            <w:pPr>
              <w:rPr>
                <w:rFonts w:cs="Calibri"/>
                <w:b/>
              </w:rPr>
            </w:pPr>
            <w:r w:rsidRPr="00AF1D4E">
              <w:rPr>
                <w:rFonts w:cs="Calibri"/>
                <w:b/>
              </w:rPr>
              <w:t>FY14 – FY19 ($m)</w:t>
            </w:r>
          </w:p>
        </w:tc>
        <w:tc>
          <w:tcPr>
            <w:tcW w:w="1984" w:type="dxa"/>
            <w:shd w:val="clear" w:color="auto" w:fill="FFE600" w:themeFill="text2"/>
            <w:vAlign w:val="center"/>
          </w:tcPr>
          <w:p w14:paraId="143A6256" w14:textId="77777777" w:rsidR="00951485" w:rsidRPr="00AF1D4E" w:rsidRDefault="00951485" w:rsidP="00AF1D4E">
            <w:pPr>
              <w:rPr>
                <w:rFonts w:cs="Calibri"/>
                <w:b/>
              </w:rPr>
            </w:pPr>
            <w:r w:rsidRPr="00AF1D4E">
              <w:rPr>
                <w:rFonts w:cs="Calibri"/>
                <w:b/>
              </w:rPr>
              <w:t>Proportion growth in PL benefits</w:t>
            </w:r>
          </w:p>
          <w:p w14:paraId="1EDB4075" w14:textId="77777777" w:rsidR="00951485" w:rsidRPr="00AF1D4E" w:rsidRDefault="00951485" w:rsidP="00AF1D4E">
            <w:pPr>
              <w:rPr>
                <w:rFonts w:cs="Calibri"/>
                <w:b/>
              </w:rPr>
            </w:pPr>
            <w:r w:rsidRPr="00AF1D4E">
              <w:rPr>
                <w:rFonts w:cs="Calibri"/>
                <w:b/>
              </w:rPr>
              <w:t>FY14 – FY19 ($m)</w:t>
            </w:r>
          </w:p>
        </w:tc>
        <w:tc>
          <w:tcPr>
            <w:tcW w:w="1086" w:type="dxa"/>
            <w:shd w:val="clear" w:color="auto" w:fill="FFE600" w:themeFill="text2"/>
            <w:vAlign w:val="center"/>
          </w:tcPr>
          <w:p w14:paraId="5C44795B" w14:textId="77777777" w:rsidR="00951485" w:rsidRPr="00AF1D4E" w:rsidRDefault="00951485" w:rsidP="00AF1D4E">
            <w:pPr>
              <w:rPr>
                <w:rFonts w:cs="Calibri"/>
                <w:b/>
              </w:rPr>
            </w:pPr>
            <w:r w:rsidRPr="00AF1D4E">
              <w:rPr>
                <w:rFonts w:cs="Calibri"/>
                <w:b/>
              </w:rPr>
              <w:t>CAGR</w:t>
            </w:r>
          </w:p>
          <w:p w14:paraId="49F08262" w14:textId="77777777" w:rsidR="00951485" w:rsidRPr="00AF1D4E" w:rsidRDefault="00951485" w:rsidP="00AF1D4E">
            <w:pPr>
              <w:rPr>
                <w:rFonts w:cs="Calibri"/>
                <w:b/>
              </w:rPr>
            </w:pPr>
            <w:r w:rsidRPr="00AF1D4E">
              <w:rPr>
                <w:rFonts w:cs="Calibri"/>
                <w:b/>
              </w:rPr>
              <w:t>FY14 – FY19</w:t>
            </w:r>
          </w:p>
        </w:tc>
      </w:tr>
      <w:tr w:rsidR="00951485" w:rsidRPr="003D6A70" w14:paraId="312AD18B" w14:textId="77777777" w:rsidTr="00A26B3B">
        <w:tc>
          <w:tcPr>
            <w:tcW w:w="1696" w:type="dxa"/>
            <w:tcBorders>
              <w:bottom w:val="single" w:sz="4" w:space="0" w:color="000000" w:themeColor="background2"/>
            </w:tcBorders>
            <w:shd w:val="clear" w:color="auto" w:fill="auto"/>
            <w:vAlign w:val="bottom"/>
          </w:tcPr>
          <w:p w14:paraId="24D1C868" w14:textId="77777777" w:rsidR="00951485" w:rsidRPr="003D6A70" w:rsidRDefault="00951485" w:rsidP="003843B3">
            <w:r>
              <w:t xml:space="preserve">Top 10 </w:t>
            </w:r>
            <w:r w:rsidR="00410D14">
              <w:t>growth</w:t>
            </w:r>
          </w:p>
        </w:tc>
        <w:tc>
          <w:tcPr>
            <w:tcW w:w="1280" w:type="dxa"/>
            <w:tcBorders>
              <w:bottom w:val="single" w:sz="4" w:space="0" w:color="000000" w:themeColor="background2"/>
            </w:tcBorders>
            <w:vAlign w:val="center"/>
          </w:tcPr>
          <w:p w14:paraId="1F0211B4" w14:textId="77777777" w:rsidR="00951485" w:rsidRPr="003D6A70" w:rsidRDefault="00951485">
            <w:pPr>
              <w:jc w:val="right"/>
              <w:rPr>
                <w:rFonts w:cs="Calibri"/>
                <w:color w:val="000000"/>
              </w:rPr>
            </w:pPr>
            <w:r>
              <w:rPr>
                <w:rFonts w:cs="Calibri"/>
                <w:color w:val="000000"/>
              </w:rPr>
              <w:t>27%</w:t>
            </w:r>
          </w:p>
        </w:tc>
        <w:tc>
          <w:tcPr>
            <w:tcW w:w="1414" w:type="dxa"/>
            <w:tcBorders>
              <w:bottom w:val="single" w:sz="4" w:space="0" w:color="000000" w:themeColor="background2"/>
            </w:tcBorders>
            <w:shd w:val="clear" w:color="auto" w:fill="auto"/>
            <w:vAlign w:val="center"/>
          </w:tcPr>
          <w:p w14:paraId="2D6DEAA7" w14:textId="77777777" w:rsidR="00951485" w:rsidRPr="003D6A70" w:rsidRDefault="00951485">
            <w:pPr>
              <w:jc w:val="right"/>
              <w:rPr>
                <w:rFonts w:cs="Calibri"/>
                <w:color w:val="000000"/>
              </w:rPr>
            </w:pPr>
            <w:r>
              <w:rPr>
                <w:rFonts w:cs="Calibri"/>
                <w:color w:val="000000"/>
              </w:rPr>
              <w:t>46%</w:t>
            </w:r>
          </w:p>
        </w:tc>
        <w:tc>
          <w:tcPr>
            <w:tcW w:w="1559" w:type="dxa"/>
            <w:tcBorders>
              <w:bottom w:val="single" w:sz="4" w:space="0" w:color="000000" w:themeColor="background2"/>
            </w:tcBorders>
            <w:vAlign w:val="center"/>
          </w:tcPr>
          <w:p w14:paraId="6CCFCE59" w14:textId="77777777" w:rsidR="00951485" w:rsidRPr="003D6A70" w:rsidRDefault="00951485">
            <w:pPr>
              <w:jc w:val="right"/>
              <w:rPr>
                <w:rFonts w:cs="Calibri"/>
                <w:color w:val="000000"/>
              </w:rPr>
            </w:pPr>
            <w:r>
              <w:rPr>
                <w:rFonts w:cs="Calibri"/>
                <w:color w:val="000000"/>
              </w:rPr>
              <w:t>68.5</w:t>
            </w:r>
          </w:p>
        </w:tc>
        <w:tc>
          <w:tcPr>
            <w:tcW w:w="1984" w:type="dxa"/>
            <w:tcBorders>
              <w:bottom w:val="single" w:sz="4" w:space="0" w:color="000000" w:themeColor="background2"/>
            </w:tcBorders>
            <w:vAlign w:val="center"/>
          </w:tcPr>
          <w:p w14:paraId="7B2C29AF" w14:textId="77777777" w:rsidR="00951485" w:rsidRDefault="00951485">
            <w:pPr>
              <w:jc w:val="right"/>
              <w:rPr>
                <w:rFonts w:cs="Calibri"/>
                <w:color w:val="000000"/>
              </w:rPr>
            </w:pPr>
            <w:r>
              <w:rPr>
                <w:rFonts w:cs="Calibri"/>
                <w:color w:val="000000"/>
              </w:rPr>
              <w:t>70%</w:t>
            </w:r>
          </w:p>
        </w:tc>
        <w:tc>
          <w:tcPr>
            <w:tcW w:w="1086" w:type="dxa"/>
            <w:tcBorders>
              <w:bottom w:val="single" w:sz="4" w:space="0" w:color="000000" w:themeColor="background2"/>
            </w:tcBorders>
            <w:vAlign w:val="center"/>
          </w:tcPr>
          <w:p w14:paraId="68481A6E" w14:textId="77777777" w:rsidR="00951485" w:rsidRDefault="00951485">
            <w:pPr>
              <w:jc w:val="right"/>
              <w:rPr>
                <w:rFonts w:cs="Calibri"/>
                <w:color w:val="000000"/>
              </w:rPr>
            </w:pPr>
            <w:r>
              <w:rPr>
                <w:rFonts w:cs="Calibri"/>
                <w:color w:val="000000"/>
              </w:rPr>
              <w:t>25%</w:t>
            </w:r>
          </w:p>
        </w:tc>
      </w:tr>
      <w:tr w:rsidR="00951485" w:rsidRPr="003D6A70" w14:paraId="6F90A44C" w14:textId="77777777" w:rsidTr="00A26B3B">
        <w:tc>
          <w:tcPr>
            <w:tcW w:w="1696" w:type="dxa"/>
            <w:tcBorders>
              <w:bottom w:val="single" w:sz="12" w:space="0" w:color="auto"/>
            </w:tcBorders>
            <w:shd w:val="clear" w:color="auto" w:fill="auto"/>
            <w:vAlign w:val="bottom"/>
          </w:tcPr>
          <w:p w14:paraId="52B58455" w14:textId="77777777" w:rsidR="00951485" w:rsidRPr="003D6A70" w:rsidRDefault="00951485" w:rsidP="003843B3">
            <w:r>
              <w:t>All other items</w:t>
            </w:r>
          </w:p>
        </w:tc>
        <w:tc>
          <w:tcPr>
            <w:tcW w:w="1280" w:type="dxa"/>
            <w:tcBorders>
              <w:bottom w:val="single" w:sz="12" w:space="0" w:color="auto"/>
            </w:tcBorders>
            <w:vAlign w:val="center"/>
          </w:tcPr>
          <w:p w14:paraId="18A28B9F" w14:textId="77777777" w:rsidR="00951485" w:rsidRPr="003D6A70" w:rsidRDefault="00951485">
            <w:pPr>
              <w:jc w:val="right"/>
              <w:rPr>
                <w:rFonts w:cs="Calibri"/>
                <w:color w:val="000000"/>
              </w:rPr>
            </w:pPr>
            <w:r>
              <w:rPr>
                <w:rFonts w:cs="Calibri"/>
                <w:color w:val="000000"/>
              </w:rPr>
              <w:t>73%</w:t>
            </w:r>
          </w:p>
        </w:tc>
        <w:tc>
          <w:tcPr>
            <w:tcW w:w="1414" w:type="dxa"/>
            <w:tcBorders>
              <w:bottom w:val="single" w:sz="12" w:space="0" w:color="auto"/>
            </w:tcBorders>
            <w:shd w:val="clear" w:color="auto" w:fill="auto"/>
            <w:vAlign w:val="center"/>
          </w:tcPr>
          <w:p w14:paraId="2ED304F7" w14:textId="77777777" w:rsidR="00951485" w:rsidRPr="003D6A70" w:rsidRDefault="00951485">
            <w:pPr>
              <w:jc w:val="right"/>
              <w:rPr>
                <w:rFonts w:cs="Calibri"/>
                <w:color w:val="000000"/>
              </w:rPr>
            </w:pPr>
            <w:r>
              <w:rPr>
                <w:rFonts w:cs="Calibri"/>
                <w:color w:val="000000"/>
              </w:rPr>
              <w:t>54%</w:t>
            </w:r>
          </w:p>
        </w:tc>
        <w:tc>
          <w:tcPr>
            <w:tcW w:w="1559" w:type="dxa"/>
            <w:tcBorders>
              <w:bottom w:val="single" w:sz="12" w:space="0" w:color="auto"/>
            </w:tcBorders>
            <w:vAlign w:val="center"/>
          </w:tcPr>
          <w:p w14:paraId="70724607" w14:textId="77777777" w:rsidR="00951485" w:rsidRPr="003D6A70" w:rsidRDefault="00951485">
            <w:pPr>
              <w:jc w:val="right"/>
              <w:rPr>
                <w:rFonts w:cs="Calibri"/>
                <w:color w:val="000000"/>
              </w:rPr>
            </w:pPr>
            <w:r>
              <w:rPr>
                <w:rFonts w:cs="Calibri"/>
                <w:color w:val="000000"/>
              </w:rPr>
              <w:t>29.5</w:t>
            </w:r>
          </w:p>
        </w:tc>
        <w:tc>
          <w:tcPr>
            <w:tcW w:w="1984" w:type="dxa"/>
            <w:tcBorders>
              <w:bottom w:val="single" w:sz="12" w:space="0" w:color="auto"/>
            </w:tcBorders>
            <w:vAlign w:val="center"/>
          </w:tcPr>
          <w:p w14:paraId="6AF573A0" w14:textId="77777777" w:rsidR="00951485" w:rsidRDefault="00951485">
            <w:pPr>
              <w:jc w:val="right"/>
              <w:rPr>
                <w:rFonts w:cs="Calibri"/>
                <w:color w:val="000000"/>
              </w:rPr>
            </w:pPr>
            <w:r>
              <w:rPr>
                <w:rFonts w:cs="Calibri"/>
                <w:color w:val="000000"/>
              </w:rPr>
              <w:t>30%</w:t>
            </w:r>
          </w:p>
        </w:tc>
        <w:tc>
          <w:tcPr>
            <w:tcW w:w="1086" w:type="dxa"/>
            <w:tcBorders>
              <w:bottom w:val="single" w:sz="12" w:space="0" w:color="auto"/>
            </w:tcBorders>
            <w:vAlign w:val="center"/>
          </w:tcPr>
          <w:p w14:paraId="6561AF58" w14:textId="77777777" w:rsidR="00951485" w:rsidRDefault="00951485">
            <w:pPr>
              <w:jc w:val="right"/>
              <w:rPr>
                <w:rFonts w:cs="Calibri"/>
                <w:color w:val="000000"/>
              </w:rPr>
            </w:pPr>
            <w:r>
              <w:rPr>
                <w:rFonts w:cs="Calibri"/>
                <w:color w:val="000000"/>
              </w:rPr>
              <w:t>6%</w:t>
            </w:r>
          </w:p>
        </w:tc>
      </w:tr>
      <w:tr w:rsidR="00951485" w:rsidRPr="003D6A70" w14:paraId="129CFD83" w14:textId="77777777" w:rsidTr="00A26B3B">
        <w:tc>
          <w:tcPr>
            <w:tcW w:w="1696" w:type="dxa"/>
            <w:tcBorders>
              <w:top w:val="single" w:sz="12" w:space="0" w:color="auto"/>
            </w:tcBorders>
            <w:shd w:val="clear" w:color="auto" w:fill="auto"/>
            <w:vAlign w:val="bottom"/>
          </w:tcPr>
          <w:p w14:paraId="1AFBF5F1" w14:textId="77777777" w:rsidR="00951485" w:rsidRPr="00A26B3B" w:rsidRDefault="00951485" w:rsidP="003843B3">
            <w:pPr>
              <w:rPr>
                <w:b/>
                <w:bCs/>
              </w:rPr>
            </w:pPr>
            <w:r w:rsidRPr="00A26B3B">
              <w:rPr>
                <w:b/>
                <w:bCs/>
              </w:rPr>
              <w:t>Total ‘High’ priority</w:t>
            </w:r>
          </w:p>
        </w:tc>
        <w:tc>
          <w:tcPr>
            <w:tcW w:w="1280" w:type="dxa"/>
            <w:tcBorders>
              <w:top w:val="single" w:sz="12" w:space="0" w:color="auto"/>
            </w:tcBorders>
            <w:vAlign w:val="center"/>
          </w:tcPr>
          <w:p w14:paraId="4F16DB9E" w14:textId="77777777" w:rsidR="00951485" w:rsidRPr="00A26B3B" w:rsidRDefault="00951485">
            <w:pPr>
              <w:jc w:val="right"/>
              <w:rPr>
                <w:rFonts w:cs="Calibri"/>
                <w:b/>
                <w:bCs/>
                <w:color w:val="000000"/>
              </w:rPr>
            </w:pPr>
            <w:r w:rsidRPr="00A26B3B">
              <w:rPr>
                <w:rFonts w:cs="Calibri"/>
                <w:b/>
                <w:bCs/>
                <w:color w:val="000000"/>
              </w:rPr>
              <w:t>100%</w:t>
            </w:r>
          </w:p>
        </w:tc>
        <w:tc>
          <w:tcPr>
            <w:tcW w:w="1414" w:type="dxa"/>
            <w:tcBorders>
              <w:top w:val="single" w:sz="12" w:space="0" w:color="auto"/>
            </w:tcBorders>
            <w:shd w:val="clear" w:color="auto" w:fill="auto"/>
            <w:vAlign w:val="center"/>
          </w:tcPr>
          <w:p w14:paraId="3AF417A9" w14:textId="77777777" w:rsidR="00951485" w:rsidRPr="00A26B3B" w:rsidRDefault="00951485">
            <w:pPr>
              <w:jc w:val="right"/>
              <w:rPr>
                <w:rFonts w:cs="Calibri"/>
                <w:b/>
                <w:bCs/>
                <w:color w:val="000000"/>
              </w:rPr>
            </w:pPr>
            <w:r w:rsidRPr="00A26B3B">
              <w:rPr>
                <w:rFonts w:cs="Calibri"/>
                <w:b/>
                <w:bCs/>
                <w:color w:val="000000"/>
              </w:rPr>
              <w:t>100%</w:t>
            </w:r>
          </w:p>
        </w:tc>
        <w:tc>
          <w:tcPr>
            <w:tcW w:w="1559" w:type="dxa"/>
            <w:tcBorders>
              <w:top w:val="single" w:sz="12" w:space="0" w:color="auto"/>
            </w:tcBorders>
            <w:vAlign w:val="center"/>
          </w:tcPr>
          <w:p w14:paraId="413C9160" w14:textId="77777777" w:rsidR="00951485" w:rsidRPr="00A26B3B" w:rsidRDefault="00951485">
            <w:pPr>
              <w:jc w:val="right"/>
              <w:rPr>
                <w:rFonts w:cs="Calibri"/>
                <w:b/>
                <w:bCs/>
                <w:color w:val="000000"/>
              </w:rPr>
            </w:pPr>
            <w:r w:rsidRPr="00A26B3B">
              <w:rPr>
                <w:rFonts w:cs="Calibri"/>
                <w:b/>
                <w:bCs/>
                <w:color w:val="000000"/>
              </w:rPr>
              <w:t>98.0</w:t>
            </w:r>
          </w:p>
        </w:tc>
        <w:tc>
          <w:tcPr>
            <w:tcW w:w="1984" w:type="dxa"/>
            <w:tcBorders>
              <w:top w:val="single" w:sz="12" w:space="0" w:color="auto"/>
            </w:tcBorders>
            <w:vAlign w:val="center"/>
          </w:tcPr>
          <w:p w14:paraId="4BA1E7B1" w14:textId="77777777" w:rsidR="00951485" w:rsidRPr="00A26B3B" w:rsidRDefault="00951485">
            <w:pPr>
              <w:jc w:val="right"/>
              <w:rPr>
                <w:rFonts w:cs="Calibri"/>
                <w:b/>
                <w:bCs/>
                <w:color w:val="000000"/>
              </w:rPr>
            </w:pPr>
            <w:r w:rsidRPr="00A26B3B">
              <w:rPr>
                <w:rFonts w:cs="Calibri"/>
                <w:b/>
                <w:bCs/>
                <w:color w:val="000000"/>
              </w:rPr>
              <w:t>100%</w:t>
            </w:r>
          </w:p>
        </w:tc>
        <w:tc>
          <w:tcPr>
            <w:tcW w:w="1086" w:type="dxa"/>
            <w:tcBorders>
              <w:top w:val="single" w:sz="12" w:space="0" w:color="auto"/>
            </w:tcBorders>
            <w:vAlign w:val="center"/>
          </w:tcPr>
          <w:p w14:paraId="1D4246A6" w14:textId="77777777" w:rsidR="00951485" w:rsidRPr="00A26B3B" w:rsidRDefault="00951485">
            <w:pPr>
              <w:jc w:val="right"/>
              <w:rPr>
                <w:rFonts w:cs="Calibri"/>
                <w:b/>
                <w:bCs/>
                <w:color w:val="000000"/>
              </w:rPr>
            </w:pPr>
            <w:r w:rsidRPr="00A26B3B">
              <w:rPr>
                <w:rFonts w:cs="Calibri"/>
                <w:b/>
                <w:bCs/>
                <w:color w:val="000000"/>
              </w:rPr>
              <w:t>12%</w:t>
            </w:r>
          </w:p>
        </w:tc>
      </w:tr>
    </w:tbl>
    <w:p w14:paraId="7184AF28" w14:textId="77777777" w:rsidR="006F348E" w:rsidRDefault="006F348E"/>
    <w:tbl>
      <w:tblPr>
        <w:tblStyle w:val="TableGrid"/>
        <w:tblW w:w="0" w:type="auto"/>
        <w:tblLook w:val="04A0" w:firstRow="1" w:lastRow="0" w:firstColumn="1" w:lastColumn="0" w:noHBand="0" w:noVBand="1"/>
        <w:tblCaption w:val="Finding 4.4.1"/>
        <w:tblDescription w:val="This table describes Finding 4.4.1&#10;The ‘High’ priority GM items were experiencing high growth in aggregate: beyond the growth in the number of procedures being performed and at a level suggestive that there may be inefficiencies and overuse.&#10;In the remainder of this review the items primarily responsible for driving this high growth were analysed. That items contributing to increased benefit payments were selected is therefore not biased in the sense that the effect of these items was far outweighing any items with an offsetting impact.&#10;"/>
      </w:tblPr>
      <w:tblGrid>
        <w:gridCol w:w="9019"/>
      </w:tblGrid>
      <w:tr w:rsidR="00DD5F06" w14:paraId="23309314" w14:textId="77777777" w:rsidTr="00A37319">
        <w:trPr>
          <w:tblHeader/>
        </w:trPr>
        <w:tc>
          <w:tcPr>
            <w:tcW w:w="9019" w:type="dxa"/>
            <w:shd w:val="clear" w:color="auto" w:fill="D2D2DA" w:themeFill="text1" w:themeFillTint="33"/>
          </w:tcPr>
          <w:p w14:paraId="2ED31A75" w14:textId="2F49A758" w:rsidR="00DD5F06" w:rsidRDefault="00DD5F06" w:rsidP="00DD5F06">
            <w:pPr>
              <w:pStyle w:val="Bodytextwithparaspace"/>
              <w:rPr>
                <w:b/>
              </w:rPr>
            </w:pPr>
            <w:r>
              <w:rPr>
                <w:b/>
              </w:rPr>
              <w:t xml:space="preserve">Finding </w:t>
            </w:r>
            <w:r w:rsidR="00DF09D0">
              <w:rPr>
                <w:b/>
              </w:rPr>
              <w:fldChar w:fldCharType="begin"/>
            </w:r>
            <w:r w:rsidR="00DF09D0">
              <w:rPr>
                <w:b/>
              </w:rPr>
              <w:instrText xml:space="preserve"> REF _Ref39053415 \w \h </w:instrText>
            </w:r>
            <w:r w:rsidR="00DF09D0">
              <w:rPr>
                <w:b/>
              </w:rPr>
            </w:r>
            <w:r w:rsidR="00DF09D0">
              <w:rPr>
                <w:b/>
              </w:rPr>
              <w:fldChar w:fldCharType="separate"/>
            </w:r>
            <w:r w:rsidR="00784DE2">
              <w:rPr>
                <w:b/>
              </w:rPr>
              <w:t>4.4.1</w:t>
            </w:r>
            <w:r w:rsidR="00DF09D0">
              <w:rPr>
                <w:b/>
              </w:rPr>
              <w:fldChar w:fldCharType="end"/>
            </w:r>
          </w:p>
          <w:p w14:paraId="73AAB997" w14:textId="786C3E99" w:rsidR="002679EA" w:rsidRDefault="002679EA" w:rsidP="00DD5F06">
            <w:pPr>
              <w:pStyle w:val="Bodytextwithparaspace"/>
            </w:pPr>
            <w:r>
              <w:t xml:space="preserve">The ‘High’ priority GM items </w:t>
            </w:r>
            <w:r w:rsidR="0046054D">
              <w:t xml:space="preserve">were </w:t>
            </w:r>
            <w:r>
              <w:t>experiencing high</w:t>
            </w:r>
            <w:r w:rsidR="00623249">
              <w:t xml:space="preserve"> growth in aggregate: beyond </w:t>
            </w:r>
            <w:r w:rsidR="004A3CA9">
              <w:t xml:space="preserve">the </w:t>
            </w:r>
            <w:r w:rsidR="00623249">
              <w:t xml:space="preserve">growth in the number of procedures being performed and </w:t>
            </w:r>
            <w:r w:rsidR="004A3CA9">
              <w:t xml:space="preserve">at a level suggestive that there </w:t>
            </w:r>
            <w:r w:rsidR="00871E66">
              <w:t>may be inefficiencies and overuse.</w:t>
            </w:r>
          </w:p>
          <w:p w14:paraId="779ED3CF" w14:textId="355B766E" w:rsidR="00DD5F06" w:rsidRPr="00A26B3B" w:rsidRDefault="0056039E" w:rsidP="00DD5F06">
            <w:pPr>
              <w:pStyle w:val="Bodytextwithparaspace"/>
            </w:pPr>
            <w:r>
              <w:t>In the remainder of this review</w:t>
            </w:r>
            <w:r w:rsidR="009B515B">
              <w:t xml:space="preserve"> the items </w:t>
            </w:r>
            <w:r w:rsidR="001055DE">
              <w:t>primarily responsible for driving this high growth</w:t>
            </w:r>
            <w:r w:rsidR="00B87334">
              <w:t xml:space="preserve"> </w:t>
            </w:r>
            <w:r w:rsidR="0046054D">
              <w:t xml:space="preserve">were </w:t>
            </w:r>
            <w:r w:rsidR="00B87334">
              <w:t>analysed</w:t>
            </w:r>
            <w:r w:rsidR="001055DE">
              <w:t xml:space="preserve">. That items </w:t>
            </w:r>
            <w:r w:rsidR="00700F7A">
              <w:t>contributing to increased benefit payments</w:t>
            </w:r>
            <w:r w:rsidR="001055DE">
              <w:t xml:space="preserve"> </w:t>
            </w:r>
            <w:r w:rsidR="0046054D">
              <w:t>were</w:t>
            </w:r>
            <w:r w:rsidR="00B87334">
              <w:t xml:space="preserve"> selected</w:t>
            </w:r>
            <w:r w:rsidR="001055DE">
              <w:t xml:space="preserve"> is therefore </w:t>
            </w:r>
            <w:r w:rsidR="00E8347A">
              <w:t>not biased in the sense that the</w:t>
            </w:r>
            <w:r w:rsidR="007D59EB">
              <w:t xml:space="preserve"> effect of these items </w:t>
            </w:r>
            <w:r w:rsidR="0046054D">
              <w:t xml:space="preserve">was </w:t>
            </w:r>
            <w:r w:rsidR="007D59EB">
              <w:t xml:space="preserve">far outweighing any items with an offsetting </w:t>
            </w:r>
            <w:r w:rsidR="00BE2518">
              <w:t>impact.</w:t>
            </w:r>
          </w:p>
        </w:tc>
      </w:tr>
    </w:tbl>
    <w:p w14:paraId="71380592" w14:textId="77777777" w:rsidR="001644A5" w:rsidRDefault="001726BC" w:rsidP="00DC2D55">
      <w:pPr>
        <w:pStyle w:val="EYHeading3"/>
      </w:pPr>
      <w:bookmarkStart w:id="104" w:name="_Ref38907184"/>
      <w:r>
        <w:t>Sudden</w:t>
      </w:r>
      <w:r w:rsidR="00EA4E7D">
        <w:t xml:space="preserve"> growth since listing</w:t>
      </w:r>
      <w:bookmarkEnd w:id="104"/>
    </w:p>
    <w:p w14:paraId="0D3A96F9" w14:textId="77777777" w:rsidR="00E122D6" w:rsidRDefault="00C56425">
      <w:pPr>
        <w:pStyle w:val="Bodytextwithparaspace"/>
      </w:pPr>
      <w:r w:rsidRPr="00A26B3B">
        <w:t>Sudden</w:t>
      </w:r>
      <w:r w:rsidR="0036314C" w:rsidRPr="00A45646">
        <w:t xml:space="preserve"> growth in usage within a group following the inclusion of a new product on the PL may indicate that</w:t>
      </w:r>
      <w:r w:rsidR="0036314C">
        <w:t xml:space="preserve"> the growth is driven by its availability on the PL and not due to changes in clinical needs. It may alternatively be indicative of </w:t>
      </w:r>
      <w:r w:rsidR="009B6859">
        <w:t>continued</w:t>
      </w:r>
      <w:r w:rsidR="0036314C">
        <w:t xml:space="preserve"> usage </w:t>
      </w:r>
      <w:r w:rsidR="0024246E">
        <w:t xml:space="preserve">of </w:t>
      </w:r>
      <w:r w:rsidR="009B6859">
        <w:t>an item that had previously been funded differently,</w:t>
      </w:r>
      <w:r w:rsidR="0036314C">
        <w:t xml:space="preserve"> or</w:t>
      </w:r>
      <w:r w:rsidR="009B6859">
        <w:t xml:space="preserve"> a transfer</w:t>
      </w:r>
      <w:r w:rsidR="0036314C">
        <w:t xml:space="preserve"> of usage from an alternative product on the PL.</w:t>
      </w:r>
    </w:p>
    <w:p w14:paraId="1BBE7559" w14:textId="77777777" w:rsidR="0036314C" w:rsidRDefault="0036314C" w:rsidP="00A26B3B">
      <w:pPr>
        <w:pStyle w:val="Bodytextwithparaspace"/>
      </w:pPr>
      <w:r>
        <w:t xml:space="preserve">Such transfers may not represent cause for concern where they are associated with improvements in clinical </w:t>
      </w:r>
      <w:r w:rsidR="00A571EC">
        <w:t>procedures and/</w:t>
      </w:r>
      <w:r>
        <w:t xml:space="preserve">or patient outcomes relative to any increase in cost. It is noted that differentiating between these causes is difficult without data on usage levels </w:t>
      </w:r>
      <w:r w:rsidR="006756D0">
        <w:t>(funded through alternative arrangements)</w:t>
      </w:r>
      <w:r>
        <w:t xml:space="preserve"> prior to an item’s introduction to the PL as a baseline. It is also noted that growth driven by availability of an item on the PL is not necessarily problematic where </w:t>
      </w:r>
      <w:r w:rsidR="00F94EF6">
        <w:t xml:space="preserve">the </w:t>
      </w:r>
      <w:r>
        <w:t xml:space="preserve">clinical need may not have </w:t>
      </w:r>
      <w:r w:rsidR="006756D0">
        <w:t>previously</w:t>
      </w:r>
      <w:r>
        <w:t xml:space="preserve"> been well-met by </w:t>
      </w:r>
      <w:r w:rsidR="00DB24E0">
        <w:t>the prior</w:t>
      </w:r>
      <w:r>
        <w:t xml:space="preserve"> funding arrangements and the resultant clinical benefit from increased usage is commensurate with its cost.  </w:t>
      </w:r>
    </w:p>
    <w:p w14:paraId="74A89538" w14:textId="4381BB1A" w:rsidR="0036314C" w:rsidRDefault="0036314C" w:rsidP="00A26B3B">
      <w:pPr>
        <w:pStyle w:val="Bodytextwithparaspace"/>
      </w:pPr>
      <w:r>
        <w:t xml:space="preserve">There </w:t>
      </w:r>
      <w:r w:rsidR="0046054D">
        <w:t xml:space="preserve">have been </w:t>
      </w:r>
      <w:r>
        <w:t xml:space="preserve">several instances evident in the ‘High’ priority GM category where levels of usage </w:t>
      </w:r>
      <w:r w:rsidR="00A54572">
        <w:t>increased</w:t>
      </w:r>
      <w:r>
        <w:t xml:space="preserve"> rapidly following an item’s introduction to the PL. These examples are discussed here to highlight incidences with a </w:t>
      </w:r>
      <w:r w:rsidR="00A86F81">
        <w:t>significant</w:t>
      </w:r>
      <w:r>
        <w:t xml:space="preserve"> potential for driving </w:t>
      </w:r>
      <w:r w:rsidR="00E92AFB">
        <w:t>inappropriately high benefit payments.</w:t>
      </w:r>
    </w:p>
    <w:p w14:paraId="027186E6" w14:textId="77777777" w:rsidR="00CE5889" w:rsidRPr="003D6A70" w:rsidRDefault="00CE5889" w:rsidP="000736A8">
      <w:pPr>
        <w:pStyle w:val="EYHeading4"/>
      </w:pPr>
      <w:r>
        <w:t>Internal Adhesives – Topical skin adhesives</w:t>
      </w:r>
    </w:p>
    <w:p w14:paraId="5850DB47" w14:textId="6708898E" w:rsidR="00D44688" w:rsidRDefault="00D44688" w:rsidP="00D44688">
      <w:pPr>
        <w:pStyle w:val="Bodytextwithparaspace"/>
        <w:rPr>
          <w:rFonts w:eastAsia="Calibri" w:cs="Calibri"/>
        </w:rPr>
      </w:pPr>
      <w:r>
        <w:t xml:space="preserve">Significant growth in usage and benefits for the GM category of the PL </w:t>
      </w:r>
      <w:r w:rsidR="0046054D">
        <w:t>was</w:t>
      </w:r>
      <w:r>
        <w:t xml:space="preserve"> driven by the introduction of topical skin adhesive products to the ’03.08.02 – Internal Adhesives’ group since February 2017. Following the introduction of these products, total benefits paid each year for the </w:t>
      </w:r>
      <w:bookmarkStart w:id="105" w:name="_Hlk46737750"/>
      <w:r>
        <w:t>‘</w:t>
      </w:r>
      <w:r w:rsidRPr="00E474B7">
        <w:rPr>
          <w:rFonts w:eastAsia="Calibri" w:cs="Calibri"/>
        </w:rPr>
        <w:t xml:space="preserve">03.08.02.01 - Adhesive </w:t>
      </w:r>
      <w:r w:rsidRPr="009876BC">
        <w:t>≤</w:t>
      </w:r>
      <w:r w:rsidRPr="00E474B7">
        <w:rPr>
          <w:rFonts w:eastAsia="Calibri" w:cs="Calibri"/>
        </w:rPr>
        <w:t>2ml</w:t>
      </w:r>
      <w:r>
        <w:rPr>
          <w:rFonts w:eastAsia="Calibri" w:cs="Calibri"/>
        </w:rPr>
        <w:t xml:space="preserve">’ </w:t>
      </w:r>
      <w:bookmarkEnd w:id="105"/>
      <w:r>
        <w:rPr>
          <w:rFonts w:eastAsia="Calibri" w:cs="Calibri"/>
        </w:rPr>
        <w:t xml:space="preserve">subgroup to which they belong </w:t>
      </w:r>
      <w:r w:rsidR="0046054D">
        <w:rPr>
          <w:rFonts w:eastAsia="Calibri" w:cs="Calibri"/>
        </w:rPr>
        <w:t>grew</w:t>
      </w:r>
      <w:r>
        <w:rPr>
          <w:rFonts w:eastAsia="Calibri" w:cs="Calibri"/>
        </w:rPr>
        <w:t xml:space="preserve"> by $15.6m, a 527% increase. Analysis of specific products within this subgroup indicates that this </w:t>
      </w:r>
      <w:r w:rsidR="0046054D">
        <w:rPr>
          <w:rFonts w:eastAsia="Calibri" w:cs="Calibri"/>
        </w:rPr>
        <w:t>was</w:t>
      </w:r>
      <w:r>
        <w:rPr>
          <w:rFonts w:eastAsia="Calibri" w:cs="Calibri"/>
        </w:rPr>
        <w:t xml:space="preserve"> almost entirely due to these topical skin adhesive products alone. </w:t>
      </w:r>
      <w:r w:rsidR="0024246E">
        <w:rPr>
          <w:rFonts w:eastAsia="Calibri" w:cs="Calibri"/>
        </w:rPr>
        <w:t xml:space="preserve">For further information refer to the case study in Section </w:t>
      </w:r>
      <w:r w:rsidR="0024246E">
        <w:rPr>
          <w:rFonts w:eastAsia="Calibri" w:cs="Calibri"/>
        </w:rPr>
        <w:fldChar w:fldCharType="begin"/>
      </w:r>
      <w:r w:rsidR="0024246E">
        <w:rPr>
          <w:rFonts w:eastAsia="Calibri" w:cs="Calibri"/>
        </w:rPr>
        <w:instrText xml:space="preserve"> REF _Ref39765291 \r \h </w:instrText>
      </w:r>
      <w:r w:rsidR="0024246E">
        <w:rPr>
          <w:rFonts w:eastAsia="Calibri" w:cs="Calibri"/>
        </w:rPr>
      </w:r>
      <w:r w:rsidR="0024246E">
        <w:rPr>
          <w:rFonts w:eastAsia="Calibri" w:cs="Calibri"/>
        </w:rPr>
        <w:fldChar w:fldCharType="separate"/>
      </w:r>
      <w:r w:rsidR="00784DE2">
        <w:rPr>
          <w:rFonts w:eastAsia="Calibri" w:cs="Calibri"/>
        </w:rPr>
        <w:t>5.2.1</w:t>
      </w:r>
      <w:r w:rsidR="0024246E">
        <w:rPr>
          <w:rFonts w:eastAsia="Calibri" w:cs="Calibri"/>
        </w:rPr>
        <w:fldChar w:fldCharType="end"/>
      </w:r>
      <w:r w:rsidR="0024246E">
        <w:rPr>
          <w:rFonts w:eastAsia="Calibri" w:cs="Calibri"/>
        </w:rPr>
        <w:t>.</w:t>
      </w:r>
    </w:p>
    <w:p w14:paraId="30F915B4" w14:textId="2B94DB60" w:rsidR="00D44688" w:rsidRPr="003D6A70" w:rsidRDefault="00D44688" w:rsidP="00D44688">
      <w:pPr>
        <w:pStyle w:val="Bodytextwithparaspace"/>
      </w:pPr>
      <w:r>
        <w:rPr>
          <w:rFonts w:eastAsia="Calibri" w:cs="Calibri"/>
        </w:rPr>
        <w:t xml:space="preserve">From consultation submissions and clinical </w:t>
      </w:r>
      <w:r w:rsidR="00DB435D">
        <w:rPr>
          <w:rFonts w:eastAsia="Calibri" w:cs="Calibri"/>
        </w:rPr>
        <w:t>subject matter resources</w:t>
      </w:r>
      <w:r>
        <w:rPr>
          <w:rFonts w:eastAsia="Calibri" w:cs="Calibri"/>
        </w:rPr>
        <w:t xml:space="preserve">, it is apparent that these products </w:t>
      </w:r>
      <w:r>
        <w:t>represent alternatives to other skin closure techniques such as skin sutures</w:t>
      </w:r>
      <w:r w:rsidR="0024246E">
        <w:t>,</w:t>
      </w:r>
      <w:r>
        <w:t xml:space="preserve"> which are covered under general hospital payment methods and have existed and been in wide use for many years prior to their introduction to the PL. </w:t>
      </w:r>
      <w:r w:rsidR="004713FE">
        <w:t>The review does not have access to usage data for these items prior to their inclusion on the PL, however</w:t>
      </w:r>
      <w:r>
        <w:t xml:space="preserve">, the substantial increase in a short period of time </w:t>
      </w:r>
      <w:r w:rsidR="0024246E">
        <w:t xml:space="preserve">suggests </w:t>
      </w:r>
      <w:r w:rsidR="004713FE">
        <w:t>that total benefits are now higher than might be possible (for equivalent clinical outcomes) through alternative funding mechanisms or with increased usage alternative products.</w:t>
      </w:r>
    </w:p>
    <w:p w14:paraId="5EC25BE0" w14:textId="77777777" w:rsidR="008C2752" w:rsidRDefault="00370973" w:rsidP="000736A8">
      <w:pPr>
        <w:pStyle w:val="EYHeading4"/>
      </w:pPr>
      <w:r>
        <w:t>Foam</w:t>
      </w:r>
    </w:p>
    <w:p w14:paraId="614B9722" w14:textId="3C73A5C8" w:rsidR="006F03A7" w:rsidRPr="004713FE" w:rsidRDefault="00F05FE1" w:rsidP="006F03A7">
      <w:pPr>
        <w:pStyle w:val="Bodytextwithparaspace"/>
      </w:pPr>
      <w:r>
        <w:t>‘Foam’ haemostatic devices were first introduced to the PL in February 2013</w:t>
      </w:r>
      <w:r w:rsidR="00236A26">
        <w:t xml:space="preserve">. </w:t>
      </w:r>
      <w:r w:rsidR="004C448B">
        <w:t xml:space="preserve">As shown in </w:t>
      </w:r>
      <w:r w:rsidR="004C448B">
        <w:fldChar w:fldCharType="begin"/>
      </w:r>
      <w:r w:rsidR="004C448B">
        <w:instrText xml:space="preserve"> REF _Ref38620705 \h </w:instrText>
      </w:r>
      <w:r w:rsidR="004C448B">
        <w:fldChar w:fldCharType="separate"/>
      </w:r>
      <w:r w:rsidR="00784DE2">
        <w:t xml:space="preserve">Figure </w:t>
      </w:r>
      <w:r w:rsidR="00784DE2">
        <w:rPr>
          <w:noProof/>
        </w:rPr>
        <w:t>8</w:t>
      </w:r>
      <w:r w:rsidR="004C448B">
        <w:fldChar w:fldCharType="end"/>
      </w:r>
      <w:r w:rsidR="004C448B">
        <w:t>, minimal usage was seen for the group until FY17</w:t>
      </w:r>
      <w:r w:rsidR="0065189A">
        <w:t xml:space="preserve"> following the introduction of </w:t>
      </w:r>
      <w:r w:rsidR="0028399C">
        <w:t xml:space="preserve">new </w:t>
      </w:r>
      <w:r w:rsidR="00B83F64">
        <w:t>products</w:t>
      </w:r>
      <w:r w:rsidR="00C20D73">
        <w:t xml:space="preserve"> on the PL</w:t>
      </w:r>
      <w:r w:rsidR="00F160F9">
        <w:t xml:space="preserve">. By the end of FY19, </w:t>
      </w:r>
      <w:r w:rsidR="00370482">
        <w:t xml:space="preserve">usage increased significantly to almost 15,000 items per year, up </w:t>
      </w:r>
      <w:r w:rsidR="007F65B3">
        <w:t>from under 100 items per year in FY16. This corresponded to an increase in benefits from under $10,000 per year to over $2.1m per year</w:t>
      </w:r>
      <w:r w:rsidR="004D2C5B">
        <w:t>, of which 98% was attributable to</w:t>
      </w:r>
      <w:r w:rsidR="00B83F64">
        <w:t xml:space="preserve"> one </w:t>
      </w:r>
      <w:r w:rsidR="005F593B">
        <w:t>product</w:t>
      </w:r>
      <w:r w:rsidR="004D2C5B">
        <w:t>.</w:t>
      </w:r>
      <w:r w:rsidR="004713FE">
        <w:t xml:space="preserve"> </w:t>
      </w:r>
      <w:r w:rsidR="004E4722">
        <w:rPr>
          <w:iCs/>
        </w:rPr>
        <w:t>Foam products were</w:t>
      </w:r>
      <w:r w:rsidR="004713FE">
        <w:t xml:space="preserve"> available for use in surgery prior to inclusion on the PL</w:t>
      </w:r>
      <w:r w:rsidR="008554D9">
        <w:t xml:space="preserve"> </w:t>
      </w:r>
      <w:r w:rsidR="004713FE">
        <w:t>but</w:t>
      </w:r>
      <w:r w:rsidR="008554D9">
        <w:t xml:space="preserve"> </w:t>
      </w:r>
      <w:r w:rsidR="004E4722">
        <w:t xml:space="preserve">were </w:t>
      </w:r>
      <w:r w:rsidR="008554D9">
        <w:t xml:space="preserve">funded as part of </w:t>
      </w:r>
      <w:r w:rsidR="00801C91">
        <w:t>case based or bundled payments</w:t>
      </w:r>
      <w:r w:rsidR="008554D9">
        <w:t>.</w:t>
      </w:r>
    </w:p>
    <w:p w14:paraId="2BF1EFBC" w14:textId="66E0CBC9" w:rsidR="003B3A46" w:rsidRDefault="0058503A">
      <w:pPr>
        <w:pStyle w:val="Bodytextwithparaspace"/>
      </w:pPr>
      <w:r>
        <w:t>In this instance, the listing of new products resulted in significant additional usage being created on the PL for a group that previously only had very limited usage</w:t>
      </w:r>
      <w:r w:rsidR="008A7C9C">
        <w:t xml:space="preserve">. </w:t>
      </w:r>
      <w:r w:rsidR="0083291B">
        <w:t xml:space="preserve">Consequently, this group made material contributions to the total annual benefits for the GM category in FY19. </w:t>
      </w:r>
      <w:r w:rsidR="009412A2">
        <w:t xml:space="preserve">Clinical </w:t>
      </w:r>
      <w:r w:rsidR="00DB435D">
        <w:t>subject matter resources</w:t>
      </w:r>
      <w:r w:rsidR="0024246E">
        <w:t xml:space="preserve"> </w:t>
      </w:r>
      <w:r w:rsidR="009412A2">
        <w:t>suggested that</w:t>
      </w:r>
      <w:r w:rsidR="00782DE0">
        <w:t xml:space="preserve"> due to its listing, there is a reasonable possibility that this </w:t>
      </w:r>
      <w:r w:rsidR="00A10DF7">
        <w:t xml:space="preserve">increase in usage is beyond reasonable clinical benefit. </w:t>
      </w:r>
    </w:p>
    <w:p w14:paraId="7B86C6DA" w14:textId="019315C5" w:rsidR="008C429D" w:rsidRDefault="0024246E" w:rsidP="008C429D">
      <w:pPr>
        <w:pStyle w:val="Bodytextwithparaspace"/>
      </w:pPr>
      <w:r>
        <w:t xml:space="preserve">It </w:t>
      </w:r>
      <w:r w:rsidR="0046054D">
        <w:t>was also</w:t>
      </w:r>
      <w:r>
        <w:t xml:space="preserve"> suggested in stakeholder consultation that </w:t>
      </w:r>
      <w:r w:rsidR="005C6C3D">
        <w:t xml:space="preserve">some of </w:t>
      </w:r>
      <w:r>
        <w:t>these items are available</w:t>
      </w:r>
      <w:r w:rsidR="00805EBD">
        <w:t xml:space="preserve"> internationally</w:t>
      </w:r>
      <w:r>
        <w:t xml:space="preserve"> at significantly lower prices</w:t>
      </w:r>
      <w:r w:rsidR="00805EBD">
        <w:t xml:space="preserve"> than the PL benefit amount of $142 per unit.</w:t>
      </w:r>
      <w:r w:rsidR="00805EBD" w:rsidDel="00805EBD">
        <w:t xml:space="preserve"> </w:t>
      </w:r>
    </w:p>
    <w:p w14:paraId="7C8784F0" w14:textId="77777777" w:rsidR="0058503A" w:rsidRPr="00F74175" w:rsidRDefault="00AC37B5" w:rsidP="00A26B3B">
      <w:pPr>
        <w:pStyle w:val="Bodytextwithparaspace"/>
      </w:pPr>
      <w:r>
        <w:t>As such</w:t>
      </w:r>
      <w:r w:rsidR="00E51EA7">
        <w:t xml:space="preserve">, </w:t>
      </w:r>
      <w:r w:rsidR="00C170A4">
        <w:t>’03.05.06 – Foam’ represents a group of high volume</w:t>
      </w:r>
      <w:r w:rsidR="007F4ADD">
        <w:t xml:space="preserve"> and potentially over-priced,</w:t>
      </w:r>
      <w:r w:rsidR="00C170A4">
        <w:t xml:space="preserve"> </w:t>
      </w:r>
      <w:r w:rsidR="009B2301">
        <w:t>co</w:t>
      </w:r>
      <w:r w:rsidR="00EB742A">
        <w:t>nsumables</w:t>
      </w:r>
      <w:r w:rsidR="00C170A4">
        <w:t xml:space="preserve"> </w:t>
      </w:r>
      <w:r w:rsidR="007A4164">
        <w:t xml:space="preserve">which may be </w:t>
      </w:r>
      <w:r w:rsidR="00364899">
        <w:t xml:space="preserve">susceptible to </w:t>
      </w:r>
      <w:r w:rsidR="00805EBD">
        <w:t>usage</w:t>
      </w:r>
      <w:r w:rsidR="00364899">
        <w:t xml:space="preserve"> </w:t>
      </w:r>
      <w:r w:rsidR="00C240E6">
        <w:t xml:space="preserve">inflation of use beyond clinical requirements. </w:t>
      </w:r>
    </w:p>
    <w:tbl>
      <w:tblPr>
        <w:tblStyle w:val="TableGrid"/>
        <w:tblW w:w="94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Figure 8 and Figure 9"/>
        <w:tblDescription w:val="This table presents Figure 8 - Foam - Total PL item usage and Figure 9 - Foam - Total PL benefits"/>
      </w:tblPr>
      <w:tblGrid>
        <w:gridCol w:w="4744"/>
        <w:gridCol w:w="4743"/>
      </w:tblGrid>
      <w:tr w:rsidR="00865AD3" w14:paraId="2EA6EFCF" w14:textId="77777777" w:rsidTr="00A37319">
        <w:trPr>
          <w:trHeight w:val="90"/>
          <w:tblHeader/>
        </w:trPr>
        <w:tc>
          <w:tcPr>
            <w:tcW w:w="4744" w:type="dxa"/>
          </w:tcPr>
          <w:p w14:paraId="7603F32E" w14:textId="6E0A0390" w:rsidR="00865AD3" w:rsidRDefault="00865AD3" w:rsidP="00CE673F">
            <w:pPr>
              <w:pStyle w:val="Caption"/>
              <w:keepNext/>
            </w:pPr>
            <w:bookmarkStart w:id="106" w:name="_Ref38620705"/>
            <w:r>
              <w:t xml:space="preserve">Figure </w:t>
            </w:r>
            <w:r w:rsidR="00FC6370">
              <w:fldChar w:fldCharType="begin"/>
            </w:r>
            <w:r w:rsidR="00FC6370">
              <w:instrText xml:space="preserve"> SEQ Figure \* </w:instrText>
            </w:r>
            <w:r w:rsidR="00FC6370">
              <w:instrText xml:space="preserve">ARABIC </w:instrText>
            </w:r>
            <w:r w:rsidR="00FC6370">
              <w:fldChar w:fldCharType="separate"/>
            </w:r>
            <w:r w:rsidR="00784DE2">
              <w:rPr>
                <w:noProof/>
              </w:rPr>
              <w:t>8</w:t>
            </w:r>
            <w:r w:rsidR="00FC6370">
              <w:rPr>
                <w:noProof/>
              </w:rPr>
              <w:fldChar w:fldCharType="end"/>
            </w:r>
            <w:bookmarkEnd w:id="106"/>
            <w:r>
              <w:t xml:space="preserve"> – Foam – Total PL item usage</w:t>
            </w:r>
          </w:p>
          <w:p w14:paraId="10951FA1" w14:textId="3F98C15C" w:rsidR="00CA4807" w:rsidRPr="00CA4807" w:rsidRDefault="00CA4807" w:rsidP="00E27FB1">
            <w:r>
              <w:rPr>
                <w:noProof/>
                <w:lang w:val="en-AU" w:eastAsia="en-AU"/>
              </w:rPr>
              <w:drawing>
                <wp:inline distT="0" distB="0" distL="0" distR="0" wp14:anchorId="558658FE" wp14:editId="69B962CC">
                  <wp:extent cx="2398542" cy="2071008"/>
                  <wp:effectExtent l="0" t="0" r="1905" b="5715"/>
                  <wp:docPr id="1651509375" name="Picture 1651509375" descr="This figure shows the increased utilisation of Foam across FY14-FY19" title="Figure 8 - Foam - Total PL item u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15557" cy="2085700"/>
                          </a:xfrm>
                          <a:prstGeom prst="rect">
                            <a:avLst/>
                          </a:prstGeom>
                          <a:noFill/>
                        </pic:spPr>
                      </pic:pic>
                    </a:graphicData>
                  </a:graphic>
                </wp:inline>
              </w:drawing>
            </w:r>
          </w:p>
        </w:tc>
        <w:tc>
          <w:tcPr>
            <w:tcW w:w="4743" w:type="dxa"/>
          </w:tcPr>
          <w:p w14:paraId="43EB16F7" w14:textId="7C55803B" w:rsidR="00865AD3" w:rsidRDefault="00865AD3" w:rsidP="00CE673F">
            <w:pPr>
              <w:pStyle w:val="Caption"/>
              <w:keepNext/>
            </w:pPr>
            <w:bookmarkStart w:id="107" w:name="_Ref38623511"/>
            <w:r>
              <w:t xml:space="preserve">Figure </w:t>
            </w:r>
            <w:r w:rsidR="00FC6370">
              <w:fldChar w:fldCharType="begin"/>
            </w:r>
            <w:r w:rsidR="00FC6370">
              <w:instrText xml:space="preserve"> SEQ Figure \* ARABIC </w:instrText>
            </w:r>
            <w:r w:rsidR="00FC6370">
              <w:fldChar w:fldCharType="separate"/>
            </w:r>
            <w:r w:rsidR="00784DE2">
              <w:rPr>
                <w:noProof/>
              </w:rPr>
              <w:t>9</w:t>
            </w:r>
            <w:r w:rsidR="00FC6370">
              <w:rPr>
                <w:noProof/>
              </w:rPr>
              <w:fldChar w:fldCharType="end"/>
            </w:r>
            <w:r>
              <w:t xml:space="preserve"> – Foam – Total PL benefits</w:t>
            </w:r>
            <w:bookmarkEnd w:id="107"/>
          </w:p>
          <w:p w14:paraId="2CDCD367" w14:textId="623EB9F7" w:rsidR="007C3160" w:rsidRPr="007C3160" w:rsidRDefault="00BC2234" w:rsidP="00E27FB1">
            <w:r>
              <w:rPr>
                <w:noProof/>
                <w:lang w:val="en-AU" w:eastAsia="en-AU"/>
              </w:rPr>
              <w:drawing>
                <wp:inline distT="0" distB="0" distL="0" distR="0" wp14:anchorId="0B266889" wp14:editId="4F079838">
                  <wp:extent cx="2355709" cy="2117188"/>
                  <wp:effectExtent l="0" t="0" r="6985" b="0"/>
                  <wp:docPr id="1942167649" name="Picture 1942167649" descr="Figure 9 shows increased benefits for Foam between FY14 and FY19" title="Figure9 - Foam - Total PL benef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71908" cy="2131747"/>
                          </a:xfrm>
                          <a:prstGeom prst="rect">
                            <a:avLst/>
                          </a:prstGeom>
                          <a:noFill/>
                        </pic:spPr>
                      </pic:pic>
                    </a:graphicData>
                  </a:graphic>
                </wp:inline>
              </w:drawing>
            </w:r>
          </w:p>
        </w:tc>
      </w:tr>
    </w:tbl>
    <w:p w14:paraId="554AA66C" w14:textId="77777777" w:rsidR="00BF745A" w:rsidRPr="003D6A70" w:rsidRDefault="001F2319" w:rsidP="006F348E">
      <w:pPr>
        <w:pStyle w:val="EYHeading4"/>
        <w:spacing w:before="240"/>
      </w:pPr>
      <w:r>
        <w:t>Staples, Reinforcer</w:t>
      </w:r>
    </w:p>
    <w:p w14:paraId="5645A916" w14:textId="4B45D948" w:rsidR="008554D9" w:rsidRDefault="002E7A21" w:rsidP="002E7A21">
      <w:pPr>
        <w:pStyle w:val="Bodytextwithparaspace"/>
      </w:pPr>
      <w:r>
        <w:t xml:space="preserve">Further significant growth in usage and benefits for the GM category of </w:t>
      </w:r>
      <w:r w:rsidR="00805EBD">
        <w:t>the</w:t>
      </w:r>
      <w:r>
        <w:t xml:space="preserve"> PL </w:t>
      </w:r>
      <w:r w:rsidR="00F63C5D">
        <w:t>was also</w:t>
      </w:r>
      <w:r>
        <w:t xml:space="preserve"> seen following the </w:t>
      </w:r>
      <w:r w:rsidR="00742AE2">
        <w:t xml:space="preserve">addition </w:t>
      </w:r>
      <w:r>
        <w:t xml:space="preserve">of a single new product to the ‘03.08.04.03 – Staples, Reinforcer’ subgroup of the ’03.08.04 – Staples &amp; Tackers’ group, part of the ’03.08 – Closure Devices’ subcategory. </w:t>
      </w:r>
      <w:r w:rsidR="00CB44D5">
        <w:t>One</w:t>
      </w:r>
      <w:r>
        <w:t xml:space="preserve"> </w:t>
      </w:r>
      <w:r w:rsidR="00805EBD">
        <w:t xml:space="preserve">item </w:t>
      </w:r>
      <w:r>
        <w:t>contributed almost $6.7m in benefits</w:t>
      </w:r>
      <w:r w:rsidR="006E7A44">
        <w:t xml:space="preserve"> within 11 months of its introduction to the list</w:t>
      </w:r>
      <w:r>
        <w:t xml:space="preserve">. </w:t>
      </w:r>
      <w:r w:rsidR="008554D9">
        <w:t>Again, this item was available for use in surgery prior to its inclusion on the PL but was funded as part of</w:t>
      </w:r>
      <w:r w:rsidR="00801C91">
        <w:t xml:space="preserve"> case based or bundled payments</w:t>
      </w:r>
      <w:r w:rsidR="008554D9">
        <w:t>.</w:t>
      </w:r>
    </w:p>
    <w:p w14:paraId="2BDF6F5A" w14:textId="6F305A05" w:rsidR="002E7A21" w:rsidRDefault="002E7A21" w:rsidP="002E7A21">
      <w:pPr>
        <w:pStyle w:val="Bodytextwithparaspace"/>
      </w:pPr>
      <w:r>
        <w:t xml:space="preserve">In this case, the listing of new products resulted in both an increase in </w:t>
      </w:r>
      <w:r w:rsidR="00805EBD">
        <w:t xml:space="preserve">usage </w:t>
      </w:r>
      <w:r>
        <w:t>and an increase in average benefit per item. This may be reflective of improvements in the technology and so may not be problematic if these improvements led to improved clinical outcomes.</w:t>
      </w:r>
    </w:p>
    <w:p w14:paraId="35BF9BAC" w14:textId="602B1197" w:rsidR="0060644F" w:rsidRPr="003D6A70" w:rsidRDefault="00E9136C" w:rsidP="000736A8">
      <w:pPr>
        <w:pStyle w:val="EYHeading4"/>
      </w:pPr>
      <w:r>
        <w:t>Staples, Non-bone with Disposable Applier</w:t>
      </w:r>
    </w:p>
    <w:p w14:paraId="1899B573" w14:textId="6CCBBF27" w:rsidR="009C4B7B" w:rsidRDefault="002E7A21" w:rsidP="009C4B7B">
      <w:pPr>
        <w:pStyle w:val="Bodytextwithparaspace"/>
      </w:pPr>
      <w:r>
        <w:t xml:space="preserve">The introduction of a single product resulted in a very significant and rapid increase in usage for the ’03.08.04.04 – Staples, Non-bone with Disposable Applier’ subgroup, a group which </w:t>
      </w:r>
      <w:r w:rsidR="00805EBD">
        <w:t>experienc</w:t>
      </w:r>
      <w:r w:rsidR="00F63C5D">
        <w:t>ed</w:t>
      </w:r>
      <w:r w:rsidR="00805EBD">
        <w:t xml:space="preserve"> </w:t>
      </w:r>
      <w:r>
        <w:t xml:space="preserve">decreases in </w:t>
      </w:r>
      <w:r w:rsidR="00805EBD">
        <w:t xml:space="preserve">usage </w:t>
      </w:r>
      <w:r>
        <w:t xml:space="preserve">and benefits </w:t>
      </w:r>
      <w:r w:rsidR="00805EBD">
        <w:t>paid previously</w:t>
      </w:r>
      <w:r>
        <w:t>.</w:t>
      </w:r>
    </w:p>
    <w:tbl>
      <w:tblPr>
        <w:tblStyle w:val="TableGrid"/>
        <w:tblW w:w="0" w:type="auto"/>
        <w:tblLook w:val="04A0" w:firstRow="1" w:lastRow="0" w:firstColumn="1" w:lastColumn="0" w:noHBand="0" w:noVBand="1"/>
        <w:tblCaption w:val="Finding 4.4.2"/>
        <w:tblDescription w:val="This table describes Finding 4.4.2:&#10;There have been a number of items which experienced significant and sustained growth in their usage since being listed. &#10;It seems likely that the growth in usage since their listing was driven by the availability of the product on the PL rather than by changes in clinical needs and it is evident that their listing significantly contributed to the overall growth in the GM category of the PL, with two products accounting for 18% of the growth in the ‘High’ priority GM benefits between FY14 and FY19. &#10;"/>
      </w:tblPr>
      <w:tblGrid>
        <w:gridCol w:w="9019"/>
      </w:tblGrid>
      <w:tr w:rsidR="00411B11" w14:paraId="12844227" w14:textId="77777777" w:rsidTr="00A37319">
        <w:trPr>
          <w:tblHeader/>
        </w:trPr>
        <w:tc>
          <w:tcPr>
            <w:tcW w:w="9019" w:type="dxa"/>
            <w:shd w:val="clear" w:color="auto" w:fill="D2D2DA" w:themeFill="text1" w:themeFillTint="33"/>
          </w:tcPr>
          <w:p w14:paraId="02CF48AC" w14:textId="6C3B9595" w:rsidR="002303A9" w:rsidRDefault="00411B11" w:rsidP="00411B11">
            <w:pPr>
              <w:pStyle w:val="Bodytextwithparaspace"/>
              <w:rPr>
                <w:b/>
              </w:rPr>
            </w:pPr>
            <w:r>
              <w:rPr>
                <w:b/>
              </w:rPr>
              <w:t xml:space="preserve">Finding </w:t>
            </w:r>
            <w:r>
              <w:rPr>
                <w:b/>
              </w:rPr>
              <w:fldChar w:fldCharType="begin"/>
            </w:r>
            <w:r>
              <w:rPr>
                <w:b/>
              </w:rPr>
              <w:instrText xml:space="preserve"> REF _Ref38907184 \r \h </w:instrText>
            </w:r>
            <w:r>
              <w:rPr>
                <w:b/>
              </w:rPr>
            </w:r>
            <w:r>
              <w:rPr>
                <w:b/>
              </w:rPr>
              <w:fldChar w:fldCharType="separate"/>
            </w:r>
            <w:r w:rsidR="00784DE2">
              <w:rPr>
                <w:b/>
              </w:rPr>
              <w:t>4.4.2</w:t>
            </w:r>
            <w:r>
              <w:rPr>
                <w:b/>
              </w:rPr>
              <w:fldChar w:fldCharType="end"/>
            </w:r>
          </w:p>
          <w:p w14:paraId="65239DC3" w14:textId="25E65255" w:rsidR="00CC7874" w:rsidRDefault="00176733" w:rsidP="00411B11">
            <w:pPr>
              <w:pStyle w:val="Bodytextwithparaspace"/>
            </w:pPr>
            <w:r w:rsidRPr="00A26B3B">
              <w:t xml:space="preserve">There </w:t>
            </w:r>
            <w:r w:rsidR="0005742E">
              <w:t xml:space="preserve">have been </w:t>
            </w:r>
            <w:r>
              <w:t xml:space="preserve">a number of items which experienced significant </w:t>
            </w:r>
            <w:r w:rsidR="002341C8">
              <w:t xml:space="preserve">and sustained </w:t>
            </w:r>
            <w:r>
              <w:t xml:space="preserve">growth in their usage since being listed. </w:t>
            </w:r>
          </w:p>
          <w:p w14:paraId="22683349" w14:textId="28595A5E" w:rsidR="00411B11" w:rsidRPr="00D56D8A" w:rsidRDefault="00BA11E4" w:rsidP="004E3140">
            <w:pPr>
              <w:pStyle w:val="Bodytextwithparaspace"/>
            </w:pPr>
            <w:r>
              <w:t xml:space="preserve">It </w:t>
            </w:r>
            <w:r w:rsidR="004E3140">
              <w:t xml:space="preserve">seems likely that </w:t>
            </w:r>
            <w:r w:rsidR="00E54E8C">
              <w:t xml:space="preserve">the growth in usage since their listing </w:t>
            </w:r>
            <w:r w:rsidR="00F63C5D">
              <w:t xml:space="preserve">was </w:t>
            </w:r>
            <w:r w:rsidR="00E54E8C">
              <w:t xml:space="preserve">driven by the availability of the product on the PL </w:t>
            </w:r>
            <w:r w:rsidR="004E3140">
              <w:t xml:space="preserve">rather than </w:t>
            </w:r>
            <w:r w:rsidR="00CE4C3C">
              <w:t xml:space="preserve">by </w:t>
            </w:r>
            <w:r w:rsidR="00E54E8C">
              <w:t>changes in clinical needs</w:t>
            </w:r>
            <w:r w:rsidR="004E3140">
              <w:t xml:space="preserve"> and </w:t>
            </w:r>
            <w:r w:rsidR="00E54E8C">
              <w:t>it is evident that their listing significantly contributed to the overall growth in the GM category of the PL, with</w:t>
            </w:r>
            <w:r>
              <w:t xml:space="preserve"> two products</w:t>
            </w:r>
            <w:r w:rsidR="00E54E8C">
              <w:t xml:space="preserve"> accounting for 18% of the growth in the ‘High’ priority GM </w:t>
            </w:r>
            <w:r w:rsidR="005B36B3">
              <w:t>benefits</w:t>
            </w:r>
            <w:r w:rsidR="00E54E8C">
              <w:t xml:space="preserve"> between FY14 and FY19.</w:t>
            </w:r>
            <w:r w:rsidR="00A420FD" w:rsidRPr="00D56D8A">
              <w:t xml:space="preserve"> </w:t>
            </w:r>
          </w:p>
        </w:tc>
      </w:tr>
    </w:tbl>
    <w:p w14:paraId="12F7602E" w14:textId="77777777" w:rsidR="00F979CF" w:rsidRPr="00F979CF" w:rsidRDefault="00F979CF" w:rsidP="00F979CF">
      <w:bookmarkStart w:id="108" w:name="_Ref38907991"/>
    </w:p>
    <w:p w14:paraId="00DC6F9B" w14:textId="77777777" w:rsidR="00F979CF" w:rsidRPr="00F979CF" w:rsidRDefault="00F979CF" w:rsidP="00F979CF">
      <w:r w:rsidRPr="00F979CF">
        <w:br w:type="page"/>
      </w:r>
    </w:p>
    <w:p w14:paraId="1D97624E" w14:textId="37317EDB" w:rsidR="007853EC" w:rsidRPr="007853EC" w:rsidRDefault="007853EC">
      <w:pPr>
        <w:pStyle w:val="EYHeading3"/>
      </w:pPr>
      <w:bookmarkStart w:id="109" w:name="_Ref59024223"/>
      <w:r>
        <w:t>Differential usage of compl</w:t>
      </w:r>
      <w:r w:rsidR="00E85ED4">
        <w:t>e</w:t>
      </w:r>
      <w:r>
        <w:t>mentary items</w:t>
      </w:r>
      <w:bookmarkEnd w:id="108"/>
      <w:bookmarkEnd w:id="109"/>
    </w:p>
    <w:p w14:paraId="53A31962" w14:textId="06EC9FE5" w:rsidR="00A93032" w:rsidRDefault="00542E81" w:rsidP="00542E81">
      <w:pPr>
        <w:pStyle w:val="Bodytextwithparaspace"/>
      </w:pPr>
      <w:r w:rsidRPr="00F6292E">
        <w:t>Differential use of high</w:t>
      </w:r>
      <w:r>
        <w:t>er</w:t>
      </w:r>
      <w:r w:rsidRPr="00F6292E">
        <w:t xml:space="preserve"> </w:t>
      </w:r>
      <w:r>
        <w:t>cost</w:t>
      </w:r>
      <w:r w:rsidRPr="00F6292E">
        <w:t xml:space="preserve"> items when a cheaper alternative is available suggests that the PL may</w:t>
      </w:r>
      <w:r w:rsidR="000D185A">
        <w:t xml:space="preserve"> not adequately dis</w:t>
      </w:r>
      <w:r w:rsidRPr="00F6292E">
        <w:t xml:space="preserve">incentivise </w:t>
      </w:r>
      <w:r w:rsidR="009D202E">
        <w:t xml:space="preserve">the </w:t>
      </w:r>
      <w:r w:rsidRPr="00F6292E">
        <w:t xml:space="preserve">use of items </w:t>
      </w:r>
      <w:r w:rsidR="009D202E">
        <w:t>that perform clinical roles in excess of what is required</w:t>
      </w:r>
      <w:r>
        <w:t>. Various case studies suggest that this occurred within the ‘High’ priority GM category.</w:t>
      </w:r>
    </w:p>
    <w:p w14:paraId="3311B6A5" w14:textId="77777777" w:rsidR="00D633B0" w:rsidRDefault="00A93032" w:rsidP="00A93032">
      <w:pPr>
        <w:pStyle w:val="Bodytextwithparaspace"/>
      </w:pPr>
      <w:r>
        <w:t xml:space="preserve">It is noted that there may be a number of reasons for an apparent preference for larger volume/size versions of some of these products, despite the accompanying increased cost. One potential factor that could drive this behaviour is the increased convenience afforded by use of a larger size than </w:t>
      </w:r>
      <w:r w:rsidR="009D202E">
        <w:t xml:space="preserve">is </w:t>
      </w:r>
      <w:r>
        <w:t xml:space="preserve">strictly needed, particularly in cases where the actual </w:t>
      </w:r>
      <w:r w:rsidR="00FC578C">
        <w:t>required size/</w:t>
      </w:r>
      <w:r>
        <w:t xml:space="preserve">volume needed is not known at the outset. It is also acknowledged that this added convenience might be considered as driving other secondary clinical and cost saving benefits such as through reductions in operating times. However, such secondary benefits are hard to quantify and verify without </w:t>
      </w:r>
      <w:r w:rsidR="009D202E">
        <w:t xml:space="preserve">detailed and </w:t>
      </w:r>
      <w:r>
        <w:t xml:space="preserve">targeted </w:t>
      </w:r>
      <w:r w:rsidR="009D202E">
        <w:t>analysis</w:t>
      </w:r>
      <w:r>
        <w:t xml:space="preserve">. </w:t>
      </w:r>
    </w:p>
    <w:p w14:paraId="49989CF3" w14:textId="77777777" w:rsidR="004D6D6E" w:rsidRDefault="00CA2AFB" w:rsidP="000736A8">
      <w:pPr>
        <w:pStyle w:val="EYHeading4"/>
      </w:pPr>
      <w:r>
        <w:t>Matrix</w:t>
      </w:r>
    </w:p>
    <w:p w14:paraId="7EC9FB47" w14:textId="51ED6CE6" w:rsidR="00F566C0" w:rsidRDefault="00F554ED" w:rsidP="003517E7">
      <w:pPr>
        <w:pStyle w:val="Bodytextwithparaspace"/>
      </w:pPr>
      <w:r>
        <w:t>Within the ’03.05.05 – Matrix’ group of GM products</w:t>
      </w:r>
      <w:r w:rsidR="00232EB0">
        <w:t xml:space="preserve"> there </w:t>
      </w:r>
      <w:r w:rsidR="00F63C5D">
        <w:t xml:space="preserve">were </w:t>
      </w:r>
      <w:r w:rsidR="00232EB0">
        <w:t xml:space="preserve">clear, large differentials in the relative levels of usage </w:t>
      </w:r>
      <w:r w:rsidR="006931F7">
        <w:t>between</w:t>
      </w:r>
      <w:r w:rsidR="00232EB0">
        <w:t xml:space="preserve"> </w:t>
      </w:r>
      <w:r w:rsidR="000D34F7">
        <w:t>the different size subgroups</w:t>
      </w:r>
      <w:r w:rsidR="00985C60">
        <w:t>.</w:t>
      </w:r>
      <w:r w:rsidR="000D34F7">
        <w:t xml:space="preserve"> </w:t>
      </w:r>
      <w:r w:rsidR="00985C60">
        <w:t xml:space="preserve">This </w:t>
      </w:r>
      <w:r w:rsidR="001F221B">
        <w:t>appear</w:t>
      </w:r>
      <w:r w:rsidR="00985C60">
        <w:t>s</w:t>
      </w:r>
      <w:r w:rsidR="001F221B">
        <w:t xml:space="preserve"> to </w:t>
      </w:r>
      <w:r w:rsidR="00F63C5D">
        <w:t xml:space="preserve">have driven </w:t>
      </w:r>
      <w:r w:rsidR="006931F7">
        <w:t xml:space="preserve">higher benefits than might otherwise be necessary. </w:t>
      </w:r>
      <w:r w:rsidR="00B168C7">
        <w:t xml:space="preserve">This </w:t>
      </w:r>
      <w:r w:rsidR="00F63C5D">
        <w:t>was</w:t>
      </w:r>
      <w:r w:rsidR="00B168C7">
        <w:t xml:space="preserve"> seen in particular for the liquid subgroups of matrix products</w:t>
      </w:r>
      <w:r w:rsidR="00DB5C61">
        <w:t>, which comprise</w:t>
      </w:r>
      <w:r w:rsidR="00F63C5D">
        <w:t>d</w:t>
      </w:r>
      <w:r w:rsidR="00DB5C61">
        <w:t xml:space="preserve"> the largest drivers of benefits for the group</w:t>
      </w:r>
      <w:r w:rsidR="001E7D89">
        <w:t xml:space="preserve">. In </w:t>
      </w:r>
      <w:r w:rsidR="00BF2916">
        <w:t>this</w:t>
      </w:r>
      <w:r w:rsidR="001E7D89">
        <w:t xml:space="preserve"> case, </w:t>
      </w:r>
      <w:r w:rsidR="008C7180">
        <w:t xml:space="preserve">there </w:t>
      </w:r>
      <w:r w:rsidR="00F63C5D">
        <w:t>were</w:t>
      </w:r>
      <w:r w:rsidR="008C7180">
        <w:t xml:space="preserve"> significant trends towards greater relative usage of the larger volume</w:t>
      </w:r>
      <w:r w:rsidR="00727682">
        <w:t>, more expensive</w:t>
      </w:r>
      <w:r w:rsidR="008C7180">
        <w:t xml:space="preserve"> items over the period from FY14 through FY19. </w:t>
      </w:r>
    </w:p>
    <w:p w14:paraId="25B9CD4D" w14:textId="63B4449C" w:rsidR="00555A7C" w:rsidRPr="00EC639E" w:rsidRDefault="00D50A8D" w:rsidP="00191BA4">
      <w:pPr>
        <w:pStyle w:val="Bodytextwithparaspace"/>
      </w:pPr>
      <w:r>
        <w:t xml:space="preserve">This apparent strong and increasing preference for the larger, more expensive varieties </w:t>
      </w:r>
      <w:r w:rsidR="00482049">
        <w:t>does not appear to be adequately explained by pure clinical need</w:t>
      </w:r>
      <w:r w:rsidR="00961F5A">
        <w:t xml:space="preserve">. As a result, it </w:t>
      </w:r>
      <w:r w:rsidR="00482049">
        <w:t xml:space="preserve">may be indicative of </w:t>
      </w:r>
      <w:r w:rsidR="00B410C8">
        <w:t xml:space="preserve">the impact of a lack of disincentives against usage of larger </w:t>
      </w:r>
      <w:r w:rsidR="003517E7">
        <w:t>volumes when not necessarily required</w:t>
      </w:r>
      <w:r w:rsidR="00F566C0">
        <w:t>, leading to wastage and contributing to higher benefits being paid.</w:t>
      </w:r>
      <w:r w:rsidR="00F5739D">
        <w:t xml:space="preserve"> </w:t>
      </w:r>
      <w:r w:rsidR="00B410C8">
        <w:t>This is di</w:t>
      </w:r>
      <w:r w:rsidR="00F566C0">
        <w:t>s</w:t>
      </w:r>
      <w:r w:rsidR="00B410C8">
        <w:t xml:space="preserve">cussed in greater detail in </w:t>
      </w:r>
      <w:r w:rsidR="003517E7">
        <w:t>the case study ‘</w:t>
      </w:r>
      <w:r w:rsidR="00BB1540">
        <w:fldChar w:fldCharType="begin"/>
      </w:r>
      <w:r w:rsidR="00BB1540">
        <w:instrText xml:space="preserve"> REF _Ref39420781 \h </w:instrText>
      </w:r>
      <w:r w:rsidR="00BB1540">
        <w:fldChar w:fldCharType="separate"/>
      </w:r>
      <w:r w:rsidR="00784DE2">
        <w:t>Matrix</w:t>
      </w:r>
      <w:r w:rsidR="00BB1540">
        <w:fldChar w:fldCharType="end"/>
      </w:r>
      <w:r w:rsidR="003517E7">
        <w:t xml:space="preserve">’ in Section </w:t>
      </w:r>
      <w:r w:rsidR="00BB1540">
        <w:fldChar w:fldCharType="begin"/>
      </w:r>
      <w:r w:rsidR="00BB1540">
        <w:instrText xml:space="preserve"> REF _Ref39420781 \w \h </w:instrText>
      </w:r>
      <w:r w:rsidR="00BB1540">
        <w:fldChar w:fldCharType="separate"/>
      </w:r>
      <w:r w:rsidR="00784DE2">
        <w:t>5.4</w:t>
      </w:r>
      <w:r w:rsidR="00BB1540">
        <w:fldChar w:fldCharType="end"/>
      </w:r>
      <w:r w:rsidR="003517E7">
        <w:t>.</w:t>
      </w:r>
      <w:r w:rsidR="003517E7" w:rsidRPr="00EC639E">
        <w:t xml:space="preserve"> </w:t>
      </w:r>
    </w:p>
    <w:p w14:paraId="6405DC36" w14:textId="77777777" w:rsidR="00003BCF" w:rsidRDefault="00003BCF" w:rsidP="000736A8">
      <w:pPr>
        <w:pStyle w:val="EYHeading4"/>
      </w:pPr>
      <w:r>
        <w:t>Pliable Patches</w:t>
      </w:r>
    </w:p>
    <w:p w14:paraId="4FDDEA45" w14:textId="734FD814" w:rsidR="002D68DE" w:rsidRDefault="00C4173C" w:rsidP="002D68DE">
      <w:pPr>
        <w:pStyle w:val="Bodytextwithparaspace"/>
      </w:pPr>
      <w:r>
        <w:t>A similar situation can be seen for the ’03.05.04 – Pliable Patches’ group</w:t>
      </w:r>
      <w:r w:rsidR="008A2B94">
        <w:t>. Within this group, there are three subgroups d</w:t>
      </w:r>
      <w:r w:rsidR="00515211">
        <w:t xml:space="preserve">ifferentiated according to the size of the patches, namely ’03.05.04.01 – Absorbable </w:t>
      </w:r>
      <w:r w:rsidR="00515211">
        <w:rPr>
          <w:rFonts w:ascii="Times New Roman" w:hAnsi="Times New Roman"/>
        </w:rPr>
        <w:t>≤</w:t>
      </w:r>
      <w:r w:rsidR="00515211">
        <w:t>50cm</w:t>
      </w:r>
      <w:r w:rsidR="00515211" w:rsidRPr="00A26B3B">
        <w:rPr>
          <w:vertAlign w:val="superscript"/>
        </w:rPr>
        <w:t>2</w:t>
      </w:r>
      <w:r w:rsidR="00515211">
        <w:t>’, ’03.05.04.02 – Absorbable 51cm</w:t>
      </w:r>
      <w:r w:rsidR="00515211" w:rsidRPr="00A26B3B">
        <w:rPr>
          <w:vertAlign w:val="superscript"/>
        </w:rPr>
        <w:t>2</w:t>
      </w:r>
      <w:r w:rsidR="00515211">
        <w:t xml:space="preserve"> – 75cm</w:t>
      </w:r>
      <w:r w:rsidR="00515211" w:rsidRPr="00A26B3B">
        <w:rPr>
          <w:vertAlign w:val="superscript"/>
        </w:rPr>
        <w:t>2</w:t>
      </w:r>
      <w:r w:rsidR="00515211">
        <w:t>’ and ’03.05.04.03 – Absorbable &gt;75cm</w:t>
      </w:r>
      <w:r w:rsidR="00515211" w:rsidRPr="00A26B3B">
        <w:rPr>
          <w:vertAlign w:val="superscript"/>
        </w:rPr>
        <w:t>2</w:t>
      </w:r>
      <w:r w:rsidR="00515211">
        <w:t>’</w:t>
      </w:r>
      <w:r w:rsidR="00EC0E9E">
        <w:t xml:space="preserve">, with average benefits ranging from $30 to $74 between these subgroups (discussed further in Section </w:t>
      </w:r>
      <w:r w:rsidR="00EC0E9E">
        <w:fldChar w:fldCharType="begin"/>
      </w:r>
      <w:r w:rsidR="00EC0E9E">
        <w:instrText xml:space="preserve"> REF _Ref39073392 \w \h </w:instrText>
      </w:r>
      <w:r w:rsidR="00EC0E9E">
        <w:fldChar w:fldCharType="separate"/>
      </w:r>
      <w:r w:rsidR="00784DE2">
        <w:t>4.5.3</w:t>
      </w:r>
      <w:r w:rsidR="00EC0E9E">
        <w:fldChar w:fldCharType="end"/>
      </w:r>
      <w:r w:rsidR="00EC0E9E">
        <w:t>)</w:t>
      </w:r>
      <w:r w:rsidR="00515211">
        <w:t xml:space="preserve">. </w:t>
      </w:r>
      <w:r w:rsidR="00CA414B">
        <w:fldChar w:fldCharType="begin"/>
      </w:r>
      <w:r w:rsidR="00CA414B">
        <w:instrText xml:space="preserve"> REF _Ref38642912 \h </w:instrText>
      </w:r>
      <w:r w:rsidR="00CA414B">
        <w:fldChar w:fldCharType="separate"/>
      </w:r>
      <w:r w:rsidR="00784DE2">
        <w:t xml:space="preserve">Figure </w:t>
      </w:r>
      <w:r w:rsidR="00784DE2">
        <w:rPr>
          <w:noProof/>
        </w:rPr>
        <w:t>10</w:t>
      </w:r>
      <w:r w:rsidR="00CA414B">
        <w:fldChar w:fldCharType="end"/>
      </w:r>
      <w:r w:rsidR="000C2C76">
        <w:t xml:space="preserve"> </w:t>
      </w:r>
      <w:r w:rsidR="00B85B6B">
        <w:t>shows</w:t>
      </w:r>
      <w:r w:rsidR="0092012A">
        <w:t xml:space="preserve"> </w:t>
      </w:r>
      <w:r w:rsidR="00C73910">
        <w:t xml:space="preserve">that </w:t>
      </w:r>
      <w:r w:rsidR="000C2C76">
        <w:t>usage</w:t>
      </w:r>
      <w:r w:rsidR="0092012A">
        <w:t xml:space="preserve"> per separation </w:t>
      </w:r>
      <w:r w:rsidR="00F63C5D">
        <w:t xml:space="preserve">did </w:t>
      </w:r>
      <w:r w:rsidR="0092012A">
        <w:t xml:space="preserve">not </w:t>
      </w:r>
      <w:r w:rsidR="00C73910">
        <w:t>increase</w:t>
      </w:r>
      <w:r w:rsidR="00AB2AA8">
        <w:t xml:space="preserve"> significantly</w:t>
      </w:r>
      <w:r w:rsidR="00C73910">
        <w:t xml:space="preserve"> </w:t>
      </w:r>
      <w:r w:rsidR="0092012A">
        <w:t>for this group since FY1</w:t>
      </w:r>
      <w:r w:rsidR="00FA0BB0">
        <w:t>4</w:t>
      </w:r>
      <w:r w:rsidR="0092012A">
        <w:t xml:space="preserve">. </w:t>
      </w:r>
      <w:r w:rsidR="008A2B94">
        <w:t xml:space="preserve">However, it is apparent that usage of </w:t>
      </w:r>
      <w:r w:rsidR="00515211">
        <w:t xml:space="preserve">the smaller sized patches </w:t>
      </w:r>
      <w:r w:rsidR="00B74F9F">
        <w:t>decrease</w:t>
      </w:r>
      <w:r w:rsidR="00D833A5">
        <w:t>d</w:t>
      </w:r>
      <w:r w:rsidR="00B74F9F">
        <w:t xml:space="preserve"> </w:t>
      </w:r>
      <w:r w:rsidR="00E56701">
        <w:t xml:space="preserve">alongside </w:t>
      </w:r>
      <w:r w:rsidR="00B74F9F">
        <w:t xml:space="preserve">significant increases in usage of the two </w:t>
      </w:r>
      <w:r w:rsidR="00966CA0">
        <w:t xml:space="preserve">subgroups of </w:t>
      </w:r>
      <w:r w:rsidR="00B74F9F">
        <w:t>larger sized patches.</w:t>
      </w:r>
      <w:r w:rsidR="00B817C0">
        <w:t xml:space="preserve"> </w:t>
      </w:r>
      <w:r w:rsidR="00F05947">
        <w:t>As a result, t</w:t>
      </w:r>
      <w:r w:rsidR="00B817C0">
        <w:t xml:space="preserve">otal benefits </w:t>
      </w:r>
      <w:r w:rsidR="00EC6AA0">
        <w:t xml:space="preserve">for the group </w:t>
      </w:r>
      <w:r w:rsidR="00D833A5">
        <w:t>increased</w:t>
      </w:r>
      <w:r w:rsidR="00B817C0">
        <w:t xml:space="preserve"> faster</w:t>
      </w:r>
      <w:r w:rsidR="00EC6AA0">
        <w:t xml:space="preserve"> than utilisation</w:t>
      </w:r>
      <w:r w:rsidR="00960EC2">
        <w:t xml:space="preserve"> </w:t>
      </w:r>
      <w:r w:rsidR="00302023">
        <w:t xml:space="preserve">due to </w:t>
      </w:r>
      <w:r w:rsidR="00063088">
        <w:t xml:space="preserve">the </w:t>
      </w:r>
      <w:r w:rsidR="009F023A">
        <w:t>growth in utilisation being greater in the more expensive versions</w:t>
      </w:r>
      <w:r w:rsidR="00130C27">
        <w:t xml:space="preserve">. </w:t>
      </w:r>
      <w:r w:rsidR="00E84CE3">
        <w:t xml:space="preserve">This is reflective of </w:t>
      </w:r>
      <w:r w:rsidR="002D68DE">
        <w:t xml:space="preserve">how </w:t>
      </w:r>
      <w:r w:rsidR="00F05947">
        <w:t xml:space="preserve">significant differences in the benefit amounts per item between </w:t>
      </w:r>
      <w:r w:rsidR="002D68DE">
        <w:t xml:space="preserve">similar products </w:t>
      </w:r>
      <w:r w:rsidR="00DF6EE4">
        <w:t xml:space="preserve">can lead to </w:t>
      </w:r>
      <w:r w:rsidR="00CD6301">
        <w:t xml:space="preserve">higher benefits being paid than might otherwise </w:t>
      </w:r>
      <w:r w:rsidR="00063088">
        <w:t>be</w:t>
      </w:r>
      <w:r w:rsidR="00CD6301">
        <w:t xml:space="preserve"> necessary</w:t>
      </w:r>
      <w:r w:rsidR="00767A3B">
        <w:t>. This is</w:t>
      </w:r>
      <w:r w:rsidR="00CD6301">
        <w:t xml:space="preserve"> due to a lack of disincentives against </w:t>
      </w:r>
      <w:r w:rsidR="009F023A">
        <w:t xml:space="preserve">usage of larger size patches </w:t>
      </w:r>
      <w:r w:rsidR="00063088">
        <w:t>in cases where</w:t>
      </w:r>
      <w:r w:rsidR="009F023A">
        <w:t xml:space="preserve"> the smaller patches </w:t>
      </w:r>
      <w:r w:rsidR="002A3E30">
        <w:t xml:space="preserve">may </w:t>
      </w:r>
      <w:r w:rsidR="009F023A">
        <w:t xml:space="preserve">be sufficient. </w:t>
      </w:r>
    </w:p>
    <w:p w14:paraId="0F712D10" w14:textId="7884E8BC" w:rsidR="00A07B58" w:rsidRDefault="00A07B58" w:rsidP="00A93032">
      <w:pPr>
        <w:pStyle w:val="Bodytextwithparaspace"/>
      </w:pPr>
      <w:r>
        <w:t>When looking at usage of the various sizes of pliable patches by hospital</w:t>
      </w:r>
      <w:r w:rsidR="00246C45">
        <w:t xml:space="preserve"> owners</w:t>
      </w:r>
      <w:r>
        <w:t xml:space="preserve">, it is noted that there </w:t>
      </w:r>
      <w:r w:rsidR="00F63C5D">
        <w:t xml:space="preserve">was </w:t>
      </w:r>
      <w:r>
        <w:t xml:space="preserve">a significant difference in the relative usage of </w:t>
      </w:r>
      <w:r w:rsidR="00246C45">
        <w:t xml:space="preserve">the larger and smaller patches between two large hospital </w:t>
      </w:r>
      <w:r w:rsidR="00F63C5D">
        <w:t>groups</w:t>
      </w:r>
      <w:r w:rsidR="00246C45">
        <w:t xml:space="preserve">. Specifically, the largest size patches made up 59% of the total usage for </w:t>
      </w:r>
      <w:r w:rsidR="00696ED9">
        <w:t xml:space="preserve">one hospital </w:t>
      </w:r>
      <w:r w:rsidR="00C20D73">
        <w:t xml:space="preserve">group </w:t>
      </w:r>
      <w:r w:rsidR="00246C45">
        <w:t xml:space="preserve">in FY19, whereas they made up 72% for </w:t>
      </w:r>
      <w:r w:rsidR="00C20D73">
        <w:t>the other</w:t>
      </w:r>
      <w:r w:rsidR="00696ED9">
        <w:t xml:space="preserve"> </w:t>
      </w:r>
      <w:r w:rsidR="00246C45">
        <w:t xml:space="preserve">in the same year. Conversely, the smallest size patches made up 32% for </w:t>
      </w:r>
      <w:r w:rsidR="00696ED9">
        <w:t xml:space="preserve">one hospital </w:t>
      </w:r>
      <w:r w:rsidR="00C20D73">
        <w:t xml:space="preserve">group </w:t>
      </w:r>
      <w:r w:rsidR="00246C45">
        <w:t xml:space="preserve">and only 18% for </w:t>
      </w:r>
      <w:r w:rsidR="003A3C40">
        <w:t>the other</w:t>
      </w:r>
      <w:r w:rsidR="00246C45">
        <w:t xml:space="preserve">. The large differences between these two hospital </w:t>
      </w:r>
      <w:r w:rsidR="00F63C5D">
        <w:t>groups</w:t>
      </w:r>
      <w:r w:rsidR="00063088">
        <w:t>, performing a large number of a wide range of procedures,</w:t>
      </w:r>
      <w:r w:rsidR="00246C45">
        <w:t xml:space="preserve"> may be </w:t>
      </w:r>
      <w:r>
        <w:t>suggest</w:t>
      </w:r>
      <w:r w:rsidR="00246C45">
        <w:t>ive</w:t>
      </w:r>
      <w:r>
        <w:t xml:space="preserve"> that </w:t>
      </w:r>
      <w:r w:rsidR="00063088">
        <w:t xml:space="preserve">the additional usage of the larger size may </w:t>
      </w:r>
      <w:r>
        <w:t>not</w:t>
      </w:r>
      <w:r w:rsidR="00063088">
        <w:t xml:space="preserve"> be</w:t>
      </w:r>
      <w:r>
        <w:t xml:space="preserve"> driven purely by clinical </w:t>
      </w:r>
      <w:r w:rsidR="00597E24">
        <w:t>need.</w:t>
      </w:r>
      <w:r>
        <w:t xml:space="preserve"> </w:t>
      </w:r>
    </w:p>
    <w:tbl>
      <w:tblPr>
        <w:tblStyle w:val="TableGrid"/>
        <w:tblW w:w="91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Figure 10 and Figure 11"/>
        <w:tblDescription w:val="This table presents Figure 10 - Pliable patches - Total PL items per 1,000 separations and Figure 11 - Pliable patches - Total PL benefits by subgroup"/>
      </w:tblPr>
      <w:tblGrid>
        <w:gridCol w:w="4423"/>
        <w:gridCol w:w="4716"/>
      </w:tblGrid>
      <w:tr w:rsidR="004F5B47" w14:paraId="67200A50" w14:textId="77777777" w:rsidTr="00A37319">
        <w:trPr>
          <w:trHeight w:val="234"/>
          <w:tblHeader/>
        </w:trPr>
        <w:tc>
          <w:tcPr>
            <w:tcW w:w="4418" w:type="dxa"/>
          </w:tcPr>
          <w:p w14:paraId="03DA8A0B" w14:textId="4886B316" w:rsidR="00FB51CA" w:rsidRDefault="00FB51CA" w:rsidP="009023E8">
            <w:pPr>
              <w:pStyle w:val="Caption"/>
              <w:keepNext/>
            </w:pPr>
            <w:bookmarkStart w:id="110" w:name="_Ref38642912"/>
            <w:r>
              <w:t xml:space="preserve">Figure </w:t>
            </w:r>
            <w:r w:rsidR="00FC6370">
              <w:fldChar w:fldCharType="begin"/>
            </w:r>
            <w:r w:rsidR="00FC6370">
              <w:instrText xml:space="preserve"> SEQ Figure \* ARABIC </w:instrText>
            </w:r>
            <w:r w:rsidR="00FC6370">
              <w:fldChar w:fldCharType="separate"/>
            </w:r>
            <w:r w:rsidR="00784DE2">
              <w:rPr>
                <w:noProof/>
              </w:rPr>
              <w:t>10</w:t>
            </w:r>
            <w:r w:rsidR="00FC6370">
              <w:rPr>
                <w:noProof/>
              </w:rPr>
              <w:fldChar w:fldCharType="end"/>
            </w:r>
            <w:bookmarkEnd w:id="110"/>
            <w:r>
              <w:t xml:space="preserve"> – Pliable patches – Total PL items per 1,000 separations</w:t>
            </w:r>
          </w:p>
        </w:tc>
        <w:tc>
          <w:tcPr>
            <w:tcW w:w="4710" w:type="dxa"/>
          </w:tcPr>
          <w:p w14:paraId="71EE898E" w14:textId="0A982277" w:rsidR="00131748" w:rsidRPr="00131748" w:rsidRDefault="00FB51CA" w:rsidP="00AF1D4E">
            <w:pPr>
              <w:pStyle w:val="Caption"/>
              <w:keepNext/>
            </w:pPr>
            <w:r>
              <w:t xml:space="preserve">Figure </w:t>
            </w:r>
            <w:r w:rsidR="00FC6370">
              <w:fldChar w:fldCharType="begin"/>
            </w:r>
            <w:r w:rsidR="00FC6370">
              <w:instrText xml:space="preserve"> SEQ Figure \* ARABIC </w:instrText>
            </w:r>
            <w:r w:rsidR="00FC6370">
              <w:fldChar w:fldCharType="separate"/>
            </w:r>
            <w:r w:rsidR="00784DE2">
              <w:rPr>
                <w:noProof/>
              </w:rPr>
              <w:t>11</w:t>
            </w:r>
            <w:r w:rsidR="00FC6370">
              <w:rPr>
                <w:noProof/>
              </w:rPr>
              <w:fldChar w:fldCharType="end"/>
            </w:r>
            <w:r>
              <w:t xml:space="preserve"> – Pliable patches – Total PL benefits by subgroup</w:t>
            </w:r>
          </w:p>
        </w:tc>
      </w:tr>
      <w:tr w:rsidR="004F5B47" w14:paraId="55FFC8A2" w14:textId="77777777" w:rsidTr="00142411">
        <w:trPr>
          <w:trHeight w:val="3677"/>
        </w:trPr>
        <w:tc>
          <w:tcPr>
            <w:tcW w:w="4418" w:type="dxa"/>
          </w:tcPr>
          <w:p w14:paraId="53389779" w14:textId="77777777" w:rsidR="00FB51CA" w:rsidRDefault="00E12B7B" w:rsidP="009023E8">
            <w:pPr>
              <w:pStyle w:val="Bodytextwithparaspace"/>
            </w:pPr>
            <w:r>
              <w:rPr>
                <w:noProof/>
                <w:lang w:val="en-AU" w:eastAsia="en-AU"/>
              </w:rPr>
              <w:drawing>
                <wp:inline distT="0" distB="0" distL="0" distR="0" wp14:anchorId="18DA5990" wp14:editId="59C5BB8F">
                  <wp:extent cx="2671638" cy="2173800"/>
                  <wp:effectExtent l="0" t="0" r="0" b="0"/>
                  <wp:docPr id="2080465121" name="Picture 2080465121" descr="This table shows the number of pliable patches used per 1,000 separations between FY11 and FY19" title="Figure 10 - Pliable patches - Total PL items per 1000 sepa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75571" cy="2177000"/>
                          </a:xfrm>
                          <a:prstGeom prst="rect">
                            <a:avLst/>
                          </a:prstGeom>
                          <a:noFill/>
                        </pic:spPr>
                      </pic:pic>
                    </a:graphicData>
                  </a:graphic>
                </wp:inline>
              </w:drawing>
            </w:r>
          </w:p>
        </w:tc>
        <w:tc>
          <w:tcPr>
            <w:tcW w:w="4710" w:type="dxa"/>
          </w:tcPr>
          <w:p w14:paraId="3D17D2D3" w14:textId="77777777" w:rsidR="00FB51CA" w:rsidRDefault="00142411" w:rsidP="009023E8">
            <w:pPr>
              <w:pStyle w:val="Bodytextwithparaspace"/>
              <w:rPr>
                <w:noProof/>
              </w:rPr>
            </w:pPr>
            <w:r>
              <w:rPr>
                <w:noProof/>
                <w:lang w:val="en-AU" w:eastAsia="en-AU"/>
              </w:rPr>
              <w:drawing>
                <wp:inline distT="0" distB="0" distL="0" distR="0" wp14:anchorId="2B3C83D5" wp14:editId="3E9F135E">
                  <wp:extent cx="2850450" cy="2019631"/>
                  <wp:effectExtent l="0" t="0" r="7620" b="0"/>
                  <wp:docPr id="2080465123" name="Picture 2080465123" descr="Figure 11 - Pliable patches - Total PL benefits by subgroup&#10;&#10;This figure shows the PL benefits for pliable patches between FY14 and FY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58721" cy="2025491"/>
                          </a:xfrm>
                          <a:prstGeom prst="rect">
                            <a:avLst/>
                          </a:prstGeom>
                          <a:noFill/>
                        </pic:spPr>
                      </pic:pic>
                    </a:graphicData>
                  </a:graphic>
                </wp:inline>
              </w:drawing>
            </w:r>
          </w:p>
        </w:tc>
      </w:tr>
    </w:tbl>
    <w:p w14:paraId="50C0E2D7" w14:textId="7FE6818A" w:rsidR="00136E4C" w:rsidRDefault="00C42A8F" w:rsidP="00EE59FD">
      <w:pPr>
        <w:pStyle w:val="Bodytextwithparaspace"/>
      </w:pPr>
      <w:r>
        <w:t xml:space="preserve">Within the </w:t>
      </w:r>
      <w:r w:rsidR="00F8416C">
        <w:t>’03.05.04</w:t>
      </w:r>
      <w:r w:rsidR="00BF0BA1">
        <w:t xml:space="preserve"> – Pliable Patches’</w:t>
      </w:r>
      <w:r w:rsidR="009F690E">
        <w:t xml:space="preserve"> </w:t>
      </w:r>
      <w:r w:rsidR="00F8416C">
        <w:t xml:space="preserve">group, </w:t>
      </w:r>
      <w:r w:rsidR="001159CC">
        <w:t xml:space="preserve">there are multiple suffixes, all with different associated minimum benefit amounts. Since FY16, </w:t>
      </w:r>
      <w:r w:rsidR="00BC60B1">
        <w:t xml:space="preserve">the ‘Antimicrobial, Low Antigenicity, Micro-fibrous’ (henceforth, Micro-fibrous) suffix </w:t>
      </w:r>
      <w:r w:rsidR="00F63C5D">
        <w:t>was</w:t>
      </w:r>
      <w:r w:rsidR="009D2945">
        <w:t xml:space="preserve"> the largest contributor to total PL benefits paid for this </w:t>
      </w:r>
      <w:r w:rsidR="009D2945" w:rsidDel="003D1910">
        <w:t>sub</w:t>
      </w:r>
      <w:r w:rsidR="009D2945">
        <w:t xml:space="preserve">group, ahead of </w:t>
      </w:r>
      <w:r w:rsidR="001B2803">
        <w:t xml:space="preserve">the ‘Antimicrobial, Low Antigenicity’ (henceforth, </w:t>
      </w:r>
      <w:r w:rsidR="002C7839">
        <w:t>Standard</w:t>
      </w:r>
      <w:r w:rsidR="001B2803">
        <w:t>) suffix</w:t>
      </w:r>
      <w:r w:rsidR="00C77B50">
        <w:t>. T</w:t>
      </w:r>
      <w:r w:rsidR="001A2597">
        <w:t xml:space="preserve">he </w:t>
      </w:r>
      <w:r w:rsidR="002C7839">
        <w:t>M</w:t>
      </w:r>
      <w:r w:rsidR="001A2597">
        <w:t xml:space="preserve">icro-fibrous version </w:t>
      </w:r>
      <w:r w:rsidR="00641C2E">
        <w:t xml:space="preserve">has a minimum benefit amount around three times higher than the </w:t>
      </w:r>
      <w:r w:rsidR="002C7839">
        <w:t>Standard</w:t>
      </w:r>
      <w:r w:rsidR="00302EAD">
        <w:t xml:space="preserve"> version ($98 and $33-$34 respectively).</w:t>
      </w:r>
      <w:r w:rsidR="001B2803">
        <w:t xml:space="preserve"> </w:t>
      </w:r>
      <w:r w:rsidR="007A3B4A">
        <w:t>A</w:t>
      </w:r>
      <w:r w:rsidR="00B55021">
        <w:t>dditionally</w:t>
      </w:r>
      <w:r w:rsidR="00F63C5D">
        <w:t>,</w:t>
      </w:r>
      <w:r w:rsidR="00B55021">
        <w:t xml:space="preserve"> growth in the </w:t>
      </w:r>
      <w:r w:rsidR="00F521B8">
        <w:t xml:space="preserve">usage of the </w:t>
      </w:r>
      <w:r w:rsidR="00F63C5D">
        <w:t>Micro</w:t>
      </w:r>
      <w:r w:rsidR="00F521B8">
        <w:t xml:space="preserve">-fibrous version </w:t>
      </w:r>
      <w:r w:rsidR="00F63C5D">
        <w:t xml:space="preserve">was </w:t>
      </w:r>
      <w:r w:rsidR="00F807CB">
        <w:t xml:space="preserve">consistently </w:t>
      </w:r>
      <w:r w:rsidR="00196039">
        <w:t>higher</w:t>
      </w:r>
      <w:r w:rsidR="00F521B8">
        <w:t xml:space="preserve"> than </w:t>
      </w:r>
      <w:r w:rsidR="00D833A5">
        <w:t xml:space="preserve">the </w:t>
      </w:r>
      <w:r w:rsidR="00F521B8">
        <w:t xml:space="preserve">growth in the </w:t>
      </w:r>
      <w:r w:rsidR="004713DD">
        <w:t>Standard</w:t>
      </w:r>
      <w:r w:rsidR="00F521B8">
        <w:t xml:space="preserve"> version</w:t>
      </w:r>
      <w:r w:rsidR="00F13CA0">
        <w:t>.</w:t>
      </w:r>
    </w:p>
    <w:p w14:paraId="12CB32D7" w14:textId="08276268" w:rsidR="001B6C1B" w:rsidRDefault="00AE4762" w:rsidP="00EE59FD">
      <w:pPr>
        <w:pStyle w:val="Bodytextwithparaspace"/>
      </w:pPr>
      <w:r>
        <w:t xml:space="preserve">When looking at which MBS item codes are associated with usage of </w:t>
      </w:r>
      <w:r w:rsidR="00BD02D4">
        <w:t xml:space="preserve">the </w:t>
      </w:r>
      <w:r w:rsidR="004713DD">
        <w:t>M</w:t>
      </w:r>
      <w:r w:rsidR="00BD02D4">
        <w:t xml:space="preserve">icro-fibrous and </w:t>
      </w:r>
      <w:r w:rsidR="004713DD">
        <w:t>Standard</w:t>
      </w:r>
      <w:r w:rsidR="00BD02D4">
        <w:t xml:space="preserve"> versions of the patches in a separation, </w:t>
      </w:r>
      <w:r w:rsidR="00751C60">
        <w:t xml:space="preserve">there </w:t>
      </w:r>
      <w:r w:rsidR="00F63C5D">
        <w:t xml:space="preserve">was </w:t>
      </w:r>
      <w:r w:rsidR="00751C60">
        <w:t>a</w:t>
      </w:r>
      <w:r w:rsidR="00EF4878">
        <w:t xml:space="preserve"> significant overlap </w:t>
      </w:r>
      <w:r w:rsidR="009E4637">
        <w:t>in the top 5 MBS item codes</w:t>
      </w:r>
      <w:r w:rsidR="00891DDD">
        <w:t xml:space="preserve"> as shown in </w:t>
      </w:r>
      <w:r w:rsidR="00891DDD">
        <w:fldChar w:fldCharType="begin"/>
      </w:r>
      <w:r w:rsidR="00891DDD">
        <w:instrText xml:space="preserve"> REF _Ref39514100 \h </w:instrText>
      </w:r>
      <w:r w:rsidR="00891DDD">
        <w:fldChar w:fldCharType="separate"/>
      </w:r>
      <w:r w:rsidR="00784DE2">
        <w:t xml:space="preserve">Table </w:t>
      </w:r>
      <w:r w:rsidR="00784DE2">
        <w:rPr>
          <w:noProof/>
        </w:rPr>
        <w:t>11</w:t>
      </w:r>
      <w:r w:rsidR="00891DDD">
        <w:fldChar w:fldCharType="end"/>
      </w:r>
      <w:r w:rsidR="00751C60">
        <w:t>, suggesting that</w:t>
      </w:r>
      <w:r w:rsidR="003634F4">
        <w:t xml:space="preserve"> the </w:t>
      </w:r>
      <w:r w:rsidR="004713DD">
        <w:t>M</w:t>
      </w:r>
      <w:r w:rsidR="0094532E">
        <w:t xml:space="preserve">icro-fibrous and </w:t>
      </w:r>
      <w:r w:rsidR="004713DD">
        <w:t>Standard</w:t>
      </w:r>
      <w:r w:rsidR="0094532E">
        <w:t xml:space="preserve"> versions </w:t>
      </w:r>
      <w:r w:rsidR="00751C60">
        <w:t xml:space="preserve">could potentially be </w:t>
      </w:r>
      <w:r w:rsidR="0086725F">
        <w:t xml:space="preserve">items that </w:t>
      </w:r>
      <w:r w:rsidR="0098517D">
        <w:t>are used in</w:t>
      </w:r>
      <w:r w:rsidR="0086725F">
        <w:t xml:space="preserve"> the same situation</w:t>
      </w:r>
      <w:r w:rsidR="00EC2B2F">
        <w:t>s</w:t>
      </w:r>
      <w:r w:rsidR="0086725F">
        <w:t xml:space="preserve"> for the same purpose.</w:t>
      </w:r>
      <w:r w:rsidR="00A52AEA">
        <w:t xml:space="preserve"> C</w:t>
      </w:r>
      <w:r w:rsidR="007962CC">
        <w:t xml:space="preserve">linical </w:t>
      </w:r>
      <w:r w:rsidR="00DB435D">
        <w:t>subject matter resources</w:t>
      </w:r>
      <w:r w:rsidR="00063088">
        <w:t xml:space="preserve"> </w:t>
      </w:r>
      <w:r w:rsidR="007962CC">
        <w:t xml:space="preserve">suggested that the Micro-fibrous version is </w:t>
      </w:r>
      <w:r w:rsidR="005D0697">
        <w:t xml:space="preserve">probably </w:t>
      </w:r>
      <w:r w:rsidR="007962CC">
        <w:t>more effective for significant bleeding</w:t>
      </w:r>
      <w:r w:rsidR="00A52AEA">
        <w:t xml:space="preserve">, but </w:t>
      </w:r>
      <w:r w:rsidR="007962CC">
        <w:t xml:space="preserve">it is also noted that their usage </w:t>
      </w:r>
      <w:r w:rsidR="00EE7456">
        <w:t xml:space="preserve">is likely </w:t>
      </w:r>
      <w:r w:rsidR="008F7E3E">
        <w:t xml:space="preserve">above and beyond </w:t>
      </w:r>
      <w:r w:rsidR="00021FAA">
        <w:t xml:space="preserve">only </w:t>
      </w:r>
      <w:r w:rsidR="008F7E3E">
        <w:t>procedures with significant bleeding</w:t>
      </w:r>
      <w:r w:rsidR="00030915">
        <w:t xml:space="preserve"> that require the Micro-fibrous version.</w:t>
      </w:r>
    </w:p>
    <w:p w14:paraId="186A28B1" w14:textId="1A127326" w:rsidR="00DC1B3A" w:rsidRPr="00C866C7" w:rsidRDefault="00DC1B3A" w:rsidP="00DC1B3A">
      <w:pPr>
        <w:pStyle w:val="Caption"/>
      </w:pPr>
      <w:bookmarkStart w:id="111" w:name="_Ref39514100"/>
      <w:bookmarkStart w:id="112" w:name="_Ref39514093"/>
      <w:r>
        <w:t xml:space="preserve">Table </w:t>
      </w:r>
      <w:r>
        <w:rPr>
          <w:noProof/>
        </w:rPr>
        <w:fldChar w:fldCharType="begin"/>
      </w:r>
      <w:r>
        <w:rPr>
          <w:noProof/>
        </w:rPr>
        <w:instrText xml:space="preserve"> SEQ Table \* ARABIC </w:instrText>
      </w:r>
      <w:r>
        <w:rPr>
          <w:noProof/>
        </w:rPr>
        <w:fldChar w:fldCharType="separate"/>
      </w:r>
      <w:r w:rsidR="00784DE2">
        <w:rPr>
          <w:noProof/>
        </w:rPr>
        <w:t>11</w:t>
      </w:r>
      <w:r>
        <w:rPr>
          <w:noProof/>
        </w:rPr>
        <w:fldChar w:fldCharType="end"/>
      </w:r>
      <w:bookmarkEnd w:id="111"/>
      <w:r>
        <w:t xml:space="preserve"> –</w:t>
      </w:r>
      <w:r w:rsidR="00891DDD">
        <w:t xml:space="preserve"> Pliable Patches </w:t>
      </w:r>
      <w:r>
        <w:t>–</w:t>
      </w:r>
      <w:r w:rsidR="00652B04">
        <w:t xml:space="preserve"> Micro-fibrous vs Standard </w:t>
      </w:r>
      <w:r>
        <w:t>– Total FY19 PL benefits by item</w:t>
      </w:r>
      <w:bookmarkEnd w:id="112"/>
    </w:p>
    <w:tbl>
      <w:tblPr>
        <w:tblStyle w:val="TableGrid"/>
        <w:tblW w:w="9072" w:type="dxa"/>
        <w:tblLook w:val="04A0" w:firstRow="1" w:lastRow="0" w:firstColumn="1" w:lastColumn="0" w:noHBand="0" w:noVBand="1"/>
        <w:tblCaption w:val="Table 11 - Pliable Patches - Micro-fibrous vs Standard - Total FY19 PL benefits by item"/>
        <w:tblDescription w:val="For the following MBS Item Codes, the following benefits were paid for Micro-fibrous Pliable Patches:&#10;37210 – Prostatectomy - $125,043&#10;41671 – Nasal septum, septoplasty, submucous resection – $65,713&#10;37211 – Prostatectomy – $52,223&#10;16520 – Caesarean section and post operative care – $46,384&#10;16522 – Management of labour and birth – $45,955&#10;&#10;For the following MBS Item Codes, the following benefits were paid for Standard Pliable Patches:&#10;51011 – Spinal decompression or exposure – $36,679&#10;39709 – Craniotomy – $29,298&#10;16522 – Management of labour and birth – $24,446&#10;16520 – Caesarean section and post operative care – $23,459&#10;37210 – Prostatectomy – $22,596&#10;"/>
      </w:tblPr>
      <w:tblGrid>
        <w:gridCol w:w="1129"/>
        <w:gridCol w:w="2169"/>
        <w:gridCol w:w="1238"/>
        <w:gridCol w:w="271"/>
        <w:gridCol w:w="987"/>
        <w:gridCol w:w="2131"/>
        <w:gridCol w:w="1147"/>
      </w:tblGrid>
      <w:tr w:rsidR="00DC1B3A" w:rsidRPr="0071794B" w14:paraId="4CF56770" w14:textId="77777777" w:rsidTr="00A37319">
        <w:trPr>
          <w:trHeight w:val="284"/>
          <w:tblHeader/>
        </w:trPr>
        <w:tc>
          <w:tcPr>
            <w:tcW w:w="4536" w:type="dxa"/>
            <w:gridSpan w:val="3"/>
            <w:noWrap/>
            <w:hideMark/>
          </w:tcPr>
          <w:p w14:paraId="3BA7C5D3" w14:textId="77777777" w:rsidR="00DC1B3A" w:rsidRPr="009954FD" w:rsidRDefault="00652B04" w:rsidP="00523B39">
            <w:pPr>
              <w:jc w:val="center"/>
              <w:rPr>
                <w:rFonts w:cs="Calibri"/>
                <w:i/>
                <w:color w:val="000000"/>
                <w:lang w:eastAsia="en-AU"/>
              </w:rPr>
            </w:pPr>
            <w:r>
              <w:rPr>
                <w:rFonts w:cs="Calibri"/>
                <w:i/>
                <w:color w:val="000000"/>
                <w:lang w:eastAsia="en-AU"/>
              </w:rPr>
              <w:t>Micro-fibrous</w:t>
            </w:r>
          </w:p>
        </w:tc>
        <w:tc>
          <w:tcPr>
            <w:tcW w:w="271" w:type="dxa"/>
            <w:tcBorders>
              <w:top w:val="nil"/>
              <w:bottom w:val="nil"/>
            </w:tcBorders>
          </w:tcPr>
          <w:p w14:paraId="2E5CF9FC" w14:textId="77777777" w:rsidR="00DC1B3A" w:rsidRPr="009954FD" w:rsidRDefault="00DC1B3A" w:rsidP="00523B39">
            <w:pPr>
              <w:jc w:val="center"/>
              <w:rPr>
                <w:rFonts w:cs="Calibri"/>
                <w:i/>
                <w:color w:val="000000"/>
                <w:lang w:eastAsia="en-AU"/>
              </w:rPr>
            </w:pPr>
          </w:p>
        </w:tc>
        <w:tc>
          <w:tcPr>
            <w:tcW w:w="4265" w:type="dxa"/>
            <w:gridSpan w:val="3"/>
            <w:noWrap/>
            <w:hideMark/>
          </w:tcPr>
          <w:p w14:paraId="3FEEF337" w14:textId="77777777" w:rsidR="00DC1B3A" w:rsidRPr="009954FD" w:rsidRDefault="00652B04" w:rsidP="00523B39">
            <w:pPr>
              <w:jc w:val="center"/>
              <w:rPr>
                <w:rFonts w:cs="Calibri"/>
                <w:i/>
                <w:color w:val="000000"/>
                <w:lang w:eastAsia="en-AU"/>
              </w:rPr>
            </w:pPr>
            <w:r>
              <w:rPr>
                <w:rFonts w:cs="Calibri"/>
                <w:i/>
                <w:color w:val="000000"/>
                <w:lang w:eastAsia="en-AU"/>
              </w:rPr>
              <w:t>Standard</w:t>
            </w:r>
          </w:p>
        </w:tc>
      </w:tr>
      <w:tr w:rsidR="00DC1B3A" w:rsidRPr="0071794B" w14:paraId="3319D152" w14:textId="77777777" w:rsidTr="00AF1D4E">
        <w:trPr>
          <w:trHeight w:val="284"/>
        </w:trPr>
        <w:tc>
          <w:tcPr>
            <w:tcW w:w="1129" w:type="dxa"/>
            <w:shd w:val="clear" w:color="auto" w:fill="FFE600" w:themeFill="text2"/>
            <w:noWrap/>
            <w:vAlign w:val="center"/>
            <w:hideMark/>
          </w:tcPr>
          <w:p w14:paraId="7D8E0116" w14:textId="77777777" w:rsidR="00DC1B3A" w:rsidRPr="00AF1D4E" w:rsidRDefault="00DC1B3A" w:rsidP="00466263">
            <w:pPr>
              <w:rPr>
                <w:rFonts w:cs="Calibri"/>
                <w:b/>
                <w:lang w:eastAsia="en-AU"/>
              </w:rPr>
            </w:pPr>
            <w:r w:rsidRPr="00AF1D4E">
              <w:rPr>
                <w:rFonts w:cs="Calibri"/>
                <w:b/>
                <w:lang w:eastAsia="en-AU"/>
              </w:rPr>
              <w:t>MBS item code</w:t>
            </w:r>
          </w:p>
        </w:tc>
        <w:tc>
          <w:tcPr>
            <w:tcW w:w="2169" w:type="dxa"/>
            <w:shd w:val="clear" w:color="auto" w:fill="FFE600" w:themeFill="text2"/>
            <w:noWrap/>
            <w:vAlign w:val="center"/>
            <w:hideMark/>
          </w:tcPr>
          <w:p w14:paraId="4BCC9B2F" w14:textId="77777777" w:rsidR="00DC1B3A" w:rsidRPr="00AF1D4E" w:rsidRDefault="00DC1B3A" w:rsidP="00466263">
            <w:pPr>
              <w:rPr>
                <w:rFonts w:cs="Calibri"/>
                <w:b/>
                <w:lang w:eastAsia="en-AU"/>
              </w:rPr>
            </w:pPr>
            <w:r w:rsidRPr="00AF1D4E">
              <w:rPr>
                <w:rFonts w:cs="Calibri"/>
                <w:b/>
                <w:lang w:eastAsia="en-AU"/>
              </w:rPr>
              <w:t>Abridged Description*</w:t>
            </w:r>
          </w:p>
        </w:tc>
        <w:tc>
          <w:tcPr>
            <w:tcW w:w="1238" w:type="dxa"/>
            <w:shd w:val="clear" w:color="auto" w:fill="FFE600" w:themeFill="text2"/>
            <w:noWrap/>
            <w:vAlign w:val="center"/>
            <w:hideMark/>
          </w:tcPr>
          <w:p w14:paraId="036A2D06" w14:textId="77777777" w:rsidR="00DC1B3A" w:rsidRPr="00AF1D4E" w:rsidRDefault="00DC1B3A" w:rsidP="00466263">
            <w:pPr>
              <w:rPr>
                <w:rFonts w:cs="Calibri"/>
                <w:b/>
                <w:lang w:eastAsia="en-AU"/>
              </w:rPr>
            </w:pPr>
            <w:r w:rsidRPr="00AF1D4E">
              <w:rPr>
                <w:rFonts w:cs="Calibri"/>
                <w:b/>
                <w:lang w:eastAsia="en-AU"/>
              </w:rPr>
              <w:t>Total PL benefits (FY19)</w:t>
            </w:r>
          </w:p>
        </w:tc>
        <w:tc>
          <w:tcPr>
            <w:tcW w:w="271" w:type="dxa"/>
            <w:tcBorders>
              <w:top w:val="nil"/>
              <w:bottom w:val="nil"/>
            </w:tcBorders>
            <w:vAlign w:val="center"/>
          </w:tcPr>
          <w:p w14:paraId="1B4DF595" w14:textId="77777777" w:rsidR="00DC1B3A" w:rsidRPr="00AF1D4E" w:rsidRDefault="00DC1B3A" w:rsidP="00466263">
            <w:pPr>
              <w:rPr>
                <w:rFonts w:cs="Calibri"/>
                <w:b/>
                <w:lang w:eastAsia="en-AU"/>
              </w:rPr>
            </w:pPr>
          </w:p>
        </w:tc>
        <w:tc>
          <w:tcPr>
            <w:tcW w:w="987" w:type="dxa"/>
            <w:shd w:val="clear" w:color="auto" w:fill="FFE600" w:themeFill="text2"/>
            <w:noWrap/>
            <w:vAlign w:val="center"/>
            <w:hideMark/>
          </w:tcPr>
          <w:p w14:paraId="18D303A9" w14:textId="77777777" w:rsidR="00DC1B3A" w:rsidRPr="00AF1D4E" w:rsidRDefault="00DC1B3A" w:rsidP="00466263">
            <w:pPr>
              <w:rPr>
                <w:rFonts w:cs="Calibri"/>
                <w:b/>
                <w:lang w:eastAsia="en-AU"/>
              </w:rPr>
            </w:pPr>
            <w:r w:rsidRPr="00AF1D4E">
              <w:rPr>
                <w:rFonts w:cs="Calibri"/>
                <w:b/>
                <w:lang w:eastAsia="en-AU"/>
              </w:rPr>
              <w:t>MBS item code</w:t>
            </w:r>
          </w:p>
        </w:tc>
        <w:tc>
          <w:tcPr>
            <w:tcW w:w="2131" w:type="dxa"/>
            <w:shd w:val="clear" w:color="auto" w:fill="FFE600" w:themeFill="text2"/>
            <w:noWrap/>
            <w:vAlign w:val="center"/>
            <w:hideMark/>
          </w:tcPr>
          <w:p w14:paraId="72403C83" w14:textId="77777777" w:rsidR="00DC1B3A" w:rsidRPr="00AF1D4E" w:rsidRDefault="00DC1B3A" w:rsidP="00466263">
            <w:pPr>
              <w:rPr>
                <w:rFonts w:cs="Calibri"/>
                <w:b/>
                <w:lang w:eastAsia="en-AU"/>
              </w:rPr>
            </w:pPr>
            <w:r w:rsidRPr="00AF1D4E">
              <w:rPr>
                <w:rFonts w:cs="Calibri"/>
                <w:b/>
                <w:lang w:eastAsia="en-AU"/>
              </w:rPr>
              <w:t>Abridged Description*</w:t>
            </w:r>
          </w:p>
        </w:tc>
        <w:tc>
          <w:tcPr>
            <w:tcW w:w="1147" w:type="dxa"/>
            <w:shd w:val="clear" w:color="auto" w:fill="FFE600" w:themeFill="text2"/>
            <w:noWrap/>
            <w:vAlign w:val="center"/>
            <w:hideMark/>
          </w:tcPr>
          <w:p w14:paraId="255E70CB" w14:textId="77777777" w:rsidR="00DC1B3A" w:rsidRPr="00AF1D4E" w:rsidRDefault="00DC1B3A" w:rsidP="00466263">
            <w:pPr>
              <w:rPr>
                <w:rFonts w:cs="Calibri"/>
                <w:b/>
                <w:lang w:eastAsia="en-AU"/>
              </w:rPr>
            </w:pPr>
            <w:r w:rsidRPr="00AF1D4E">
              <w:rPr>
                <w:rFonts w:cs="Calibri"/>
                <w:b/>
                <w:lang w:eastAsia="en-AU"/>
              </w:rPr>
              <w:t>Total PL benefits (FY19)</w:t>
            </w:r>
          </w:p>
        </w:tc>
      </w:tr>
      <w:tr w:rsidR="00504A83" w:rsidRPr="0071794B" w14:paraId="6A390911" w14:textId="77777777" w:rsidTr="00A26B3B">
        <w:trPr>
          <w:trHeight w:val="284"/>
        </w:trPr>
        <w:tc>
          <w:tcPr>
            <w:tcW w:w="1129" w:type="dxa"/>
            <w:noWrap/>
            <w:hideMark/>
          </w:tcPr>
          <w:p w14:paraId="00800BC3" w14:textId="77777777" w:rsidR="00504A83" w:rsidRPr="009954FD" w:rsidRDefault="00504A83">
            <w:pPr>
              <w:rPr>
                <w:rFonts w:cs="Calibri"/>
                <w:color w:val="000000"/>
                <w:lang w:eastAsia="en-AU"/>
              </w:rPr>
            </w:pPr>
            <w:r w:rsidRPr="005723D6">
              <w:rPr>
                <w:rFonts w:cstheme="minorHAnsi"/>
                <w:color w:val="000000"/>
              </w:rPr>
              <w:t>37210</w:t>
            </w:r>
          </w:p>
        </w:tc>
        <w:tc>
          <w:tcPr>
            <w:tcW w:w="2169" w:type="dxa"/>
            <w:noWrap/>
            <w:hideMark/>
          </w:tcPr>
          <w:p w14:paraId="4B4FEA91" w14:textId="77777777" w:rsidR="00504A83" w:rsidRPr="009954FD" w:rsidRDefault="00504A83" w:rsidP="00504A83">
            <w:pPr>
              <w:rPr>
                <w:rFonts w:cs="Calibri"/>
                <w:color w:val="000000"/>
                <w:lang w:eastAsia="en-AU"/>
              </w:rPr>
            </w:pPr>
            <w:r w:rsidRPr="009954FD">
              <w:rPr>
                <w:rFonts w:cs="Calibri"/>
                <w:color w:val="000000"/>
                <w:lang w:eastAsia="en-AU"/>
              </w:rPr>
              <w:t>Prostatectomy</w:t>
            </w:r>
          </w:p>
        </w:tc>
        <w:tc>
          <w:tcPr>
            <w:tcW w:w="1238" w:type="dxa"/>
            <w:noWrap/>
            <w:hideMark/>
          </w:tcPr>
          <w:p w14:paraId="53E69564" w14:textId="77777777" w:rsidR="00504A83" w:rsidRPr="009954FD" w:rsidRDefault="00504A83">
            <w:pPr>
              <w:rPr>
                <w:rFonts w:cs="Calibri"/>
                <w:color w:val="000000"/>
                <w:lang w:eastAsia="en-AU"/>
              </w:rPr>
            </w:pPr>
            <w:r>
              <w:rPr>
                <w:rFonts w:cstheme="minorHAnsi"/>
                <w:color w:val="000000"/>
              </w:rPr>
              <w:t>$</w:t>
            </w:r>
            <w:r w:rsidRPr="005723D6">
              <w:rPr>
                <w:rFonts w:cstheme="minorHAnsi"/>
                <w:color w:val="000000"/>
              </w:rPr>
              <w:t>125,043</w:t>
            </w:r>
          </w:p>
        </w:tc>
        <w:tc>
          <w:tcPr>
            <w:tcW w:w="271" w:type="dxa"/>
            <w:tcBorders>
              <w:top w:val="nil"/>
              <w:bottom w:val="nil"/>
            </w:tcBorders>
          </w:tcPr>
          <w:p w14:paraId="4FFE0507" w14:textId="77777777" w:rsidR="00504A83" w:rsidRPr="009954FD" w:rsidRDefault="00504A83" w:rsidP="00504A83">
            <w:pPr>
              <w:rPr>
                <w:rFonts w:cs="Calibri"/>
                <w:color w:val="000000"/>
                <w:lang w:eastAsia="en-AU"/>
              </w:rPr>
            </w:pPr>
          </w:p>
        </w:tc>
        <w:tc>
          <w:tcPr>
            <w:tcW w:w="987" w:type="dxa"/>
            <w:noWrap/>
            <w:hideMark/>
          </w:tcPr>
          <w:p w14:paraId="5F13C65E" w14:textId="77777777" w:rsidR="00504A83" w:rsidRPr="009954FD" w:rsidRDefault="00504A83" w:rsidP="00504A83">
            <w:pPr>
              <w:rPr>
                <w:rFonts w:cs="Calibri"/>
                <w:color w:val="000000"/>
                <w:lang w:eastAsia="en-AU"/>
              </w:rPr>
            </w:pPr>
            <w:r w:rsidRPr="005723D6">
              <w:rPr>
                <w:rFonts w:cstheme="minorHAnsi"/>
                <w:color w:val="000000"/>
              </w:rPr>
              <w:t>51011</w:t>
            </w:r>
          </w:p>
        </w:tc>
        <w:tc>
          <w:tcPr>
            <w:tcW w:w="2131" w:type="dxa"/>
            <w:noWrap/>
            <w:hideMark/>
          </w:tcPr>
          <w:p w14:paraId="14ADE269" w14:textId="77777777" w:rsidR="00504A83" w:rsidRPr="009954FD" w:rsidRDefault="00504A83" w:rsidP="00504A83">
            <w:pPr>
              <w:rPr>
                <w:rFonts w:cs="Calibri"/>
                <w:color w:val="000000"/>
                <w:lang w:eastAsia="en-AU"/>
              </w:rPr>
            </w:pPr>
            <w:r w:rsidRPr="005723D6">
              <w:rPr>
                <w:rFonts w:cstheme="minorHAnsi"/>
                <w:color w:val="222222"/>
                <w:shd w:val="clear" w:color="auto" w:fill="FBFBFB"/>
              </w:rPr>
              <w:t>Spinal decompression or exposure</w:t>
            </w:r>
          </w:p>
        </w:tc>
        <w:tc>
          <w:tcPr>
            <w:tcW w:w="1147" w:type="dxa"/>
            <w:noWrap/>
            <w:hideMark/>
          </w:tcPr>
          <w:p w14:paraId="6DD39CF3" w14:textId="77777777" w:rsidR="00504A83" w:rsidRPr="009954FD" w:rsidRDefault="00504A83">
            <w:pPr>
              <w:rPr>
                <w:rFonts w:cs="Calibri"/>
                <w:color w:val="000000"/>
                <w:lang w:eastAsia="en-AU"/>
              </w:rPr>
            </w:pPr>
            <w:r>
              <w:rPr>
                <w:rFonts w:cstheme="minorHAnsi"/>
                <w:color w:val="000000"/>
              </w:rPr>
              <w:t>$</w:t>
            </w:r>
            <w:r w:rsidRPr="005723D6">
              <w:rPr>
                <w:rFonts w:cstheme="minorHAnsi"/>
                <w:color w:val="000000"/>
              </w:rPr>
              <w:t>36,679</w:t>
            </w:r>
          </w:p>
        </w:tc>
      </w:tr>
      <w:tr w:rsidR="00504A83" w:rsidRPr="0071794B" w14:paraId="1DA5299E" w14:textId="77777777" w:rsidTr="00A26B3B">
        <w:trPr>
          <w:trHeight w:val="284"/>
        </w:trPr>
        <w:tc>
          <w:tcPr>
            <w:tcW w:w="1129" w:type="dxa"/>
            <w:noWrap/>
            <w:hideMark/>
          </w:tcPr>
          <w:p w14:paraId="291DB582" w14:textId="77777777" w:rsidR="00504A83" w:rsidRPr="009954FD" w:rsidRDefault="00504A83">
            <w:pPr>
              <w:rPr>
                <w:rFonts w:cs="Calibri"/>
                <w:color w:val="000000"/>
                <w:lang w:eastAsia="en-AU"/>
              </w:rPr>
            </w:pPr>
            <w:r w:rsidRPr="005723D6">
              <w:rPr>
                <w:rFonts w:cstheme="minorHAnsi"/>
                <w:color w:val="000000"/>
              </w:rPr>
              <w:t>41671</w:t>
            </w:r>
          </w:p>
        </w:tc>
        <w:tc>
          <w:tcPr>
            <w:tcW w:w="2169" w:type="dxa"/>
            <w:noWrap/>
            <w:hideMark/>
          </w:tcPr>
          <w:p w14:paraId="73C8F804" w14:textId="77777777" w:rsidR="00504A83" w:rsidRPr="009954FD" w:rsidRDefault="00504A83" w:rsidP="00504A83">
            <w:pPr>
              <w:rPr>
                <w:rFonts w:cs="Calibri"/>
                <w:color w:val="000000"/>
                <w:lang w:eastAsia="en-AU"/>
              </w:rPr>
            </w:pPr>
            <w:r>
              <w:rPr>
                <w:rFonts w:cstheme="minorHAnsi"/>
                <w:color w:val="222222"/>
                <w:shd w:val="clear" w:color="auto" w:fill="FBFBFB"/>
              </w:rPr>
              <w:t>N</w:t>
            </w:r>
            <w:r w:rsidRPr="005723D6">
              <w:rPr>
                <w:rFonts w:cstheme="minorHAnsi"/>
                <w:color w:val="222222"/>
                <w:shd w:val="clear" w:color="auto" w:fill="FBFBFB"/>
              </w:rPr>
              <w:t>asal septum, septoplasty, submucous resection</w:t>
            </w:r>
          </w:p>
        </w:tc>
        <w:tc>
          <w:tcPr>
            <w:tcW w:w="1238" w:type="dxa"/>
            <w:noWrap/>
            <w:hideMark/>
          </w:tcPr>
          <w:p w14:paraId="7FDFAFB4" w14:textId="77777777" w:rsidR="00504A83" w:rsidRPr="009954FD" w:rsidRDefault="00504A83">
            <w:pPr>
              <w:rPr>
                <w:rFonts w:cs="Calibri"/>
                <w:color w:val="000000"/>
                <w:lang w:eastAsia="en-AU"/>
              </w:rPr>
            </w:pPr>
            <w:r>
              <w:rPr>
                <w:rFonts w:cstheme="minorHAnsi"/>
                <w:color w:val="000000"/>
              </w:rPr>
              <w:t>$</w:t>
            </w:r>
            <w:r w:rsidRPr="005723D6">
              <w:rPr>
                <w:rFonts w:cstheme="minorHAnsi"/>
                <w:color w:val="000000"/>
              </w:rPr>
              <w:t>65,713</w:t>
            </w:r>
          </w:p>
        </w:tc>
        <w:tc>
          <w:tcPr>
            <w:tcW w:w="271" w:type="dxa"/>
            <w:tcBorders>
              <w:top w:val="nil"/>
              <w:bottom w:val="nil"/>
            </w:tcBorders>
          </w:tcPr>
          <w:p w14:paraId="43648F24" w14:textId="77777777" w:rsidR="00504A83" w:rsidRPr="009954FD" w:rsidRDefault="00504A83" w:rsidP="00504A83">
            <w:pPr>
              <w:rPr>
                <w:rFonts w:cs="Calibri"/>
                <w:color w:val="000000"/>
                <w:lang w:eastAsia="en-AU"/>
              </w:rPr>
            </w:pPr>
          </w:p>
        </w:tc>
        <w:tc>
          <w:tcPr>
            <w:tcW w:w="987" w:type="dxa"/>
            <w:noWrap/>
            <w:hideMark/>
          </w:tcPr>
          <w:p w14:paraId="03D43093" w14:textId="77777777" w:rsidR="00504A83" w:rsidRPr="009954FD" w:rsidRDefault="00504A83" w:rsidP="00504A83">
            <w:pPr>
              <w:rPr>
                <w:rFonts w:cs="Calibri"/>
                <w:color w:val="000000"/>
                <w:lang w:eastAsia="en-AU"/>
              </w:rPr>
            </w:pPr>
            <w:r w:rsidRPr="005723D6">
              <w:rPr>
                <w:rFonts w:cstheme="minorHAnsi"/>
                <w:color w:val="000000"/>
              </w:rPr>
              <w:t>39709</w:t>
            </w:r>
          </w:p>
        </w:tc>
        <w:tc>
          <w:tcPr>
            <w:tcW w:w="2131" w:type="dxa"/>
            <w:noWrap/>
            <w:hideMark/>
          </w:tcPr>
          <w:p w14:paraId="7E58185E" w14:textId="77777777" w:rsidR="00504A83" w:rsidRPr="009954FD" w:rsidRDefault="00504A83" w:rsidP="00504A83">
            <w:pPr>
              <w:rPr>
                <w:rFonts w:cs="Calibri"/>
                <w:color w:val="000000"/>
                <w:lang w:eastAsia="en-AU"/>
              </w:rPr>
            </w:pPr>
            <w:r>
              <w:rPr>
                <w:rFonts w:cstheme="minorHAnsi"/>
                <w:color w:val="222222"/>
                <w:shd w:val="clear" w:color="auto" w:fill="FBFBFB"/>
              </w:rPr>
              <w:t>C</w:t>
            </w:r>
            <w:r w:rsidRPr="005723D6">
              <w:rPr>
                <w:rFonts w:cstheme="minorHAnsi"/>
                <w:color w:val="222222"/>
                <w:shd w:val="clear" w:color="auto" w:fill="FBFBFB"/>
              </w:rPr>
              <w:t>raniotomy</w:t>
            </w:r>
          </w:p>
        </w:tc>
        <w:tc>
          <w:tcPr>
            <w:tcW w:w="1147" w:type="dxa"/>
            <w:noWrap/>
            <w:hideMark/>
          </w:tcPr>
          <w:p w14:paraId="14ABCB5B" w14:textId="77777777" w:rsidR="00504A83" w:rsidRPr="009954FD" w:rsidRDefault="00504A83">
            <w:pPr>
              <w:rPr>
                <w:rFonts w:cs="Calibri"/>
                <w:color w:val="000000"/>
                <w:lang w:eastAsia="en-AU"/>
              </w:rPr>
            </w:pPr>
            <w:r>
              <w:rPr>
                <w:rFonts w:cstheme="minorHAnsi"/>
                <w:color w:val="000000"/>
              </w:rPr>
              <w:t>$</w:t>
            </w:r>
            <w:r w:rsidRPr="005723D6">
              <w:rPr>
                <w:rFonts w:cstheme="minorHAnsi"/>
                <w:color w:val="000000"/>
              </w:rPr>
              <w:t>29,298</w:t>
            </w:r>
          </w:p>
        </w:tc>
      </w:tr>
      <w:tr w:rsidR="00504A83" w:rsidRPr="0071794B" w14:paraId="1EA1DFBB" w14:textId="77777777" w:rsidTr="00A26B3B">
        <w:trPr>
          <w:trHeight w:val="284"/>
        </w:trPr>
        <w:tc>
          <w:tcPr>
            <w:tcW w:w="1129" w:type="dxa"/>
            <w:noWrap/>
            <w:hideMark/>
          </w:tcPr>
          <w:p w14:paraId="643A57C8" w14:textId="77777777" w:rsidR="00504A83" w:rsidRPr="009954FD" w:rsidRDefault="00504A83">
            <w:pPr>
              <w:rPr>
                <w:rFonts w:cs="Calibri"/>
                <w:color w:val="000000"/>
                <w:lang w:eastAsia="en-AU"/>
              </w:rPr>
            </w:pPr>
            <w:r w:rsidRPr="005723D6">
              <w:rPr>
                <w:rFonts w:cstheme="minorHAnsi"/>
                <w:color w:val="000000"/>
              </w:rPr>
              <w:t>37211</w:t>
            </w:r>
          </w:p>
        </w:tc>
        <w:tc>
          <w:tcPr>
            <w:tcW w:w="2169" w:type="dxa"/>
            <w:noWrap/>
            <w:hideMark/>
          </w:tcPr>
          <w:p w14:paraId="2D467524" w14:textId="77777777" w:rsidR="00504A83" w:rsidRPr="009954FD" w:rsidRDefault="00504A83" w:rsidP="00504A83">
            <w:pPr>
              <w:rPr>
                <w:rFonts w:cs="Calibri"/>
                <w:color w:val="000000"/>
                <w:lang w:eastAsia="en-AU"/>
              </w:rPr>
            </w:pPr>
            <w:r w:rsidRPr="009954FD">
              <w:rPr>
                <w:rFonts w:cs="Calibri"/>
                <w:color w:val="000000"/>
                <w:lang w:eastAsia="en-AU"/>
              </w:rPr>
              <w:t>Prostatectomy</w:t>
            </w:r>
          </w:p>
        </w:tc>
        <w:tc>
          <w:tcPr>
            <w:tcW w:w="1238" w:type="dxa"/>
            <w:noWrap/>
            <w:hideMark/>
          </w:tcPr>
          <w:p w14:paraId="0308A59F" w14:textId="77777777" w:rsidR="00504A83" w:rsidRPr="009954FD" w:rsidRDefault="00504A83">
            <w:pPr>
              <w:rPr>
                <w:rFonts w:cs="Calibri"/>
                <w:color w:val="000000"/>
                <w:lang w:eastAsia="en-AU"/>
              </w:rPr>
            </w:pPr>
            <w:r>
              <w:rPr>
                <w:rFonts w:cstheme="minorHAnsi"/>
                <w:color w:val="000000"/>
              </w:rPr>
              <w:t>$</w:t>
            </w:r>
            <w:r w:rsidRPr="005723D6">
              <w:rPr>
                <w:rFonts w:cstheme="minorHAnsi"/>
                <w:color w:val="000000"/>
              </w:rPr>
              <w:t>52,223</w:t>
            </w:r>
          </w:p>
        </w:tc>
        <w:tc>
          <w:tcPr>
            <w:tcW w:w="271" w:type="dxa"/>
            <w:tcBorders>
              <w:top w:val="nil"/>
              <w:bottom w:val="nil"/>
            </w:tcBorders>
          </w:tcPr>
          <w:p w14:paraId="7DC6796F" w14:textId="77777777" w:rsidR="00504A83" w:rsidRPr="009954FD" w:rsidRDefault="00504A83" w:rsidP="00504A83">
            <w:pPr>
              <w:rPr>
                <w:rFonts w:cs="Calibri"/>
                <w:color w:val="000000"/>
                <w:lang w:eastAsia="en-AU"/>
              </w:rPr>
            </w:pPr>
          </w:p>
        </w:tc>
        <w:tc>
          <w:tcPr>
            <w:tcW w:w="987" w:type="dxa"/>
            <w:noWrap/>
            <w:hideMark/>
          </w:tcPr>
          <w:p w14:paraId="422D8BC4" w14:textId="77777777" w:rsidR="00504A83" w:rsidRPr="009954FD" w:rsidRDefault="00504A83" w:rsidP="00504A83">
            <w:pPr>
              <w:rPr>
                <w:rFonts w:cs="Calibri"/>
                <w:color w:val="000000"/>
                <w:lang w:eastAsia="en-AU"/>
              </w:rPr>
            </w:pPr>
            <w:r w:rsidRPr="005723D6">
              <w:rPr>
                <w:rFonts w:cstheme="minorHAnsi"/>
                <w:color w:val="000000"/>
              </w:rPr>
              <w:t>16522</w:t>
            </w:r>
          </w:p>
        </w:tc>
        <w:tc>
          <w:tcPr>
            <w:tcW w:w="2131" w:type="dxa"/>
            <w:noWrap/>
            <w:hideMark/>
          </w:tcPr>
          <w:p w14:paraId="6857B318" w14:textId="77777777" w:rsidR="00504A83" w:rsidRPr="009954FD" w:rsidRDefault="00504A83" w:rsidP="00504A83">
            <w:pPr>
              <w:rPr>
                <w:rFonts w:cs="Calibri"/>
                <w:color w:val="000000"/>
                <w:lang w:eastAsia="en-AU"/>
              </w:rPr>
            </w:pPr>
            <w:r w:rsidRPr="005723D6">
              <w:rPr>
                <w:rFonts w:cstheme="minorHAnsi"/>
                <w:color w:val="222222"/>
                <w:shd w:val="clear" w:color="auto" w:fill="FBFBFB"/>
              </w:rPr>
              <w:t>Management of labour and birth</w:t>
            </w:r>
          </w:p>
        </w:tc>
        <w:tc>
          <w:tcPr>
            <w:tcW w:w="1147" w:type="dxa"/>
            <w:noWrap/>
            <w:hideMark/>
          </w:tcPr>
          <w:p w14:paraId="077E9835" w14:textId="77777777" w:rsidR="00504A83" w:rsidRPr="009954FD" w:rsidRDefault="00504A83">
            <w:pPr>
              <w:rPr>
                <w:rFonts w:cs="Calibri"/>
                <w:color w:val="000000"/>
                <w:lang w:eastAsia="en-AU"/>
              </w:rPr>
            </w:pPr>
            <w:r>
              <w:rPr>
                <w:rFonts w:cstheme="minorHAnsi"/>
                <w:color w:val="000000"/>
              </w:rPr>
              <w:t>$</w:t>
            </w:r>
            <w:r w:rsidRPr="005723D6">
              <w:rPr>
                <w:rFonts w:cstheme="minorHAnsi"/>
                <w:color w:val="000000"/>
              </w:rPr>
              <w:t>24,446</w:t>
            </w:r>
          </w:p>
        </w:tc>
      </w:tr>
      <w:tr w:rsidR="00504A83" w:rsidRPr="0071794B" w14:paraId="749B45F1" w14:textId="77777777" w:rsidTr="00A26B3B">
        <w:trPr>
          <w:trHeight w:val="284"/>
        </w:trPr>
        <w:tc>
          <w:tcPr>
            <w:tcW w:w="1129" w:type="dxa"/>
            <w:noWrap/>
            <w:hideMark/>
          </w:tcPr>
          <w:p w14:paraId="4310BE6F" w14:textId="77777777" w:rsidR="00504A83" w:rsidRPr="009954FD" w:rsidRDefault="00504A83">
            <w:pPr>
              <w:rPr>
                <w:rFonts w:cs="Calibri"/>
                <w:color w:val="000000"/>
                <w:lang w:eastAsia="en-AU"/>
              </w:rPr>
            </w:pPr>
            <w:r w:rsidRPr="005723D6">
              <w:rPr>
                <w:rFonts w:cstheme="minorHAnsi"/>
                <w:color w:val="000000"/>
              </w:rPr>
              <w:t>16520</w:t>
            </w:r>
          </w:p>
        </w:tc>
        <w:tc>
          <w:tcPr>
            <w:tcW w:w="2169" w:type="dxa"/>
            <w:noWrap/>
            <w:hideMark/>
          </w:tcPr>
          <w:p w14:paraId="74667652" w14:textId="77777777" w:rsidR="00504A83" w:rsidRPr="009954FD" w:rsidRDefault="00504A83" w:rsidP="00504A83">
            <w:pPr>
              <w:rPr>
                <w:rFonts w:cs="Calibri"/>
                <w:color w:val="000000"/>
                <w:lang w:eastAsia="en-AU"/>
              </w:rPr>
            </w:pPr>
            <w:r w:rsidRPr="005723D6">
              <w:rPr>
                <w:rFonts w:cstheme="minorHAnsi"/>
                <w:color w:val="222222"/>
                <w:shd w:val="clear" w:color="auto" w:fill="FBFBFB"/>
              </w:rPr>
              <w:t>Caesarean section and post</w:t>
            </w:r>
            <w:r w:rsidRPr="005723D6">
              <w:rPr>
                <w:rFonts w:cstheme="minorHAnsi"/>
                <w:color w:val="222222"/>
                <w:shd w:val="clear" w:color="auto" w:fill="FBFBFB"/>
              </w:rPr>
              <w:noBreakHyphen/>
              <w:t>operative care</w:t>
            </w:r>
          </w:p>
        </w:tc>
        <w:tc>
          <w:tcPr>
            <w:tcW w:w="1238" w:type="dxa"/>
            <w:noWrap/>
            <w:hideMark/>
          </w:tcPr>
          <w:p w14:paraId="19D62B5E" w14:textId="77777777" w:rsidR="00504A83" w:rsidRPr="009954FD" w:rsidRDefault="00504A83">
            <w:pPr>
              <w:rPr>
                <w:rFonts w:cs="Calibri"/>
                <w:color w:val="000000"/>
                <w:lang w:eastAsia="en-AU"/>
              </w:rPr>
            </w:pPr>
            <w:r>
              <w:rPr>
                <w:rFonts w:cstheme="minorHAnsi"/>
                <w:color w:val="000000"/>
              </w:rPr>
              <w:t>$</w:t>
            </w:r>
            <w:r w:rsidRPr="005723D6">
              <w:rPr>
                <w:rFonts w:cstheme="minorHAnsi"/>
                <w:color w:val="000000"/>
              </w:rPr>
              <w:t>46,384</w:t>
            </w:r>
          </w:p>
        </w:tc>
        <w:tc>
          <w:tcPr>
            <w:tcW w:w="271" w:type="dxa"/>
            <w:tcBorders>
              <w:top w:val="nil"/>
              <w:bottom w:val="nil"/>
            </w:tcBorders>
          </w:tcPr>
          <w:p w14:paraId="484A6720" w14:textId="77777777" w:rsidR="00504A83" w:rsidRPr="009954FD" w:rsidRDefault="00504A83" w:rsidP="00504A83">
            <w:pPr>
              <w:rPr>
                <w:rFonts w:cs="Calibri"/>
                <w:color w:val="000000"/>
                <w:lang w:eastAsia="en-AU"/>
              </w:rPr>
            </w:pPr>
          </w:p>
        </w:tc>
        <w:tc>
          <w:tcPr>
            <w:tcW w:w="987" w:type="dxa"/>
            <w:noWrap/>
            <w:hideMark/>
          </w:tcPr>
          <w:p w14:paraId="69631662" w14:textId="77777777" w:rsidR="00504A83" w:rsidRPr="009954FD" w:rsidRDefault="00504A83" w:rsidP="00504A83">
            <w:pPr>
              <w:rPr>
                <w:rFonts w:cs="Calibri"/>
                <w:color w:val="000000"/>
                <w:lang w:eastAsia="en-AU"/>
              </w:rPr>
            </w:pPr>
            <w:r w:rsidRPr="005723D6">
              <w:rPr>
                <w:rFonts w:cstheme="minorHAnsi"/>
                <w:color w:val="000000"/>
              </w:rPr>
              <w:t>16520</w:t>
            </w:r>
          </w:p>
        </w:tc>
        <w:tc>
          <w:tcPr>
            <w:tcW w:w="2131" w:type="dxa"/>
            <w:noWrap/>
            <w:hideMark/>
          </w:tcPr>
          <w:p w14:paraId="195E8CB0" w14:textId="77777777" w:rsidR="00504A83" w:rsidRPr="009954FD" w:rsidRDefault="00504A83" w:rsidP="00504A83">
            <w:pPr>
              <w:rPr>
                <w:rFonts w:cs="Calibri"/>
                <w:color w:val="000000"/>
                <w:lang w:eastAsia="en-AU"/>
              </w:rPr>
            </w:pPr>
            <w:r w:rsidRPr="005723D6">
              <w:rPr>
                <w:rFonts w:cstheme="minorHAnsi"/>
                <w:color w:val="222222"/>
                <w:shd w:val="clear" w:color="auto" w:fill="FBFBFB"/>
              </w:rPr>
              <w:t>Caesarean section and post</w:t>
            </w:r>
            <w:r w:rsidRPr="005723D6">
              <w:rPr>
                <w:rFonts w:cstheme="minorHAnsi"/>
                <w:color w:val="222222"/>
                <w:shd w:val="clear" w:color="auto" w:fill="FBFBFB"/>
              </w:rPr>
              <w:noBreakHyphen/>
              <w:t>operative care</w:t>
            </w:r>
          </w:p>
        </w:tc>
        <w:tc>
          <w:tcPr>
            <w:tcW w:w="1147" w:type="dxa"/>
            <w:noWrap/>
            <w:hideMark/>
          </w:tcPr>
          <w:p w14:paraId="5B4802AB" w14:textId="77777777" w:rsidR="00504A83" w:rsidRPr="009954FD" w:rsidRDefault="00504A83">
            <w:pPr>
              <w:rPr>
                <w:rFonts w:cs="Calibri"/>
                <w:color w:val="000000"/>
                <w:lang w:eastAsia="en-AU"/>
              </w:rPr>
            </w:pPr>
            <w:r>
              <w:rPr>
                <w:rFonts w:cstheme="minorHAnsi"/>
                <w:color w:val="000000"/>
              </w:rPr>
              <w:t>$</w:t>
            </w:r>
            <w:r w:rsidRPr="005723D6">
              <w:rPr>
                <w:rFonts w:cstheme="minorHAnsi"/>
                <w:color w:val="000000"/>
              </w:rPr>
              <w:t>23,459</w:t>
            </w:r>
          </w:p>
        </w:tc>
      </w:tr>
      <w:tr w:rsidR="00504A83" w:rsidRPr="0071794B" w14:paraId="6C89809B" w14:textId="77777777" w:rsidTr="00A26B3B">
        <w:trPr>
          <w:trHeight w:val="284"/>
        </w:trPr>
        <w:tc>
          <w:tcPr>
            <w:tcW w:w="1129" w:type="dxa"/>
            <w:noWrap/>
            <w:hideMark/>
          </w:tcPr>
          <w:p w14:paraId="03D71701" w14:textId="77777777" w:rsidR="00504A83" w:rsidRPr="009954FD" w:rsidRDefault="00504A83">
            <w:pPr>
              <w:rPr>
                <w:rFonts w:cs="Calibri"/>
                <w:color w:val="000000"/>
                <w:lang w:eastAsia="en-AU"/>
              </w:rPr>
            </w:pPr>
            <w:r w:rsidRPr="005723D6">
              <w:rPr>
                <w:rFonts w:cstheme="minorHAnsi"/>
                <w:color w:val="000000"/>
              </w:rPr>
              <w:t>16522</w:t>
            </w:r>
          </w:p>
        </w:tc>
        <w:tc>
          <w:tcPr>
            <w:tcW w:w="2169" w:type="dxa"/>
            <w:noWrap/>
            <w:hideMark/>
          </w:tcPr>
          <w:p w14:paraId="6D9A3CEE" w14:textId="77777777" w:rsidR="00504A83" w:rsidRPr="009954FD" w:rsidRDefault="00504A83" w:rsidP="00504A83">
            <w:pPr>
              <w:rPr>
                <w:rFonts w:cs="Calibri"/>
                <w:color w:val="000000"/>
                <w:lang w:eastAsia="en-AU"/>
              </w:rPr>
            </w:pPr>
            <w:r w:rsidRPr="005723D6">
              <w:rPr>
                <w:rFonts w:cstheme="minorHAnsi"/>
                <w:color w:val="222222"/>
                <w:shd w:val="clear" w:color="auto" w:fill="FBFBFB"/>
              </w:rPr>
              <w:t>Management of labour and birth</w:t>
            </w:r>
          </w:p>
        </w:tc>
        <w:tc>
          <w:tcPr>
            <w:tcW w:w="1238" w:type="dxa"/>
            <w:noWrap/>
            <w:hideMark/>
          </w:tcPr>
          <w:p w14:paraId="51205FCF" w14:textId="77777777" w:rsidR="00504A83" w:rsidRPr="009954FD" w:rsidRDefault="00504A83">
            <w:pPr>
              <w:rPr>
                <w:rFonts w:cs="Calibri"/>
                <w:color w:val="000000"/>
                <w:lang w:eastAsia="en-AU"/>
              </w:rPr>
            </w:pPr>
            <w:r>
              <w:rPr>
                <w:rFonts w:cstheme="minorHAnsi"/>
                <w:color w:val="000000"/>
              </w:rPr>
              <w:t>$</w:t>
            </w:r>
            <w:r w:rsidRPr="005723D6">
              <w:rPr>
                <w:rFonts w:cstheme="minorHAnsi"/>
                <w:color w:val="000000"/>
              </w:rPr>
              <w:t>45,955</w:t>
            </w:r>
          </w:p>
        </w:tc>
        <w:tc>
          <w:tcPr>
            <w:tcW w:w="271" w:type="dxa"/>
            <w:tcBorders>
              <w:top w:val="nil"/>
              <w:bottom w:val="nil"/>
            </w:tcBorders>
          </w:tcPr>
          <w:p w14:paraId="62087106" w14:textId="77777777" w:rsidR="00504A83" w:rsidRPr="009954FD" w:rsidRDefault="00504A83" w:rsidP="00504A83">
            <w:pPr>
              <w:rPr>
                <w:rFonts w:cs="Calibri"/>
                <w:color w:val="000000"/>
                <w:lang w:eastAsia="en-AU"/>
              </w:rPr>
            </w:pPr>
          </w:p>
        </w:tc>
        <w:tc>
          <w:tcPr>
            <w:tcW w:w="987" w:type="dxa"/>
            <w:noWrap/>
            <w:hideMark/>
          </w:tcPr>
          <w:p w14:paraId="78E4D170" w14:textId="77777777" w:rsidR="00504A83" w:rsidRPr="009954FD" w:rsidRDefault="00504A83" w:rsidP="00504A83">
            <w:pPr>
              <w:rPr>
                <w:rFonts w:cs="Calibri"/>
                <w:color w:val="000000"/>
                <w:lang w:eastAsia="en-AU"/>
              </w:rPr>
            </w:pPr>
            <w:r w:rsidRPr="005723D6">
              <w:rPr>
                <w:rFonts w:cstheme="minorHAnsi"/>
                <w:color w:val="000000"/>
              </w:rPr>
              <w:t>37210</w:t>
            </w:r>
          </w:p>
        </w:tc>
        <w:tc>
          <w:tcPr>
            <w:tcW w:w="2131" w:type="dxa"/>
            <w:noWrap/>
            <w:hideMark/>
          </w:tcPr>
          <w:p w14:paraId="7D43A2DB" w14:textId="77777777" w:rsidR="00504A83" w:rsidRPr="009954FD" w:rsidRDefault="00504A83" w:rsidP="00504A83">
            <w:pPr>
              <w:rPr>
                <w:rFonts w:cs="Calibri"/>
                <w:color w:val="000000"/>
                <w:lang w:eastAsia="en-AU"/>
              </w:rPr>
            </w:pPr>
            <w:r w:rsidRPr="009954FD">
              <w:rPr>
                <w:rFonts w:cs="Calibri"/>
                <w:color w:val="000000"/>
                <w:lang w:eastAsia="en-AU"/>
              </w:rPr>
              <w:t>Prostatectomy</w:t>
            </w:r>
          </w:p>
        </w:tc>
        <w:tc>
          <w:tcPr>
            <w:tcW w:w="1147" w:type="dxa"/>
            <w:noWrap/>
            <w:hideMark/>
          </w:tcPr>
          <w:p w14:paraId="26CB9E6D" w14:textId="77777777" w:rsidR="00504A83" w:rsidRPr="009954FD" w:rsidRDefault="00504A83">
            <w:pPr>
              <w:rPr>
                <w:rFonts w:cs="Calibri"/>
                <w:color w:val="000000"/>
                <w:lang w:eastAsia="en-AU"/>
              </w:rPr>
            </w:pPr>
            <w:r>
              <w:rPr>
                <w:rFonts w:cstheme="minorHAnsi"/>
                <w:color w:val="000000"/>
              </w:rPr>
              <w:t>$</w:t>
            </w:r>
            <w:r w:rsidRPr="005723D6">
              <w:rPr>
                <w:rFonts w:cstheme="minorHAnsi"/>
                <w:color w:val="000000"/>
              </w:rPr>
              <w:t>22,596</w:t>
            </w:r>
          </w:p>
        </w:tc>
      </w:tr>
    </w:tbl>
    <w:p w14:paraId="61F20E56" w14:textId="77777777" w:rsidR="008A425C" w:rsidRDefault="008A425C" w:rsidP="000C7ECB">
      <w:pPr>
        <w:pStyle w:val="EYHeading4"/>
        <w:spacing w:before="240"/>
      </w:pPr>
      <w:r>
        <w:t>Internal Adhesives</w:t>
      </w:r>
    </w:p>
    <w:p w14:paraId="1E1CF6F9" w14:textId="3FBF8A81" w:rsidR="002E7A21" w:rsidRDefault="002E7A21" w:rsidP="002E7A21">
      <w:pPr>
        <w:pStyle w:val="Bodytextwithparaspace"/>
      </w:pPr>
      <w:r>
        <w:t xml:space="preserve">Significant growth in usage and benefits for the internal adhesive group of products </w:t>
      </w:r>
      <w:r w:rsidR="00F63C5D">
        <w:t>was</w:t>
      </w:r>
      <w:r>
        <w:t xml:space="preserve"> driven by a single product, </w:t>
      </w:r>
      <w:r w:rsidR="00FD07C6">
        <w:t>which</w:t>
      </w:r>
      <w:r>
        <w:t xml:space="preserve"> represents one of the top 10 items contributing the most growth across all of the ‘High’ priority GM products, associated with a $6.4m increase in annual benefits from FY14 to FY19. In particular, it </w:t>
      </w:r>
      <w:r w:rsidR="00F63C5D">
        <w:t>is</w:t>
      </w:r>
      <w:r>
        <w:t xml:space="preserve"> noted that </w:t>
      </w:r>
      <w:r w:rsidR="00F63C5D">
        <w:t>there was</w:t>
      </w:r>
      <w:r>
        <w:t xml:space="preserve"> an apparent strong preference for the larger, more expensive size version</w:t>
      </w:r>
      <w:r w:rsidR="00F63C5D">
        <w:t xml:space="preserve"> of this product</w:t>
      </w:r>
      <w:r>
        <w:t xml:space="preserve"> </w:t>
      </w:r>
      <w:r w:rsidR="00F63C5D">
        <w:t>(</w:t>
      </w:r>
      <w:r>
        <w:t>which contrasts to similar competitor products</w:t>
      </w:r>
      <w:r w:rsidR="00F63C5D">
        <w:t>), which</w:t>
      </w:r>
      <w:r>
        <w:t xml:space="preserve"> may be suggestive of the PL leading to </w:t>
      </w:r>
      <w:r w:rsidR="00063088">
        <w:t xml:space="preserve">adverse benefit amount </w:t>
      </w:r>
      <w:r>
        <w:t xml:space="preserve">outcomes. The observed trends may be suggestive of the lack of disincentives against </w:t>
      </w:r>
      <w:r w:rsidR="00ED4649">
        <w:t xml:space="preserve">potentially </w:t>
      </w:r>
      <w:r>
        <w:t xml:space="preserve">unnecessary usage of these products brought about by their availability </w:t>
      </w:r>
      <w:r w:rsidR="00C20D73">
        <w:t xml:space="preserve">on </w:t>
      </w:r>
      <w:r>
        <w:t xml:space="preserve">the PL and their simultaneous broader applicability </w:t>
      </w:r>
      <w:r w:rsidRPr="00466263">
        <w:t xml:space="preserve">contributing to expanding usage. </w:t>
      </w:r>
    </w:p>
    <w:tbl>
      <w:tblPr>
        <w:tblStyle w:val="TableGrid"/>
        <w:tblW w:w="0" w:type="auto"/>
        <w:tblLook w:val="04A0" w:firstRow="1" w:lastRow="0" w:firstColumn="1" w:lastColumn="0" w:noHBand="0" w:noVBand="1"/>
        <w:tblCaption w:val="Finding 4.4.3 (1)"/>
        <w:tblDescription w:val="This table describes Finding 4.4.3 (1)&#10;There are numerous groups in which similar items differing by a characteristic (such as size) have different minimum benefit amounts. In some cases, the usage of these items differed significantly, with some skewed towards usage of the more expensive items, such as the larger versions of matrices, pliable patches, and internal adhesives. Additionally, within the larger pliable patches, PL benefits paid for the more expensive micro-fibrous version are higher than benefits paid for the cheaper Standard version.&#10;It is likely that in many cases usage of the more expensive option is more than sufficient to meet clinical needs and is therefore not the most efficient option from an overall healthcare costs perspective.&#10;"/>
      </w:tblPr>
      <w:tblGrid>
        <w:gridCol w:w="9019"/>
      </w:tblGrid>
      <w:tr w:rsidR="00DC495F" w14:paraId="1ADD0FAB" w14:textId="77777777" w:rsidTr="00A37319">
        <w:trPr>
          <w:tblHeader/>
        </w:trPr>
        <w:tc>
          <w:tcPr>
            <w:tcW w:w="9019" w:type="dxa"/>
            <w:shd w:val="clear" w:color="auto" w:fill="D2D2DA" w:themeFill="text1" w:themeFillTint="33"/>
          </w:tcPr>
          <w:p w14:paraId="583B805A" w14:textId="12277B45" w:rsidR="00DC495F" w:rsidRDefault="00DC495F" w:rsidP="00DC495F">
            <w:pPr>
              <w:pStyle w:val="Bodytextwithparaspace"/>
              <w:rPr>
                <w:b/>
              </w:rPr>
            </w:pPr>
            <w:r>
              <w:rPr>
                <w:b/>
              </w:rPr>
              <w:t xml:space="preserve">Finding </w:t>
            </w:r>
            <w:r w:rsidR="0056728F">
              <w:rPr>
                <w:b/>
              </w:rPr>
              <w:fldChar w:fldCharType="begin"/>
            </w:r>
            <w:r w:rsidR="0056728F">
              <w:rPr>
                <w:b/>
              </w:rPr>
              <w:instrText xml:space="preserve"> REF _Ref59024223 \r \h </w:instrText>
            </w:r>
            <w:r w:rsidR="0056728F">
              <w:rPr>
                <w:b/>
              </w:rPr>
            </w:r>
            <w:r w:rsidR="0056728F">
              <w:rPr>
                <w:b/>
              </w:rPr>
              <w:fldChar w:fldCharType="separate"/>
            </w:r>
            <w:r w:rsidR="0056728F">
              <w:rPr>
                <w:b/>
              </w:rPr>
              <w:t>4.4.3</w:t>
            </w:r>
            <w:r w:rsidR="0056728F">
              <w:rPr>
                <w:b/>
              </w:rPr>
              <w:fldChar w:fldCharType="end"/>
            </w:r>
            <w:r w:rsidR="00982247">
              <w:rPr>
                <w:b/>
              </w:rPr>
              <w:t xml:space="preserve"> </w:t>
            </w:r>
            <w:r>
              <w:rPr>
                <w:b/>
              </w:rPr>
              <w:t>(1)</w:t>
            </w:r>
          </w:p>
          <w:p w14:paraId="7DB7EAFC" w14:textId="582F66B8" w:rsidR="00F3639D" w:rsidRPr="00A26B3B" w:rsidRDefault="00C80114" w:rsidP="00F91DD6">
            <w:pPr>
              <w:pStyle w:val="Bodytextwithparaspace"/>
            </w:pPr>
            <w:r w:rsidRPr="00A26B3B">
              <w:t xml:space="preserve">There are numerous groups in which </w:t>
            </w:r>
            <w:r w:rsidR="000A60CC" w:rsidRPr="00A26B3B">
              <w:t xml:space="preserve">similar items differing by a characteristic (such as size) have different minimum benefit amounts. </w:t>
            </w:r>
            <w:r w:rsidR="00EA4ECB" w:rsidRPr="00A26B3B">
              <w:t>In some cases, th</w:t>
            </w:r>
            <w:r w:rsidR="00D37C4E" w:rsidRPr="00A26B3B">
              <w:t>e</w:t>
            </w:r>
            <w:r w:rsidR="002067BA" w:rsidRPr="00A26B3B">
              <w:t xml:space="preserve"> usage of these items </w:t>
            </w:r>
            <w:r w:rsidR="00F63C5D">
              <w:t>differed</w:t>
            </w:r>
            <w:r w:rsidR="002067BA" w:rsidRPr="00A26B3B">
              <w:t xml:space="preserve"> significantly, </w:t>
            </w:r>
            <w:r w:rsidR="00F63C5D">
              <w:t>with some</w:t>
            </w:r>
            <w:r w:rsidR="002067BA" w:rsidRPr="00A26B3B">
              <w:t xml:space="preserve"> skewed towards usage of the more expensive items</w:t>
            </w:r>
            <w:r w:rsidR="00525416" w:rsidRPr="00A26B3B">
              <w:t xml:space="preserve">, such as the larger </w:t>
            </w:r>
            <w:r w:rsidR="006F47A4" w:rsidRPr="00A26B3B">
              <w:t xml:space="preserve">versions of </w:t>
            </w:r>
            <w:r w:rsidR="00525416" w:rsidRPr="00A26B3B">
              <w:t>matrices</w:t>
            </w:r>
            <w:r w:rsidR="00336DFE" w:rsidRPr="00A26B3B">
              <w:t>,</w:t>
            </w:r>
            <w:r w:rsidR="006F47A4" w:rsidRPr="00A26B3B">
              <w:t xml:space="preserve"> pliable patches, and</w:t>
            </w:r>
            <w:r w:rsidR="002813B9" w:rsidRPr="00A26B3B">
              <w:t xml:space="preserve"> </w:t>
            </w:r>
            <w:r w:rsidR="00790CB7">
              <w:t>internal adhesives</w:t>
            </w:r>
            <w:r w:rsidR="006F47A4" w:rsidRPr="00A26B3B">
              <w:t>. Additionally, within the larger pliable patches,</w:t>
            </w:r>
            <w:r w:rsidR="00F3639D" w:rsidRPr="00A26B3B">
              <w:t xml:space="preserve"> PL benefits paid for the more expensive micro-fibrous version are higher than benefits paid for the cheaper Standard version.</w:t>
            </w:r>
          </w:p>
          <w:p w14:paraId="13BED423" w14:textId="704A3CB3" w:rsidR="00DC495F" w:rsidRPr="00A26B3B" w:rsidRDefault="001A5DB0" w:rsidP="00A26B3B">
            <w:pPr>
              <w:pStyle w:val="Bodytextwithparaspace"/>
            </w:pPr>
            <w:r w:rsidRPr="00707467">
              <w:t xml:space="preserve">It is </w:t>
            </w:r>
            <w:r>
              <w:t>likely that in many cases usage of the more expensive option is more than sufficient to meet clinical needs and is therefore not the most efficient option from an overall healthcare costs perspective.</w:t>
            </w:r>
          </w:p>
        </w:tc>
      </w:tr>
    </w:tbl>
    <w:p w14:paraId="2827A92C" w14:textId="77777777" w:rsidR="008A425C" w:rsidRDefault="000244FC" w:rsidP="000C7ECB">
      <w:pPr>
        <w:pStyle w:val="EYHeading4"/>
        <w:spacing w:before="240"/>
      </w:pPr>
      <w:bookmarkStart w:id="113" w:name="_Ref41663832"/>
      <w:r>
        <w:t xml:space="preserve">Infusion </w:t>
      </w:r>
      <w:r w:rsidR="00BD53DB">
        <w:t>Pump Accessories</w:t>
      </w:r>
      <w:bookmarkEnd w:id="113"/>
    </w:p>
    <w:p w14:paraId="37E3950C" w14:textId="59BEDFBB" w:rsidR="00146337" w:rsidRDefault="00146337" w:rsidP="00463B2D">
      <w:pPr>
        <w:pStyle w:val="Bodytextwithparaspace"/>
      </w:pPr>
      <w:r w:rsidRPr="09AC7B73">
        <w:rPr>
          <w:rFonts w:eastAsia="Calibri"/>
        </w:rPr>
        <w:t xml:space="preserve">This product group encompasses kits, administration cassettes, reservoirs, sets and other accessories for infusion pumps. Many of these accessories are </w:t>
      </w:r>
      <w:r w:rsidR="00F63C5D">
        <w:rPr>
          <w:rFonts w:eastAsia="Calibri"/>
        </w:rPr>
        <w:t xml:space="preserve">intended </w:t>
      </w:r>
      <w:r w:rsidRPr="09AC7B73">
        <w:rPr>
          <w:rFonts w:eastAsia="Calibri"/>
        </w:rPr>
        <w:t>for use with battery powered infusion pumps.</w:t>
      </w:r>
      <w:r>
        <w:rPr>
          <w:rFonts w:eastAsia="Calibri"/>
        </w:rPr>
        <w:t xml:space="preserve"> </w:t>
      </w:r>
      <w:r>
        <w:t xml:space="preserve">Infusion Pump Accessories included in the GM category of the list are typically single-use, low benefit amount per item products. Usage of infusion pump accessories </w:t>
      </w:r>
      <w:r w:rsidR="00F63C5D">
        <w:t>wa</w:t>
      </w:r>
      <w:r>
        <w:t>s primarily from within the ’03.02.05.02 – Administration Cassette’ and ’03.02.05.04 – Administration Set’ subgroups, which together represent</w:t>
      </w:r>
      <w:r w:rsidR="00F63C5D">
        <w:t>ed</w:t>
      </w:r>
      <w:r>
        <w:t xml:space="preserve"> 91% of all item usage for the group.</w:t>
      </w:r>
    </w:p>
    <w:p w14:paraId="30D9C9F9" w14:textId="13873094" w:rsidR="00146337" w:rsidRDefault="00146337" w:rsidP="00463B2D">
      <w:pPr>
        <w:pStyle w:val="Bodytextwithparaspace"/>
      </w:pPr>
      <w:r>
        <w:t>The minimum benefit amount payable per item is significantly higher for administration cassettes than administration sets</w:t>
      </w:r>
      <w:r w:rsidR="00207B3E">
        <w:t>. This result</w:t>
      </w:r>
      <w:r w:rsidR="00F63C5D">
        <w:t>ed</w:t>
      </w:r>
      <w:r w:rsidR="00736C02">
        <w:t xml:space="preserve"> </w:t>
      </w:r>
      <w:r>
        <w:t xml:space="preserve">in usage of administration cassettes accounting for 60% of total benefits paid for all infusion pump accessories in FY19 compared to only 14% for administration sets, despite otherwise comparable levels of usage. </w:t>
      </w:r>
    </w:p>
    <w:p w14:paraId="32EDBBAF" w14:textId="3A3F3D29" w:rsidR="00F63C5D" w:rsidRDefault="00146337">
      <w:pPr>
        <w:pStyle w:val="Bodytextwithparaspace"/>
      </w:pPr>
      <w:r>
        <w:fldChar w:fldCharType="begin"/>
      </w:r>
      <w:r>
        <w:instrText xml:space="preserve"> REF _Ref46132954 \h </w:instrText>
      </w:r>
      <w:r>
        <w:fldChar w:fldCharType="separate"/>
      </w:r>
      <w:r w:rsidR="00784DE2">
        <w:t xml:space="preserve">Figure </w:t>
      </w:r>
      <w:r w:rsidR="00784DE2">
        <w:rPr>
          <w:noProof/>
        </w:rPr>
        <w:t>12</w:t>
      </w:r>
      <w:r>
        <w:fldChar w:fldCharType="end"/>
      </w:r>
      <w:r>
        <w:t xml:space="preserve"> </w:t>
      </w:r>
      <w:r w:rsidRPr="00D31406">
        <w:t>shows the level of usage of infusion pump accessories relative to the level of usage of the infusion pumps themselves</w:t>
      </w:r>
      <w:r>
        <w:t xml:space="preserve">. The total number of pumps includes usage </w:t>
      </w:r>
      <w:r w:rsidRPr="00D31406">
        <w:t>across all three infusion pump groups – balloon-based, battery-powered and spring-powered</w:t>
      </w:r>
      <w:r>
        <w:t xml:space="preserve"> – and is not limited to just those pumps for which related accessories are included separately on the PL</w:t>
      </w:r>
      <w:r w:rsidRPr="00D31406">
        <w:t xml:space="preserve">. This shows that, following a dip in usage in FY15 and FY16, the accessory usage </w:t>
      </w:r>
      <w:r w:rsidR="00F63C5D">
        <w:t>grew</w:t>
      </w:r>
      <w:r w:rsidRPr="00D31406">
        <w:t xml:space="preserve"> faster than the underlying level of growth in the infusion pumps themselves.</w:t>
      </w:r>
    </w:p>
    <w:p w14:paraId="55AC7304" w14:textId="77777777" w:rsidR="00F63C5D" w:rsidRDefault="00F63C5D">
      <w:pPr>
        <w:autoSpaceDE/>
        <w:autoSpaceDN/>
        <w:adjustRightInd/>
      </w:pPr>
      <w:r>
        <w:br w:type="page"/>
      </w:r>
    </w:p>
    <w:tbl>
      <w:tblPr>
        <w:tblStyle w:val="TableGrid"/>
        <w:tblW w:w="59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Figure 12"/>
        <w:tblDescription w:val="This table presents figure 12 - Infusion Pump accessories - number of accessories used per unfusion pump, overall"/>
      </w:tblPr>
      <w:tblGrid>
        <w:gridCol w:w="5997"/>
      </w:tblGrid>
      <w:tr w:rsidR="00146337" w14:paraId="7B1E8F18" w14:textId="77777777" w:rsidTr="00A37319">
        <w:trPr>
          <w:trHeight w:val="224"/>
          <w:tblHeader/>
        </w:trPr>
        <w:tc>
          <w:tcPr>
            <w:tcW w:w="5997" w:type="dxa"/>
          </w:tcPr>
          <w:p w14:paraId="071CE8E0" w14:textId="7CC0EBAB" w:rsidR="00146337" w:rsidRPr="000B03B2" w:rsidRDefault="00146337" w:rsidP="00C82214">
            <w:pPr>
              <w:pStyle w:val="Caption"/>
              <w:spacing w:after="0"/>
            </w:pPr>
            <w:bookmarkStart w:id="114" w:name="_Ref46132954"/>
            <w:r>
              <w:t xml:space="preserve">Figure </w:t>
            </w:r>
            <w:r w:rsidR="00FC6370">
              <w:fldChar w:fldCharType="begin"/>
            </w:r>
            <w:r w:rsidR="00FC6370">
              <w:instrText xml:space="preserve"> SEQ Figure \* ARABIC </w:instrText>
            </w:r>
            <w:r w:rsidR="00FC6370">
              <w:fldChar w:fldCharType="separate"/>
            </w:r>
            <w:r w:rsidR="00784DE2">
              <w:rPr>
                <w:noProof/>
              </w:rPr>
              <w:t>12</w:t>
            </w:r>
            <w:r w:rsidR="00FC6370">
              <w:rPr>
                <w:noProof/>
              </w:rPr>
              <w:fldChar w:fldCharType="end"/>
            </w:r>
            <w:bookmarkEnd w:id="114"/>
            <w:r>
              <w:t xml:space="preserve"> – Infusion pump accessories – Number of accessories used per infusion pump, overall</w:t>
            </w:r>
          </w:p>
        </w:tc>
      </w:tr>
      <w:tr w:rsidR="00146337" w14:paraId="53B47EC2" w14:textId="77777777" w:rsidTr="00C82214">
        <w:trPr>
          <w:trHeight w:val="3684"/>
        </w:trPr>
        <w:tc>
          <w:tcPr>
            <w:tcW w:w="5997" w:type="dxa"/>
          </w:tcPr>
          <w:p w14:paraId="5E6494FC" w14:textId="77777777" w:rsidR="00146337" w:rsidRPr="000B03B2" w:rsidRDefault="00146337" w:rsidP="00C82214">
            <w:pPr>
              <w:keepNext/>
            </w:pPr>
            <w:r>
              <w:rPr>
                <w:noProof/>
                <w:lang w:val="en-AU" w:eastAsia="en-AU"/>
              </w:rPr>
              <w:drawing>
                <wp:inline distT="0" distB="0" distL="0" distR="0" wp14:anchorId="4E6FB1F1" wp14:editId="4941676F">
                  <wp:extent cx="3567065" cy="2139942"/>
                  <wp:effectExtent l="0" t="0" r="0" b="0"/>
                  <wp:docPr id="1969580673" name="Picture 1969580673" descr="Figure 12 - Infusion pump accessories - number of accessories used per infusion pump, overall&#10;&#10;This figure shows the total number of infusion pumps and number of accessories used per pump between FY14 and FY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74942" cy="2144667"/>
                          </a:xfrm>
                          <a:prstGeom prst="rect">
                            <a:avLst/>
                          </a:prstGeom>
                          <a:noFill/>
                        </pic:spPr>
                      </pic:pic>
                    </a:graphicData>
                  </a:graphic>
                </wp:inline>
              </w:drawing>
            </w:r>
          </w:p>
        </w:tc>
      </w:tr>
    </w:tbl>
    <w:p w14:paraId="3E73178C" w14:textId="418C9E1E" w:rsidR="00CD56D0" w:rsidRDefault="00B533AE" w:rsidP="00A26B3B">
      <w:pPr>
        <w:pStyle w:val="Bodytextwithparaspace"/>
      </w:pPr>
      <w:r>
        <w:t>S</w:t>
      </w:r>
      <w:r w:rsidR="00837EC1">
        <w:t>takeholders raised concerns that infusion pumps are being purchased</w:t>
      </w:r>
      <w:r w:rsidR="00A456E1">
        <w:t xml:space="preserve"> through the PL and being returned to the hospital’s capital equipment stock</w:t>
      </w:r>
      <w:r w:rsidR="00B720F8">
        <w:t>. I</w:t>
      </w:r>
      <w:r w:rsidR="00CD56D0">
        <w:t>n this case, the difference in infusion pump usage and infusion pump accessory usage could be due to infusion pumps being reused after their purchase from the PL</w:t>
      </w:r>
      <w:r>
        <w:t>, contrary to the listing criteria</w:t>
      </w:r>
      <w:r w:rsidR="00CD56D0">
        <w:t>.</w:t>
      </w:r>
    </w:p>
    <w:p w14:paraId="24280460" w14:textId="1A628997" w:rsidR="00982247" w:rsidRDefault="008C34A5" w:rsidP="00A26B3B">
      <w:pPr>
        <w:pStyle w:val="Bodytextwithparaspace"/>
      </w:pPr>
      <w:r>
        <w:t xml:space="preserve">There </w:t>
      </w:r>
      <w:r w:rsidR="004E6B7A">
        <w:t>are</w:t>
      </w:r>
      <w:r>
        <w:t xml:space="preserve"> </w:t>
      </w:r>
      <w:r w:rsidR="00C069EB">
        <w:t>case</w:t>
      </w:r>
      <w:r>
        <w:t xml:space="preserve">s </w:t>
      </w:r>
      <w:r w:rsidR="00C069EB">
        <w:t xml:space="preserve">where </w:t>
      </w:r>
      <w:r w:rsidR="00B533AE">
        <w:t>an</w:t>
      </w:r>
      <w:r w:rsidR="00C069EB">
        <w:t xml:space="preserve"> infusion pump and </w:t>
      </w:r>
      <w:r w:rsidR="00B533AE">
        <w:t xml:space="preserve">its associated </w:t>
      </w:r>
      <w:r w:rsidR="00C069EB">
        <w:t>accessories</w:t>
      </w:r>
      <w:r w:rsidR="00DF40BF">
        <w:t xml:space="preserve"> </w:t>
      </w:r>
      <w:r w:rsidR="00F63C5D">
        <w:t>showed</w:t>
      </w:r>
      <w:r w:rsidR="00C069EB">
        <w:t xml:space="preserve"> </w:t>
      </w:r>
      <w:r w:rsidR="00CA024C">
        <w:t>differ</w:t>
      </w:r>
      <w:r w:rsidR="00DF40BF">
        <w:t>ent usage patterns</w:t>
      </w:r>
      <w:r w:rsidR="008B3868">
        <w:t xml:space="preserve">. </w:t>
      </w:r>
      <w:r w:rsidR="004E6B7A">
        <w:t>In these cases</w:t>
      </w:r>
      <w:r w:rsidR="008B3868">
        <w:t xml:space="preserve">, while the usage of the pumps </w:t>
      </w:r>
      <w:r w:rsidR="00F63C5D">
        <w:t>was</w:t>
      </w:r>
      <w:r w:rsidR="004E6B7A">
        <w:t xml:space="preserve"> relatively stable</w:t>
      </w:r>
      <w:r w:rsidR="008B3868">
        <w:t xml:space="preserve"> since FY14, the </w:t>
      </w:r>
      <w:r w:rsidR="00DF40BF">
        <w:t xml:space="preserve">number of </w:t>
      </w:r>
      <w:r w:rsidR="008B3868">
        <w:t xml:space="preserve">accessories used per pump increased </w:t>
      </w:r>
      <w:r w:rsidR="004E6B7A">
        <w:t>significantly over the same period</w:t>
      </w:r>
      <w:r w:rsidR="00DF40BF">
        <w:t>. In some cases</w:t>
      </w:r>
      <w:r w:rsidR="004E6B7A">
        <w:t xml:space="preserve">, many hundreds or even thousands of infusion pump accessories </w:t>
      </w:r>
      <w:r w:rsidR="00F63C5D">
        <w:t>were</w:t>
      </w:r>
      <w:r w:rsidR="004E6B7A">
        <w:t xml:space="preserve"> used for each equivalent infusion pump</w:t>
      </w:r>
      <w:r w:rsidR="008B3868">
        <w:t>.</w:t>
      </w:r>
    </w:p>
    <w:tbl>
      <w:tblPr>
        <w:tblStyle w:val="TableGrid"/>
        <w:tblW w:w="0" w:type="auto"/>
        <w:tblLook w:val="04A0" w:firstRow="1" w:lastRow="0" w:firstColumn="1" w:lastColumn="0" w:noHBand="0" w:noVBand="1"/>
        <w:tblCaption w:val="Finding 4.4.3 (2)"/>
        <w:tblDescription w:val="This table describes Finding 4.4.3 (2)&#10;There have been a number of examples where the use of an infusion pump accessory did not align with the use of the pump itself. This may be indicative of:&#10;● more accessories being used than is clinically sufficient;&#10;● accessories being used for purposes not specified by their listing; or&#10;● the pump being reused after their initial purchase from the PL. &#10;"/>
      </w:tblPr>
      <w:tblGrid>
        <w:gridCol w:w="9019"/>
      </w:tblGrid>
      <w:tr w:rsidR="00982247" w14:paraId="664DD3F6" w14:textId="77777777" w:rsidTr="00A37319">
        <w:trPr>
          <w:tblHeader/>
        </w:trPr>
        <w:tc>
          <w:tcPr>
            <w:tcW w:w="9019" w:type="dxa"/>
            <w:shd w:val="clear" w:color="auto" w:fill="D2D2DA" w:themeFill="text1" w:themeFillTint="33"/>
          </w:tcPr>
          <w:p w14:paraId="668B4E39" w14:textId="41E78E13" w:rsidR="00982247" w:rsidRDefault="00982247" w:rsidP="00982247">
            <w:pPr>
              <w:pStyle w:val="Bodytextwithparaspace"/>
              <w:rPr>
                <w:b/>
              </w:rPr>
            </w:pPr>
            <w:r>
              <w:rPr>
                <w:b/>
              </w:rPr>
              <w:t xml:space="preserve">Finding </w:t>
            </w:r>
            <w:r w:rsidR="0056728F">
              <w:rPr>
                <w:b/>
              </w:rPr>
              <w:fldChar w:fldCharType="begin"/>
            </w:r>
            <w:r w:rsidR="0056728F">
              <w:rPr>
                <w:b/>
              </w:rPr>
              <w:instrText xml:space="preserve"> REF _Ref59024223 \r \h </w:instrText>
            </w:r>
            <w:r w:rsidR="0056728F">
              <w:rPr>
                <w:b/>
              </w:rPr>
            </w:r>
            <w:r w:rsidR="0056728F">
              <w:rPr>
                <w:b/>
              </w:rPr>
              <w:fldChar w:fldCharType="separate"/>
            </w:r>
            <w:r w:rsidR="0056728F">
              <w:rPr>
                <w:b/>
              </w:rPr>
              <w:t>4.4.3</w:t>
            </w:r>
            <w:r w:rsidR="0056728F">
              <w:rPr>
                <w:b/>
              </w:rPr>
              <w:fldChar w:fldCharType="end"/>
            </w:r>
            <w:r>
              <w:rPr>
                <w:b/>
              </w:rPr>
              <w:t xml:space="preserve"> (2)</w:t>
            </w:r>
          </w:p>
          <w:p w14:paraId="0944D2AD" w14:textId="65032B5D" w:rsidR="00373310" w:rsidRDefault="00373310" w:rsidP="00982247">
            <w:pPr>
              <w:pStyle w:val="Bodytextwithparaspace"/>
            </w:pPr>
            <w:r>
              <w:t xml:space="preserve">There </w:t>
            </w:r>
            <w:r w:rsidR="008802E4">
              <w:t xml:space="preserve">have been </w:t>
            </w:r>
            <w:r>
              <w:t xml:space="preserve">a number of examples where the use of an infusion pump accessory </w:t>
            </w:r>
            <w:r w:rsidR="008802E4">
              <w:t xml:space="preserve">did </w:t>
            </w:r>
            <w:r>
              <w:t>not align with the use of the pump itself. This may</w:t>
            </w:r>
            <w:r w:rsidR="00687422">
              <w:t xml:space="preserve"> be</w:t>
            </w:r>
            <w:r>
              <w:t xml:space="preserve"> indicat</w:t>
            </w:r>
            <w:r w:rsidR="00687422">
              <w:t>ive</w:t>
            </w:r>
            <w:r>
              <w:t xml:space="preserve"> of:</w:t>
            </w:r>
          </w:p>
          <w:p w14:paraId="3052F4E4" w14:textId="77777777" w:rsidR="00B72BBD" w:rsidRDefault="00B72BBD" w:rsidP="00463B2D">
            <w:pPr>
              <w:pStyle w:val="Bodytextwithparaspace"/>
              <w:numPr>
                <w:ilvl w:val="1"/>
                <w:numId w:val="11"/>
              </w:numPr>
              <w:ind w:left="709"/>
            </w:pPr>
            <w:r>
              <w:t xml:space="preserve">more accessories being used than </w:t>
            </w:r>
            <w:r w:rsidR="00687422">
              <w:t xml:space="preserve">is </w:t>
            </w:r>
            <w:r>
              <w:t xml:space="preserve">clinically </w:t>
            </w:r>
            <w:r w:rsidR="00687422">
              <w:t>sufficient;</w:t>
            </w:r>
          </w:p>
          <w:p w14:paraId="79899196" w14:textId="77777777" w:rsidR="00373310" w:rsidRDefault="00373310" w:rsidP="00463B2D">
            <w:pPr>
              <w:pStyle w:val="Bodytextwithparaspace"/>
              <w:numPr>
                <w:ilvl w:val="1"/>
                <w:numId w:val="11"/>
              </w:numPr>
              <w:ind w:left="709"/>
            </w:pPr>
            <w:r>
              <w:t>accessories being used for purposes not specified by their listing</w:t>
            </w:r>
            <w:r w:rsidR="00687422">
              <w:t>;</w:t>
            </w:r>
            <w:r w:rsidR="00997E7A">
              <w:t xml:space="preserve"> or</w:t>
            </w:r>
          </w:p>
          <w:p w14:paraId="2DA321A0" w14:textId="77777777" w:rsidR="008C1C04" w:rsidRDefault="00373310" w:rsidP="00463B2D">
            <w:pPr>
              <w:pStyle w:val="Bodytextwithparaspace"/>
              <w:numPr>
                <w:ilvl w:val="1"/>
                <w:numId w:val="11"/>
              </w:numPr>
              <w:ind w:left="709"/>
            </w:pPr>
            <w:r>
              <w:t>the pump being reused after their initial purchase from the PL</w:t>
            </w:r>
            <w:r w:rsidR="00997E7A">
              <w:t>.</w:t>
            </w:r>
            <w:r w:rsidR="00806CF3" w:rsidRPr="00A26B3B">
              <w:t xml:space="preserve"> </w:t>
            </w:r>
          </w:p>
        </w:tc>
      </w:tr>
    </w:tbl>
    <w:p w14:paraId="127D8570" w14:textId="1AA35D44" w:rsidR="000128BD" w:rsidRDefault="000E69CC" w:rsidP="006F348E">
      <w:pPr>
        <w:pStyle w:val="EYHeading3"/>
      </w:pPr>
      <w:r>
        <w:t xml:space="preserve"> </w:t>
      </w:r>
      <w:bookmarkStart w:id="115" w:name="_Ref39062633"/>
      <w:r w:rsidR="000128BD">
        <w:t xml:space="preserve">Usage </w:t>
      </w:r>
      <w:r w:rsidR="004950D9">
        <w:t xml:space="preserve">per </w:t>
      </w:r>
      <w:r w:rsidR="00CC12D3">
        <w:t>separation and type of procedure</w:t>
      </w:r>
      <w:bookmarkEnd w:id="115"/>
    </w:p>
    <w:p w14:paraId="7474D088" w14:textId="0867B434" w:rsidR="004246C2" w:rsidRDefault="00B87334" w:rsidP="003A55DD">
      <w:pPr>
        <w:pStyle w:val="Bodytextwithparaspace"/>
      </w:pPr>
      <w:r>
        <w:t>I</w:t>
      </w:r>
      <w:r w:rsidR="004246C2">
        <w:t>nstances</w:t>
      </w:r>
      <w:r w:rsidR="004246C2" w:rsidRPr="000610C4">
        <w:t xml:space="preserve"> </w:t>
      </w:r>
      <w:r w:rsidR="00DB691A">
        <w:t>were</w:t>
      </w:r>
      <w:r>
        <w:t xml:space="preserve"> </w:t>
      </w:r>
      <w:r w:rsidR="004246C2">
        <w:t xml:space="preserve">observed where the number of items used per separation increased over time. Increases in the number of items used per separation indicates growth in usage </w:t>
      </w:r>
      <w:r w:rsidR="00D91B64">
        <w:t xml:space="preserve">outstripped </w:t>
      </w:r>
      <w:r w:rsidR="004246C2">
        <w:t xml:space="preserve">growth in the </w:t>
      </w:r>
      <w:r w:rsidR="00997E7A">
        <w:t xml:space="preserve">underlying </w:t>
      </w:r>
      <w:r w:rsidR="004246C2">
        <w:t>number of separations for private patients in Australia.</w:t>
      </w:r>
    </w:p>
    <w:p w14:paraId="4070F01C" w14:textId="3FA41917" w:rsidR="00CE673F" w:rsidRDefault="004246C2" w:rsidP="004246C2">
      <w:pPr>
        <w:pStyle w:val="Bodytextwithparaspace"/>
      </w:pPr>
      <w:r>
        <w:t>I</w:t>
      </w:r>
      <w:r w:rsidR="00CE673F">
        <w:t>n these instances, it</w:t>
      </w:r>
      <w:r>
        <w:t xml:space="preserve"> is unclear whether the usage of more items resulted in better clinical outcomes, such as due to advancements in surgical techniques or clinical practice, or whether </w:t>
      </w:r>
      <w:r w:rsidR="00D91B64">
        <w:t>it was</w:t>
      </w:r>
      <w:r w:rsidR="00332845">
        <w:t xml:space="preserve"> a consequence of a lack of disi</w:t>
      </w:r>
      <w:r>
        <w:t>ncentiv</w:t>
      </w:r>
      <w:r w:rsidR="00332845">
        <w:t>es</w:t>
      </w:r>
      <w:r>
        <w:t xml:space="preserve"> </w:t>
      </w:r>
      <w:r w:rsidR="00332845">
        <w:t>against</w:t>
      </w:r>
      <w:r>
        <w:t xml:space="preserve"> use of items above clinical needs</w:t>
      </w:r>
      <w:r w:rsidR="00332845">
        <w:t xml:space="preserve"> </w:t>
      </w:r>
      <w:r w:rsidR="00D91B64">
        <w:t>potentially due to</w:t>
      </w:r>
      <w:r w:rsidR="00332845">
        <w:t xml:space="preserve"> the nature of the PL</w:t>
      </w:r>
      <w:r>
        <w:t>. Increases may also partially reflect changes to the underlying case mix of the separations</w:t>
      </w:r>
      <w:r w:rsidR="00910E40">
        <w:t>.</w:t>
      </w:r>
      <w:r>
        <w:t xml:space="preserve"> </w:t>
      </w:r>
      <w:r w:rsidR="00910E40">
        <w:t>H</w:t>
      </w:r>
      <w:r>
        <w:t xml:space="preserve">owever, it is noted that this alone is unlikely to adequately explain the extent of growth </w:t>
      </w:r>
      <w:r w:rsidR="00D91B64">
        <w:t xml:space="preserve">seen </w:t>
      </w:r>
      <w:r>
        <w:t xml:space="preserve">in </w:t>
      </w:r>
      <w:r w:rsidR="00754CB9">
        <w:t xml:space="preserve">some </w:t>
      </w:r>
      <w:r>
        <w:t>products. These examples are summarised below.</w:t>
      </w:r>
    </w:p>
    <w:p w14:paraId="47B84201" w14:textId="77777777" w:rsidR="00FD391B" w:rsidRDefault="00FD391B" w:rsidP="000736A8">
      <w:pPr>
        <w:pStyle w:val="EYHeading4"/>
      </w:pPr>
      <w:r>
        <w:t>Staples &amp; Tackers</w:t>
      </w:r>
      <w:r w:rsidR="00CE673F" w:rsidRPr="00CE673F">
        <w:rPr>
          <w:noProof/>
        </w:rPr>
        <w:t xml:space="preserve"> </w:t>
      </w:r>
    </w:p>
    <w:p w14:paraId="02C9066B" w14:textId="1BED9512" w:rsidR="00FD391B" w:rsidRDefault="00754CB9" w:rsidP="00FD391B">
      <w:pPr>
        <w:pStyle w:val="Bodytextwithparaspace"/>
      </w:pPr>
      <w:r>
        <w:t>The u</w:t>
      </w:r>
      <w:r w:rsidR="00FD391B">
        <w:t xml:space="preserve">sage per separation for the staples and tackers group </w:t>
      </w:r>
      <w:r w:rsidR="00A54572">
        <w:t>increased</w:t>
      </w:r>
      <w:r w:rsidR="00FD391B">
        <w:t xml:space="preserve"> steadily since FY11, as indicated in </w:t>
      </w:r>
      <w:r w:rsidR="008B735C">
        <w:fldChar w:fldCharType="begin"/>
      </w:r>
      <w:r w:rsidR="008B735C">
        <w:instrText xml:space="preserve"> REF _Ref38987607 \h </w:instrText>
      </w:r>
      <w:r w:rsidR="008B735C">
        <w:fldChar w:fldCharType="separate"/>
      </w:r>
      <w:r w:rsidR="00784DE2">
        <w:t xml:space="preserve">Figure </w:t>
      </w:r>
      <w:r w:rsidR="00784DE2">
        <w:rPr>
          <w:noProof/>
        </w:rPr>
        <w:t>13</w:t>
      </w:r>
      <w:r w:rsidR="008B735C">
        <w:fldChar w:fldCharType="end"/>
      </w:r>
      <w:r w:rsidR="00FD391B">
        <w:t xml:space="preserve">, at a CAGR of 12%. </w:t>
      </w:r>
      <w:r w:rsidR="00A127FB">
        <w:t>Based on</w:t>
      </w:r>
      <w:r w:rsidR="00FD391B">
        <w:t xml:space="preserve"> initial consultation submissions and </w:t>
      </w:r>
      <w:r w:rsidR="000B0133">
        <w:t xml:space="preserve">discussion with </w:t>
      </w:r>
      <w:r w:rsidR="00FD391B">
        <w:t xml:space="preserve">clinical </w:t>
      </w:r>
      <w:r w:rsidR="00DB435D">
        <w:t>subject matter resources</w:t>
      </w:r>
      <w:r w:rsidR="00FD391B">
        <w:t xml:space="preserve">, recent shifts and advancements in clinical practice towards keyhole surgery over open surgery </w:t>
      </w:r>
      <w:r w:rsidR="00A127FB">
        <w:t>were flagged a</w:t>
      </w:r>
      <w:r w:rsidR="00FD391B">
        <w:t xml:space="preserve">s a key contributor to growth in the use of these items. </w:t>
      </w:r>
      <w:r w:rsidR="00C371B4">
        <w:t xml:space="preserve">This is supported by the fact that bariatric surgery </w:t>
      </w:r>
      <w:r w:rsidR="00D91B64">
        <w:t>drove</w:t>
      </w:r>
      <w:r w:rsidR="00C371B4">
        <w:t xml:space="preserve"> 69% of all growth in usage since FY11</w:t>
      </w:r>
      <w:r w:rsidR="00221557">
        <w:t xml:space="preserve">. However, </w:t>
      </w:r>
      <w:r w:rsidR="005310F8">
        <w:t xml:space="preserve">the level of growth seen </w:t>
      </w:r>
      <w:r w:rsidR="005D073C">
        <w:t xml:space="preserve">for usage of staples and tackers in bariatric surgery </w:t>
      </w:r>
      <w:r w:rsidR="00D91B64">
        <w:t>was</w:t>
      </w:r>
      <w:r w:rsidR="005310F8">
        <w:t xml:space="preserve"> substantial even after adjusting for growth in the number of procedures</w:t>
      </w:r>
      <w:r w:rsidR="005D073C">
        <w:t>,</w:t>
      </w:r>
      <w:r w:rsidR="00221557">
        <w:t xml:space="preserve"> </w:t>
      </w:r>
      <w:r w:rsidR="00412E63">
        <w:t>with usage per separation growing at a ra</w:t>
      </w:r>
      <w:r w:rsidR="005D073C">
        <w:t>t</w:t>
      </w:r>
      <w:r w:rsidR="00412E63">
        <w:t xml:space="preserve">e of 8% p.a. (CAGR) since FY14 (when bariatric surgery was first introduced to </w:t>
      </w:r>
      <w:r w:rsidR="000B0133">
        <w:t xml:space="preserve">the </w:t>
      </w:r>
      <w:r w:rsidR="00412E63">
        <w:t xml:space="preserve">MBS as a specific grouping). </w:t>
      </w:r>
      <w:r w:rsidR="008C4C49">
        <w:t xml:space="preserve">Furthermore, significant growth </w:t>
      </w:r>
      <w:r w:rsidR="00D91B64">
        <w:t xml:space="preserve">was </w:t>
      </w:r>
      <w:r w:rsidR="008C4C49">
        <w:t>also seen outside of bariatric surgery, meaning this alone does not explain the entire extent of growth</w:t>
      </w:r>
      <w:r w:rsidR="00885648">
        <w:t xml:space="preserve">. </w:t>
      </w:r>
      <w:r w:rsidR="004003B1">
        <w:t>This is discussed further in the case study ‘</w:t>
      </w:r>
      <w:r w:rsidR="004003B1">
        <w:fldChar w:fldCharType="begin"/>
      </w:r>
      <w:r w:rsidR="004003B1">
        <w:instrText xml:space="preserve"> REF _Ref39582145 \h </w:instrText>
      </w:r>
      <w:r w:rsidR="004003B1">
        <w:fldChar w:fldCharType="separate"/>
      </w:r>
      <w:r w:rsidR="00784DE2">
        <w:t>Staples and Tackers</w:t>
      </w:r>
      <w:r w:rsidR="004003B1">
        <w:fldChar w:fldCharType="end"/>
      </w:r>
      <w:r w:rsidR="004003B1">
        <w:t xml:space="preserve">’ in Section </w:t>
      </w:r>
      <w:r w:rsidR="004003B1">
        <w:fldChar w:fldCharType="begin"/>
      </w:r>
      <w:r w:rsidR="004003B1">
        <w:instrText xml:space="preserve"> REF _Ref39582151 \w \h </w:instrText>
      </w:r>
      <w:r w:rsidR="004003B1">
        <w:fldChar w:fldCharType="separate"/>
      </w:r>
      <w:r w:rsidR="00784DE2">
        <w:t>5.3</w:t>
      </w:r>
      <w:r w:rsidR="004003B1">
        <w:fldChar w:fldCharType="end"/>
      </w:r>
      <w:r w:rsidR="004003B1">
        <w:t>.</w:t>
      </w:r>
      <w:r w:rsidR="005605E7">
        <w:t xml:space="preserve"> </w:t>
      </w:r>
    </w:p>
    <w:tbl>
      <w:tblPr>
        <w:tblStyle w:val="TableGrid"/>
        <w:tblW w:w="9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Figure 13 and Figure 14"/>
        <w:tblDescription w:val="This table presents Figure 13 - Staples &amp; Trackers - Items per 1,000 separations and Figure 14 - Staples &amp; Trackers - CAGR, items per separation (FY11 - FY19), by grouping of primary MBS code (in order of total items used)"/>
      </w:tblPr>
      <w:tblGrid>
        <w:gridCol w:w="5076"/>
        <w:gridCol w:w="4379"/>
      </w:tblGrid>
      <w:tr w:rsidR="006D407F" w14:paraId="2A05E6BF" w14:textId="77777777" w:rsidTr="00190054">
        <w:trPr>
          <w:trHeight w:val="243"/>
          <w:tblHeader/>
        </w:trPr>
        <w:tc>
          <w:tcPr>
            <w:tcW w:w="4728" w:type="dxa"/>
          </w:tcPr>
          <w:p w14:paraId="7507F97B" w14:textId="0574B37D" w:rsidR="006D407F" w:rsidRDefault="006D407F" w:rsidP="00EE05D3">
            <w:pPr>
              <w:pStyle w:val="Caption"/>
              <w:keepNext/>
            </w:pPr>
            <w:bookmarkStart w:id="116" w:name="_Ref38987607"/>
            <w:r>
              <w:t xml:space="preserve">Figure </w:t>
            </w:r>
            <w:r w:rsidR="00FC6370">
              <w:fldChar w:fldCharType="begin"/>
            </w:r>
            <w:r w:rsidR="00FC6370">
              <w:instrText xml:space="preserve"> SEQ Figure \* ARABIC </w:instrText>
            </w:r>
            <w:r w:rsidR="00FC6370">
              <w:fldChar w:fldCharType="separate"/>
            </w:r>
            <w:r w:rsidR="00784DE2">
              <w:rPr>
                <w:noProof/>
              </w:rPr>
              <w:t>13</w:t>
            </w:r>
            <w:r w:rsidR="00FC6370">
              <w:rPr>
                <w:noProof/>
              </w:rPr>
              <w:fldChar w:fldCharType="end"/>
            </w:r>
            <w:bookmarkEnd w:id="116"/>
            <w:r>
              <w:t xml:space="preserve"> – Staples &amp; Tackers – Items per 1,000 separations</w:t>
            </w:r>
          </w:p>
        </w:tc>
        <w:tc>
          <w:tcPr>
            <w:tcW w:w="4727" w:type="dxa"/>
          </w:tcPr>
          <w:p w14:paraId="4DFACFE2" w14:textId="7D5F4AE1" w:rsidR="006D407F" w:rsidRDefault="003F7ABB" w:rsidP="00EE05D3">
            <w:pPr>
              <w:pStyle w:val="Caption"/>
              <w:keepNext/>
            </w:pPr>
            <w:r>
              <w:t xml:space="preserve">Figure </w:t>
            </w:r>
            <w:r w:rsidR="00FC6370">
              <w:fldChar w:fldCharType="begin"/>
            </w:r>
            <w:r w:rsidR="00FC6370">
              <w:instrText xml:space="preserve"> SEQ Figure \* ARABIC </w:instrText>
            </w:r>
            <w:r w:rsidR="00FC6370">
              <w:fldChar w:fldCharType="separate"/>
            </w:r>
            <w:r w:rsidR="00784DE2">
              <w:rPr>
                <w:noProof/>
              </w:rPr>
              <w:t>14</w:t>
            </w:r>
            <w:r w:rsidR="00FC6370">
              <w:rPr>
                <w:noProof/>
              </w:rPr>
              <w:fldChar w:fldCharType="end"/>
            </w:r>
            <w:r>
              <w:t xml:space="preserve"> – Staples &amp; Tackers – CAGR, items per separation (FY11 – FY19), by grouping of primary MBS code</w:t>
            </w:r>
            <w:r w:rsidR="00E5051E">
              <w:t xml:space="preserve"> (in order of t</w:t>
            </w:r>
            <w:r w:rsidR="008B6C65">
              <w:t>otal items used</w:t>
            </w:r>
            <w:r w:rsidR="00E5051E">
              <w:t>)</w:t>
            </w:r>
          </w:p>
        </w:tc>
      </w:tr>
      <w:tr w:rsidR="006D407F" w14:paraId="7FC88EF3" w14:textId="77777777" w:rsidTr="00A26B3B">
        <w:trPr>
          <w:trHeight w:val="3830"/>
        </w:trPr>
        <w:tc>
          <w:tcPr>
            <w:tcW w:w="4728" w:type="dxa"/>
          </w:tcPr>
          <w:p w14:paraId="3F71F877" w14:textId="06DDBF68" w:rsidR="006D407F" w:rsidRDefault="66136D8D" w:rsidP="00EE05D3">
            <w:pPr>
              <w:pStyle w:val="Bodytextwithparaspace"/>
            </w:pPr>
            <w:r>
              <w:rPr>
                <w:noProof/>
                <w:lang w:val="en-AU" w:eastAsia="en-AU"/>
              </w:rPr>
              <w:drawing>
                <wp:inline distT="0" distB="0" distL="0" distR="0" wp14:anchorId="6039BC54" wp14:editId="664C4335">
                  <wp:extent cx="3077084" cy="2520000"/>
                  <wp:effectExtent l="0" t="0" r="9525" b="0"/>
                  <wp:docPr id="1483463191" name="Picture 54" descr="This tables shows the icnreasing number of staples and tackers used per 1000 separations between FY11 and FY19" title="Figure 13 - Staples &amp; Tackers - Items per 1,000 Sepa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77084" cy="2520000"/>
                          </a:xfrm>
                          <a:prstGeom prst="rect">
                            <a:avLst/>
                          </a:prstGeom>
                        </pic:spPr>
                      </pic:pic>
                    </a:graphicData>
                  </a:graphic>
                </wp:inline>
              </w:drawing>
            </w:r>
          </w:p>
        </w:tc>
        <w:tc>
          <w:tcPr>
            <w:tcW w:w="4727" w:type="dxa"/>
          </w:tcPr>
          <w:p w14:paraId="1255C739" w14:textId="77777777" w:rsidR="006D407F" w:rsidRDefault="1E736873" w:rsidP="00EE05D3">
            <w:pPr>
              <w:pStyle w:val="Bodytextwithparaspace"/>
            </w:pPr>
            <w:r>
              <w:rPr>
                <w:noProof/>
                <w:lang w:val="en-AU" w:eastAsia="en-AU"/>
              </w:rPr>
              <w:drawing>
                <wp:inline distT="0" distB="0" distL="0" distR="0" wp14:anchorId="2B2FBFB3" wp14:editId="0EC73093">
                  <wp:extent cx="2178076" cy="2520000"/>
                  <wp:effectExtent l="0" t="0" r="0" b="0"/>
                  <wp:docPr id="31566232" name="Picture 43" descr="This figure shows the Compound annual growth rate in the use of staples and tackers by grouping of primary MBS code" title="Figure 14 - Staples &amp; Tackers - CAGR, items per separation (FY11 - FY19), by grouping of primary MBS code (in order of total items u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78076" cy="2520000"/>
                          </a:xfrm>
                          <a:prstGeom prst="rect">
                            <a:avLst/>
                          </a:prstGeom>
                        </pic:spPr>
                      </pic:pic>
                    </a:graphicData>
                  </a:graphic>
                </wp:inline>
              </w:drawing>
            </w:r>
          </w:p>
        </w:tc>
      </w:tr>
    </w:tbl>
    <w:p w14:paraId="4C20F7CA" w14:textId="77777777" w:rsidR="006D407F" w:rsidRDefault="006D407F" w:rsidP="000736A8">
      <w:pPr>
        <w:pStyle w:val="EYHeading4"/>
      </w:pPr>
      <w:r>
        <w:t>Internal Adhesives (excluding topical skin adhesives)</w:t>
      </w:r>
    </w:p>
    <w:p w14:paraId="27CECF6F" w14:textId="759BBA67" w:rsidR="00D44688" w:rsidRDefault="00D44688" w:rsidP="00D44688">
      <w:pPr>
        <w:pStyle w:val="Bodytextwithparaspace"/>
      </w:pPr>
      <w:r>
        <w:t xml:space="preserve">Recent high growth in usage per separation for internal adhesives </w:t>
      </w:r>
      <w:r w:rsidR="00D91B64">
        <w:t>was</w:t>
      </w:r>
      <w:r>
        <w:t xml:space="preserve"> largely driven by the introduction of topical skin adhesive products to the group, as discussed in Section </w:t>
      </w:r>
      <w:r>
        <w:fldChar w:fldCharType="begin"/>
      </w:r>
      <w:r>
        <w:instrText xml:space="preserve"> REF _Ref38907184 \w \h </w:instrText>
      </w:r>
      <w:r>
        <w:fldChar w:fldCharType="separate"/>
      </w:r>
      <w:r w:rsidR="00784DE2">
        <w:t>4.4.2</w:t>
      </w:r>
      <w:r>
        <w:fldChar w:fldCharType="end"/>
      </w:r>
      <w:r>
        <w:t xml:space="preserve">. </w:t>
      </w:r>
      <w:r w:rsidR="00D5159A">
        <w:t xml:space="preserve">Usage </w:t>
      </w:r>
      <w:r>
        <w:t xml:space="preserve">per separation </w:t>
      </w:r>
      <w:r w:rsidR="00D91B64">
        <w:t xml:space="preserve">was </w:t>
      </w:r>
      <w:r>
        <w:t xml:space="preserve">also growing at a significant rate </w:t>
      </w:r>
      <w:r w:rsidR="000B0133">
        <w:t xml:space="preserve">in the </w:t>
      </w:r>
      <w:r w:rsidR="00E5315D">
        <w:t xml:space="preserve">’03.08.02 – Internal Adhesives’ group </w:t>
      </w:r>
      <w:r w:rsidR="000B0133">
        <w:t xml:space="preserve">more </w:t>
      </w:r>
      <w:r>
        <w:t xml:space="preserve">generally outside of these topical skin adhesives with an overall CAGR of 18%. The largest types of procedures driving this growth </w:t>
      </w:r>
      <w:r w:rsidR="00D91B64">
        <w:t>were</w:t>
      </w:r>
      <w:r>
        <w:t xml:space="preserve"> general surgical and bariatric surgery procedures, which combined accounted for 51% of the growth in usage since FY11. High annual growth rates </w:t>
      </w:r>
      <w:r w:rsidR="00D91B64">
        <w:t xml:space="preserve">were </w:t>
      </w:r>
      <w:r>
        <w:t xml:space="preserve">generally observed across a range of procedures. The high level of growth </w:t>
      </w:r>
      <w:r w:rsidR="00D91B64">
        <w:t xml:space="preserve">that was </w:t>
      </w:r>
      <w:r>
        <w:t xml:space="preserve">seen across a wide variety of types of procedures shows that the rate of usage of internal adhesive products </w:t>
      </w:r>
      <w:r w:rsidR="00D91B64">
        <w:t>grew</w:t>
      </w:r>
      <w:r>
        <w:t xml:space="preserve"> significantly faster than general levels of growth in surgical procedures. </w:t>
      </w:r>
      <w:r w:rsidRPr="00466263">
        <w:t xml:space="preserve">This may be suggestive that the availability of these products on the PL </w:t>
      </w:r>
      <w:r w:rsidR="00D91B64">
        <w:t>was</w:t>
      </w:r>
      <w:r w:rsidR="00D91B64" w:rsidRPr="00466263">
        <w:t xml:space="preserve"> </w:t>
      </w:r>
      <w:r w:rsidRPr="00466263">
        <w:t xml:space="preserve">driving levels of usage beyond clinical needs. Further discussion of these products is provided in the case study </w:t>
      </w:r>
      <w:r w:rsidR="000B0133" w:rsidRPr="00AF1D4E">
        <w:t xml:space="preserve">in Section </w:t>
      </w:r>
      <w:r w:rsidR="000B0133" w:rsidRPr="00AF1D4E">
        <w:fldChar w:fldCharType="begin"/>
      </w:r>
      <w:r w:rsidR="000B0133" w:rsidRPr="00AF1D4E">
        <w:instrText xml:space="preserve"> REF _Ref39819675 \r \h </w:instrText>
      </w:r>
      <w:r w:rsidR="000B0133">
        <w:instrText xml:space="preserve"> \* MERGEFORMAT </w:instrText>
      </w:r>
      <w:r w:rsidR="000B0133" w:rsidRPr="00AF1D4E">
        <w:fldChar w:fldCharType="separate"/>
      </w:r>
      <w:r w:rsidR="00784DE2">
        <w:t>5.2.2</w:t>
      </w:r>
      <w:r w:rsidR="000B0133" w:rsidRPr="00AF1D4E">
        <w:fldChar w:fldCharType="end"/>
      </w:r>
      <w:r w:rsidR="000B0133" w:rsidRPr="00AF1D4E">
        <w:t>.</w:t>
      </w:r>
    </w:p>
    <w:tbl>
      <w:tblPr>
        <w:tblStyle w:val="TableGrid"/>
        <w:tblW w:w="95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Figure 15 and Figure 16"/>
        <w:tblDescription w:val="This table presents Figure 15 - Internal Adhesives (excl. topical skin adjesives) - items per 1,000 separations and Figure 16 - Internal adhesives (excl. TSA) - CAGR items per separation (FY11 - FY19), by grouping of primary MBS code (in order of total items used)"/>
      </w:tblPr>
      <w:tblGrid>
        <w:gridCol w:w="5346"/>
        <w:gridCol w:w="4191"/>
      </w:tblGrid>
      <w:tr w:rsidR="00D44688" w14:paraId="65C1E983" w14:textId="77777777" w:rsidTr="00190054">
        <w:trPr>
          <w:trHeight w:val="213"/>
          <w:tblHeader/>
        </w:trPr>
        <w:tc>
          <w:tcPr>
            <w:tcW w:w="5346" w:type="dxa"/>
          </w:tcPr>
          <w:p w14:paraId="43F8A100" w14:textId="33FD2B7A" w:rsidR="00D44688" w:rsidRDefault="00D44688" w:rsidP="00812ACF">
            <w:pPr>
              <w:pStyle w:val="Caption"/>
              <w:keepNext/>
            </w:pPr>
            <w:r>
              <w:t xml:space="preserve">Figure </w:t>
            </w:r>
            <w:r w:rsidR="00FC6370">
              <w:fldChar w:fldCharType="begin"/>
            </w:r>
            <w:r w:rsidR="00FC6370">
              <w:instrText xml:space="preserve"> SEQ Figure \* ARABIC </w:instrText>
            </w:r>
            <w:r w:rsidR="00FC6370">
              <w:fldChar w:fldCharType="separate"/>
            </w:r>
            <w:r w:rsidR="00784DE2">
              <w:rPr>
                <w:noProof/>
              </w:rPr>
              <w:t>15</w:t>
            </w:r>
            <w:r w:rsidR="00FC6370">
              <w:rPr>
                <w:noProof/>
              </w:rPr>
              <w:fldChar w:fldCharType="end"/>
            </w:r>
            <w:r>
              <w:t xml:space="preserve"> – Internal Adhesives (excl. topical skin adhesives) – Items per 1,000 separations</w:t>
            </w:r>
          </w:p>
        </w:tc>
        <w:tc>
          <w:tcPr>
            <w:tcW w:w="4191" w:type="dxa"/>
          </w:tcPr>
          <w:p w14:paraId="34456860" w14:textId="0E0F3381" w:rsidR="00D44688" w:rsidRDefault="00D44688" w:rsidP="00812ACF">
            <w:pPr>
              <w:pStyle w:val="Caption"/>
              <w:keepNext/>
            </w:pPr>
            <w:r>
              <w:t xml:space="preserve">Figure </w:t>
            </w:r>
            <w:r w:rsidR="00FC6370">
              <w:fldChar w:fldCharType="begin"/>
            </w:r>
            <w:r w:rsidR="00FC6370">
              <w:instrText xml:space="preserve"> SEQ Figure \* ARABIC </w:instrText>
            </w:r>
            <w:r w:rsidR="00FC6370">
              <w:fldChar w:fldCharType="separate"/>
            </w:r>
            <w:r w:rsidR="00784DE2">
              <w:rPr>
                <w:noProof/>
              </w:rPr>
              <w:t>16</w:t>
            </w:r>
            <w:r w:rsidR="00FC6370">
              <w:rPr>
                <w:noProof/>
              </w:rPr>
              <w:fldChar w:fldCharType="end"/>
            </w:r>
            <w:r>
              <w:t xml:space="preserve"> – Internal Adhesives (excl. TSA) – CAGR, items per separation (FY11 – FY19), by grouping of primary MBS code</w:t>
            </w:r>
            <w:r w:rsidR="008B6C65">
              <w:t xml:space="preserve"> (in order of total items used)</w:t>
            </w:r>
          </w:p>
        </w:tc>
      </w:tr>
      <w:tr w:rsidR="00D44688" w14:paraId="30459192" w14:textId="77777777" w:rsidTr="00812ACF">
        <w:trPr>
          <w:trHeight w:val="3352"/>
        </w:trPr>
        <w:tc>
          <w:tcPr>
            <w:tcW w:w="5346" w:type="dxa"/>
          </w:tcPr>
          <w:p w14:paraId="5B284119" w14:textId="0404BD6B" w:rsidR="00D44688" w:rsidRDefault="6A3EF2AA" w:rsidP="00812ACF">
            <w:pPr>
              <w:pStyle w:val="Bodytextwithparaspace"/>
            </w:pPr>
            <w:r>
              <w:rPr>
                <w:noProof/>
                <w:lang w:val="en-AU" w:eastAsia="en-AU"/>
              </w:rPr>
              <w:drawing>
                <wp:inline distT="0" distB="0" distL="0" distR="0" wp14:anchorId="009D8301" wp14:editId="2BCEB80E">
                  <wp:extent cx="3077084" cy="2520000"/>
                  <wp:effectExtent l="0" t="0" r="9525" b="0"/>
                  <wp:docPr id="1199603802" name="Picture 53" descr="This figure shows the increasing number of internal adhesives used per 1,000 separations between FY11 and FY19" title="Figure 15 - Internal Adhesives (excl. topical skin adhesives) - items per 1,000 sepa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077084" cy="2520000"/>
                          </a:xfrm>
                          <a:prstGeom prst="rect">
                            <a:avLst/>
                          </a:prstGeom>
                        </pic:spPr>
                      </pic:pic>
                    </a:graphicData>
                  </a:graphic>
                </wp:inline>
              </w:drawing>
            </w:r>
          </w:p>
        </w:tc>
        <w:tc>
          <w:tcPr>
            <w:tcW w:w="4191" w:type="dxa"/>
          </w:tcPr>
          <w:p w14:paraId="3256353F" w14:textId="44E37408" w:rsidR="00D44688" w:rsidRDefault="6A3EF2AA" w:rsidP="00812ACF">
            <w:pPr>
              <w:pStyle w:val="Bodytextwithparaspace"/>
            </w:pPr>
            <w:r>
              <w:rPr>
                <w:noProof/>
                <w:lang w:val="en-AU" w:eastAsia="en-AU"/>
              </w:rPr>
              <w:drawing>
                <wp:inline distT="0" distB="0" distL="0" distR="0" wp14:anchorId="58DB4081" wp14:editId="1C56FFDA">
                  <wp:extent cx="2173981" cy="2520000"/>
                  <wp:effectExtent l="0" t="0" r="0" b="0"/>
                  <wp:docPr id="1440446327" name="Picture 44" descr="This figure shows the compound annual growth rate in the number of internal adhesives used per separation by grouping of primary MBS code" title="Figure 16 -Internal Adhesives (excl. TSA) – CAGR, items per separation (FY11 – FY19), by grouping of primary MBS code (in order of total items u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173981" cy="2520000"/>
                          </a:xfrm>
                          <a:prstGeom prst="rect">
                            <a:avLst/>
                          </a:prstGeom>
                        </pic:spPr>
                      </pic:pic>
                    </a:graphicData>
                  </a:graphic>
                </wp:inline>
              </w:drawing>
            </w:r>
          </w:p>
        </w:tc>
      </w:tr>
    </w:tbl>
    <w:p w14:paraId="77EE6627" w14:textId="77777777" w:rsidR="008B735C" w:rsidRDefault="008B735C" w:rsidP="000736A8">
      <w:pPr>
        <w:pStyle w:val="EYHeading4"/>
      </w:pPr>
      <w:r>
        <w:t>Infusion Pumps, Battery Powered</w:t>
      </w:r>
    </w:p>
    <w:p w14:paraId="0FD1D763" w14:textId="34A8F00A" w:rsidR="008B735C" w:rsidRDefault="008B735C" w:rsidP="008B735C">
      <w:pPr>
        <w:pStyle w:val="Bodytextwithparaspace"/>
      </w:pPr>
      <w:r>
        <w:t xml:space="preserve">There </w:t>
      </w:r>
      <w:r w:rsidR="00D91B64">
        <w:t>was</w:t>
      </w:r>
      <w:r>
        <w:t xml:space="preserve"> significant recent growth in usage per separation for battery-powered infusion pumps, with relatively low usage over </w:t>
      </w:r>
      <w:r w:rsidR="00F9354D">
        <w:t xml:space="preserve">from </w:t>
      </w:r>
      <w:r>
        <w:t xml:space="preserve">FY11 </w:t>
      </w:r>
      <w:r w:rsidR="00F9354D">
        <w:t xml:space="preserve">to </w:t>
      </w:r>
      <w:r>
        <w:t xml:space="preserve">FY15. </w:t>
      </w:r>
      <w:r w:rsidR="00A2213F">
        <w:t xml:space="preserve">Overall, usage per separation for these infusion pumps </w:t>
      </w:r>
      <w:r w:rsidR="00D91B64">
        <w:t>grew</w:t>
      </w:r>
      <w:r w:rsidR="00A2213F">
        <w:t xml:space="preserve"> at a </w:t>
      </w:r>
      <w:r w:rsidR="00332471">
        <w:t>3</w:t>
      </w:r>
      <w:r w:rsidR="00791914">
        <w:t>6</w:t>
      </w:r>
      <w:r w:rsidR="00332471">
        <w:t xml:space="preserve">% </w:t>
      </w:r>
      <w:r w:rsidR="00A2213F">
        <w:t>CAGR from FY11 t</w:t>
      </w:r>
      <w:r w:rsidR="00F9354D">
        <w:t>o</w:t>
      </w:r>
      <w:r w:rsidR="00A2213F">
        <w:t xml:space="preserve"> FY19.</w:t>
      </w:r>
    </w:p>
    <w:p w14:paraId="0040B621" w14:textId="1747EB7A" w:rsidR="009A1BA3" w:rsidRDefault="00D317FB" w:rsidP="008B735C">
      <w:pPr>
        <w:pStyle w:val="Bodytextwithparaspace"/>
      </w:pPr>
      <w:r>
        <w:t xml:space="preserve">The majority of usage for these products </w:t>
      </w:r>
      <w:r w:rsidR="00D91B64">
        <w:t xml:space="preserve">related </w:t>
      </w:r>
      <w:r>
        <w:t>to orthopaedic procedures, based on an analysis of MBS item codes associated with usage of battery-powered infusion pumps. In FY1</w:t>
      </w:r>
      <w:r w:rsidR="00743FDA">
        <w:t>9</w:t>
      </w:r>
      <w:r>
        <w:t xml:space="preserve">, 80% of all usage </w:t>
      </w:r>
      <w:r w:rsidR="00743FDA">
        <w:t>related to orthopaedic procedures</w:t>
      </w:r>
      <w:r w:rsidR="00B30F8A">
        <w:t>,</w:t>
      </w:r>
      <w:r w:rsidR="00CE1336">
        <w:t xml:space="preserve"> </w:t>
      </w:r>
      <w:r w:rsidR="00743FDA">
        <w:t>up from 41% in FY11</w:t>
      </w:r>
      <w:r w:rsidR="00B30F8A">
        <w:t xml:space="preserve">. Orthopaedic procedures accounted for </w:t>
      </w:r>
      <w:r w:rsidR="00CE1336">
        <w:t>83% of all growth in usage over the same time period</w:t>
      </w:r>
      <w:r w:rsidR="00B30F8A">
        <w:t xml:space="preserve">, with usage per separation </w:t>
      </w:r>
      <w:r w:rsidR="00D91B64">
        <w:t>growing</w:t>
      </w:r>
      <w:r w:rsidR="00B30F8A">
        <w:t xml:space="preserve"> at a 49% CAGR since FY11</w:t>
      </w:r>
      <w:r w:rsidR="00743FDA">
        <w:t>.</w:t>
      </w:r>
      <w:r w:rsidR="008F6864">
        <w:t xml:space="preserve"> </w:t>
      </w:r>
    </w:p>
    <w:p w14:paraId="4D97B634" w14:textId="77777777" w:rsidR="00D317FB" w:rsidRDefault="009A1BA3" w:rsidP="008B735C">
      <w:pPr>
        <w:pStyle w:val="Bodytextwithparaspace"/>
      </w:pPr>
      <w:r>
        <w:t xml:space="preserve">Similar to the other examples mentioned previously, this high level of growth across a variety of procedures </w:t>
      </w:r>
      <w:r w:rsidR="00902CB4">
        <w:t xml:space="preserve">may be suggestive </w:t>
      </w:r>
      <w:r w:rsidR="0052778C">
        <w:t>of increased usage being driven by availability of these products on the PL</w:t>
      </w:r>
      <w:r w:rsidR="00073120">
        <w:t xml:space="preserve"> rather than purely by clinical need</w:t>
      </w:r>
      <w:r w:rsidR="0052778C">
        <w:t xml:space="preserve">. </w:t>
      </w:r>
    </w:p>
    <w:tbl>
      <w:tblPr>
        <w:tblStyle w:val="TableGrid"/>
        <w:tblW w:w="91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Figure 17 and Figure 18"/>
        <w:tblDescription w:val="This table presents Figure 17 - Infusion Pumps, Battery powered - Items per 1,000 separations and Figure 18 - Infusion Pumps, Battery Powered - CAGR, items per separation (FY11 - FY19), by grouping of primary MBS code (in order of total items used)"/>
      </w:tblPr>
      <w:tblGrid>
        <w:gridCol w:w="5551"/>
        <w:gridCol w:w="3639"/>
      </w:tblGrid>
      <w:tr w:rsidR="008B735C" w14:paraId="54527834" w14:textId="77777777" w:rsidTr="00190054">
        <w:trPr>
          <w:trHeight w:val="241"/>
          <w:tblHeader/>
        </w:trPr>
        <w:tc>
          <w:tcPr>
            <w:tcW w:w="5827" w:type="dxa"/>
          </w:tcPr>
          <w:p w14:paraId="5035B4CB" w14:textId="6B7178D0" w:rsidR="008B735C" w:rsidRDefault="008B735C" w:rsidP="00EE05D3">
            <w:pPr>
              <w:pStyle w:val="Caption"/>
              <w:keepNext/>
            </w:pPr>
            <w:r>
              <w:t xml:space="preserve">Figure </w:t>
            </w:r>
            <w:r w:rsidR="00FC6370">
              <w:fldChar w:fldCharType="begin"/>
            </w:r>
            <w:r w:rsidR="00FC6370">
              <w:instrText xml:space="preserve"> SEQ Figure \* ARABIC </w:instrText>
            </w:r>
            <w:r w:rsidR="00FC6370">
              <w:fldChar w:fldCharType="separate"/>
            </w:r>
            <w:r w:rsidR="00784DE2">
              <w:rPr>
                <w:noProof/>
              </w:rPr>
              <w:t>17</w:t>
            </w:r>
            <w:r w:rsidR="00FC6370">
              <w:rPr>
                <w:noProof/>
              </w:rPr>
              <w:fldChar w:fldCharType="end"/>
            </w:r>
            <w:r>
              <w:t xml:space="preserve"> – Infusion Pumps, Battery Powered - Items per 1,000 separations</w:t>
            </w:r>
          </w:p>
        </w:tc>
        <w:tc>
          <w:tcPr>
            <w:tcW w:w="3363" w:type="dxa"/>
          </w:tcPr>
          <w:p w14:paraId="3765B80C" w14:textId="43452598" w:rsidR="008B735C" w:rsidRDefault="00015D49" w:rsidP="00EE05D3">
            <w:pPr>
              <w:pStyle w:val="Caption"/>
              <w:keepNext/>
            </w:pPr>
            <w:r>
              <w:t xml:space="preserve">Figure </w:t>
            </w:r>
            <w:r w:rsidR="00FC6370">
              <w:fldChar w:fldCharType="begin"/>
            </w:r>
            <w:r w:rsidR="00FC6370">
              <w:instrText xml:space="preserve"> SEQ Figure \</w:instrText>
            </w:r>
            <w:r w:rsidR="00FC6370">
              <w:instrText xml:space="preserve">* ARABIC </w:instrText>
            </w:r>
            <w:r w:rsidR="00FC6370">
              <w:fldChar w:fldCharType="separate"/>
            </w:r>
            <w:r w:rsidR="00784DE2">
              <w:rPr>
                <w:noProof/>
              </w:rPr>
              <w:t>18</w:t>
            </w:r>
            <w:r w:rsidR="00FC6370">
              <w:rPr>
                <w:noProof/>
              </w:rPr>
              <w:fldChar w:fldCharType="end"/>
            </w:r>
            <w:r>
              <w:t xml:space="preserve"> – Infusion Pumps, Battery Powered – CAGR, items per separation (FY11 – FY19), by grouping of primary MBS code</w:t>
            </w:r>
            <w:r w:rsidR="008B6C65">
              <w:t xml:space="preserve"> (in order of total items used)</w:t>
            </w:r>
          </w:p>
        </w:tc>
      </w:tr>
      <w:tr w:rsidR="008B735C" w14:paraId="4E917A73" w14:textId="77777777" w:rsidTr="00A26B3B">
        <w:trPr>
          <w:trHeight w:val="3798"/>
        </w:trPr>
        <w:tc>
          <w:tcPr>
            <w:tcW w:w="5827" w:type="dxa"/>
          </w:tcPr>
          <w:p w14:paraId="7ADA468B" w14:textId="64E73FA7" w:rsidR="008B735C" w:rsidRDefault="528D8BB8" w:rsidP="00EE05D3">
            <w:pPr>
              <w:pStyle w:val="Bodytextwithparaspace"/>
            </w:pPr>
            <w:r>
              <w:rPr>
                <w:noProof/>
                <w:lang w:val="en-AU" w:eastAsia="en-AU"/>
              </w:rPr>
              <w:drawing>
                <wp:inline distT="0" distB="0" distL="0" distR="0" wp14:anchorId="1E56E979" wp14:editId="3FFCB7EE">
                  <wp:extent cx="3077084" cy="2520000"/>
                  <wp:effectExtent l="0" t="0" r="9525" b="0"/>
                  <wp:docPr id="602468154" name="Picture 52" descr="Figure 17 - Infusion Pumps, Battery Powered - Items per 1,000 separations&#10;&#10;This figure shows the increasing number of battery powered infusion pumps used per 1,000 separations between FY11 and FY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077084" cy="2520000"/>
                          </a:xfrm>
                          <a:prstGeom prst="rect">
                            <a:avLst/>
                          </a:prstGeom>
                        </pic:spPr>
                      </pic:pic>
                    </a:graphicData>
                  </a:graphic>
                </wp:inline>
              </w:drawing>
            </w:r>
          </w:p>
        </w:tc>
        <w:tc>
          <w:tcPr>
            <w:tcW w:w="3363" w:type="dxa"/>
          </w:tcPr>
          <w:p w14:paraId="22D132AA" w14:textId="1681E753" w:rsidR="008B735C" w:rsidRDefault="453C9830" w:rsidP="00EE05D3">
            <w:pPr>
              <w:pStyle w:val="Bodytextwithparaspace"/>
            </w:pPr>
            <w:r>
              <w:rPr>
                <w:noProof/>
                <w:lang w:val="en-AU" w:eastAsia="en-AU"/>
              </w:rPr>
              <w:drawing>
                <wp:inline distT="0" distB="0" distL="0" distR="0" wp14:anchorId="5C0887CE" wp14:editId="51F3720B">
                  <wp:extent cx="2173981" cy="2520000"/>
                  <wp:effectExtent l="0" t="0" r="0" b="0"/>
                  <wp:docPr id="295628587" name="Picture 38" descr="Figure 18 - Infusion Pumps, Battery Powered - CAGR, items per separation (FY11 - FY19) by grouping of primary MBS code (in order of total items used)&#10;&#10;This figure shows the compound annual growth rate in the number per separation of infusion pumps, battery powered, by grouping of primary MBS code for FY11 - FY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173981" cy="2520000"/>
                          </a:xfrm>
                          <a:prstGeom prst="rect">
                            <a:avLst/>
                          </a:prstGeom>
                        </pic:spPr>
                      </pic:pic>
                    </a:graphicData>
                  </a:graphic>
                </wp:inline>
              </w:drawing>
            </w:r>
          </w:p>
        </w:tc>
      </w:tr>
    </w:tbl>
    <w:p w14:paraId="74168B2D" w14:textId="77777777" w:rsidR="00F979CF" w:rsidRPr="00F979CF" w:rsidRDefault="00F979CF" w:rsidP="00F979CF"/>
    <w:p w14:paraId="0A63BF99" w14:textId="713AB3F4" w:rsidR="008B735C" w:rsidRDefault="008B735C" w:rsidP="000736A8">
      <w:pPr>
        <w:pStyle w:val="EYHeading4"/>
      </w:pPr>
      <w:r>
        <w:t>Powder</w:t>
      </w:r>
    </w:p>
    <w:p w14:paraId="2FBA0F13" w14:textId="6318605C" w:rsidR="008B735C" w:rsidRDefault="00FF0768" w:rsidP="008B735C">
      <w:pPr>
        <w:pStyle w:val="Bodytextwithparaspace"/>
      </w:pPr>
      <w:r>
        <w:t xml:space="preserve">Usage per separation </w:t>
      </w:r>
      <w:r w:rsidR="00D91B64">
        <w:t>grew</w:t>
      </w:r>
      <w:r>
        <w:t xml:space="preserve"> at a significant rate for ‘Powder’ haemostatic devices since FY11</w:t>
      </w:r>
      <w:r w:rsidR="00455F21">
        <w:t xml:space="preserve">, </w:t>
      </w:r>
      <w:r>
        <w:t xml:space="preserve">increasing by 315% up to FY19, equivalent to </w:t>
      </w:r>
      <w:r w:rsidR="00135A4F">
        <w:t xml:space="preserve">a </w:t>
      </w:r>
      <w:r>
        <w:t>19% CAGR</w:t>
      </w:r>
      <w:r w:rsidR="00F9354D">
        <w:t xml:space="preserve">, as shown in </w:t>
      </w:r>
      <w:r w:rsidR="00F9354D">
        <w:fldChar w:fldCharType="begin"/>
      </w:r>
      <w:r w:rsidR="00F9354D">
        <w:instrText xml:space="preserve"> REF _Ref39165378 \h </w:instrText>
      </w:r>
      <w:r w:rsidR="00F9354D">
        <w:fldChar w:fldCharType="separate"/>
      </w:r>
      <w:r w:rsidR="00784DE2">
        <w:t xml:space="preserve">Figure </w:t>
      </w:r>
      <w:r w:rsidR="00784DE2">
        <w:rPr>
          <w:noProof/>
        </w:rPr>
        <w:t>19</w:t>
      </w:r>
      <w:r w:rsidR="00F9354D">
        <w:fldChar w:fldCharType="end"/>
      </w:r>
      <w:r>
        <w:t>.</w:t>
      </w:r>
    </w:p>
    <w:p w14:paraId="0FE1121D" w14:textId="63B7D2C3" w:rsidR="00581D96" w:rsidRDefault="0028265E" w:rsidP="008B735C">
      <w:pPr>
        <w:pStyle w:val="Bodytextwithparaspace"/>
      </w:pPr>
      <w:r>
        <w:t xml:space="preserve">These powder haemostatic devices </w:t>
      </w:r>
      <w:r w:rsidR="00D91B64">
        <w:t xml:space="preserve">were </w:t>
      </w:r>
      <w:r>
        <w:t>primarily used in cardio-thoracic and neurosurgical/spinal surgery</w:t>
      </w:r>
      <w:r w:rsidR="00677CC8">
        <w:rPr>
          <w:rStyle w:val="FootnoteReference"/>
        </w:rPr>
        <w:footnoteReference w:id="9"/>
      </w:r>
      <w:r w:rsidR="00677CC8">
        <w:t xml:space="preserve"> procedures</w:t>
      </w:r>
      <w:r w:rsidR="005E310E">
        <w:t xml:space="preserve">, representing </w:t>
      </w:r>
      <w:r w:rsidR="00C60075">
        <w:t>31</w:t>
      </w:r>
      <w:r w:rsidR="005E310E">
        <w:t xml:space="preserve">% and </w:t>
      </w:r>
      <w:r w:rsidR="00C60075">
        <w:t>33</w:t>
      </w:r>
      <w:r w:rsidR="005E310E">
        <w:t>% of total usage in FY19, respectively</w:t>
      </w:r>
      <w:r w:rsidR="00677CC8">
        <w:t>.</w:t>
      </w:r>
      <w:r w:rsidR="009E79A8">
        <w:t xml:space="preserve"> As indicated in </w:t>
      </w:r>
      <w:r w:rsidR="009E79A8">
        <w:fldChar w:fldCharType="begin"/>
      </w:r>
      <w:r w:rsidR="009E79A8">
        <w:instrText xml:space="preserve"> REF _Ref39413482 \h </w:instrText>
      </w:r>
      <w:r w:rsidR="009E79A8">
        <w:fldChar w:fldCharType="separate"/>
      </w:r>
      <w:r w:rsidR="00784DE2">
        <w:t xml:space="preserve">Figure </w:t>
      </w:r>
      <w:r w:rsidR="00784DE2">
        <w:rPr>
          <w:noProof/>
        </w:rPr>
        <w:t>20</w:t>
      </w:r>
      <w:r w:rsidR="009E79A8">
        <w:fldChar w:fldCharType="end"/>
      </w:r>
      <w:r w:rsidR="009E79A8">
        <w:t xml:space="preserve">, high rates of growth in usage per separation </w:t>
      </w:r>
      <w:r w:rsidR="00D91B64">
        <w:t>were</w:t>
      </w:r>
      <w:r w:rsidR="009E79A8">
        <w:t xml:space="preserve"> experienced across a variety of types of procedures</w:t>
      </w:r>
      <w:r w:rsidR="000677B7">
        <w:t>.</w:t>
      </w:r>
      <w:r w:rsidR="008E4AE1">
        <w:t xml:space="preserve"> Particularly high levels of growth </w:t>
      </w:r>
      <w:r w:rsidR="00D91B64">
        <w:t xml:space="preserve">were </w:t>
      </w:r>
      <w:r w:rsidR="008E4AE1">
        <w:t xml:space="preserve">also seen for general surgical procedures and orthopaedic procedures, </w:t>
      </w:r>
      <w:r w:rsidR="00573627">
        <w:t>collectively accounting for 12% of total usage in FY19, up from 2% in FY11.</w:t>
      </w:r>
    </w:p>
    <w:p w14:paraId="48809D94" w14:textId="77777777" w:rsidR="001123DA" w:rsidRDefault="001123DA" w:rsidP="008B735C">
      <w:pPr>
        <w:pStyle w:val="Bodytextwithparaspace"/>
      </w:pPr>
      <w:r>
        <w:t>Similar to the other examples mentioned previously, this high level of growth across a variety of procedures may be suggestive of increased usage being driven by availability of these products on the PL</w:t>
      </w:r>
      <w:r w:rsidR="00073120">
        <w:t xml:space="preserve"> rather than purely by clinical need</w:t>
      </w:r>
      <w:r>
        <w:t xml:space="preserve">. </w:t>
      </w:r>
    </w:p>
    <w:tbl>
      <w:tblPr>
        <w:tblStyle w:val="TableGrid"/>
        <w:tblW w:w="9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Figure 19 and Figure 20"/>
        <w:tblDescription w:val="This table presents Figure 19 - Powder - items per 1,000 separations and Figure 20 - Powder - CAGR, items per separation (FY11 - FY19), by grouping of primary MBS code (in order of total items used)"/>
      </w:tblPr>
      <w:tblGrid>
        <w:gridCol w:w="5055"/>
        <w:gridCol w:w="4400"/>
      </w:tblGrid>
      <w:tr w:rsidR="003C3FDF" w14:paraId="4B772623" w14:textId="77777777" w:rsidTr="00190054">
        <w:trPr>
          <w:trHeight w:val="239"/>
          <w:tblHeader/>
        </w:trPr>
        <w:tc>
          <w:tcPr>
            <w:tcW w:w="4728" w:type="dxa"/>
          </w:tcPr>
          <w:p w14:paraId="092A15B4" w14:textId="47C83A6D" w:rsidR="003C3FDF" w:rsidRDefault="003C3FDF" w:rsidP="00EE05D3">
            <w:pPr>
              <w:pStyle w:val="Caption"/>
              <w:keepNext/>
            </w:pPr>
            <w:bookmarkStart w:id="117" w:name="_Ref39165378"/>
            <w:r>
              <w:t xml:space="preserve">Figure </w:t>
            </w:r>
            <w:r w:rsidR="00FC6370">
              <w:fldChar w:fldCharType="begin"/>
            </w:r>
            <w:r w:rsidR="00FC6370">
              <w:instrText xml:space="preserve"> SEQ Figure \* ARABIC </w:instrText>
            </w:r>
            <w:r w:rsidR="00FC6370">
              <w:fldChar w:fldCharType="separate"/>
            </w:r>
            <w:r w:rsidR="00784DE2">
              <w:rPr>
                <w:noProof/>
              </w:rPr>
              <w:t>19</w:t>
            </w:r>
            <w:r w:rsidR="00FC6370">
              <w:rPr>
                <w:noProof/>
              </w:rPr>
              <w:fldChar w:fldCharType="end"/>
            </w:r>
            <w:bookmarkEnd w:id="117"/>
            <w:r>
              <w:t xml:space="preserve"> – Powder - Items per 1,000 separations</w:t>
            </w:r>
          </w:p>
        </w:tc>
        <w:tc>
          <w:tcPr>
            <w:tcW w:w="4727" w:type="dxa"/>
          </w:tcPr>
          <w:p w14:paraId="2E8F5330" w14:textId="33E1852A" w:rsidR="003C3FDF" w:rsidRDefault="003C3FDF" w:rsidP="00EE05D3">
            <w:pPr>
              <w:pStyle w:val="Caption"/>
              <w:keepNext/>
            </w:pPr>
            <w:bookmarkStart w:id="118" w:name="_Ref39413482"/>
            <w:r>
              <w:t xml:space="preserve">Figure </w:t>
            </w:r>
            <w:r w:rsidR="00FC6370">
              <w:fldChar w:fldCharType="begin"/>
            </w:r>
            <w:r w:rsidR="00FC6370">
              <w:instrText xml:space="preserve"> SEQ Figure \* ARABIC </w:instrText>
            </w:r>
            <w:r w:rsidR="00FC6370">
              <w:fldChar w:fldCharType="separate"/>
            </w:r>
            <w:r w:rsidR="00784DE2">
              <w:rPr>
                <w:noProof/>
              </w:rPr>
              <w:t>20</w:t>
            </w:r>
            <w:r w:rsidR="00FC6370">
              <w:rPr>
                <w:noProof/>
              </w:rPr>
              <w:fldChar w:fldCharType="end"/>
            </w:r>
            <w:bookmarkEnd w:id="118"/>
            <w:r>
              <w:t xml:space="preserve"> – Powder - CAGR, items per separation (FY11 – FY19), by grouping of primary MBS code</w:t>
            </w:r>
            <w:r w:rsidR="008B6C65">
              <w:t xml:space="preserve"> (in order of total items used)</w:t>
            </w:r>
          </w:p>
        </w:tc>
      </w:tr>
      <w:tr w:rsidR="003C3FDF" w14:paraId="1D02EE24" w14:textId="77777777" w:rsidTr="00EE05D3">
        <w:trPr>
          <w:trHeight w:val="3760"/>
        </w:trPr>
        <w:tc>
          <w:tcPr>
            <w:tcW w:w="4728" w:type="dxa"/>
          </w:tcPr>
          <w:p w14:paraId="34FEF46B" w14:textId="10942615" w:rsidR="003C3FDF" w:rsidRDefault="528D8BB8" w:rsidP="00EE05D3">
            <w:pPr>
              <w:pStyle w:val="Bodytextwithparaspace"/>
            </w:pPr>
            <w:r>
              <w:rPr>
                <w:noProof/>
                <w:lang w:val="en-AU" w:eastAsia="en-AU"/>
              </w:rPr>
              <w:drawing>
                <wp:inline distT="0" distB="0" distL="0" distR="0" wp14:anchorId="4189F4EE" wp14:editId="327406A9">
                  <wp:extent cx="3073388" cy="2520000"/>
                  <wp:effectExtent l="0" t="0" r="0" b="0"/>
                  <wp:docPr id="939357952" name="Picture 32" descr="This figure shows the number of powder items used per 1000 separations between FY11 and FY19" title="Figure 19 - Powder - Items per 1000 sepa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073388" cy="2520000"/>
                          </a:xfrm>
                          <a:prstGeom prst="rect">
                            <a:avLst/>
                          </a:prstGeom>
                        </pic:spPr>
                      </pic:pic>
                    </a:graphicData>
                  </a:graphic>
                </wp:inline>
              </w:drawing>
            </w:r>
          </w:p>
        </w:tc>
        <w:tc>
          <w:tcPr>
            <w:tcW w:w="4727" w:type="dxa"/>
          </w:tcPr>
          <w:p w14:paraId="33F36F55" w14:textId="1E85BFAF" w:rsidR="003C3FDF" w:rsidRDefault="5D7DFA17" w:rsidP="00EE05D3">
            <w:pPr>
              <w:pStyle w:val="Bodytextwithparaspace"/>
            </w:pPr>
            <w:r>
              <w:rPr>
                <w:noProof/>
                <w:lang w:val="en-AU" w:eastAsia="en-AU"/>
              </w:rPr>
              <w:drawing>
                <wp:inline distT="0" distB="0" distL="0" distR="0" wp14:anchorId="094C2914" wp14:editId="2673D008">
                  <wp:extent cx="2173981" cy="2520000"/>
                  <wp:effectExtent l="0" t="0" r="0" b="0"/>
                  <wp:docPr id="633829841" name="Picture 56" descr="Figure 20 - Powder - CAGR, items per separation (FY11 - FY19), by grouping of primary MBS code (in order of total items used)&#10;&#10;This figure shows the compound annual growth rate for the number of powder items used per separation by primary MBS code between FY11 and FY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173981" cy="2520000"/>
                          </a:xfrm>
                          <a:prstGeom prst="rect">
                            <a:avLst/>
                          </a:prstGeom>
                        </pic:spPr>
                      </pic:pic>
                    </a:graphicData>
                  </a:graphic>
                </wp:inline>
              </w:drawing>
            </w:r>
          </w:p>
        </w:tc>
      </w:tr>
    </w:tbl>
    <w:p w14:paraId="1476A1E3" w14:textId="77777777" w:rsidR="00FF0768" w:rsidRDefault="00FF0768" w:rsidP="000736A8">
      <w:pPr>
        <w:pStyle w:val="EYHeading4"/>
      </w:pPr>
      <w:r>
        <w:t>Matrix</w:t>
      </w:r>
    </w:p>
    <w:p w14:paraId="262D4DE5" w14:textId="72AFAA6A" w:rsidR="00FF0768" w:rsidRDefault="00FF0768" w:rsidP="00FF0768">
      <w:pPr>
        <w:pStyle w:val="Bodytextwithparaspace"/>
      </w:pPr>
      <w:r>
        <w:t xml:space="preserve">Usage per separation also </w:t>
      </w:r>
      <w:r w:rsidR="00D91B64">
        <w:t xml:space="preserve">grew </w:t>
      </w:r>
      <w:r>
        <w:t>at a significant rate for ‘Matrix’ haemostatic devices since FY11</w:t>
      </w:r>
      <w:r w:rsidR="006C5757">
        <w:t xml:space="preserve">, </w:t>
      </w:r>
      <w:r w:rsidR="006C5757" w:rsidRPr="00466263">
        <w:t xml:space="preserve">shown </w:t>
      </w:r>
      <w:r w:rsidR="006C5757" w:rsidRPr="00AF1D4E">
        <w:t xml:space="preserve">in </w:t>
      </w:r>
      <w:r w:rsidR="00F9354D" w:rsidRPr="00AF1D4E">
        <w:fldChar w:fldCharType="begin"/>
      </w:r>
      <w:r w:rsidR="00F9354D" w:rsidRPr="00AF1D4E">
        <w:instrText xml:space="preserve"> REF _Ref39819948 \h </w:instrText>
      </w:r>
      <w:r w:rsidR="00F9354D">
        <w:instrText xml:space="preserve"> \* MERGEFORMAT </w:instrText>
      </w:r>
      <w:r w:rsidR="00F9354D" w:rsidRPr="00AF1D4E">
        <w:fldChar w:fldCharType="separate"/>
      </w:r>
      <w:r w:rsidR="00784DE2">
        <w:t xml:space="preserve">Figure </w:t>
      </w:r>
      <w:r w:rsidR="00784DE2">
        <w:rPr>
          <w:noProof/>
        </w:rPr>
        <w:t>21</w:t>
      </w:r>
      <w:r w:rsidR="00F9354D" w:rsidRPr="00AF1D4E">
        <w:fldChar w:fldCharType="end"/>
      </w:r>
      <w:r w:rsidR="00F9354D" w:rsidRPr="00AF1D4E">
        <w:t xml:space="preserve"> below</w:t>
      </w:r>
      <w:r w:rsidR="00B861CE">
        <w:t>.</w:t>
      </w:r>
      <w:r w:rsidRPr="00466263">
        <w:t xml:space="preserve"> As </w:t>
      </w:r>
      <w:r w:rsidR="00BA0C83" w:rsidRPr="00466263">
        <w:t xml:space="preserve">discussed in </w:t>
      </w:r>
      <w:r w:rsidR="003528A0" w:rsidRPr="00F9354D">
        <w:t xml:space="preserve">the </w:t>
      </w:r>
      <w:r w:rsidR="00050D00" w:rsidRPr="00F9354D">
        <w:t>‘</w:t>
      </w:r>
      <w:r w:rsidR="00050D00" w:rsidRPr="00F9354D">
        <w:fldChar w:fldCharType="begin"/>
      </w:r>
      <w:r w:rsidR="00050D00" w:rsidRPr="00F9354D">
        <w:instrText xml:space="preserve"> REF _Ref39420781 \h </w:instrText>
      </w:r>
      <w:r w:rsidR="00F9354D">
        <w:instrText xml:space="preserve"> \* MERGEFORMAT </w:instrText>
      </w:r>
      <w:r w:rsidR="00050D00" w:rsidRPr="00F9354D">
        <w:fldChar w:fldCharType="separate"/>
      </w:r>
      <w:r w:rsidR="00784DE2">
        <w:t>Matrix</w:t>
      </w:r>
      <w:r w:rsidR="00050D00" w:rsidRPr="00F9354D">
        <w:fldChar w:fldCharType="end"/>
      </w:r>
      <w:r w:rsidR="00050D00" w:rsidRPr="00F9354D">
        <w:t xml:space="preserve">’ case study </w:t>
      </w:r>
      <w:r w:rsidR="003528A0" w:rsidRPr="00F9354D">
        <w:t>in Section</w:t>
      </w:r>
      <w:r w:rsidR="00F9354D">
        <w:t xml:space="preserve"> </w:t>
      </w:r>
      <w:r w:rsidR="00F9354D">
        <w:fldChar w:fldCharType="begin"/>
      </w:r>
      <w:r w:rsidR="00F9354D">
        <w:instrText xml:space="preserve"> REF _Ref39420781 \r \h </w:instrText>
      </w:r>
      <w:r w:rsidR="00F9354D">
        <w:fldChar w:fldCharType="separate"/>
      </w:r>
      <w:r w:rsidR="00784DE2">
        <w:t>5.4</w:t>
      </w:r>
      <w:r w:rsidR="00F9354D">
        <w:fldChar w:fldCharType="end"/>
      </w:r>
      <w:r w:rsidRPr="00466263">
        <w:t xml:space="preserve">, this </w:t>
      </w:r>
      <w:r w:rsidR="00D91B64">
        <w:t>was</w:t>
      </w:r>
      <w:r w:rsidRPr="00466263">
        <w:t xml:space="preserve"> primarily due to increased usage of the larger volumes of liquid matrix products. </w:t>
      </w:r>
      <w:r w:rsidR="00135A4F" w:rsidRPr="00466263">
        <w:t>Overall, usage per separation</w:t>
      </w:r>
      <w:r w:rsidR="00135A4F">
        <w:t xml:space="preserve"> for these matrix haemostatic devices </w:t>
      </w:r>
      <w:r w:rsidR="00D91B64">
        <w:t>grew</w:t>
      </w:r>
      <w:r w:rsidR="00135A4F">
        <w:t xml:space="preserve"> at a </w:t>
      </w:r>
      <w:r w:rsidR="00DB36F3">
        <w:t>14</w:t>
      </w:r>
      <w:r w:rsidR="00135A4F">
        <w:t xml:space="preserve">% CAGR from FY11 </w:t>
      </w:r>
      <w:r w:rsidR="00F9354D">
        <w:t xml:space="preserve">to </w:t>
      </w:r>
      <w:r w:rsidR="00135A4F">
        <w:t>FY19.</w:t>
      </w:r>
    </w:p>
    <w:p w14:paraId="33120829" w14:textId="1BCAA63B" w:rsidR="00FF0768" w:rsidRDefault="001F1B2A" w:rsidP="0055189A">
      <w:pPr>
        <w:pStyle w:val="Bodytextwithparaspace"/>
      </w:pPr>
      <w:r>
        <w:t xml:space="preserve">High rates of growth in usage per separation </w:t>
      </w:r>
      <w:r w:rsidR="00D91B64">
        <w:t>was</w:t>
      </w:r>
      <w:r>
        <w:t xml:space="preserve"> seen across a </w:t>
      </w:r>
      <w:r w:rsidR="00E90CC1">
        <w:t>variety of</w:t>
      </w:r>
      <w:r>
        <w:t xml:space="preserve"> </w:t>
      </w:r>
      <w:r w:rsidR="007A528A">
        <w:t xml:space="preserve">types of procedures for these matrix products, as indicated in </w:t>
      </w:r>
      <w:r w:rsidR="007A528A">
        <w:fldChar w:fldCharType="begin"/>
      </w:r>
      <w:r w:rsidR="007A528A">
        <w:instrText xml:space="preserve"> REF _Ref39412533 \h </w:instrText>
      </w:r>
      <w:r w:rsidR="007A528A">
        <w:fldChar w:fldCharType="separate"/>
      </w:r>
      <w:r w:rsidR="00784DE2">
        <w:t xml:space="preserve">Figure </w:t>
      </w:r>
      <w:r w:rsidR="00784DE2">
        <w:rPr>
          <w:noProof/>
        </w:rPr>
        <w:t>22</w:t>
      </w:r>
      <w:r w:rsidR="007A528A">
        <w:fldChar w:fldCharType="end"/>
      </w:r>
      <w:r w:rsidR="007A528A">
        <w:t xml:space="preserve">. </w:t>
      </w:r>
      <w:r w:rsidR="00D01515">
        <w:t xml:space="preserve">Notably, </w:t>
      </w:r>
      <w:r w:rsidR="00FB7B83">
        <w:t>neurosurgical/spinal surgery procedures represent</w:t>
      </w:r>
      <w:r w:rsidR="00D91B64">
        <w:t>ed</w:t>
      </w:r>
      <w:r w:rsidR="00FB7B83">
        <w:t xml:space="preserve"> the single largest category of usage, constituting 34% of total usage in FY19 and 34% of total growth in usage from FY11 </w:t>
      </w:r>
      <w:r w:rsidR="00F9354D">
        <w:t xml:space="preserve">to </w:t>
      </w:r>
      <w:r w:rsidR="00FB7B83">
        <w:t xml:space="preserve">FY19. </w:t>
      </w:r>
    </w:p>
    <w:p w14:paraId="55CFC8B0" w14:textId="77777777" w:rsidR="001123DA" w:rsidRDefault="001123DA" w:rsidP="00A26B3B">
      <w:pPr>
        <w:pStyle w:val="Bodytextwithparaspace"/>
      </w:pPr>
      <w:r>
        <w:t>Similar to the other examples mentioned previously, this high level of growth across a variety of procedures may be suggestive of increased usage being driven by availability of these products on the PL</w:t>
      </w:r>
      <w:r w:rsidR="00073120">
        <w:t xml:space="preserve"> rather than purely by clinical need</w:t>
      </w:r>
      <w:r>
        <w:t xml:space="preserve">. </w:t>
      </w:r>
    </w:p>
    <w:tbl>
      <w:tblPr>
        <w:tblStyle w:val="TableGrid"/>
        <w:tblW w:w="9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nding 4.4.4"/>
        <w:tblDescription w:val="This table presents Finding 4.4.4&#10;There have been a number of examples of above-trend usage growth that isn’t prima facie explained by increases in the number of procedures. In all cases, the level of growth was such that it seems unlikely that changes in the nature of procedures or in the case mix are sufficient to explain all of the growth. This suggests that at least some of the growth must have been due to an increase in the number of items per separation within the same procedures.&#10;This suggests that there was some element of over-use occurring in these groups. &#10;"/>
      </w:tblPr>
      <w:tblGrid>
        <w:gridCol w:w="5055"/>
        <w:gridCol w:w="3964"/>
        <w:gridCol w:w="436"/>
      </w:tblGrid>
      <w:tr w:rsidR="003C3FDF" w14:paraId="41E9FBF6" w14:textId="77777777" w:rsidTr="00F979CF">
        <w:trPr>
          <w:trHeight w:val="239"/>
        </w:trPr>
        <w:tc>
          <w:tcPr>
            <w:tcW w:w="5055" w:type="dxa"/>
          </w:tcPr>
          <w:p w14:paraId="1F52DFD5" w14:textId="5E569936" w:rsidR="003C3FDF" w:rsidRDefault="003C3FDF" w:rsidP="00EE05D3">
            <w:pPr>
              <w:pStyle w:val="Caption"/>
              <w:keepNext/>
            </w:pPr>
            <w:bookmarkStart w:id="119" w:name="_Ref39819948"/>
            <w:r>
              <w:t xml:space="preserve">Figure </w:t>
            </w:r>
            <w:r w:rsidR="00FC6370">
              <w:fldChar w:fldCharType="begin"/>
            </w:r>
            <w:r w:rsidR="00FC6370">
              <w:instrText xml:space="preserve"> SEQ Figure \* ARABIC </w:instrText>
            </w:r>
            <w:r w:rsidR="00FC6370">
              <w:fldChar w:fldCharType="separate"/>
            </w:r>
            <w:r w:rsidR="00784DE2">
              <w:rPr>
                <w:noProof/>
              </w:rPr>
              <w:t>21</w:t>
            </w:r>
            <w:r w:rsidR="00FC6370">
              <w:rPr>
                <w:noProof/>
              </w:rPr>
              <w:fldChar w:fldCharType="end"/>
            </w:r>
            <w:bookmarkEnd w:id="119"/>
            <w:r>
              <w:t xml:space="preserve"> – Matrix - Items per 1,000 separations</w:t>
            </w:r>
          </w:p>
        </w:tc>
        <w:tc>
          <w:tcPr>
            <w:tcW w:w="4400" w:type="dxa"/>
            <w:gridSpan w:val="2"/>
          </w:tcPr>
          <w:p w14:paraId="4961A454" w14:textId="2F2423AF" w:rsidR="003C3FDF" w:rsidRDefault="003C3FDF" w:rsidP="00EE05D3">
            <w:pPr>
              <w:pStyle w:val="Caption"/>
              <w:keepNext/>
            </w:pPr>
            <w:bookmarkStart w:id="120" w:name="_Ref39412533"/>
            <w:r>
              <w:t xml:space="preserve">Figure </w:t>
            </w:r>
            <w:r w:rsidR="00FC6370">
              <w:fldChar w:fldCharType="begin"/>
            </w:r>
            <w:r w:rsidR="00FC6370">
              <w:instrText xml:space="preserve"> SEQ Figure \* ARABIC </w:instrText>
            </w:r>
            <w:r w:rsidR="00FC6370">
              <w:fldChar w:fldCharType="separate"/>
            </w:r>
            <w:r w:rsidR="00784DE2">
              <w:rPr>
                <w:noProof/>
              </w:rPr>
              <w:t>22</w:t>
            </w:r>
            <w:r w:rsidR="00FC6370">
              <w:rPr>
                <w:noProof/>
              </w:rPr>
              <w:fldChar w:fldCharType="end"/>
            </w:r>
            <w:bookmarkEnd w:id="120"/>
            <w:r>
              <w:t xml:space="preserve"> – Matrix - CAGR, items per separation (FY11 – FY19), by grouping of primary MBS code </w:t>
            </w:r>
            <w:r w:rsidR="00D7588A">
              <w:t>(in order of total items used)</w:t>
            </w:r>
          </w:p>
        </w:tc>
      </w:tr>
      <w:tr w:rsidR="003C3FDF" w14:paraId="5CC452AB" w14:textId="77777777" w:rsidTr="00F979CF">
        <w:trPr>
          <w:trHeight w:val="3760"/>
        </w:trPr>
        <w:tc>
          <w:tcPr>
            <w:tcW w:w="5055" w:type="dxa"/>
          </w:tcPr>
          <w:p w14:paraId="4873F737" w14:textId="0C175E11" w:rsidR="003C3FDF" w:rsidRDefault="528D8BB8" w:rsidP="00EE05D3">
            <w:pPr>
              <w:pStyle w:val="Bodytextwithparaspace"/>
            </w:pPr>
            <w:r>
              <w:rPr>
                <w:noProof/>
                <w:lang w:val="en-AU" w:eastAsia="en-AU"/>
              </w:rPr>
              <w:drawing>
                <wp:inline distT="0" distB="0" distL="0" distR="0" wp14:anchorId="653A0496" wp14:editId="16405DD1">
                  <wp:extent cx="3073387" cy="2520000"/>
                  <wp:effectExtent l="0" t="0" r="0" b="0"/>
                  <wp:docPr id="15541012" name="Picture 37" descr="This table shows the number of 'Matrix' items used per 100 separations between FY11 and FY19" title="Figure 21 - Matrix - Items per 1000 sepa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073387" cy="2520000"/>
                          </a:xfrm>
                          <a:prstGeom prst="rect">
                            <a:avLst/>
                          </a:prstGeom>
                        </pic:spPr>
                      </pic:pic>
                    </a:graphicData>
                  </a:graphic>
                </wp:inline>
              </w:drawing>
            </w:r>
          </w:p>
        </w:tc>
        <w:tc>
          <w:tcPr>
            <w:tcW w:w="4400" w:type="dxa"/>
            <w:gridSpan w:val="2"/>
          </w:tcPr>
          <w:p w14:paraId="23DFD392" w14:textId="77805C35" w:rsidR="003C3FDF" w:rsidRDefault="6E6C10CE" w:rsidP="00EE05D3">
            <w:pPr>
              <w:pStyle w:val="Bodytextwithparaspace"/>
            </w:pPr>
            <w:r>
              <w:rPr>
                <w:noProof/>
                <w:lang w:val="en-AU" w:eastAsia="en-AU"/>
              </w:rPr>
              <w:drawing>
                <wp:inline distT="0" distB="0" distL="0" distR="0" wp14:anchorId="03B6D639" wp14:editId="7E3572FD">
                  <wp:extent cx="2173981" cy="2520000"/>
                  <wp:effectExtent l="0" t="0" r="0" b="0"/>
                  <wp:docPr id="1780672259" name="Picture 55" descr="Figure 22 - Matrix - CAGR, items per separation (FY11 - FY19), by grouping of primary MBS code (in order of total items used)&#10;&#10;This figure shows the compound annual growth rate of 'Matrix' items used per separation by grouping of primary MBS code for FY11 - FY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173981" cy="2520000"/>
                          </a:xfrm>
                          <a:prstGeom prst="rect">
                            <a:avLst/>
                          </a:prstGeom>
                        </pic:spPr>
                      </pic:pic>
                    </a:graphicData>
                  </a:graphic>
                </wp:inline>
              </w:drawing>
            </w:r>
          </w:p>
        </w:tc>
      </w:tr>
      <w:tr w:rsidR="000D3DA8" w14:paraId="126F9415" w14:textId="77777777" w:rsidTr="00F979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31" w:type="dxa"/>
        </w:trPr>
        <w:tc>
          <w:tcPr>
            <w:tcW w:w="9019" w:type="dxa"/>
            <w:gridSpan w:val="2"/>
            <w:shd w:val="clear" w:color="auto" w:fill="D2D2DA" w:themeFill="text1" w:themeFillTint="33"/>
          </w:tcPr>
          <w:p w14:paraId="22518BBB" w14:textId="60447AF1" w:rsidR="000D3DA8" w:rsidRDefault="000D3DA8" w:rsidP="000D3DA8">
            <w:pPr>
              <w:pStyle w:val="Bodytextwithparaspace"/>
              <w:rPr>
                <w:b/>
              </w:rPr>
            </w:pPr>
            <w:r>
              <w:rPr>
                <w:b/>
              </w:rPr>
              <w:t xml:space="preserve">Finding </w:t>
            </w:r>
            <w:r>
              <w:rPr>
                <w:b/>
              </w:rPr>
              <w:fldChar w:fldCharType="begin"/>
            </w:r>
            <w:r>
              <w:rPr>
                <w:b/>
              </w:rPr>
              <w:instrText xml:space="preserve"> REF _Ref39062633 \r \h </w:instrText>
            </w:r>
            <w:r w:rsidR="00190054">
              <w:rPr>
                <w:b/>
              </w:rPr>
              <w:instrText xml:space="preserve"> \* MERGEFORMAT </w:instrText>
            </w:r>
            <w:r>
              <w:rPr>
                <w:b/>
              </w:rPr>
            </w:r>
            <w:r>
              <w:rPr>
                <w:b/>
              </w:rPr>
              <w:fldChar w:fldCharType="separate"/>
            </w:r>
            <w:r w:rsidR="00784DE2">
              <w:rPr>
                <w:b/>
              </w:rPr>
              <w:t>4.4.4</w:t>
            </w:r>
            <w:r>
              <w:rPr>
                <w:b/>
              </w:rPr>
              <w:fldChar w:fldCharType="end"/>
            </w:r>
          </w:p>
          <w:p w14:paraId="2D6A53FC" w14:textId="5383CBC6" w:rsidR="00AD4D94" w:rsidRPr="00A26B3B" w:rsidRDefault="002E3584" w:rsidP="000D3DA8">
            <w:pPr>
              <w:pStyle w:val="Bodytextwithparaspace"/>
              <w:rPr>
                <w:highlight w:val="yellow"/>
              </w:rPr>
            </w:pPr>
            <w:r w:rsidRPr="00BD3605">
              <w:t>The</w:t>
            </w:r>
            <w:r w:rsidR="00BD3605">
              <w:t xml:space="preserve">re </w:t>
            </w:r>
            <w:r w:rsidR="008802E4">
              <w:t>have been</w:t>
            </w:r>
            <w:r w:rsidRPr="00BD3605">
              <w:t xml:space="preserve"> </w:t>
            </w:r>
            <w:r w:rsidR="00BD3605">
              <w:t xml:space="preserve">a number of </w:t>
            </w:r>
            <w:r w:rsidRPr="00BD3605">
              <w:t>examples of above-trend usage</w:t>
            </w:r>
            <w:r w:rsidR="00BD3605" w:rsidRPr="00A26B3B">
              <w:t xml:space="preserve"> growth</w:t>
            </w:r>
            <w:r w:rsidRPr="00BD3605">
              <w:t xml:space="preserve"> that </w:t>
            </w:r>
            <w:r w:rsidR="008A546D">
              <w:t>isn’t prima facie</w:t>
            </w:r>
            <w:r w:rsidRPr="00BD3605">
              <w:t xml:space="preserve"> explained by increases in the number of procedures. In all cases, the level of growth </w:t>
            </w:r>
            <w:r w:rsidR="00776840">
              <w:t>was</w:t>
            </w:r>
            <w:r w:rsidR="00776840" w:rsidRPr="00BD3605">
              <w:t xml:space="preserve"> </w:t>
            </w:r>
            <w:r w:rsidR="00BD3605" w:rsidRPr="00A26B3B">
              <w:t xml:space="preserve">such </w:t>
            </w:r>
            <w:r w:rsidRPr="00BD3605">
              <w:t xml:space="preserve">that it seems unlikely that </w:t>
            </w:r>
            <w:r w:rsidR="004547C5" w:rsidRPr="00BD3605">
              <w:t>changes in the nature of procedures or in the case</w:t>
            </w:r>
            <w:r w:rsidR="00BD3605" w:rsidRPr="00A26B3B">
              <w:t xml:space="preserve"> </w:t>
            </w:r>
            <w:r w:rsidR="004547C5" w:rsidRPr="00BD3605">
              <w:t xml:space="preserve">mix </w:t>
            </w:r>
            <w:r w:rsidR="00BD3605" w:rsidRPr="00A26B3B">
              <w:t xml:space="preserve">are sufficient to explain all of the growth. </w:t>
            </w:r>
            <w:r w:rsidR="005849C4">
              <w:t>This suggests</w:t>
            </w:r>
            <w:r w:rsidR="00BD3605">
              <w:t xml:space="preserve"> that </w:t>
            </w:r>
            <w:r w:rsidR="00BD3605" w:rsidRPr="00BD3605">
              <w:t>a</w:t>
            </w:r>
            <w:r w:rsidR="00BD3605" w:rsidRPr="00A26B3B">
              <w:t xml:space="preserve">t least some of the growth must </w:t>
            </w:r>
            <w:r w:rsidR="00776840">
              <w:t>have been</w:t>
            </w:r>
            <w:r w:rsidR="00BD3605" w:rsidRPr="00A26B3B">
              <w:t xml:space="preserve"> due to an increase in the number of items per separation with</w:t>
            </w:r>
            <w:r w:rsidR="00BD3605">
              <w:t>in</w:t>
            </w:r>
            <w:r w:rsidR="00BD3605" w:rsidRPr="00A26B3B">
              <w:t xml:space="preserve"> the same procedure</w:t>
            </w:r>
            <w:r w:rsidR="00BD3605">
              <w:t>s</w:t>
            </w:r>
            <w:r w:rsidR="00AD4D94" w:rsidRPr="00BD3605">
              <w:t>.</w:t>
            </w:r>
          </w:p>
          <w:p w14:paraId="6324B639" w14:textId="69F33A39" w:rsidR="00AD4D94" w:rsidRPr="002E3584" w:rsidRDefault="00776840" w:rsidP="00466263">
            <w:pPr>
              <w:pStyle w:val="Bodytextwithparaspace"/>
              <w:rPr>
                <w:highlight w:val="yellow"/>
              </w:rPr>
            </w:pPr>
            <w:r>
              <w:t>This suggests</w:t>
            </w:r>
            <w:r w:rsidR="005849C4" w:rsidRPr="00A26B3B">
              <w:t xml:space="preserve"> that there </w:t>
            </w:r>
            <w:r>
              <w:t>was</w:t>
            </w:r>
            <w:r w:rsidR="005849C4" w:rsidRPr="00A26B3B">
              <w:t xml:space="preserve"> some element of over-use occurring in these groups. </w:t>
            </w:r>
          </w:p>
        </w:tc>
      </w:tr>
    </w:tbl>
    <w:p w14:paraId="11943337" w14:textId="77777777" w:rsidR="00E1026C" w:rsidRDefault="00E1026C" w:rsidP="006F348E">
      <w:pPr>
        <w:pStyle w:val="EYHeading3"/>
      </w:pPr>
      <w:bookmarkStart w:id="121" w:name="_Ref39070330"/>
      <w:r>
        <w:t xml:space="preserve">Differential </w:t>
      </w:r>
      <w:r w:rsidR="003016EE">
        <w:t>usage</w:t>
      </w:r>
      <w:r>
        <w:t xml:space="preserve"> by hospital</w:t>
      </w:r>
      <w:r w:rsidR="00CA1B3E">
        <w:t xml:space="preserve"> groups</w:t>
      </w:r>
      <w:bookmarkEnd w:id="121"/>
    </w:p>
    <w:p w14:paraId="7D7D77C7" w14:textId="7353061A" w:rsidR="00CF76A3" w:rsidRDefault="00CA1B3E" w:rsidP="00CF76A3">
      <w:pPr>
        <w:pStyle w:val="Bodytextwithparaspace"/>
      </w:pPr>
      <w:r>
        <w:t xml:space="preserve">Differential usage across hospital groups </w:t>
      </w:r>
      <w:r w:rsidR="004860E0">
        <w:t xml:space="preserve">may be reflective of the mix of procedures undertaken and </w:t>
      </w:r>
      <w:r w:rsidR="00222489">
        <w:t xml:space="preserve">the preferences of the physicians practicing </w:t>
      </w:r>
      <w:r w:rsidR="004860E0">
        <w:t>within the group</w:t>
      </w:r>
      <w:r w:rsidR="00222489">
        <w:t xml:space="preserve">. However, it may also be indicative that the PL </w:t>
      </w:r>
      <w:r w:rsidR="00CD085A">
        <w:t>does not dis</w:t>
      </w:r>
      <w:r w:rsidR="00222489">
        <w:t>incentiv</w:t>
      </w:r>
      <w:r w:rsidR="0046755B">
        <w:t>is</w:t>
      </w:r>
      <w:r w:rsidR="00222489">
        <w:t>e</w:t>
      </w:r>
      <w:r w:rsidR="00CD085A">
        <w:t xml:space="preserve"> the</w:t>
      </w:r>
      <w:r w:rsidR="00222489">
        <w:t xml:space="preserve"> use of items more than clinical needs, or that manufacturers </w:t>
      </w:r>
      <w:r w:rsidR="00DF27F1">
        <w:t>are</w:t>
      </w:r>
      <w:r w:rsidR="00222489">
        <w:t xml:space="preserve"> </w:t>
      </w:r>
      <w:r w:rsidR="00776840">
        <w:t>interacting differently with different hospitals and clinicians</w:t>
      </w:r>
      <w:r w:rsidR="00DF27F1">
        <w:t>.</w:t>
      </w:r>
    </w:p>
    <w:p w14:paraId="51691357" w14:textId="44EFECF3" w:rsidR="0071092D" w:rsidRDefault="00680423" w:rsidP="00CF76A3">
      <w:pPr>
        <w:pStyle w:val="Bodytextwithparaspace"/>
      </w:pPr>
      <w:r>
        <w:t xml:space="preserve">In this analysis, </w:t>
      </w:r>
      <w:r w:rsidR="00B87334">
        <w:t xml:space="preserve">focus </w:t>
      </w:r>
      <w:r w:rsidR="005E64F6">
        <w:t>was</w:t>
      </w:r>
      <w:r w:rsidR="00B87334">
        <w:t xml:space="preserve"> placed</w:t>
      </w:r>
      <w:r>
        <w:t xml:space="preserve"> on looking at hospital groups rather than individual hospitals themselves. Ideally, analysis of individual hospitals would be </w:t>
      </w:r>
      <w:r w:rsidR="00EE0343">
        <w:t xml:space="preserve">helpful to investigate how </w:t>
      </w:r>
      <w:r w:rsidR="00A74845">
        <w:t xml:space="preserve">contracting differences and </w:t>
      </w:r>
      <w:r w:rsidR="00EE0343">
        <w:t>clinical preference</w:t>
      </w:r>
      <w:r w:rsidR="00A74845">
        <w:t>s</w:t>
      </w:r>
      <w:r w:rsidR="00EE0343">
        <w:t xml:space="preserve"> may </w:t>
      </w:r>
      <w:r w:rsidR="005E64F6">
        <w:t xml:space="preserve">have </w:t>
      </w:r>
      <w:r w:rsidR="00EE0343">
        <w:t>be</w:t>
      </w:r>
      <w:r w:rsidR="005E64F6">
        <w:t>en</w:t>
      </w:r>
      <w:r w:rsidR="00EE0343">
        <w:t xml:space="preserve"> influencing usage of these GM items. Due to the large number of items and hospitals</w:t>
      </w:r>
      <w:r w:rsidR="007A6181">
        <w:t xml:space="preserve">, </w:t>
      </w:r>
      <w:r w:rsidR="00EE0343">
        <w:t xml:space="preserve">this would </w:t>
      </w:r>
      <w:r w:rsidR="005E64F6">
        <w:t xml:space="preserve">have </w:t>
      </w:r>
      <w:r w:rsidR="00EE0343">
        <w:t>be</w:t>
      </w:r>
      <w:r w:rsidR="005E64F6">
        <w:t>en</w:t>
      </w:r>
      <w:r w:rsidR="00EE0343">
        <w:t xml:space="preserve"> a </w:t>
      </w:r>
      <w:r w:rsidR="00415812">
        <w:t xml:space="preserve">significantly </w:t>
      </w:r>
      <w:r w:rsidR="00EE0343">
        <w:t>large analysis</w:t>
      </w:r>
      <w:r w:rsidR="00EE5C9D">
        <w:t xml:space="preserve"> and not feasible given the constraints of this review. </w:t>
      </w:r>
      <w:r w:rsidR="00BD390F">
        <w:t xml:space="preserve">Looking at a hospital group level, it does appear evident that there </w:t>
      </w:r>
      <w:r w:rsidR="005E64F6">
        <w:t xml:space="preserve">were </w:t>
      </w:r>
      <w:r w:rsidR="00BD390F">
        <w:t xml:space="preserve">differences between some of these hospital groups that may not immediately be explainable by differences </w:t>
      </w:r>
      <w:r w:rsidR="009B7625">
        <w:t xml:space="preserve">such as case mix and may be indicative of variation between clinical choices or preferences. </w:t>
      </w:r>
    </w:p>
    <w:p w14:paraId="4717C8CC" w14:textId="349C5BFC" w:rsidR="00C3462B" w:rsidRDefault="00237DC8" w:rsidP="00CF76A3">
      <w:pPr>
        <w:pStyle w:val="Bodytextwithparaspace"/>
      </w:pPr>
      <w:r>
        <w:t>A</w:t>
      </w:r>
      <w:r w:rsidR="00C3462B">
        <w:t xml:space="preserve"> number of instances </w:t>
      </w:r>
      <w:r w:rsidR="005E64F6">
        <w:t>were</w:t>
      </w:r>
      <w:r>
        <w:t xml:space="preserve"> identified</w:t>
      </w:r>
      <w:r w:rsidR="00C3462B">
        <w:t xml:space="preserve"> where there </w:t>
      </w:r>
      <w:r w:rsidR="005E64F6">
        <w:t xml:space="preserve">were </w:t>
      </w:r>
      <w:r w:rsidR="00C3462B">
        <w:t xml:space="preserve">apparent differences between hospital </w:t>
      </w:r>
      <w:r w:rsidR="009E617C">
        <w:t xml:space="preserve">groups </w:t>
      </w:r>
      <w:r w:rsidR="00C3462B">
        <w:t>in the usage profile and growth trends of products from the ‘High’ priority GM category. These examples may be at least partially explainable by differences between hospital owners in factors such as case mix and type of facility</w:t>
      </w:r>
      <w:r w:rsidR="00B55101">
        <w:t>,</w:t>
      </w:r>
      <w:r w:rsidR="00C3462B">
        <w:t xml:space="preserve"> but may</w:t>
      </w:r>
      <w:r w:rsidR="008048CF">
        <w:t xml:space="preserve"> also</w:t>
      </w:r>
      <w:r w:rsidR="00C3462B">
        <w:t xml:space="preserve"> represent instances where </w:t>
      </w:r>
      <w:r w:rsidR="008048CF">
        <w:t xml:space="preserve">usage </w:t>
      </w:r>
      <w:r w:rsidR="005E64F6">
        <w:t>was</w:t>
      </w:r>
      <w:r w:rsidR="008048CF">
        <w:t xml:space="preserve"> influenced by </w:t>
      </w:r>
      <w:r w:rsidR="00AC0326">
        <w:t xml:space="preserve">other factors, including possible </w:t>
      </w:r>
      <w:r w:rsidR="008048CF">
        <w:t>adverse incentives or a lack of disincentives, leading to higher benefits being paid.</w:t>
      </w:r>
    </w:p>
    <w:p w14:paraId="2516FD65" w14:textId="435579A5" w:rsidR="00852182" w:rsidRDefault="00852182" w:rsidP="00463B2D">
      <w:pPr>
        <w:pStyle w:val="Bodytextwithparaspace"/>
      </w:pPr>
      <w:r>
        <w:t xml:space="preserve">Analysis of PL usage and benefits for the ‘High’ priority GM category items was conducted across the top 8 private hospital </w:t>
      </w:r>
      <w:r w:rsidR="009E617C">
        <w:t>groups</w:t>
      </w:r>
      <w:r>
        <w:t xml:space="preserve">, all other private hospital owners combined and private treatment in public hospitals. </w:t>
      </w:r>
    </w:p>
    <w:p w14:paraId="7319CBA6" w14:textId="77777777" w:rsidR="00197068" w:rsidRDefault="00197068" w:rsidP="000736A8">
      <w:pPr>
        <w:pStyle w:val="EYHeading4"/>
      </w:pPr>
      <w:r>
        <w:t>Overall – ‘High’ priority GM</w:t>
      </w:r>
    </w:p>
    <w:p w14:paraId="3FA69A1D" w14:textId="548C24B1" w:rsidR="00E971AE" w:rsidRDefault="00CB6734" w:rsidP="00CF76A3">
      <w:pPr>
        <w:pStyle w:val="Bodytextwithparaspace"/>
      </w:pPr>
      <w:r>
        <w:t>T</w:t>
      </w:r>
      <w:r w:rsidR="00F8753E">
        <w:t>hree</w:t>
      </w:r>
      <w:r>
        <w:t xml:space="preserve"> large hospital </w:t>
      </w:r>
      <w:r w:rsidR="009E617C">
        <w:t xml:space="preserve">groups </w:t>
      </w:r>
      <w:r>
        <w:t xml:space="preserve"> together account</w:t>
      </w:r>
      <w:r w:rsidR="00576BC9">
        <w:t>ed</w:t>
      </w:r>
      <w:r>
        <w:t xml:space="preserve"> for </w:t>
      </w:r>
      <w:r w:rsidR="00F8753E">
        <w:t>58</w:t>
      </w:r>
      <w:r>
        <w:t>% of the total</w:t>
      </w:r>
      <w:r w:rsidR="00697D4E">
        <w:t xml:space="preserve"> benefits paid for ‘High’ priority GM items in FY19</w:t>
      </w:r>
      <w:r w:rsidR="00F8753E">
        <w:t>.</w:t>
      </w:r>
      <w:r w:rsidR="00536852">
        <w:t xml:space="preserve"> </w:t>
      </w:r>
      <w:r w:rsidR="00697D4E">
        <w:t xml:space="preserve">Importantly, </w:t>
      </w:r>
      <w:r w:rsidR="001B54CB">
        <w:t>these three hospital</w:t>
      </w:r>
      <w:r w:rsidR="009B473E">
        <w:t xml:space="preserve"> group</w:t>
      </w:r>
      <w:r w:rsidR="001B54CB">
        <w:t>s experienced the three highest rates of growth in the number of items used per separation over the period from FY11 through FY19</w:t>
      </w:r>
      <w:r w:rsidR="00923223">
        <w:t>,</w:t>
      </w:r>
      <w:r w:rsidR="00E40F72">
        <w:t xml:space="preserve"> at </w:t>
      </w:r>
      <w:r w:rsidR="004E6B7A">
        <w:t>around 8% to 10% each</w:t>
      </w:r>
      <w:r w:rsidR="00E40F72">
        <w:t xml:space="preserve">. These </w:t>
      </w:r>
      <w:r w:rsidR="009E617C">
        <w:t xml:space="preserve">were </w:t>
      </w:r>
      <w:r w:rsidR="00E40F72">
        <w:t xml:space="preserve">over double the growth rate seen for all other hospitals in aggregate. Together, </w:t>
      </w:r>
      <w:r w:rsidR="00414EAD">
        <w:t>these hospital</w:t>
      </w:r>
      <w:r w:rsidR="000051D7">
        <w:t xml:space="preserve"> group</w:t>
      </w:r>
      <w:r w:rsidR="00414EAD">
        <w:t>s</w:t>
      </w:r>
      <w:r w:rsidR="00E40F72">
        <w:t xml:space="preserve"> </w:t>
      </w:r>
      <w:r w:rsidR="009E617C">
        <w:t>were</w:t>
      </w:r>
      <w:r w:rsidR="0077416B">
        <w:t xml:space="preserve"> the largest contributors to growth in PL benefits for these items both in dollar value and percentage growth terms and account</w:t>
      </w:r>
      <w:r w:rsidR="009E617C">
        <w:t>ed</w:t>
      </w:r>
      <w:r w:rsidR="0077416B">
        <w:t xml:space="preserve"> for 62% of the total growth in benefits over the period while accounting for only 36% of the total growth in </w:t>
      </w:r>
      <w:r w:rsidR="00244B8A">
        <w:t xml:space="preserve">number of </w:t>
      </w:r>
      <w:r w:rsidR="0077416B">
        <w:t>separations.</w:t>
      </w:r>
    </w:p>
    <w:p w14:paraId="7CC22D7F" w14:textId="136406E7" w:rsidR="00244B8A" w:rsidRDefault="00244B8A" w:rsidP="00CF76A3">
      <w:pPr>
        <w:pStyle w:val="Bodytextwithparaspace"/>
      </w:pPr>
      <w:r>
        <w:t xml:space="preserve">Furthermore, there </w:t>
      </w:r>
      <w:r w:rsidR="009E617C">
        <w:t xml:space="preserve">were </w:t>
      </w:r>
      <w:r>
        <w:t xml:space="preserve">significant variations in the rate of PL item usage for these ‘High’ priority GM items between the various hospital </w:t>
      </w:r>
      <w:r w:rsidR="009E617C">
        <w:t>groups</w:t>
      </w:r>
      <w:r>
        <w:t xml:space="preserve">. </w:t>
      </w:r>
      <w:r w:rsidR="00900513">
        <w:t xml:space="preserve">Some </w:t>
      </w:r>
      <w:r w:rsidR="001F31BA">
        <w:t xml:space="preserve">hospital </w:t>
      </w:r>
      <w:r w:rsidR="009E617C">
        <w:t xml:space="preserve">groups </w:t>
      </w:r>
      <w:r w:rsidR="001F31BA">
        <w:t>show</w:t>
      </w:r>
      <w:r w:rsidR="009E617C">
        <w:t>ed</w:t>
      </w:r>
      <w:r w:rsidR="001F31BA">
        <w:t xml:space="preserve"> comparatively greater overall usage per separation, </w:t>
      </w:r>
      <w:r w:rsidR="004E6B7A">
        <w:t xml:space="preserve">whilst </w:t>
      </w:r>
      <w:r w:rsidR="00900513">
        <w:t>others</w:t>
      </w:r>
      <w:r w:rsidR="001F31BA">
        <w:t xml:space="preserve"> show</w:t>
      </w:r>
      <w:r w:rsidR="009E617C">
        <w:t>ed</w:t>
      </w:r>
      <w:r w:rsidR="001F31BA">
        <w:t xml:space="preserve"> a lower overall usage per separation. It is also evident that the top 8 hospital </w:t>
      </w:r>
      <w:r w:rsidR="009E617C">
        <w:t xml:space="preserve">groups </w:t>
      </w:r>
      <w:r w:rsidR="001F31BA">
        <w:t>show</w:t>
      </w:r>
      <w:r w:rsidR="009E617C">
        <w:t>ed</w:t>
      </w:r>
      <w:r w:rsidR="001F31BA">
        <w:t xml:space="preserve"> substantially higher usage per separation than </w:t>
      </w:r>
      <w:r w:rsidR="009E617C">
        <w:t xml:space="preserve">was </w:t>
      </w:r>
      <w:r w:rsidR="001F31BA">
        <w:t>seen on average for all other smaller private hospital</w:t>
      </w:r>
      <w:r w:rsidR="009E617C">
        <w:t xml:space="preserve"> group</w:t>
      </w:r>
      <w:r w:rsidR="001F31BA">
        <w:t xml:space="preserve">s. </w:t>
      </w:r>
    </w:p>
    <w:p w14:paraId="4058568D" w14:textId="17E65FDC" w:rsidR="001F31BA" w:rsidRDefault="001F31BA" w:rsidP="00CF76A3">
      <w:pPr>
        <w:pStyle w:val="Bodytextwithparaspace"/>
      </w:pPr>
      <w:r>
        <w:t>I</w:t>
      </w:r>
      <w:r w:rsidRPr="000610C4">
        <w:t xml:space="preserve">t is noted that there could </w:t>
      </w:r>
      <w:r w:rsidR="009E617C">
        <w:t xml:space="preserve">have </w:t>
      </w:r>
      <w:r w:rsidRPr="000610C4">
        <w:t>be</w:t>
      </w:r>
      <w:r w:rsidR="009E617C">
        <w:t>en</w:t>
      </w:r>
      <w:r w:rsidRPr="000610C4">
        <w:t xml:space="preserve"> a number of factors influencing </w:t>
      </w:r>
      <w:r w:rsidR="00E5315D" w:rsidRPr="000610C4">
        <w:t>th</w:t>
      </w:r>
      <w:r w:rsidR="00E5315D">
        <w:t>e</w:t>
      </w:r>
      <w:r w:rsidR="00E5315D" w:rsidRPr="000610C4">
        <w:t xml:space="preserve"> </w:t>
      </w:r>
      <w:r w:rsidRPr="000610C4">
        <w:t>disparity in growth rates and level of usage per separation between each of these hospital</w:t>
      </w:r>
      <w:r>
        <w:t xml:space="preserve"> </w:t>
      </w:r>
      <w:r w:rsidR="009E617C">
        <w:t>groups</w:t>
      </w:r>
      <w:r w:rsidR="00436006">
        <w:t xml:space="preserve">, and it is not possible to distinguish these factors </w:t>
      </w:r>
      <w:r w:rsidRPr="000610C4">
        <w:t>in this analysis</w:t>
      </w:r>
      <w:r w:rsidR="00436006">
        <w:t>. This includes</w:t>
      </w:r>
      <w:r w:rsidRPr="000610C4">
        <w:t xml:space="preserve"> differences in </w:t>
      </w:r>
      <w:r w:rsidR="00436006">
        <w:t xml:space="preserve">procedures undertaken and </w:t>
      </w:r>
      <w:r w:rsidRPr="000610C4">
        <w:t>case mi</w:t>
      </w:r>
      <w:r>
        <w:t>x</w:t>
      </w:r>
      <w:r w:rsidR="00436006">
        <w:t xml:space="preserve"> between hospital</w:t>
      </w:r>
      <w:r w:rsidR="009E617C">
        <w:t xml:space="preserve"> group</w:t>
      </w:r>
      <w:r w:rsidR="00436006">
        <w:t>s</w:t>
      </w:r>
      <w:r>
        <w:t>. I</w:t>
      </w:r>
      <w:r w:rsidRPr="000610C4">
        <w:t xml:space="preserve">t also </w:t>
      </w:r>
      <w:r w:rsidR="00E5315D" w:rsidRPr="000610C4">
        <w:t>highlight</w:t>
      </w:r>
      <w:r w:rsidR="00E5315D">
        <w:t>s</w:t>
      </w:r>
      <w:r w:rsidR="00E5315D" w:rsidRPr="000610C4">
        <w:t xml:space="preserve"> </w:t>
      </w:r>
      <w:r w:rsidRPr="000610C4">
        <w:t>that the rate of PL item usage per separation for the ‘other private hospitals’ group may</w:t>
      </w:r>
      <w:r w:rsidR="009E617C">
        <w:t xml:space="preserve"> have</w:t>
      </w:r>
      <w:r w:rsidRPr="000610C4">
        <w:t xml:space="preserve"> be</w:t>
      </w:r>
      <w:r w:rsidR="009E617C">
        <w:t>en</w:t>
      </w:r>
      <w:r w:rsidRPr="000610C4">
        <w:t xml:space="preserve"> </w:t>
      </w:r>
      <w:r w:rsidR="00E5315D">
        <w:t>lower because of</w:t>
      </w:r>
      <w:r w:rsidRPr="000610C4">
        <w:t xml:space="preserve"> the </w:t>
      </w:r>
      <w:r>
        <w:t>inclusion</w:t>
      </w:r>
      <w:r w:rsidRPr="000610C4">
        <w:t xml:space="preserve"> of smaller or </w:t>
      </w:r>
      <w:r w:rsidR="000657BB">
        <w:t xml:space="preserve">more </w:t>
      </w:r>
      <w:r w:rsidRPr="000610C4">
        <w:t xml:space="preserve">specialised facilities that do not provide prosthetic treatments. Additionally, the ‘public hospitals’ group </w:t>
      </w:r>
      <w:r>
        <w:t xml:space="preserve">may </w:t>
      </w:r>
      <w:r w:rsidRPr="000610C4">
        <w:t>have understated benefit and item usage levels due to low</w:t>
      </w:r>
      <w:r w:rsidR="00AF2712">
        <w:t>er</w:t>
      </w:r>
      <w:r w:rsidRPr="000610C4">
        <w:t xml:space="preserve"> levels of ‘completeness’ in the reported HCP1 data, as discussed </w:t>
      </w:r>
      <w:r w:rsidR="00D24AD5">
        <w:t xml:space="preserve">in Section </w:t>
      </w:r>
      <w:r w:rsidR="00D24AD5">
        <w:fldChar w:fldCharType="begin"/>
      </w:r>
      <w:r w:rsidR="00D24AD5">
        <w:instrText xml:space="preserve"> REF _Ref39497096 \r \h </w:instrText>
      </w:r>
      <w:r w:rsidR="00D24AD5">
        <w:fldChar w:fldCharType="separate"/>
      </w:r>
      <w:r w:rsidR="00784DE2">
        <w:t>3.2.2.1</w:t>
      </w:r>
      <w:r w:rsidR="00D24AD5">
        <w:fldChar w:fldCharType="end"/>
      </w:r>
      <w:r w:rsidR="00D24AD5">
        <w:t>,</w:t>
      </w:r>
      <w:r>
        <w:t xml:space="preserve"> to the extent that the number of separations </w:t>
      </w:r>
      <w:r w:rsidR="009E617C">
        <w:t xml:space="preserve">were </w:t>
      </w:r>
      <w:r>
        <w:t>themselves similarly ‘incomplete’ (this has not been assessed).</w:t>
      </w:r>
    </w:p>
    <w:p w14:paraId="63E72B63" w14:textId="7B50A11E" w:rsidR="00D351AF" w:rsidRDefault="006C3634" w:rsidP="006C3634">
      <w:pPr>
        <w:pStyle w:val="Bodytextwithparaspace"/>
      </w:pPr>
      <w:r>
        <w:t xml:space="preserve">There </w:t>
      </w:r>
      <w:r w:rsidR="009E617C">
        <w:t xml:space="preserve">was </w:t>
      </w:r>
      <w:r>
        <w:t xml:space="preserve">a range of average benefit amounts evident between the various </w:t>
      </w:r>
      <w:r w:rsidR="009E617C">
        <w:t>hospital groups</w:t>
      </w:r>
      <w:r>
        <w:t>, reflecting differences in the mix of prosthetic items being used by each hospital</w:t>
      </w:r>
      <w:r w:rsidR="009E617C">
        <w:t xml:space="preserve"> group</w:t>
      </w:r>
      <w:r>
        <w:t xml:space="preserve">. This may </w:t>
      </w:r>
      <w:r w:rsidR="009E617C">
        <w:t xml:space="preserve">have </w:t>
      </w:r>
      <w:r>
        <w:t>be</w:t>
      </w:r>
      <w:r w:rsidR="009E617C">
        <w:t>en</w:t>
      </w:r>
      <w:r>
        <w:t xml:space="preserve"> due to differences in case mix between hospitals (and hospital </w:t>
      </w:r>
      <w:r w:rsidR="009E617C">
        <w:t>groups</w:t>
      </w:r>
      <w:r>
        <w:t xml:space="preserve">) and potential differences in preference for certain items or types of treatment. </w:t>
      </w:r>
      <w:r w:rsidR="003968B6">
        <w:t>Two hospital groups</w:t>
      </w:r>
      <w:r>
        <w:t xml:space="preserve"> represent</w:t>
      </w:r>
      <w:r w:rsidR="009E617C">
        <w:t>ed</w:t>
      </w:r>
      <w:r>
        <w:t xml:space="preserve"> the highest average benefit amounts</w:t>
      </w:r>
      <w:r w:rsidR="00D351AF">
        <w:t xml:space="preserve">, with all private hospital </w:t>
      </w:r>
      <w:r w:rsidR="009E617C">
        <w:t xml:space="preserve">groups </w:t>
      </w:r>
      <w:r w:rsidR="00D351AF">
        <w:t xml:space="preserve">showing a higher average benefit per item than seen for private treatment in public hospitals. </w:t>
      </w:r>
    </w:p>
    <w:p w14:paraId="3678667B" w14:textId="77777777" w:rsidR="00964D69" w:rsidRDefault="00964D69" w:rsidP="000736A8">
      <w:pPr>
        <w:pStyle w:val="EYHeading4"/>
      </w:pPr>
      <w:r>
        <w:t>Matrix</w:t>
      </w:r>
    </w:p>
    <w:p w14:paraId="44005DA4" w14:textId="522B8ACD" w:rsidR="00D36F2C" w:rsidRDefault="00FF484A" w:rsidP="000A3F58">
      <w:pPr>
        <w:pStyle w:val="Bodytextwithparaspace"/>
      </w:pPr>
      <w:r>
        <w:t xml:space="preserve">Within the ’03.05.05 – Matrix’ group, there </w:t>
      </w:r>
      <w:r w:rsidR="009E617C">
        <w:t>were</w:t>
      </w:r>
      <w:r>
        <w:t xml:space="preserve"> clear differences between some hospital </w:t>
      </w:r>
      <w:r w:rsidR="009E617C">
        <w:t xml:space="preserve">groups </w:t>
      </w:r>
      <w:r>
        <w:t xml:space="preserve">in </w:t>
      </w:r>
      <w:r w:rsidR="008362DE">
        <w:t xml:space="preserve">the </w:t>
      </w:r>
      <w:r>
        <w:t>extent of apparent preference for larger, more expensive versions of products on the PL.</w:t>
      </w:r>
      <w:r w:rsidR="005A7542" w:rsidRPr="005A7542">
        <w:t xml:space="preserve"> </w:t>
      </w:r>
      <w:r w:rsidR="005A7542">
        <w:t xml:space="preserve">For the liquid matrix subgroups of these matrix products, a preference for larger volumes </w:t>
      </w:r>
      <w:r w:rsidR="008362DE">
        <w:t>was</w:t>
      </w:r>
      <w:r w:rsidR="005A7542">
        <w:t xml:space="preserve"> seen generally across the board for private hospital </w:t>
      </w:r>
      <w:r w:rsidR="008362DE">
        <w:t xml:space="preserve">groups </w:t>
      </w:r>
      <w:r w:rsidR="005A7542">
        <w:t xml:space="preserve">that </w:t>
      </w:r>
      <w:r w:rsidR="008362DE">
        <w:t xml:space="preserve">was </w:t>
      </w:r>
      <w:r w:rsidR="00D8726E">
        <w:t xml:space="preserve">not fully replicated across instances of private treatment within public hospitals. </w:t>
      </w:r>
      <w:r w:rsidR="00891865">
        <w:t>Clinical</w:t>
      </w:r>
      <w:r w:rsidR="00E5315D">
        <w:t xml:space="preserve"> </w:t>
      </w:r>
      <w:r w:rsidR="00DB435D">
        <w:t>subject matter resources</w:t>
      </w:r>
      <w:r w:rsidR="00E5315D">
        <w:t xml:space="preserve"> </w:t>
      </w:r>
      <w:r w:rsidR="00891865">
        <w:t xml:space="preserve">suggested there is </w:t>
      </w:r>
      <w:r w:rsidR="00E5315D">
        <w:t>no obvious reason</w:t>
      </w:r>
      <w:r w:rsidR="00891865">
        <w:t xml:space="preserve"> why private treatment</w:t>
      </w:r>
      <w:r w:rsidR="00E5315D">
        <w:t>s</w:t>
      </w:r>
      <w:r w:rsidR="00891865">
        <w:t xml:space="preserve"> in public hospital</w:t>
      </w:r>
      <w:r w:rsidR="00E5315D">
        <w:t>s</w:t>
      </w:r>
      <w:r w:rsidR="00891865">
        <w:t xml:space="preserve"> would clinically require smaller sizes, </w:t>
      </w:r>
      <w:r w:rsidR="00D8726E">
        <w:t>suggesti</w:t>
      </w:r>
      <w:r w:rsidR="00891865">
        <w:t>ng</w:t>
      </w:r>
      <w:r w:rsidR="00D8726E">
        <w:t xml:space="preserve"> that the increased preference for larger volumes may not </w:t>
      </w:r>
      <w:r w:rsidR="008362DE">
        <w:t xml:space="preserve">have </w:t>
      </w:r>
      <w:r w:rsidR="00891865">
        <w:t>be</w:t>
      </w:r>
      <w:r w:rsidR="008362DE">
        <w:t>en</w:t>
      </w:r>
      <w:r w:rsidR="00891865">
        <w:t xml:space="preserve"> </w:t>
      </w:r>
      <w:r w:rsidR="00D8726E">
        <w:t>strictly driven by clinical need</w:t>
      </w:r>
      <w:r w:rsidR="00891865">
        <w:t>s</w:t>
      </w:r>
      <w:r w:rsidR="00D8726E">
        <w:t xml:space="preserve"> alone</w:t>
      </w:r>
      <w:r w:rsidR="00891865">
        <w:t>.</w:t>
      </w:r>
      <w:r w:rsidR="00516A12" w:rsidRPr="00516A12">
        <w:t xml:space="preserve"> </w:t>
      </w:r>
      <w:r w:rsidR="00516A12">
        <w:t xml:space="preserve">A preference for larger, more expensive versions </w:t>
      </w:r>
      <w:r w:rsidR="008362DE">
        <w:t xml:space="preserve">was </w:t>
      </w:r>
      <w:r w:rsidR="00516A12">
        <w:t>also particularly evident for non-liquid matrix products</w:t>
      </w:r>
      <w:r w:rsidR="008362DE">
        <w:t>, with the exception of one hospital group</w:t>
      </w:r>
      <w:r w:rsidR="009A1760">
        <w:t>.</w:t>
      </w:r>
      <w:r>
        <w:t>Th</w:t>
      </w:r>
      <w:r w:rsidR="00E50BDC">
        <w:t>ese examples are</w:t>
      </w:r>
      <w:r>
        <w:t xml:space="preserve"> discussed in greater detail in the case study ‘</w:t>
      </w:r>
      <w:r>
        <w:fldChar w:fldCharType="begin"/>
      </w:r>
      <w:r>
        <w:instrText xml:space="preserve"> REF _Ref39420781 \h </w:instrText>
      </w:r>
      <w:r>
        <w:fldChar w:fldCharType="separate"/>
      </w:r>
      <w:r w:rsidR="00784DE2">
        <w:t>Matrix</w:t>
      </w:r>
      <w:r>
        <w:fldChar w:fldCharType="end"/>
      </w:r>
      <w:r>
        <w:t xml:space="preserve">’ in Section </w:t>
      </w:r>
      <w:r>
        <w:fldChar w:fldCharType="begin"/>
      </w:r>
      <w:r>
        <w:instrText xml:space="preserve"> REF _Ref39420781 \w \h </w:instrText>
      </w:r>
      <w:r>
        <w:fldChar w:fldCharType="separate"/>
      </w:r>
      <w:r w:rsidR="00784DE2">
        <w:t>5.4</w:t>
      </w:r>
      <w:r>
        <w:fldChar w:fldCharType="end"/>
      </w:r>
      <w:r>
        <w:t>.</w:t>
      </w:r>
    </w:p>
    <w:p w14:paraId="5D153810" w14:textId="77777777" w:rsidR="009F16E0" w:rsidRPr="000610C4" w:rsidRDefault="009F16E0" w:rsidP="000736A8">
      <w:pPr>
        <w:pStyle w:val="EYHeading4"/>
      </w:pPr>
      <w:r>
        <w:t>Internal Adhesives - Liquid</w:t>
      </w:r>
    </w:p>
    <w:p w14:paraId="1214B5B3" w14:textId="7A7911E3" w:rsidR="00D44688" w:rsidRDefault="00D44688" w:rsidP="00D44688">
      <w:pPr>
        <w:pStyle w:val="Bodytextwithparaspace"/>
      </w:pPr>
      <w:r>
        <w:t xml:space="preserve">Significant differences in the rate of item usage per separation </w:t>
      </w:r>
      <w:r w:rsidR="008362DE">
        <w:t xml:space="preserve">were </w:t>
      </w:r>
      <w:r>
        <w:t xml:space="preserve">evident between some of the hospital groups in relation to products from the ’03.08.02 – Internal Adhesives’ group. </w:t>
      </w:r>
      <w:r w:rsidR="003F69A7">
        <w:t>T</w:t>
      </w:r>
      <w:r>
        <w:t xml:space="preserve">hese items </w:t>
      </w:r>
      <w:r w:rsidR="008362DE">
        <w:t xml:space="preserve">were </w:t>
      </w:r>
      <w:r>
        <w:t xml:space="preserve">used at a significantly higher rate within the larger hospital groups than across the smaller hospital groups. Additionally, usage of topical skin adhesive products </w:t>
      </w:r>
      <w:r w:rsidR="00E5315D">
        <w:t>in</w:t>
      </w:r>
      <w:r>
        <w:t xml:space="preserve"> </w:t>
      </w:r>
      <w:r w:rsidR="000002E0">
        <w:t>two</w:t>
      </w:r>
      <w:r w:rsidR="00E5315D">
        <w:t xml:space="preserve"> hospital</w:t>
      </w:r>
      <w:r w:rsidR="004E6B7A">
        <w:t xml:space="preserve"> group</w:t>
      </w:r>
      <w:r w:rsidR="00E5315D">
        <w:t>s</w:t>
      </w:r>
      <w:r>
        <w:t xml:space="preserve"> </w:t>
      </w:r>
      <w:r w:rsidR="008362DE">
        <w:t>was</w:t>
      </w:r>
      <w:r>
        <w:t xml:space="preserve"> particularly high compared to other hospital</w:t>
      </w:r>
      <w:r w:rsidR="00E5315D">
        <w:t>s</w:t>
      </w:r>
      <w:r>
        <w:t xml:space="preserve">. </w:t>
      </w:r>
      <w:r w:rsidR="00BC08E6">
        <w:t>One</w:t>
      </w:r>
      <w:r>
        <w:t xml:space="preserve"> </w:t>
      </w:r>
      <w:r w:rsidR="00E5315D">
        <w:t>hospital</w:t>
      </w:r>
      <w:r w:rsidR="00BC08E6">
        <w:t xml:space="preserve"> group</w:t>
      </w:r>
      <w:r w:rsidR="00E5315D">
        <w:t xml:space="preserve"> </w:t>
      </w:r>
      <w:r w:rsidR="008362DE">
        <w:t>showed</w:t>
      </w:r>
      <w:r>
        <w:t xml:space="preserve"> a usage per separation rate for these items over 50% </w:t>
      </w:r>
      <w:r w:rsidR="00891865">
        <w:t>more</w:t>
      </w:r>
      <w:r>
        <w:t xml:space="preserve"> than that for the </w:t>
      </w:r>
      <w:r w:rsidR="008C31D6">
        <w:t xml:space="preserve">hospital with the </w:t>
      </w:r>
      <w:r>
        <w:t xml:space="preserve">next </w:t>
      </w:r>
      <w:r w:rsidR="008362DE">
        <w:t>highest usage per separation rate</w:t>
      </w:r>
      <w:r>
        <w:t xml:space="preserve">, and over 330% </w:t>
      </w:r>
      <w:r w:rsidR="00891865">
        <w:t>more</w:t>
      </w:r>
      <w:r>
        <w:t xml:space="preserve"> than the ‘other private hospitals’ group, which includes the smaller hospital owners. </w:t>
      </w:r>
    </w:p>
    <w:p w14:paraId="3F8B5F7B" w14:textId="13B52FB1" w:rsidR="00D44688" w:rsidRPr="000610C4" w:rsidRDefault="00D44688" w:rsidP="00D44688">
      <w:pPr>
        <w:pStyle w:val="Bodytextwithparaspace"/>
      </w:pPr>
      <w:r>
        <w:t xml:space="preserve">Consultation submissions raised concerns about internal adhesive products, particularly around the topical skin adhesives, due to their temporary and general use nature and that their availability on the PL might be driving greater usage of these products over cheaper alternatives. A greater preference in some of these hospital groups for usage of internal adhesives </w:t>
      </w:r>
      <w:r w:rsidR="00E5315D">
        <w:t xml:space="preserve">on the PL </w:t>
      </w:r>
      <w:r>
        <w:t>over alternative products, or for usage of internal adhesives in greater volumes, may be indicated by the differences seen in usage rates. It may also be explainable (at least partially) by differences in case mix or other clinical f</w:t>
      </w:r>
      <w:r w:rsidRPr="00466263">
        <w:t>actors between facilities themselves. Further discussion of these products is provided in the case study</w:t>
      </w:r>
      <w:r w:rsidRPr="00AF1D4E">
        <w:t xml:space="preserve"> in </w:t>
      </w:r>
      <w:r w:rsidR="00D24AD5">
        <w:t xml:space="preserve">Section </w:t>
      </w:r>
      <w:r w:rsidR="00D24AD5">
        <w:fldChar w:fldCharType="begin"/>
      </w:r>
      <w:r w:rsidR="00D24AD5">
        <w:instrText xml:space="preserve"> REF _Ref39852464 \r \h </w:instrText>
      </w:r>
      <w:r w:rsidR="00D24AD5">
        <w:fldChar w:fldCharType="separate"/>
      </w:r>
      <w:r w:rsidR="00784DE2">
        <w:t>5.2</w:t>
      </w:r>
      <w:r w:rsidR="00D24AD5">
        <w:fldChar w:fldCharType="end"/>
      </w:r>
      <w:r w:rsidR="00D24AD5">
        <w:t>.</w:t>
      </w:r>
    </w:p>
    <w:p w14:paraId="60DAC826" w14:textId="77777777" w:rsidR="00964D69" w:rsidRDefault="00964D69" w:rsidP="000736A8">
      <w:pPr>
        <w:pStyle w:val="EYHeading4"/>
      </w:pPr>
      <w:r>
        <w:t>Staples &amp; Tackers</w:t>
      </w:r>
    </w:p>
    <w:p w14:paraId="443D4B2C" w14:textId="2079F90A" w:rsidR="00B4481E" w:rsidRDefault="008E35B6" w:rsidP="00B4481E">
      <w:pPr>
        <w:pStyle w:val="Bodytextwithparaspace"/>
      </w:pPr>
      <w:r>
        <w:t xml:space="preserve">The high levels of growth </w:t>
      </w:r>
      <w:r w:rsidR="00EA1916">
        <w:t xml:space="preserve">seen across the ’03.08.04 – Staples &amp; Tackers’ group (an increase in annual benefits of over $39m in the period from FY14 </w:t>
      </w:r>
      <w:r w:rsidR="00DB7FCC">
        <w:t xml:space="preserve">to </w:t>
      </w:r>
      <w:r w:rsidR="00EA1916">
        <w:t>FY19)</w:t>
      </w:r>
      <w:r w:rsidR="00A66616">
        <w:t xml:space="preserve"> </w:t>
      </w:r>
      <w:r w:rsidR="008362DE">
        <w:t xml:space="preserve">was </w:t>
      </w:r>
      <w:r w:rsidR="00651A13">
        <w:t>not uniformly experience</w:t>
      </w:r>
      <w:r w:rsidR="00B15261">
        <w:t>d</w:t>
      </w:r>
      <w:r w:rsidR="00651A13">
        <w:t xml:space="preserve"> across the various hospital </w:t>
      </w:r>
      <w:r w:rsidR="008362DE">
        <w:t xml:space="preserve">groups </w:t>
      </w:r>
      <w:r w:rsidR="003B5AE5">
        <w:t>analysed</w:t>
      </w:r>
      <w:r w:rsidR="00651A13">
        <w:t xml:space="preserve">. </w:t>
      </w:r>
      <w:r w:rsidR="00D40030">
        <w:t>Notably, two large hospital groups have experience</w:t>
      </w:r>
      <w:r w:rsidR="00BC08E6">
        <w:t>d</w:t>
      </w:r>
      <w:r w:rsidR="00D40030">
        <w:t xml:space="preserve"> the largest rates of growth out of all the </w:t>
      </w:r>
      <w:r w:rsidR="008362DE">
        <w:t xml:space="preserve">groups </w:t>
      </w:r>
      <w:r w:rsidR="00D40030">
        <w:t xml:space="preserve">examined, at rates significantly in excess of the smaller hospital </w:t>
      </w:r>
      <w:r w:rsidR="008362DE">
        <w:t>groups</w:t>
      </w:r>
      <w:r w:rsidR="00D40030">
        <w:t xml:space="preserve">. </w:t>
      </w:r>
      <w:r w:rsidR="00D956CD">
        <w:t>Th</w:t>
      </w:r>
      <w:r w:rsidR="00D40030">
        <w:t>is</w:t>
      </w:r>
      <w:r w:rsidR="00D956CD">
        <w:t xml:space="preserve"> large difference may be suggestive of other factors </w:t>
      </w:r>
      <w:r w:rsidR="008362DE">
        <w:t xml:space="preserve">that influenced </w:t>
      </w:r>
      <w:r w:rsidR="00D956CD">
        <w:t>the increased usage of these products, such as increased usage of these PL-funded items in preference to other, potentially cheaper alternative</w:t>
      </w:r>
      <w:r w:rsidR="00E44468">
        <w:t xml:space="preserve">s and not necessarily in line with specific clinical need. </w:t>
      </w:r>
      <w:r w:rsidR="00731F91">
        <w:t>This is discussed in the context of the</w:t>
      </w:r>
      <w:r w:rsidR="00D40030">
        <w:t xml:space="preserve"> general usage trends in the</w:t>
      </w:r>
      <w:r w:rsidR="00731F91">
        <w:t xml:space="preserve"> ’03.08.04 – Staples &amp; Tackers’ group</w:t>
      </w:r>
      <w:r w:rsidR="00D40030">
        <w:t xml:space="preserve"> as part of the case study ‘</w:t>
      </w:r>
      <w:r w:rsidR="00D40030">
        <w:fldChar w:fldCharType="begin"/>
      </w:r>
      <w:r w:rsidR="00D40030">
        <w:instrText xml:space="preserve"> REF _Ref39581561 \h </w:instrText>
      </w:r>
      <w:r w:rsidR="00D40030">
        <w:fldChar w:fldCharType="separate"/>
      </w:r>
      <w:r w:rsidR="00784DE2">
        <w:t>Staples and Tackers</w:t>
      </w:r>
      <w:r w:rsidR="00D40030">
        <w:fldChar w:fldCharType="end"/>
      </w:r>
      <w:r w:rsidR="00D40030">
        <w:t xml:space="preserve">’ in Section </w:t>
      </w:r>
      <w:r w:rsidR="00D40030">
        <w:fldChar w:fldCharType="begin"/>
      </w:r>
      <w:r w:rsidR="00D40030">
        <w:instrText xml:space="preserve"> REF _Ref39581554 \w \h </w:instrText>
      </w:r>
      <w:r w:rsidR="00D40030">
        <w:fldChar w:fldCharType="separate"/>
      </w:r>
      <w:r w:rsidR="00784DE2">
        <w:t>5.3</w:t>
      </w:r>
      <w:r w:rsidR="00D40030">
        <w:fldChar w:fldCharType="end"/>
      </w:r>
      <w:r w:rsidR="00D40030">
        <w:t>.</w:t>
      </w:r>
    </w:p>
    <w:p w14:paraId="3BDE28CD" w14:textId="39F9444D" w:rsidR="004446E7" w:rsidRDefault="004446E7" w:rsidP="004446E7">
      <w:pPr>
        <w:pStyle w:val="EYHeading4"/>
      </w:pPr>
      <w:r>
        <w:t>Infusion Pumps</w:t>
      </w:r>
    </w:p>
    <w:p w14:paraId="5E85BC08" w14:textId="31B10BE0" w:rsidR="004446E7" w:rsidRDefault="004446E7" w:rsidP="00B4481E">
      <w:pPr>
        <w:pStyle w:val="Bodytextwithparaspace"/>
      </w:pPr>
      <w:r>
        <w:t xml:space="preserve">Given the </w:t>
      </w:r>
      <w:r w:rsidR="00447D19">
        <w:t xml:space="preserve">issues regarding infusion pumps and the listing criteria (Section </w:t>
      </w:r>
      <w:r w:rsidR="00447D19">
        <w:fldChar w:fldCharType="begin"/>
      </w:r>
      <w:r w:rsidR="00447D19">
        <w:instrText xml:space="preserve"> REF _Ref41292583 \r \h </w:instrText>
      </w:r>
      <w:r w:rsidR="00447D19">
        <w:fldChar w:fldCharType="separate"/>
      </w:r>
      <w:r w:rsidR="00784DE2">
        <w:t>4.3.2.2</w:t>
      </w:r>
      <w:r w:rsidR="00447D19">
        <w:fldChar w:fldCharType="end"/>
      </w:r>
      <w:r w:rsidR="00447D19">
        <w:t xml:space="preserve">) and the anomalies observed around the consistency of usage with infusion pump accessories (Section </w:t>
      </w:r>
      <w:r w:rsidR="00447D19">
        <w:fldChar w:fldCharType="begin"/>
      </w:r>
      <w:r w:rsidR="00447D19">
        <w:instrText xml:space="preserve"> REF _Ref41663832 \r \h </w:instrText>
      </w:r>
      <w:r w:rsidR="00447D19">
        <w:fldChar w:fldCharType="separate"/>
      </w:r>
      <w:r w:rsidR="00784DE2">
        <w:t>4.4.3.4</w:t>
      </w:r>
      <w:r w:rsidR="00447D19">
        <w:fldChar w:fldCharType="end"/>
      </w:r>
      <w:r w:rsidR="00447D19">
        <w:t xml:space="preserve">), there is additional analysis of the usage of infusion pumps by hospital group within the case study in Section </w:t>
      </w:r>
      <w:r w:rsidR="00447D19">
        <w:fldChar w:fldCharType="begin"/>
      </w:r>
      <w:r w:rsidR="00447D19">
        <w:instrText xml:space="preserve"> REF _Ref41663918 \r \h </w:instrText>
      </w:r>
      <w:r w:rsidR="00447D19">
        <w:fldChar w:fldCharType="separate"/>
      </w:r>
      <w:r w:rsidR="00784DE2">
        <w:t>5.5.1</w:t>
      </w:r>
      <w:r w:rsidR="00447D19">
        <w:fldChar w:fldCharType="end"/>
      </w:r>
      <w:r w:rsidR="00447D19">
        <w:t>.</w:t>
      </w:r>
    </w:p>
    <w:p w14:paraId="150AD627" w14:textId="713BE5A3" w:rsidR="00447D19" w:rsidRPr="00DC636B" w:rsidRDefault="008362DE" w:rsidP="00B4481E">
      <w:pPr>
        <w:pStyle w:val="Bodytextwithparaspace"/>
      </w:pPr>
      <w:r>
        <w:t>There is variation between hospital groups in the number of infusion pumps used per separation</w:t>
      </w:r>
      <w:r w:rsidR="00447D19">
        <w:t xml:space="preserve">. </w:t>
      </w:r>
      <w:r>
        <w:t>In addition, t</w:t>
      </w:r>
      <w:r w:rsidR="00447D19">
        <w:t>he choice of the types of infusion pumps used varies significantly between hospital</w:t>
      </w:r>
      <w:r>
        <w:t xml:space="preserve"> group</w:t>
      </w:r>
      <w:r w:rsidR="00447D19">
        <w:t xml:space="preserve">s. </w:t>
      </w:r>
    </w:p>
    <w:tbl>
      <w:tblPr>
        <w:tblStyle w:val="TableGrid"/>
        <w:tblW w:w="0" w:type="auto"/>
        <w:tblLook w:val="04A0" w:firstRow="1" w:lastRow="0" w:firstColumn="1" w:lastColumn="0" w:noHBand="0" w:noVBand="1"/>
        <w:tblCaption w:val="Finding 4.4.5"/>
        <w:tblDescription w:val="This table describes Finding 4.4.5&#10;The examples discussed above, at the overall ‘High’ priority GM level, and for matrices, internal adhesives, staples and tackers and infusion pumps, illustrate significant difference in growth and usage of these items between hospital groups. Whilst some of this was undoubtedly driven by differences in procedures and case mix between hospitals, it also suggests that hospital contracting arrangements and hospital and clinician preferences may have been having an impact on usage of these items.&#10;This suggests that, in these situations, the PL may not be the most efficient funding mechanism for ensuring the most competitively priced items that achieve the required patient outcomes are being selected.&#10;"/>
      </w:tblPr>
      <w:tblGrid>
        <w:gridCol w:w="9019"/>
      </w:tblGrid>
      <w:tr w:rsidR="00B4481E" w14:paraId="567DE524" w14:textId="77777777" w:rsidTr="009C3BEC">
        <w:trPr>
          <w:tblHeader/>
        </w:trPr>
        <w:tc>
          <w:tcPr>
            <w:tcW w:w="9019" w:type="dxa"/>
            <w:shd w:val="clear" w:color="auto" w:fill="D2D2DA" w:themeFill="text1" w:themeFillTint="33"/>
          </w:tcPr>
          <w:p w14:paraId="7E79AA00" w14:textId="4D78CBB4" w:rsidR="00B4481E" w:rsidRDefault="00B4481E" w:rsidP="00B4481E">
            <w:pPr>
              <w:pStyle w:val="Bodytextwithparaspace"/>
              <w:rPr>
                <w:b/>
              </w:rPr>
            </w:pPr>
            <w:r w:rsidRPr="00A26B3B">
              <w:rPr>
                <w:b/>
              </w:rPr>
              <w:t xml:space="preserve">Finding </w:t>
            </w:r>
            <w:r w:rsidRPr="00A26B3B">
              <w:rPr>
                <w:b/>
              </w:rPr>
              <w:fldChar w:fldCharType="begin"/>
            </w:r>
            <w:r w:rsidRPr="00A26B3B">
              <w:rPr>
                <w:b/>
              </w:rPr>
              <w:instrText xml:space="preserve"> REF _Ref39070330 \r \h </w:instrText>
            </w:r>
            <w:r>
              <w:rPr>
                <w:b/>
              </w:rPr>
              <w:instrText xml:space="preserve"> \* MERGEFORMAT </w:instrText>
            </w:r>
            <w:r w:rsidRPr="00A26B3B">
              <w:rPr>
                <w:b/>
              </w:rPr>
            </w:r>
            <w:r w:rsidRPr="00A26B3B">
              <w:rPr>
                <w:b/>
              </w:rPr>
              <w:fldChar w:fldCharType="separate"/>
            </w:r>
            <w:r w:rsidR="00784DE2">
              <w:rPr>
                <w:b/>
              </w:rPr>
              <w:t>4.4.5</w:t>
            </w:r>
            <w:r w:rsidRPr="00A26B3B">
              <w:rPr>
                <w:b/>
              </w:rPr>
              <w:fldChar w:fldCharType="end"/>
            </w:r>
          </w:p>
          <w:p w14:paraId="1C7BCC18" w14:textId="7D71C947" w:rsidR="002C1EC5" w:rsidRPr="00A26B3B" w:rsidRDefault="002C1EC5" w:rsidP="00B4481E">
            <w:pPr>
              <w:pStyle w:val="Bodytextwithparaspace"/>
            </w:pPr>
            <w:r w:rsidRPr="00A26B3B">
              <w:t xml:space="preserve">The examples discussed above, at the overall ‘High’ priority GM </w:t>
            </w:r>
            <w:r w:rsidR="00FF216C" w:rsidRPr="00A26B3B">
              <w:t>level, and for matrices, internal adhesives</w:t>
            </w:r>
            <w:r w:rsidR="004446E7">
              <w:t xml:space="preserve">, </w:t>
            </w:r>
            <w:r w:rsidR="00FF216C" w:rsidRPr="00A26B3B">
              <w:t>staples and tackers</w:t>
            </w:r>
            <w:r w:rsidR="004446E7">
              <w:t xml:space="preserve"> and infusion pumps</w:t>
            </w:r>
            <w:r w:rsidR="00FF216C" w:rsidRPr="00A26B3B">
              <w:t xml:space="preserve">, illustrate significant difference in growth and usage of these items between hospital groups. Whilst some of this </w:t>
            </w:r>
            <w:r w:rsidR="008362DE">
              <w:t>was</w:t>
            </w:r>
            <w:r w:rsidR="00FF216C" w:rsidRPr="00A26B3B">
              <w:t xml:space="preserve"> undoubtedly driven by </w:t>
            </w:r>
            <w:r w:rsidR="00482BA9" w:rsidRPr="00A26B3B">
              <w:t>differences in procedures and case mix between hospitals, it also suggests that hospital contracting arrangements</w:t>
            </w:r>
            <w:r w:rsidR="002E75D5" w:rsidRPr="00A26B3B">
              <w:t xml:space="preserve"> and hospital and clinician preferences </w:t>
            </w:r>
            <w:r w:rsidR="00617B15">
              <w:t xml:space="preserve">may </w:t>
            </w:r>
            <w:r w:rsidR="008362DE">
              <w:t xml:space="preserve">have </w:t>
            </w:r>
            <w:r w:rsidR="00617B15">
              <w:t>be</w:t>
            </w:r>
            <w:r w:rsidR="008362DE">
              <w:t>en</w:t>
            </w:r>
            <w:r w:rsidR="00617B15">
              <w:t xml:space="preserve"> </w:t>
            </w:r>
            <w:r w:rsidR="002E75D5" w:rsidRPr="00A26B3B">
              <w:t>having an impact on usage of these items.</w:t>
            </w:r>
          </w:p>
          <w:p w14:paraId="54518591" w14:textId="77777777" w:rsidR="00E06F35" w:rsidRPr="00A26B3B" w:rsidRDefault="00682F72" w:rsidP="00B4481E">
            <w:pPr>
              <w:pStyle w:val="Bodytextwithparaspace"/>
            </w:pPr>
            <w:r w:rsidRPr="00A26B3B">
              <w:t xml:space="preserve">This </w:t>
            </w:r>
            <w:r w:rsidR="00C8684F" w:rsidRPr="00A26B3B">
              <w:t>suggests</w:t>
            </w:r>
            <w:r w:rsidRPr="00A26B3B">
              <w:t xml:space="preserve"> that</w:t>
            </w:r>
            <w:r w:rsidR="00F96B2C" w:rsidRPr="00A26B3B">
              <w:t>, in these situations,</w:t>
            </w:r>
            <w:r w:rsidRPr="00A26B3B">
              <w:t xml:space="preserve"> the </w:t>
            </w:r>
            <w:r w:rsidR="009E566C" w:rsidRPr="00A26B3B">
              <w:t xml:space="preserve">PL may not be the most efficient funding mechanism for ensuring </w:t>
            </w:r>
            <w:r w:rsidR="00C8684F" w:rsidRPr="00A26B3B">
              <w:t>the most competitively priced items that achieve the required patient outcomes are being selected</w:t>
            </w:r>
            <w:r w:rsidR="00F96B2C" w:rsidRPr="00A26B3B">
              <w:t>.</w:t>
            </w:r>
          </w:p>
        </w:tc>
      </w:tr>
    </w:tbl>
    <w:p w14:paraId="7E2F11AC" w14:textId="77777777" w:rsidR="00C31CE7" w:rsidRDefault="00593FFB" w:rsidP="00EF2527">
      <w:pPr>
        <w:pStyle w:val="EYHeading2"/>
      </w:pPr>
      <w:bookmarkStart w:id="122" w:name="_Toc46912792"/>
      <w:bookmarkStart w:id="123" w:name="_Toc46912793"/>
      <w:bookmarkStart w:id="124" w:name="_Ref39602485"/>
      <w:bookmarkStart w:id="125" w:name="_Ref39604822"/>
      <w:bookmarkStart w:id="126" w:name="_Ref39654700"/>
      <w:bookmarkStart w:id="127" w:name="_Toc59015970"/>
      <w:bookmarkEnd w:id="122"/>
      <w:bookmarkEnd w:id="123"/>
      <w:r>
        <w:t>Benefit amounts</w:t>
      </w:r>
      <w:bookmarkEnd w:id="124"/>
      <w:bookmarkEnd w:id="125"/>
      <w:bookmarkEnd w:id="126"/>
      <w:bookmarkEnd w:id="127"/>
    </w:p>
    <w:p w14:paraId="6EC5F15D" w14:textId="77777777" w:rsidR="00E403B5" w:rsidRDefault="007F4EF6" w:rsidP="00E403B5">
      <w:pPr>
        <w:pStyle w:val="Bodytextwithparaspace"/>
      </w:pPr>
      <w:r>
        <w:t>The</w:t>
      </w:r>
      <w:r w:rsidR="00E403B5" w:rsidRPr="00B92FB4">
        <w:t xml:space="preserve"> general approach for this portion of the analysis was to</w:t>
      </w:r>
      <w:r w:rsidR="00E403B5">
        <w:t>:</w:t>
      </w:r>
    </w:p>
    <w:p w14:paraId="3AC95C9E" w14:textId="77777777" w:rsidR="00E403B5" w:rsidRDefault="00E403B5" w:rsidP="00463B2D">
      <w:pPr>
        <w:pStyle w:val="Bodytextwithparaspace"/>
        <w:numPr>
          <w:ilvl w:val="1"/>
          <w:numId w:val="11"/>
        </w:numPr>
        <w:ind w:left="709"/>
      </w:pPr>
      <w:r w:rsidRPr="00B92FB4">
        <w:t>analyse</w:t>
      </w:r>
      <w:r>
        <w:t xml:space="preserve"> the history of benefit amounts for items on the PL, including when these have resulted from a change in categorisation;</w:t>
      </w:r>
    </w:p>
    <w:p w14:paraId="59F2FF86" w14:textId="77777777" w:rsidR="00E403B5" w:rsidRDefault="00E403B5" w:rsidP="00463B2D">
      <w:pPr>
        <w:pStyle w:val="Bodytextwithparaspace"/>
        <w:numPr>
          <w:ilvl w:val="1"/>
          <w:numId w:val="11"/>
        </w:numPr>
        <w:ind w:left="709"/>
      </w:pPr>
      <w:r>
        <w:t>compare benefit amounts for items within groups/subgroups/suffixes;</w:t>
      </w:r>
    </w:p>
    <w:p w14:paraId="5A41A79F" w14:textId="77777777" w:rsidR="00E403B5" w:rsidRPr="00DF164D" w:rsidRDefault="00DB7FCC" w:rsidP="00463B2D">
      <w:pPr>
        <w:pStyle w:val="Bodytextwithparaspace"/>
        <w:numPr>
          <w:ilvl w:val="1"/>
          <w:numId w:val="11"/>
        </w:numPr>
        <w:ind w:left="709"/>
      </w:pPr>
      <w:r>
        <w:t>c</w:t>
      </w:r>
      <w:r w:rsidRPr="00DF164D">
        <w:t>ompar</w:t>
      </w:r>
      <w:r>
        <w:t>e</w:t>
      </w:r>
      <w:r w:rsidR="00E403B5" w:rsidRPr="00DF164D">
        <w:t xml:space="preserve"> benefit </w:t>
      </w:r>
      <w:r>
        <w:t>amounts</w:t>
      </w:r>
      <w:r w:rsidR="00E403B5" w:rsidRPr="00DF164D">
        <w:t xml:space="preserve"> on the </w:t>
      </w:r>
      <w:r w:rsidR="00E403B5">
        <w:t>PL</w:t>
      </w:r>
      <w:r w:rsidR="00E403B5" w:rsidRPr="00DF164D">
        <w:t xml:space="preserve"> with equivalent prices in the public health system; and</w:t>
      </w:r>
    </w:p>
    <w:p w14:paraId="23C866D7" w14:textId="23597341" w:rsidR="00E403B5" w:rsidRPr="00DF164D" w:rsidRDefault="0005742E" w:rsidP="00463B2D">
      <w:pPr>
        <w:pStyle w:val="Bodytextwithparaspace"/>
        <w:numPr>
          <w:ilvl w:val="1"/>
          <w:numId w:val="11"/>
        </w:numPr>
        <w:ind w:left="709"/>
      </w:pPr>
      <w:r>
        <w:t>conduct s</w:t>
      </w:r>
      <w:r w:rsidRPr="00DF164D">
        <w:t xml:space="preserve">takeholder </w:t>
      </w:r>
      <w:r w:rsidR="00E403B5" w:rsidRPr="00DF164D">
        <w:t xml:space="preserve">consultation and </w:t>
      </w:r>
      <w:r w:rsidR="000671E8">
        <w:t xml:space="preserve">seek </w:t>
      </w:r>
      <w:r w:rsidR="00DB7FCC">
        <w:t xml:space="preserve">input from </w:t>
      </w:r>
      <w:r w:rsidR="00E403B5" w:rsidRPr="00DF164D">
        <w:t xml:space="preserve">clinical </w:t>
      </w:r>
      <w:r w:rsidR="00DB435D">
        <w:t>subject matter resources</w:t>
      </w:r>
      <w:r w:rsidR="00DB7FCC">
        <w:t>;</w:t>
      </w:r>
    </w:p>
    <w:p w14:paraId="5A1E050B" w14:textId="77777777" w:rsidR="00E403B5" w:rsidRDefault="00E403B5" w:rsidP="00E403B5">
      <w:pPr>
        <w:pStyle w:val="Bodytextwithparaspace"/>
      </w:pPr>
      <w:r>
        <w:t>and then to overlay this analysis of benefit amounts with the relative usage levels of the items.</w:t>
      </w:r>
    </w:p>
    <w:p w14:paraId="4CB46703" w14:textId="5F44FA58" w:rsidR="00E403B5" w:rsidRDefault="00E403B5" w:rsidP="00E403B5">
      <w:pPr>
        <w:pStyle w:val="Bodytextwithparaspace"/>
      </w:pPr>
      <w:r>
        <w:t xml:space="preserve">If there </w:t>
      </w:r>
      <w:r w:rsidR="008362DE">
        <w:t xml:space="preserve">were </w:t>
      </w:r>
      <w:r>
        <w:t xml:space="preserve">any benefit amount anomalies, or usage patterns that </w:t>
      </w:r>
      <w:r w:rsidR="008362DE">
        <w:t xml:space="preserve">did </w:t>
      </w:r>
      <w:r>
        <w:t xml:space="preserve">not respond as expected to differences in benefit amounts, then this could </w:t>
      </w:r>
      <w:r w:rsidR="008362DE">
        <w:t xml:space="preserve">have </w:t>
      </w:r>
      <w:r>
        <w:t>be</w:t>
      </w:r>
      <w:r w:rsidR="008362DE">
        <w:t>en</w:t>
      </w:r>
      <w:r>
        <w:t xml:space="preserve"> indicative that:</w:t>
      </w:r>
    </w:p>
    <w:p w14:paraId="3FE0CD22" w14:textId="2E320BF4" w:rsidR="00E403B5" w:rsidRDefault="000671E8" w:rsidP="00463B2D">
      <w:pPr>
        <w:pStyle w:val="Bodytextwithparaspace"/>
        <w:numPr>
          <w:ilvl w:val="1"/>
          <w:numId w:val="11"/>
        </w:numPr>
        <w:ind w:left="709"/>
      </w:pPr>
      <w:r>
        <w:t>B</w:t>
      </w:r>
      <w:r w:rsidRPr="00DF164D">
        <w:t xml:space="preserve">enefit </w:t>
      </w:r>
      <w:r w:rsidR="00E403B5" w:rsidRPr="00DF164D">
        <w:t xml:space="preserve">levels </w:t>
      </w:r>
      <w:r w:rsidR="008362DE">
        <w:t xml:space="preserve">did </w:t>
      </w:r>
      <w:r w:rsidR="00E403B5">
        <w:t>not directly relate to</w:t>
      </w:r>
      <w:r w:rsidR="00E403B5" w:rsidRPr="00DF164D">
        <w:t xml:space="preserve"> costs in the supply chain, </w:t>
      </w:r>
      <w:r w:rsidR="00E403B5">
        <w:t>and</w:t>
      </w:r>
      <w:r w:rsidR="00E403B5" w:rsidRPr="00DF164D">
        <w:t xml:space="preserve"> manufacturers </w:t>
      </w:r>
      <w:r w:rsidR="00A72EEF">
        <w:t xml:space="preserve">were </w:t>
      </w:r>
      <w:r w:rsidR="00E403B5">
        <w:t>able to increase</w:t>
      </w:r>
      <w:r w:rsidR="00E403B5" w:rsidRPr="00DF164D">
        <w:t xml:space="preserve"> benefits because it would </w:t>
      </w:r>
      <w:r w:rsidR="00A72EEF">
        <w:t xml:space="preserve">have </w:t>
      </w:r>
      <w:r w:rsidR="00E403B5" w:rsidRPr="00DF164D">
        <w:t>be</w:t>
      </w:r>
      <w:r w:rsidR="00A72EEF">
        <w:t>en</w:t>
      </w:r>
      <w:r w:rsidR="00E403B5" w:rsidRPr="00DF164D">
        <w:t xml:space="preserve"> unlikely to result in </w:t>
      </w:r>
      <w:r w:rsidR="00E403B5">
        <w:t>reduced</w:t>
      </w:r>
      <w:r w:rsidR="00E403B5" w:rsidRPr="00DF164D">
        <w:t xml:space="preserve"> usage</w:t>
      </w:r>
      <w:r w:rsidR="00E403B5">
        <w:t>;</w:t>
      </w:r>
    </w:p>
    <w:p w14:paraId="2E2A7289" w14:textId="53DFF5A1" w:rsidR="00E403B5" w:rsidRDefault="000671E8" w:rsidP="00463B2D">
      <w:pPr>
        <w:pStyle w:val="Bodytextwithparaspace"/>
        <w:numPr>
          <w:ilvl w:val="1"/>
          <w:numId w:val="11"/>
        </w:numPr>
        <w:ind w:left="709"/>
      </w:pPr>
      <w:r>
        <w:t xml:space="preserve">The </w:t>
      </w:r>
      <w:r w:rsidR="00E403B5">
        <w:t xml:space="preserve">PL </w:t>
      </w:r>
      <w:r w:rsidR="00A72EEF">
        <w:t xml:space="preserve">was </w:t>
      </w:r>
      <w:r w:rsidR="00E403B5">
        <w:t xml:space="preserve">reducing the level of competition between medical device </w:t>
      </w:r>
      <w:r w:rsidR="00E403B5" w:rsidRPr="00DF164D">
        <w:t xml:space="preserve">manufacturers meaning that prices </w:t>
      </w:r>
      <w:r w:rsidR="00A72EEF">
        <w:t>were</w:t>
      </w:r>
      <w:r w:rsidR="00A72EEF" w:rsidRPr="00DF164D">
        <w:t xml:space="preserve"> </w:t>
      </w:r>
      <w:r w:rsidR="00E403B5" w:rsidRPr="00DF164D">
        <w:t xml:space="preserve">higher than they would </w:t>
      </w:r>
      <w:r w:rsidR="00A72EEF">
        <w:t xml:space="preserve">have </w:t>
      </w:r>
      <w:r w:rsidR="00E403B5" w:rsidRPr="00DF164D">
        <w:t>be</w:t>
      </w:r>
      <w:r w:rsidR="00A72EEF">
        <w:t>en</w:t>
      </w:r>
      <w:r w:rsidR="00E403B5" w:rsidRPr="00DF164D">
        <w:t xml:space="preserve"> otherwise</w:t>
      </w:r>
      <w:r w:rsidR="00E403B5">
        <w:t>; or</w:t>
      </w:r>
    </w:p>
    <w:p w14:paraId="2D78BBCD" w14:textId="73CF6680" w:rsidR="00E403B5" w:rsidRDefault="000671E8" w:rsidP="00463B2D">
      <w:pPr>
        <w:pStyle w:val="Bodytextwithparaspace"/>
        <w:numPr>
          <w:ilvl w:val="1"/>
          <w:numId w:val="11"/>
        </w:numPr>
        <w:ind w:left="709"/>
      </w:pPr>
      <w:r>
        <w:t>T</w:t>
      </w:r>
      <w:r w:rsidRPr="00DF164D">
        <w:t xml:space="preserve">he </w:t>
      </w:r>
      <w:r w:rsidR="00E403B5" w:rsidRPr="00DF164D">
        <w:t xml:space="preserve">structure of the list and the process for listing </w:t>
      </w:r>
      <w:r w:rsidR="00E403B5">
        <w:t xml:space="preserve">can be used as a way to </w:t>
      </w:r>
      <w:r w:rsidR="00E403B5" w:rsidRPr="00DF164D">
        <w:t xml:space="preserve">increase benefit </w:t>
      </w:r>
      <w:r w:rsidR="00E403B5">
        <w:t>amounts.</w:t>
      </w:r>
    </w:p>
    <w:p w14:paraId="0BC96CA3" w14:textId="58DAB000" w:rsidR="00E403B5" w:rsidRDefault="00DB7FCC" w:rsidP="00E403B5">
      <w:pPr>
        <w:pStyle w:val="Bodytextwithparaspace"/>
      </w:pPr>
      <w:r>
        <w:t>Opportunities for improvement related</w:t>
      </w:r>
      <w:r w:rsidR="00E403B5">
        <w:t xml:space="preserve"> to this component, as described in Section</w:t>
      </w:r>
      <w:r w:rsidR="00AA1C02">
        <w:t xml:space="preserve"> </w:t>
      </w:r>
      <w:r w:rsidR="00AA1C02">
        <w:fldChar w:fldCharType="begin"/>
      </w:r>
      <w:r w:rsidR="00AA1C02">
        <w:instrText xml:space="preserve"> REF _Ref41658250 \r \h </w:instrText>
      </w:r>
      <w:r w:rsidR="00AA1C02">
        <w:fldChar w:fldCharType="separate"/>
      </w:r>
      <w:r w:rsidR="00784DE2">
        <w:t>6.2.1</w:t>
      </w:r>
      <w:r w:rsidR="00AA1C02">
        <w:fldChar w:fldCharType="end"/>
      </w:r>
      <w:r w:rsidR="00E403B5">
        <w:t xml:space="preserve">, </w:t>
      </w:r>
      <w:r>
        <w:t>are</w:t>
      </w:r>
      <w:r w:rsidR="00E403B5">
        <w:t xml:space="preserve"> intended to address the Terms of Reference item 6.</w:t>
      </w:r>
    </w:p>
    <w:p w14:paraId="49594F6E" w14:textId="77777777" w:rsidR="00735D0B" w:rsidRDefault="00B14DDC">
      <w:pPr>
        <w:pStyle w:val="EYHeading3"/>
      </w:pPr>
      <w:bookmarkStart w:id="128" w:name="_Ref39600413"/>
      <w:r>
        <w:t xml:space="preserve">Relationship between </w:t>
      </w:r>
      <w:r w:rsidR="00593FFB">
        <w:t>benefit amount</w:t>
      </w:r>
      <w:r>
        <w:t xml:space="preserve"> and </w:t>
      </w:r>
      <w:r w:rsidR="008371A9">
        <w:t>u</w:t>
      </w:r>
      <w:r>
        <w:t>sage</w:t>
      </w:r>
      <w:bookmarkEnd w:id="128"/>
    </w:p>
    <w:p w14:paraId="0248FADE" w14:textId="77777777" w:rsidR="00B14DDC" w:rsidRPr="0042699D" w:rsidRDefault="008B684C" w:rsidP="00B14DDC">
      <w:pPr>
        <w:pStyle w:val="Bodytextwithparaspace"/>
      </w:pPr>
      <w:r>
        <w:t xml:space="preserve">In a competitive environment it is expected that </w:t>
      </w:r>
      <w:r w:rsidR="000D3874">
        <w:t xml:space="preserve">an increase </w:t>
      </w:r>
      <w:r>
        <w:t>in</w:t>
      </w:r>
      <w:r w:rsidR="00951DC2">
        <w:t xml:space="preserve"> benefit amount</w:t>
      </w:r>
      <w:r>
        <w:t xml:space="preserve"> would result in </w:t>
      </w:r>
      <w:r w:rsidR="000D3874">
        <w:t>decreased</w:t>
      </w:r>
      <w:r w:rsidR="00FF00F8">
        <w:t xml:space="preserve"> usage. If this relationship does not hold then </w:t>
      </w:r>
      <w:r w:rsidR="007B6927">
        <w:t xml:space="preserve">manufacturers are not incentivised to </w:t>
      </w:r>
      <w:r w:rsidR="00791AA5">
        <w:t>apply for a reduction in benefits</w:t>
      </w:r>
      <w:r w:rsidR="000D3874">
        <w:t xml:space="preserve"> (or, alternatively, are incentivised to seek increases in benefits)</w:t>
      </w:r>
      <w:r w:rsidR="00791AA5">
        <w:t xml:space="preserve">, meaning that </w:t>
      </w:r>
      <w:r w:rsidR="00145986">
        <w:t>benefit amounts</w:t>
      </w:r>
      <w:r w:rsidR="00791AA5">
        <w:t xml:space="preserve"> may be higher than they would be otherwise.</w:t>
      </w:r>
    </w:p>
    <w:p w14:paraId="44CCCA33" w14:textId="610DB39E" w:rsidR="004461FF" w:rsidRDefault="00237DC8" w:rsidP="00B14DDC">
      <w:pPr>
        <w:pStyle w:val="Bodytextwithparaspace"/>
      </w:pPr>
      <w:r>
        <w:t>A</w:t>
      </w:r>
      <w:r w:rsidR="00791AA5">
        <w:t xml:space="preserve"> number of examples </w:t>
      </w:r>
      <w:r w:rsidR="00A72EEF">
        <w:t>were</w:t>
      </w:r>
      <w:r>
        <w:t xml:space="preserve"> found</w:t>
      </w:r>
      <w:r w:rsidR="00791AA5">
        <w:t xml:space="preserve"> where the </w:t>
      </w:r>
      <w:r w:rsidR="00DB7FCC">
        <w:t xml:space="preserve">expected </w:t>
      </w:r>
      <w:r w:rsidR="00791AA5">
        <w:t xml:space="preserve">relationship between </w:t>
      </w:r>
      <w:r w:rsidR="00145986">
        <w:t xml:space="preserve">benefit amount </w:t>
      </w:r>
      <w:r w:rsidR="00791AA5">
        <w:t xml:space="preserve">and usage </w:t>
      </w:r>
      <w:r w:rsidR="00A72EEF">
        <w:t>did not hold</w:t>
      </w:r>
      <w:r w:rsidR="00DB7FCC">
        <w:t>, i.e. that</w:t>
      </w:r>
      <w:r w:rsidR="004B60CF">
        <w:t xml:space="preserve"> a significant increase in </w:t>
      </w:r>
      <w:r w:rsidR="00145986">
        <w:t xml:space="preserve">benefit amount </w:t>
      </w:r>
      <w:r w:rsidR="00A72EEF">
        <w:t xml:space="preserve">was </w:t>
      </w:r>
      <w:r w:rsidR="004B60CF">
        <w:t xml:space="preserve">not accompanied by a decrease in usage. </w:t>
      </w:r>
      <w:r w:rsidR="004D4C55">
        <w:t xml:space="preserve">In </w:t>
      </w:r>
      <w:r w:rsidR="00402B2B">
        <w:t>most of these</w:t>
      </w:r>
      <w:r w:rsidR="004D4C55">
        <w:t xml:space="preserve"> situations, increases in the minimum benefit amount </w:t>
      </w:r>
      <w:r w:rsidR="00A72EEF">
        <w:t>were</w:t>
      </w:r>
      <w:r w:rsidR="004D4C55">
        <w:t xml:space="preserve"> brought about as a consequence of reclassification of items </w:t>
      </w:r>
      <w:r w:rsidR="00F57831">
        <w:t xml:space="preserve">on the PL, as opposed to a </w:t>
      </w:r>
      <w:r w:rsidR="00DB7FCC">
        <w:t xml:space="preserve">direct benefit amount </w:t>
      </w:r>
      <w:r w:rsidR="00F57831">
        <w:t xml:space="preserve">increase to a given </w:t>
      </w:r>
      <w:r w:rsidR="00AA79E0">
        <w:t>product subgroup or suffix. Examples of these</w:t>
      </w:r>
      <w:r w:rsidR="004461FF">
        <w:t xml:space="preserve"> are discussed </w:t>
      </w:r>
      <w:r w:rsidR="00AA79E0">
        <w:t xml:space="preserve">further </w:t>
      </w:r>
      <w:r w:rsidR="004461FF">
        <w:t xml:space="preserve">in Section </w:t>
      </w:r>
      <w:r w:rsidR="004461FF">
        <w:fldChar w:fldCharType="begin"/>
      </w:r>
      <w:r w:rsidR="004461FF">
        <w:instrText xml:space="preserve"> REF _Ref38470172 \w \h </w:instrText>
      </w:r>
      <w:r w:rsidR="004461FF">
        <w:fldChar w:fldCharType="separate"/>
      </w:r>
      <w:r w:rsidR="00784DE2">
        <w:t>4.5.2</w:t>
      </w:r>
      <w:r w:rsidR="004461FF">
        <w:fldChar w:fldCharType="end"/>
      </w:r>
      <w:r w:rsidR="00EA1D25">
        <w:t>.</w:t>
      </w:r>
    </w:p>
    <w:p w14:paraId="7F75DF2B" w14:textId="77777777" w:rsidR="00F71AF4" w:rsidRDefault="0093268E">
      <w:pPr>
        <w:pStyle w:val="EYHeading3"/>
      </w:pPr>
      <w:bookmarkStart w:id="129" w:name="_Ref38470172"/>
      <w:bookmarkStart w:id="130" w:name="_Ref39505624"/>
      <w:bookmarkStart w:id="131" w:name="_Ref39072246"/>
      <w:r>
        <w:t xml:space="preserve">Impact of </w:t>
      </w:r>
      <w:r w:rsidR="00AE66C8">
        <w:t>listing process</w:t>
      </w:r>
      <w:bookmarkEnd w:id="129"/>
      <w:bookmarkEnd w:id="130"/>
      <w:r w:rsidR="00DB7FCC">
        <w:t xml:space="preserve"> and categorisation</w:t>
      </w:r>
    </w:p>
    <w:bookmarkEnd w:id="131"/>
    <w:p w14:paraId="67FF60E4" w14:textId="77777777" w:rsidR="00093714" w:rsidRDefault="00FC1202">
      <w:pPr>
        <w:pStyle w:val="Bodytextwithparaspace"/>
      </w:pPr>
      <w:r>
        <w:t xml:space="preserve">The </w:t>
      </w:r>
      <w:r w:rsidR="004A6BCC">
        <w:t xml:space="preserve">process for listing </w:t>
      </w:r>
      <w:r w:rsidR="00DB7FCC">
        <w:t xml:space="preserve">and categorisation </w:t>
      </w:r>
      <w:r w:rsidR="004A6BCC">
        <w:t>on the</w:t>
      </w:r>
      <w:r>
        <w:t xml:space="preserve"> PL could </w:t>
      </w:r>
      <w:r w:rsidR="00DB7FCC">
        <w:t>be driving</w:t>
      </w:r>
      <w:r>
        <w:t xml:space="preserve"> higher </w:t>
      </w:r>
      <w:r w:rsidR="00145986">
        <w:t>benefit amount</w:t>
      </w:r>
      <w:r>
        <w:t xml:space="preserve">s </w:t>
      </w:r>
      <w:r w:rsidR="00E53D5E">
        <w:t xml:space="preserve">for items </w:t>
      </w:r>
      <w:r>
        <w:t>than</w:t>
      </w:r>
      <w:r w:rsidR="00D80318">
        <w:t xml:space="preserve"> would</w:t>
      </w:r>
      <w:r>
        <w:t xml:space="preserve"> otherwise </w:t>
      </w:r>
      <w:r w:rsidR="00D80318">
        <w:t xml:space="preserve">be expected. This </w:t>
      </w:r>
      <w:r w:rsidR="00DB7FCC">
        <w:t xml:space="preserve">can arise when items are </w:t>
      </w:r>
      <w:r w:rsidR="00D65789">
        <w:t>relist</w:t>
      </w:r>
      <w:r w:rsidR="00DB7FCC">
        <w:t>ed</w:t>
      </w:r>
      <w:r w:rsidR="00D65789">
        <w:t xml:space="preserve"> </w:t>
      </w:r>
      <w:r w:rsidR="00BF6A4D">
        <w:t>or move</w:t>
      </w:r>
      <w:r w:rsidR="00DB7FCC">
        <w:t>d to other</w:t>
      </w:r>
      <w:r w:rsidR="00BF6A4D">
        <w:t xml:space="preserve"> parts of the list</w:t>
      </w:r>
      <w:r w:rsidR="00E460C1">
        <w:t xml:space="preserve"> to achieve</w:t>
      </w:r>
      <w:r w:rsidR="00D65789">
        <w:t xml:space="preserve"> </w:t>
      </w:r>
      <w:r w:rsidR="00B8503F">
        <w:t>increase</w:t>
      </w:r>
      <w:r w:rsidR="00D65789">
        <w:t>d</w:t>
      </w:r>
      <w:r w:rsidR="00B8503F">
        <w:t xml:space="preserve"> </w:t>
      </w:r>
      <w:r w:rsidR="00D65789">
        <w:t xml:space="preserve">minimum </w:t>
      </w:r>
      <w:r w:rsidR="00B8503F">
        <w:t>benefit</w:t>
      </w:r>
      <w:r w:rsidR="00D65789">
        <w:t xml:space="preserve"> amounts</w:t>
      </w:r>
      <w:r w:rsidR="00B8503F">
        <w:t xml:space="preserve">, </w:t>
      </w:r>
      <w:r w:rsidR="00093714">
        <w:t>or by bundling products or replacing cheaper items with more expensive items</w:t>
      </w:r>
      <w:r w:rsidR="00263A25">
        <w:t>, without necessarily offering any improvements in clinical outcomes</w:t>
      </w:r>
      <w:r w:rsidR="00093714">
        <w:t xml:space="preserve">. </w:t>
      </w:r>
    </w:p>
    <w:p w14:paraId="4B34F6CD" w14:textId="024B5AC1" w:rsidR="00B32E6D" w:rsidRDefault="00B32E6D">
      <w:pPr>
        <w:pStyle w:val="Bodytextwithparaspace"/>
      </w:pPr>
      <w:r>
        <w:t xml:space="preserve">There </w:t>
      </w:r>
      <w:r w:rsidR="008802E4">
        <w:t>have been</w:t>
      </w:r>
      <w:r>
        <w:t xml:space="preserve"> a number of examples of GM items </w:t>
      </w:r>
      <w:r w:rsidR="00A72EEF">
        <w:t xml:space="preserve">that were </w:t>
      </w:r>
      <w:r>
        <w:t xml:space="preserve">reclassified into other subgroups or suffixes within the same subgroup leading to large immediate increases in the minimum benefit amount payable for these items. In many of these cases, it is not apparent whether there </w:t>
      </w:r>
      <w:r w:rsidR="00A72EEF">
        <w:t>was</w:t>
      </w:r>
      <w:r>
        <w:t xml:space="preserve"> any change to the underlying product which might justify the effective</w:t>
      </w:r>
      <w:r w:rsidR="00145986">
        <w:t xml:space="preserve"> benefit amount</w:t>
      </w:r>
      <w:r>
        <w:t xml:space="preserve"> increase. </w:t>
      </w:r>
    </w:p>
    <w:p w14:paraId="49ECE67F" w14:textId="77777777" w:rsidR="008F0AE9" w:rsidRDefault="008F0AE9" w:rsidP="000736A8">
      <w:pPr>
        <w:pStyle w:val="EYHeading4"/>
      </w:pPr>
      <w:r>
        <w:t>Internal Adhesives – ‘Rigid Delivery System’ adhesive accessories</w:t>
      </w:r>
    </w:p>
    <w:p w14:paraId="20536FAE" w14:textId="3B97B088" w:rsidR="00391D0B" w:rsidRDefault="00391D0B" w:rsidP="00391D0B">
      <w:pPr>
        <w:pStyle w:val="Bodytextwithparaspace"/>
      </w:pPr>
      <w:r>
        <w:t>One key example</w:t>
      </w:r>
      <w:r w:rsidR="00C143B5">
        <w:t xml:space="preserve"> </w:t>
      </w:r>
      <w:r>
        <w:t xml:space="preserve">with large impacts on total benefit payments </w:t>
      </w:r>
      <w:r w:rsidR="00A72EEF">
        <w:t>was</w:t>
      </w:r>
      <w:r>
        <w:t xml:space="preserve"> seen in the case of adhesive accessory products in the ’03.08.02 – Internal Adhesives’ product group. In February 2016, the minimum benefit amount per item for three of these adhesive accessory products increased by 416% from $31 to $160 following a reclassification </w:t>
      </w:r>
      <w:r w:rsidR="00E929DD">
        <w:t>of a number of products</w:t>
      </w:r>
      <w:r w:rsidR="00554D70">
        <w:t xml:space="preserve"> that had previously been listed under</w:t>
      </w:r>
      <w:r>
        <w:t xml:space="preserve"> the </w:t>
      </w:r>
      <w:r w:rsidR="00237A15">
        <w:t>‘</w:t>
      </w:r>
      <w:r>
        <w:t>Extender</w:t>
      </w:r>
      <w:r w:rsidR="00237A15">
        <w:t>’</w:t>
      </w:r>
      <w:r>
        <w:t xml:space="preserve"> suffix to the </w:t>
      </w:r>
      <w:r w:rsidR="00237A15">
        <w:t>‘</w:t>
      </w:r>
      <w:r>
        <w:t>Rigid Delivery System</w:t>
      </w:r>
      <w:r w:rsidR="00237A15">
        <w:t>’</w:t>
      </w:r>
      <w:r>
        <w:t xml:space="preserve"> suffix. No other changes to the details of the product listings were made</w:t>
      </w:r>
      <w:r w:rsidR="00DB7FCC">
        <w:t xml:space="preserve"> that would suggest that the product itself had changed.</w:t>
      </w:r>
      <w:r w:rsidR="00C249BD">
        <w:t xml:space="preserve"> </w:t>
      </w:r>
      <w:r w:rsidR="00DB7FCC">
        <w:t>In</w:t>
      </w:r>
      <w:r>
        <w:t xml:space="preserve"> February 2017 two further products were also reclassified as </w:t>
      </w:r>
      <w:r w:rsidR="00237A15">
        <w:t>‘</w:t>
      </w:r>
      <w:r>
        <w:t>Rigid Delivery Systems</w:t>
      </w:r>
      <w:r w:rsidR="00237A15">
        <w:t>’</w:t>
      </w:r>
      <w:r>
        <w:t xml:space="preserve">, having previously been listed in the </w:t>
      </w:r>
      <w:r w:rsidR="00237A15">
        <w:t>‘</w:t>
      </w:r>
      <w:r>
        <w:t>03.05.05.05 – Accessory Extender</w:t>
      </w:r>
      <w:r w:rsidR="00237A15">
        <w:t>’</w:t>
      </w:r>
      <w:r>
        <w:t xml:space="preserve"> subgroup of </w:t>
      </w:r>
      <w:r w:rsidR="00237A15">
        <w:t>‘</w:t>
      </w:r>
      <w:r>
        <w:t>03.05.05 – Matrix</w:t>
      </w:r>
      <w:r w:rsidR="00237A15">
        <w:t>’</w:t>
      </w:r>
      <w:r>
        <w:t xml:space="preserve">. This was accompanied </w:t>
      </w:r>
      <w:r w:rsidR="00C249BD">
        <w:t>by</w:t>
      </w:r>
      <w:r>
        <w:t xml:space="preserve"> the same 416% increase in the minimum benefit amount per item. </w:t>
      </w:r>
    </w:p>
    <w:p w14:paraId="3BF01C03" w14:textId="77777777" w:rsidR="00391D0B" w:rsidRDefault="00391D0B" w:rsidP="00391D0B">
      <w:pPr>
        <w:pStyle w:val="Bodytextwithparaspace"/>
      </w:pPr>
      <w:r>
        <w:t xml:space="preserve">Four out of these five products </w:t>
      </w:r>
      <w:r w:rsidR="00C249BD">
        <w:t xml:space="preserve">reclassified as </w:t>
      </w:r>
      <w:r w:rsidR="00237A15">
        <w:t>‘</w:t>
      </w:r>
      <w:r w:rsidR="00C249BD">
        <w:t>Rigid Delivery Systems</w:t>
      </w:r>
      <w:r w:rsidR="00237A15">
        <w:t>’</w:t>
      </w:r>
      <w:r w:rsidR="00C249BD">
        <w:t xml:space="preserve"> </w:t>
      </w:r>
      <w:r>
        <w:t xml:space="preserve">saw continued large growth in utilisation in FY16 and FY17 despite the large increase in benefit amount. These five products collectively </w:t>
      </w:r>
      <w:r w:rsidR="0074138B">
        <w:t>accounted for</w:t>
      </w:r>
      <w:r>
        <w:t xml:space="preserve"> an increase in annual total benefits of over $2.2m over the period from FY14 to FY19, representing 86% of the $2.6m increase in annual total benefits for the whole ’03.08.02.04 – Adhesive Accessory’ subgroup over the same period.</w:t>
      </w:r>
    </w:p>
    <w:p w14:paraId="056F629B" w14:textId="77777777" w:rsidR="008F0AE9" w:rsidRDefault="008F0AE9" w:rsidP="000736A8">
      <w:pPr>
        <w:pStyle w:val="EYHeading4"/>
      </w:pPr>
      <w:r>
        <w:t>Adhesion Barriers – ‘Complex’ gels/liquids</w:t>
      </w:r>
    </w:p>
    <w:p w14:paraId="1D267AAD" w14:textId="07F913D2" w:rsidR="008C21A9" w:rsidRDefault="002D511F" w:rsidP="002D511F">
      <w:pPr>
        <w:pStyle w:val="Bodytextwithparaspace"/>
      </w:pPr>
      <w:r w:rsidRPr="003D6A70">
        <w:t xml:space="preserve">Growth in benefits </w:t>
      </w:r>
      <w:r w:rsidR="00CA50A0">
        <w:t>was</w:t>
      </w:r>
      <w:r w:rsidR="00DB7FCC">
        <w:t xml:space="preserve"> </w:t>
      </w:r>
      <w:r w:rsidRPr="003D6A70">
        <w:t xml:space="preserve">driven by the </w:t>
      </w:r>
      <w:r>
        <w:t xml:space="preserve">reclassification of </w:t>
      </w:r>
      <w:r w:rsidR="0051136D">
        <w:t>one</w:t>
      </w:r>
      <w:r>
        <w:t xml:space="preserve"> product</w:t>
      </w:r>
      <w:r w:rsidR="000417A4">
        <w:t xml:space="preserve"> to the </w:t>
      </w:r>
      <w:r w:rsidR="00722FB5">
        <w:t>‘</w:t>
      </w:r>
      <w:r w:rsidR="000417A4">
        <w:t>Complex</w:t>
      </w:r>
      <w:r w:rsidR="00722FB5">
        <w:t>’</w:t>
      </w:r>
      <w:r w:rsidR="000417A4">
        <w:t xml:space="preserve"> suffix (previously having had no suffix) in the </w:t>
      </w:r>
      <w:r w:rsidR="00237A15">
        <w:t>‘</w:t>
      </w:r>
      <w:r w:rsidR="000417A4">
        <w:t>03.08.01.04 – Gel/Liquid</w:t>
      </w:r>
      <w:r w:rsidR="00237A15">
        <w:t>’</w:t>
      </w:r>
      <w:r w:rsidR="000417A4">
        <w:t xml:space="preserve"> subgroup of </w:t>
      </w:r>
      <w:r w:rsidR="00237A15">
        <w:t>‘</w:t>
      </w:r>
      <w:r w:rsidR="000417A4">
        <w:t>03.08.01 – Adhesion Barriers</w:t>
      </w:r>
      <w:r w:rsidR="00237A15">
        <w:t>’</w:t>
      </w:r>
      <w:r w:rsidR="000417A4">
        <w:t xml:space="preserve">. </w:t>
      </w:r>
      <w:r w:rsidR="00744426">
        <w:t xml:space="preserve">This reclassification led to a 157% increase in the minimum benefit amount for the product. </w:t>
      </w:r>
      <w:r w:rsidR="002545AB">
        <w:t>At the same time, a duplicate product was added to the list</w:t>
      </w:r>
      <w:r w:rsidR="00233BAC">
        <w:t xml:space="preserve"> but for a </w:t>
      </w:r>
      <w:r w:rsidR="00EB5154">
        <w:t>different</w:t>
      </w:r>
      <w:r w:rsidR="00233BAC">
        <w:t xml:space="preserve"> sponsor</w:t>
      </w:r>
      <w:r w:rsidR="002545AB">
        <w:t>. When considering both of these products</w:t>
      </w:r>
      <w:r w:rsidR="00B0670A">
        <w:t xml:space="preserve"> together, total usage continued to grow </w:t>
      </w:r>
      <w:r w:rsidR="00DB7FCC">
        <w:t>by</w:t>
      </w:r>
      <w:r w:rsidR="00B0670A">
        <w:t xml:space="preserve"> 25% in </w:t>
      </w:r>
      <w:r w:rsidR="00F21CCC">
        <w:t>the year</w:t>
      </w:r>
      <w:r w:rsidR="00CA50A0">
        <w:t>.</w:t>
      </w:r>
    </w:p>
    <w:p w14:paraId="67C92280" w14:textId="77777777" w:rsidR="002D511F" w:rsidRDefault="008F0AE9" w:rsidP="000736A8">
      <w:pPr>
        <w:pStyle w:val="EYHeading4"/>
      </w:pPr>
      <w:r>
        <w:t>Infusion Pumps, Balloon Based – Fixed flow rate</w:t>
      </w:r>
    </w:p>
    <w:p w14:paraId="2A3D6AF5" w14:textId="43C5EF61" w:rsidR="00BB0DD7" w:rsidRDefault="006B2BE5">
      <w:pPr>
        <w:pStyle w:val="Bodytextwithparaspace"/>
      </w:pPr>
      <w:r>
        <w:t xml:space="preserve">Five fixed flow rate balloon-based infusion </w:t>
      </w:r>
      <w:r w:rsidR="00BD0AAF">
        <w:t xml:space="preserve">pump products </w:t>
      </w:r>
      <w:r w:rsidR="00D05E90">
        <w:t xml:space="preserve">in the </w:t>
      </w:r>
      <w:r w:rsidR="00237A15">
        <w:t>‘</w:t>
      </w:r>
      <w:r w:rsidR="00BD0AAF">
        <w:t>03.02.02.01 – Fixed Flow Rate</w:t>
      </w:r>
      <w:r w:rsidR="00237A15">
        <w:t>’</w:t>
      </w:r>
      <w:r w:rsidR="00BD0AAF">
        <w:t xml:space="preserve"> subgroup </w:t>
      </w:r>
      <w:r>
        <w:t xml:space="preserve">were reclassified </w:t>
      </w:r>
      <w:r w:rsidR="00B80645">
        <w:t xml:space="preserve">into the “Set” suffix (previously not listed with a suffix) in November 2019. This led to a 205% increase in the minimum benefit amount per item, increasing from $79 per item to $241 per item. </w:t>
      </w:r>
      <w:r w:rsidR="00CB3643">
        <w:t xml:space="preserve">Due to the recent nature of this change, data is not available on any potential impacts on </w:t>
      </w:r>
      <w:r w:rsidR="00D05E90">
        <w:t xml:space="preserve">usage </w:t>
      </w:r>
      <w:r w:rsidR="00CB3643">
        <w:t>for these items</w:t>
      </w:r>
      <w:r w:rsidR="00D05E90">
        <w:t xml:space="preserve">. </w:t>
      </w:r>
      <w:r w:rsidR="0074320B">
        <w:t>These are discussed in greater detail as part of the case study in Section</w:t>
      </w:r>
      <w:r w:rsidR="00D24AD5">
        <w:t xml:space="preserve"> </w:t>
      </w:r>
      <w:r w:rsidR="00D24AD5">
        <w:fldChar w:fldCharType="begin"/>
      </w:r>
      <w:r w:rsidR="00D24AD5">
        <w:instrText xml:space="preserve"> REF _Ref39600622 \r \h </w:instrText>
      </w:r>
      <w:r w:rsidR="00D24AD5">
        <w:fldChar w:fldCharType="separate"/>
      </w:r>
      <w:r w:rsidR="00784DE2">
        <w:t>5.5</w:t>
      </w:r>
      <w:r w:rsidR="00D24AD5">
        <w:fldChar w:fldCharType="end"/>
      </w:r>
      <w:r w:rsidR="0074320B">
        <w:t>.</w:t>
      </w:r>
    </w:p>
    <w:p w14:paraId="113D0668" w14:textId="77777777" w:rsidR="00BB0DD7" w:rsidRDefault="00BB0DD7" w:rsidP="000736A8">
      <w:pPr>
        <w:pStyle w:val="EYHeading4"/>
      </w:pPr>
      <w:r>
        <w:t xml:space="preserve">Infusion </w:t>
      </w:r>
      <w:r w:rsidR="006B2BE5">
        <w:t>P</w:t>
      </w:r>
      <w:r>
        <w:t xml:space="preserve">ump </w:t>
      </w:r>
      <w:r w:rsidR="006B2BE5">
        <w:t>A</w:t>
      </w:r>
      <w:r>
        <w:t>ccessories - Kits</w:t>
      </w:r>
    </w:p>
    <w:p w14:paraId="6D2B8F9B" w14:textId="1B5DC07D" w:rsidR="007E1259" w:rsidRDefault="00756D24">
      <w:pPr>
        <w:pStyle w:val="Bodytextwithparaspace"/>
      </w:pPr>
      <w:r>
        <w:t>In February 201</w:t>
      </w:r>
      <w:r w:rsidR="000D01B7">
        <w:t>8</w:t>
      </w:r>
      <w:r w:rsidR="00AB7C3A">
        <w:t xml:space="preserve">, </w:t>
      </w:r>
      <w:r w:rsidR="00F45D61">
        <w:t>one product</w:t>
      </w:r>
      <w:r w:rsidR="008E76FF">
        <w:t xml:space="preserve"> changed name and</w:t>
      </w:r>
      <w:r w:rsidR="00AB7C3A">
        <w:t xml:space="preserve"> was reclassified from the ’03.02.05.05 – Other’ subgroup of ’03.02.05 – Infusion Pump Accessories’ to the ’03.02.05</w:t>
      </w:r>
      <w:r w:rsidR="002072F2">
        <w:t xml:space="preserve">.01 – Kit’ subgroup. </w:t>
      </w:r>
      <w:r w:rsidR="008E5FF4">
        <w:t xml:space="preserve">Due to this reclassification, the </w:t>
      </w:r>
      <w:r w:rsidR="002072F2">
        <w:t>minimum benefit amount for th</w:t>
      </w:r>
      <w:r w:rsidR="008E5FF4">
        <w:t xml:space="preserve">e item </w:t>
      </w:r>
      <w:r w:rsidR="002072F2">
        <w:t xml:space="preserve">increased by 54%, from $50 per item to $77. </w:t>
      </w:r>
      <w:r w:rsidR="00DC6E2D">
        <w:t>In the financial year following this benefit increase</w:t>
      </w:r>
      <w:r w:rsidR="00881DC3">
        <w:t xml:space="preserve"> (</w:t>
      </w:r>
      <w:r w:rsidR="00DC6E2D">
        <w:t>FY19</w:t>
      </w:r>
      <w:r w:rsidR="00881DC3">
        <w:t>)</w:t>
      </w:r>
      <w:r w:rsidR="00DC6E2D">
        <w:t>, total usage for this product increased</w:t>
      </w:r>
      <w:r w:rsidR="0090320F">
        <w:t>.</w:t>
      </w:r>
      <w:r w:rsidR="001723FC">
        <w:t xml:space="preserve"> </w:t>
      </w:r>
    </w:p>
    <w:p w14:paraId="0052EAF4" w14:textId="77777777" w:rsidR="00E83556" w:rsidRDefault="003F71C5" w:rsidP="000736A8">
      <w:pPr>
        <w:pStyle w:val="EYHeading4"/>
      </w:pPr>
      <w:r>
        <w:t>Pliable Patches</w:t>
      </w:r>
    </w:p>
    <w:p w14:paraId="080C3ABB" w14:textId="5710D22A" w:rsidR="00E83556" w:rsidRDefault="003F71C5">
      <w:pPr>
        <w:pStyle w:val="Bodytextwithparaspace"/>
      </w:pPr>
      <w:r>
        <w:t xml:space="preserve">In August 2015, the ’03.05.04.01 – Absorbable </w:t>
      </w:r>
      <w:r>
        <w:rPr>
          <w:rFonts w:ascii="Times New Roman" w:hAnsi="Times New Roman"/>
        </w:rPr>
        <w:t>≤</w:t>
      </w:r>
      <w:r>
        <w:t>50cm</w:t>
      </w:r>
      <w:r w:rsidRPr="000610C4">
        <w:rPr>
          <w:vertAlign w:val="superscript"/>
        </w:rPr>
        <w:t>2</w:t>
      </w:r>
      <w:r>
        <w:t xml:space="preserve">‘ subgroup of ’03.05.04 – Pliable Patches’ was divided </w:t>
      </w:r>
      <w:r w:rsidR="009D180A">
        <w:t>with the introduction of the ’03.05.04.02 – Absorbable 51cm</w:t>
      </w:r>
      <w:r w:rsidR="009D180A" w:rsidRPr="000610C4">
        <w:rPr>
          <w:vertAlign w:val="superscript"/>
        </w:rPr>
        <w:t>2</w:t>
      </w:r>
      <w:r w:rsidR="009D180A">
        <w:t xml:space="preserve"> – 75cm</w:t>
      </w:r>
      <w:r w:rsidR="009D180A" w:rsidRPr="000610C4">
        <w:rPr>
          <w:vertAlign w:val="superscript"/>
        </w:rPr>
        <w:t>2</w:t>
      </w:r>
      <w:r w:rsidR="009D180A">
        <w:t xml:space="preserve">‘ subgroup. </w:t>
      </w:r>
      <w:r w:rsidR="008A3688">
        <w:t xml:space="preserve">As a consequence, the minimum benefit amounts for items </w:t>
      </w:r>
      <w:r w:rsidR="004F4514">
        <w:t>reclassified</w:t>
      </w:r>
      <w:r w:rsidR="008A3688">
        <w:t xml:space="preserve"> into this new subgroup increased by 100%</w:t>
      </w:r>
      <w:r w:rsidR="000E233C">
        <w:t xml:space="preserve"> from $40 to $80 for the ‘Antimicrobial, Low Antigenicity, Micro-fibrous’ suffix</w:t>
      </w:r>
      <w:r w:rsidR="00D05E90">
        <w:t>,</w:t>
      </w:r>
      <w:r w:rsidR="000E233C">
        <w:t xml:space="preserve"> and from $3</w:t>
      </w:r>
      <w:r w:rsidR="00E10A63">
        <w:t xml:space="preserve">8 to $76 for the ‘Antimicrobial, Low Antigenicity, Woven’ suffix. </w:t>
      </w:r>
      <w:r w:rsidR="00BC2B58">
        <w:t>T</w:t>
      </w:r>
      <w:r w:rsidR="00B24FF9">
        <w:t xml:space="preserve">otal usage for </w:t>
      </w:r>
      <w:r w:rsidR="00BC2B58">
        <w:t xml:space="preserve">several of </w:t>
      </w:r>
      <w:r w:rsidR="00B24FF9">
        <w:t>these items</w:t>
      </w:r>
      <w:r w:rsidR="00887D92">
        <w:t xml:space="preserve"> </w:t>
      </w:r>
      <w:r w:rsidR="00A54572">
        <w:t xml:space="preserve">increased </w:t>
      </w:r>
      <w:r w:rsidR="00887D92">
        <w:t xml:space="preserve">significantly </w:t>
      </w:r>
      <w:r w:rsidR="00D405A5">
        <w:t>. Consequently, total benefits for the ’03.05.04.02 – Absorbable 51cm</w:t>
      </w:r>
      <w:r w:rsidR="00D405A5" w:rsidRPr="000610C4">
        <w:rPr>
          <w:vertAlign w:val="superscript"/>
        </w:rPr>
        <w:t>2</w:t>
      </w:r>
      <w:r w:rsidR="00D405A5">
        <w:t xml:space="preserve"> – 75cm</w:t>
      </w:r>
      <w:r w:rsidR="00D405A5" w:rsidRPr="000610C4">
        <w:rPr>
          <w:vertAlign w:val="superscript"/>
        </w:rPr>
        <w:t>2</w:t>
      </w:r>
      <w:r w:rsidR="00D405A5">
        <w:t>‘</w:t>
      </w:r>
      <w:r w:rsidR="005A23D1">
        <w:t xml:space="preserve"> </w:t>
      </w:r>
      <w:r w:rsidR="00D405A5">
        <w:t xml:space="preserve">subgroup </w:t>
      </w:r>
      <w:r w:rsidR="00A54572">
        <w:t xml:space="preserve">increased </w:t>
      </w:r>
      <w:r w:rsidR="00D405A5">
        <w:t>from FY1</w:t>
      </w:r>
      <w:r w:rsidR="003B1A08">
        <w:t>5</w:t>
      </w:r>
      <w:r w:rsidR="00D405A5">
        <w:t xml:space="preserve"> to FY</w:t>
      </w:r>
      <w:r w:rsidR="003B1A08">
        <w:t>16.</w:t>
      </w:r>
    </w:p>
    <w:tbl>
      <w:tblPr>
        <w:tblStyle w:val="TableGrid"/>
        <w:tblW w:w="9029" w:type="dxa"/>
        <w:tblInd w:w="-5" w:type="dxa"/>
        <w:tblLook w:val="04A0" w:firstRow="1" w:lastRow="0" w:firstColumn="1" w:lastColumn="0" w:noHBand="0" w:noVBand="1"/>
        <w:tblCaption w:val="Finding 4.5.2"/>
        <w:tblDescription w:val="This table describes Finding 4.5.2&#10;The examples in this section provide clear evidence of significant increases in benefit amounts for items in long-standing use that have not changed. In each case, usage increased following the increase in benefit amount.&#10;"/>
      </w:tblPr>
      <w:tblGrid>
        <w:gridCol w:w="9029"/>
      </w:tblGrid>
      <w:tr w:rsidR="008B074A" w14:paraId="6F13ACB7" w14:textId="77777777" w:rsidTr="009C3BEC">
        <w:trPr>
          <w:tblHeader/>
        </w:trPr>
        <w:tc>
          <w:tcPr>
            <w:tcW w:w="9029" w:type="dxa"/>
            <w:shd w:val="clear" w:color="auto" w:fill="D2D2DA" w:themeFill="text1" w:themeFillTint="33"/>
          </w:tcPr>
          <w:p w14:paraId="614A388E" w14:textId="2F9B9767" w:rsidR="008B074A" w:rsidRDefault="008B074A" w:rsidP="00E92B6A">
            <w:pPr>
              <w:pStyle w:val="Bodytextwithparaspace"/>
              <w:rPr>
                <w:b/>
              </w:rPr>
            </w:pPr>
            <w:r w:rsidRPr="00A26B3B">
              <w:rPr>
                <w:b/>
              </w:rPr>
              <w:t xml:space="preserve">Finding </w:t>
            </w:r>
            <w:r w:rsidRPr="00A26B3B">
              <w:rPr>
                <w:b/>
              </w:rPr>
              <w:fldChar w:fldCharType="begin"/>
            </w:r>
            <w:r w:rsidRPr="00A26B3B">
              <w:rPr>
                <w:b/>
              </w:rPr>
              <w:instrText xml:space="preserve"> REF _Ref39072246 \r \h </w:instrText>
            </w:r>
            <w:r>
              <w:rPr>
                <w:b/>
              </w:rPr>
              <w:instrText xml:space="preserve"> \* MERGEFORMAT </w:instrText>
            </w:r>
            <w:r w:rsidRPr="00A26B3B">
              <w:rPr>
                <w:b/>
              </w:rPr>
            </w:r>
            <w:r w:rsidRPr="00A26B3B">
              <w:rPr>
                <w:b/>
              </w:rPr>
              <w:fldChar w:fldCharType="separate"/>
            </w:r>
            <w:r w:rsidR="00784DE2">
              <w:rPr>
                <w:b/>
              </w:rPr>
              <w:t>4.5.2</w:t>
            </w:r>
            <w:r w:rsidRPr="00A26B3B">
              <w:rPr>
                <w:b/>
              </w:rPr>
              <w:fldChar w:fldCharType="end"/>
            </w:r>
          </w:p>
          <w:p w14:paraId="02BB8616" w14:textId="208EEAFC" w:rsidR="000C1881" w:rsidRPr="008B074A" w:rsidRDefault="00722FB5">
            <w:pPr>
              <w:pStyle w:val="Bodytextwithparaspace"/>
              <w:rPr>
                <w:highlight w:val="yellow"/>
              </w:rPr>
            </w:pPr>
            <w:r w:rsidRPr="00A26B3B">
              <w:t xml:space="preserve">The examples in this section </w:t>
            </w:r>
            <w:r w:rsidR="00A47AD5">
              <w:t>provide</w:t>
            </w:r>
            <w:r w:rsidR="00A47AD5" w:rsidRPr="00A26B3B">
              <w:t xml:space="preserve"> </w:t>
            </w:r>
            <w:r w:rsidRPr="00A26B3B">
              <w:t>c</w:t>
            </w:r>
            <w:r w:rsidR="008B074A" w:rsidRPr="00A26B3B">
              <w:t>lear evidence</w:t>
            </w:r>
            <w:r w:rsidR="00DC2ECF">
              <w:t xml:space="preserve"> of significant increases in benefit amounts for items in long-standing use that have not changed. In each case, usage increased following the increase in benefit amount.</w:t>
            </w:r>
          </w:p>
        </w:tc>
      </w:tr>
    </w:tbl>
    <w:p w14:paraId="60D5E78F" w14:textId="77777777" w:rsidR="00F71AF4" w:rsidRPr="00F71AF4" w:rsidRDefault="00F71AF4">
      <w:pPr>
        <w:pStyle w:val="EYHeading3"/>
      </w:pPr>
      <w:bookmarkStart w:id="132" w:name="_Ref39073392"/>
      <w:r>
        <w:t>Benefit amount relativity anomalies</w:t>
      </w:r>
      <w:bookmarkEnd w:id="132"/>
    </w:p>
    <w:p w14:paraId="09214C44" w14:textId="0C9BEEE6" w:rsidR="00417609" w:rsidRDefault="00237DC8" w:rsidP="00FF3606">
      <w:pPr>
        <w:pStyle w:val="Bodytextwithparaspace"/>
      </w:pPr>
      <w:r>
        <w:t>B</w:t>
      </w:r>
      <w:r w:rsidR="00F310A4">
        <w:t>enefit amount</w:t>
      </w:r>
      <w:r w:rsidR="00D80318">
        <w:t xml:space="preserve"> differentials </w:t>
      </w:r>
      <w:r w:rsidR="00CA50A0">
        <w:t>were</w:t>
      </w:r>
      <w:r>
        <w:t xml:space="preserve"> identified</w:t>
      </w:r>
      <w:r w:rsidR="00D80318">
        <w:t xml:space="preserve"> between products which are not </w:t>
      </w:r>
      <w:r w:rsidR="003E19A7">
        <w:t xml:space="preserve">readily explainable by </w:t>
      </w:r>
      <w:r w:rsidR="00B72FDE">
        <w:t xml:space="preserve">differences in </w:t>
      </w:r>
      <w:r w:rsidR="003E19A7">
        <w:t xml:space="preserve">the </w:t>
      </w:r>
      <w:r w:rsidR="002E7111">
        <w:t>product</w:t>
      </w:r>
      <w:r w:rsidR="00B72FDE">
        <w:t>s themselves</w:t>
      </w:r>
      <w:r w:rsidR="002E7111">
        <w:t xml:space="preserve">. This may suggest that the </w:t>
      </w:r>
      <w:r w:rsidR="00F844D5">
        <w:t xml:space="preserve">PL is also resulting in higher </w:t>
      </w:r>
      <w:r w:rsidR="00FC61EE">
        <w:t>benefit amount</w:t>
      </w:r>
      <w:r w:rsidR="00F844D5">
        <w:t>s than would otherwise be expected</w:t>
      </w:r>
      <w:r w:rsidR="00F310A4">
        <w:t>.</w:t>
      </w:r>
      <w:r w:rsidR="00AE4872">
        <w:t xml:space="preserve"> </w:t>
      </w:r>
      <w:r w:rsidR="00B72FDE">
        <w:t xml:space="preserve">This can </w:t>
      </w:r>
      <w:r w:rsidR="00D05E90">
        <w:t>arise</w:t>
      </w:r>
      <w:r w:rsidR="00B72FDE">
        <w:t xml:space="preserve"> where </w:t>
      </w:r>
      <w:r w:rsidR="00FF3606">
        <w:t>products are reclassified to another related subgroup or suffix and achieve substantial increases in minimum benefit amounts without necessarily any changes in the product</w:t>
      </w:r>
      <w:r w:rsidR="00C7057B">
        <w:t xml:space="preserve">, as discussed in Section </w:t>
      </w:r>
      <w:r w:rsidR="00C7057B">
        <w:fldChar w:fldCharType="begin"/>
      </w:r>
      <w:r w:rsidR="00C7057B">
        <w:instrText xml:space="preserve"> REF _Ref38470172 \w \h </w:instrText>
      </w:r>
      <w:r w:rsidR="00C7057B">
        <w:fldChar w:fldCharType="separate"/>
      </w:r>
      <w:r w:rsidR="00784DE2">
        <w:t>4.5.2</w:t>
      </w:r>
      <w:r w:rsidR="00C7057B">
        <w:fldChar w:fldCharType="end"/>
      </w:r>
      <w:r w:rsidR="00FF3606">
        <w:t xml:space="preserve">. </w:t>
      </w:r>
      <w:r w:rsidR="00C7057B">
        <w:t xml:space="preserve">Additionally, problems can also arise where products which are </w:t>
      </w:r>
      <w:r w:rsidR="00CA50A0">
        <w:t xml:space="preserve">potentially </w:t>
      </w:r>
      <w:r w:rsidR="00C7057B">
        <w:t>substitutable have significantly different benefit amounts</w:t>
      </w:r>
      <w:r w:rsidR="00021F74">
        <w:t xml:space="preserve"> </w:t>
      </w:r>
      <w:r w:rsidR="00CA50A0">
        <w:t>and so the absence of a price signal to the clinician means that higher volumes of the more expensive versions are being used</w:t>
      </w:r>
      <w:r w:rsidR="00021F74">
        <w:t xml:space="preserve"> than would otherwise be required.</w:t>
      </w:r>
    </w:p>
    <w:p w14:paraId="5D779515" w14:textId="77777777" w:rsidR="00B35626" w:rsidRDefault="00B35626" w:rsidP="000736A8">
      <w:pPr>
        <w:pStyle w:val="EYHeading4"/>
      </w:pPr>
      <w:r w:rsidRPr="000610C4">
        <w:t>Internal Adhesives</w:t>
      </w:r>
    </w:p>
    <w:p w14:paraId="4F9F324D" w14:textId="40F41890" w:rsidR="00D44688" w:rsidRDefault="00D44688" w:rsidP="00D44688">
      <w:pPr>
        <w:pStyle w:val="Bodytextwithparaspace"/>
      </w:pPr>
      <w:r>
        <w:t>Significant differences in the minimum benefit amount per item for products in the</w:t>
      </w:r>
      <w:r w:rsidR="005F0295">
        <w:t xml:space="preserve"> </w:t>
      </w:r>
      <w:r>
        <w:t xml:space="preserve">’03.08.02.01 – Adhesive </w:t>
      </w:r>
      <w:r w:rsidRPr="009876BC">
        <w:t>≤</w:t>
      </w:r>
      <w:r>
        <w:t xml:space="preserve">2ml’ subgroup of ’03.08.02 – Internal Adhesives’ </w:t>
      </w:r>
      <w:r w:rsidR="003E010A">
        <w:t>were</w:t>
      </w:r>
      <w:r>
        <w:t xml:space="preserve"> noted. Specifically, products within the ‘Synthetic’ suffix appear at two distinct benefit levels where</w:t>
      </w:r>
      <w:r w:rsidR="003E010A">
        <w:t>,</w:t>
      </w:r>
      <w:r>
        <w:t xml:space="preserve"> </w:t>
      </w:r>
      <w:r w:rsidR="00F10204">
        <w:t>for the rest of the PL</w:t>
      </w:r>
      <w:r w:rsidR="003E010A">
        <w:t>,</w:t>
      </w:r>
      <w:r w:rsidR="00F10204">
        <w:t xml:space="preserve"> </w:t>
      </w:r>
      <w:r>
        <w:t xml:space="preserve">typically benefit amounts do not differ between products in the same suffix grouping. The higher benefit level of $258 per item as at February 2020 represents a 514% higher benefit per item than the lower amount of $42. </w:t>
      </w:r>
    </w:p>
    <w:p w14:paraId="29598E7D" w14:textId="124F063D" w:rsidR="00D44688" w:rsidRDefault="00D44688" w:rsidP="00D44688">
      <w:pPr>
        <w:pStyle w:val="Bodytextwithparaspace"/>
      </w:pPr>
      <w:r>
        <w:t xml:space="preserve">It seems that this lower amount relates to the introduction of topical skin adhesive products to this part of the PL, with many of these products typically listed at </w:t>
      </w:r>
      <w:r w:rsidR="00D05E90">
        <w:t xml:space="preserve">the </w:t>
      </w:r>
      <w:r>
        <w:t xml:space="preserve">lower amount. There appear to be inconsistencies in which products are included at each benefit amount. It is therefore unclear how the significantly large differential in benefit amounts between these products is justified and whether the more expensive products are themselves associated with improved clinical effectiveness or patient outcomes. Moreover, these products are associated with significantly large (and growing) levels of usage. Further investigation of the </w:t>
      </w:r>
      <w:r w:rsidR="003E010A">
        <w:t xml:space="preserve">evidence </w:t>
      </w:r>
      <w:r>
        <w:t>for the differences in benefit amounts for these pro</w:t>
      </w:r>
      <w:r w:rsidRPr="00466263">
        <w:t xml:space="preserve">ducts is required. A more detailed discussion of this is provided in the case study </w:t>
      </w:r>
      <w:r w:rsidRPr="00AF1D4E">
        <w:t xml:space="preserve">in </w:t>
      </w:r>
      <w:r w:rsidR="00D24AD5">
        <w:t xml:space="preserve">Section </w:t>
      </w:r>
      <w:r w:rsidR="00D24AD5">
        <w:fldChar w:fldCharType="begin"/>
      </w:r>
      <w:r w:rsidR="00D24AD5">
        <w:instrText xml:space="preserve"> REF _Ref39852545 \r \h </w:instrText>
      </w:r>
      <w:r w:rsidR="00D24AD5">
        <w:fldChar w:fldCharType="separate"/>
      </w:r>
      <w:r w:rsidR="00784DE2">
        <w:t>5.2</w:t>
      </w:r>
      <w:r w:rsidR="00D24AD5">
        <w:fldChar w:fldCharType="end"/>
      </w:r>
      <w:r w:rsidR="00D24AD5">
        <w:t>.</w:t>
      </w:r>
    </w:p>
    <w:p w14:paraId="6BBC1511" w14:textId="77777777" w:rsidR="00FF3606" w:rsidRDefault="00417609" w:rsidP="000736A8">
      <w:pPr>
        <w:pStyle w:val="EYHeading4"/>
      </w:pPr>
      <w:r>
        <w:t>Infusion Pumps, Balloon Based</w:t>
      </w:r>
    </w:p>
    <w:p w14:paraId="29812E34" w14:textId="13D97E3E" w:rsidR="00EF23AE" w:rsidRDefault="00C7057B" w:rsidP="00FF3606">
      <w:pPr>
        <w:pStyle w:val="Bodytextwithparaspace"/>
      </w:pPr>
      <w:r>
        <w:t xml:space="preserve">High benefit amount differentials are observable for the various </w:t>
      </w:r>
      <w:r w:rsidR="00021F74">
        <w:t>infusion pump products, particularly within the “03.02.02 – Infusion Pumps, Balloon Based” group. Products within this group range in minimum benefit amounts from $50 through to $450</w:t>
      </w:r>
      <w:r w:rsidR="003A7039">
        <w:t xml:space="preserve"> and </w:t>
      </w:r>
      <w:r w:rsidR="00F171A0">
        <w:t xml:space="preserve">there </w:t>
      </w:r>
      <w:r w:rsidR="003E010A">
        <w:t xml:space="preserve">was </w:t>
      </w:r>
      <w:r w:rsidR="00F171A0">
        <w:t xml:space="preserve">evidence of a strong preference in usage for the more expensive options within </w:t>
      </w:r>
      <w:r w:rsidR="003A7039">
        <w:t>the variable flow rate subgroup. This</w:t>
      </w:r>
      <w:r w:rsidR="004D6CD3">
        <w:t xml:space="preserve"> </w:t>
      </w:r>
      <w:r w:rsidR="003E010A">
        <w:t>could have been</w:t>
      </w:r>
      <w:r w:rsidR="004D6CD3">
        <w:t xml:space="preserve"> potential</w:t>
      </w:r>
      <w:r w:rsidR="003E010A">
        <w:t>ly</w:t>
      </w:r>
      <w:r w:rsidR="004D6CD3">
        <w:t xml:space="preserve"> </w:t>
      </w:r>
      <w:r w:rsidR="00F171A0">
        <w:t>driving substantial</w:t>
      </w:r>
      <w:r w:rsidR="004D6CD3">
        <w:t xml:space="preserve">ly higher </w:t>
      </w:r>
      <w:r w:rsidR="00F171A0">
        <w:t>benefit amounts</w:t>
      </w:r>
      <w:r w:rsidR="004D6CD3">
        <w:t xml:space="preserve"> than might otherwise </w:t>
      </w:r>
      <w:r w:rsidR="003E010A">
        <w:t xml:space="preserve">have </w:t>
      </w:r>
      <w:r w:rsidR="004D6CD3">
        <w:t>be</w:t>
      </w:r>
      <w:r w:rsidR="003E010A">
        <w:t>en</w:t>
      </w:r>
      <w:r w:rsidR="004D6CD3">
        <w:t xml:space="preserve"> required to achieve the same required clinical ou</w:t>
      </w:r>
      <w:r w:rsidR="00C10A92">
        <w:t>tcomes</w:t>
      </w:r>
      <w:r w:rsidR="00F171A0">
        <w:t xml:space="preserve">. </w:t>
      </w:r>
    </w:p>
    <w:p w14:paraId="5BD652A3" w14:textId="1DC84993" w:rsidR="00C7057B" w:rsidRPr="00A26B3B" w:rsidRDefault="00B02130">
      <w:pPr>
        <w:pStyle w:val="Bodytextwithparaspace"/>
      </w:pPr>
      <w:r>
        <w:t xml:space="preserve">Concerns regarding the large benefit differentials for these products </w:t>
      </w:r>
      <w:r w:rsidR="003E010A">
        <w:t>were</w:t>
      </w:r>
      <w:r>
        <w:t xml:space="preserve"> raised in consultation submissions. These submissions highlighted that </w:t>
      </w:r>
      <w:r w:rsidR="00E32E08">
        <w:t xml:space="preserve">the types of pumps are often interchangeable with the main differentiating factor </w:t>
      </w:r>
      <w:r w:rsidR="007B4C1B">
        <w:t xml:space="preserve">between the variants being the inclusion of additional features to the product. Clinical </w:t>
      </w:r>
      <w:r w:rsidR="00DB435D">
        <w:t>subject matter resources</w:t>
      </w:r>
      <w:r w:rsidR="007B4C1B">
        <w:t xml:space="preserve"> and consultation submissions highlighted that these additional features </w:t>
      </w:r>
      <w:r w:rsidR="000856A2">
        <w:t xml:space="preserve">may not </w:t>
      </w:r>
      <w:r w:rsidR="003770E9">
        <w:t xml:space="preserve">be necessary for all cases in which they are used or </w:t>
      </w:r>
      <w:r w:rsidR="00DA1EC7">
        <w:t>may</w:t>
      </w:r>
      <w:r w:rsidR="007B4C1B">
        <w:t xml:space="preserve"> only </w:t>
      </w:r>
      <w:r w:rsidR="003E010A">
        <w:t>drive</w:t>
      </w:r>
      <w:r w:rsidR="007B4C1B">
        <w:t xml:space="preserve"> minimal</w:t>
      </w:r>
      <w:r w:rsidR="003770E9">
        <w:t xml:space="preserve"> improvements in clinical </w:t>
      </w:r>
      <w:r w:rsidR="007B4C1B">
        <w:t>effectiveness and patient outcomes</w:t>
      </w:r>
      <w:r w:rsidR="003770E9">
        <w:t xml:space="preserve">. </w:t>
      </w:r>
      <w:r w:rsidR="000856A2">
        <w:t xml:space="preserve">These products are discussed in further detail in </w:t>
      </w:r>
      <w:r w:rsidR="00EE2A7D">
        <w:t>case study ‘</w:t>
      </w:r>
      <w:r w:rsidR="00EE2A7D">
        <w:fldChar w:fldCharType="begin"/>
      </w:r>
      <w:r w:rsidR="00EE2A7D">
        <w:instrText xml:space="preserve"> REF _Ref39600622 \h </w:instrText>
      </w:r>
      <w:r w:rsidR="00EE2A7D">
        <w:fldChar w:fldCharType="separate"/>
      </w:r>
      <w:r w:rsidR="00784DE2">
        <w:t>Infusion Pumps</w:t>
      </w:r>
      <w:r w:rsidR="00EE2A7D">
        <w:fldChar w:fldCharType="end"/>
      </w:r>
      <w:r w:rsidR="00EE2A7D">
        <w:t xml:space="preserve">’ in Section </w:t>
      </w:r>
      <w:r w:rsidR="00EE2A7D">
        <w:fldChar w:fldCharType="begin"/>
      </w:r>
      <w:r w:rsidR="00EE2A7D">
        <w:instrText xml:space="preserve"> REF _Ref39600622 \w \h </w:instrText>
      </w:r>
      <w:r w:rsidR="00EE2A7D">
        <w:fldChar w:fldCharType="separate"/>
      </w:r>
      <w:r w:rsidR="00784DE2">
        <w:t>5.5</w:t>
      </w:r>
      <w:r w:rsidR="00EE2A7D">
        <w:fldChar w:fldCharType="end"/>
      </w:r>
      <w:r w:rsidR="00EE2A7D">
        <w:t>.</w:t>
      </w:r>
    </w:p>
    <w:p w14:paraId="482D1793" w14:textId="77777777" w:rsidR="00B4566A" w:rsidRPr="00A26B3B" w:rsidRDefault="00B4566A" w:rsidP="000736A8">
      <w:pPr>
        <w:pStyle w:val="EYHeading4"/>
      </w:pPr>
      <w:r w:rsidRPr="00A26B3B">
        <w:t>Pliable Patches</w:t>
      </w:r>
    </w:p>
    <w:p w14:paraId="04EE2C83" w14:textId="0056C1C6" w:rsidR="00B93B66" w:rsidRDefault="00654997" w:rsidP="00A26B3B">
      <w:pPr>
        <w:pStyle w:val="Bodytextwithparaspace"/>
      </w:pPr>
      <w:r>
        <w:t xml:space="preserve">Within the ’03.05.04 – Pliable Patches’ group, the amount of benefits paid per item used </w:t>
      </w:r>
      <w:r w:rsidR="003E010A">
        <w:t xml:space="preserve">varied </w:t>
      </w:r>
      <w:r>
        <w:t xml:space="preserve">between three </w:t>
      </w:r>
      <w:r w:rsidR="00003B6D">
        <w:t>size variations and across four suffix</w:t>
      </w:r>
      <w:r w:rsidR="009C4B7B">
        <w:t>es</w:t>
      </w:r>
      <w:r w:rsidR="00D05E90">
        <w:t xml:space="preserve">, as shown </w:t>
      </w:r>
      <w:r w:rsidR="00003B6D">
        <w:t>in</w:t>
      </w:r>
      <w:r w:rsidR="00B93B66">
        <w:t xml:space="preserve"> </w:t>
      </w:r>
      <w:r w:rsidR="00B93B66">
        <w:fldChar w:fldCharType="begin"/>
      </w:r>
      <w:r w:rsidR="00B93B66">
        <w:instrText xml:space="preserve"> REF _Ref38897568 \h </w:instrText>
      </w:r>
      <w:r w:rsidR="00B93B66">
        <w:fldChar w:fldCharType="separate"/>
      </w:r>
      <w:r w:rsidR="00784DE2">
        <w:t xml:space="preserve">Table </w:t>
      </w:r>
      <w:r w:rsidR="00784DE2">
        <w:rPr>
          <w:noProof/>
        </w:rPr>
        <w:t>12</w:t>
      </w:r>
      <w:r w:rsidR="00B93B66">
        <w:fldChar w:fldCharType="end"/>
      </w:r>
      <w:r w:rsidR="00B93B66">
        <w:t xml:space="preserve"> </w:t>
      </w:r>
      <w:r w:rsidR="00B93B66">
        <w:fldChar w:fldCharType="begin"/>
      </w:r>
      <w:r w:rsidR="00B93B66">
        <w:instrText xml:space="preserve"> REF _Ref38897575 \p \h </w:instrText>
      </w:r>
      <w:r w:rsidR="00B93B66">
        <w:fldChar w:fldCharType="separate"/>
      </w:r>
      <w:r w:rsidR="00784DE2">
        <w:t>below</w:t>
      </w:r>
      <w:r w:rsidR="00B93B66">
        <w:fldChar w:fldCharType="end"/>
      </w:r>
      <w:r w:rsidR="00003B6D">
        <w:t xml:space="preserve">. </w:t>
      </w:r>
    </w:p>
    <w:p w14:paraId="402E435B" w14:textId="717147E5" w:rsidR="00B93B66" w:rsidRDefault="00B93B66" w:rsidP="00A26B3B">
      <w:pPr>
        <w:pStyle w:val="Caption"/>
        <w:keepNext/>
      </w:pPr>
      <w:bookmarkStart w:id="133" w:name="_Ref38897568"/>
      <w:bookmarkStart w:id="134" w:name="_Ref38897575"/>
      <w:r>
        <w:t xml:space="preserve">Table </w:t>
      </w:r>
      <w:r w:rsidR="00FC6370">
        <w:fldChar w:fldCharType="begin"/>
      </w:r>
      <w:r w:rsidR="00FC6370">
        <w:instrText xml:space="preserve"> SEQ Table \* ARABIC </w:instrText>
      </w:r>
      <w:r w:rsidR="00FC6370">
        <w:fldChar w:fldCharType="separate"/>
      </w:r>
      <w:r w:rsidR="00784DE2">
        <w:rPr>
          <w:noProof/>
        </w:rPr>
        <w:t>12</w:t>
      </w:r>
      <w:r w:rsidR="00FC6370">
        <w:rPr>
          <w:noProof/>
        </w:rPr>
        <w:fldChar w:fldCharType="end"/>
      </w:r>
      <w:bookmarkEnd w:id="133"/>
      <w:r w:rsidRPr="00B93B66">
        <w:t xml:space="preserve"> </w:t>
      </w:r>
      <w:r>
        <w:t>- Pliable patches – Comparison of minimum benefit amounts</w:t>
      </w:r>
      <w:bookmarkEnd w:id="134"/>
    </w:p>
    <w:tbl>
      <w:tblPr>
        <w:tblStyle w:val="Style1"/>
        <w:tblW w:w="9356" w:type="dxa"/>
        <w:tblLayout w:type="fixed"/>
        <w:tblLook w:val="04A0" w:firstRow="1" w:lastRow="0" w:firstColumn="1" w:lastColumn="0" w:noHBand="0" w:noVBand="1"/>
        <w:tblCaption w:val="Table 12 - Pliable patches - comparison of minimum benefit amounts"/>
        <w:tblDescription w:val="This table describes the comparison of minimum benefit amounts for pliable patches&#10;For 03.05.04.01 - Absorbable ≤50cm²: No suffix has a benefit amount of $8, Standard $19, woven $33 and microfibrous $34, equating to a 179% difference between microfibrous and standard pliable patches&#10;For 03.05.04.02 - Absorbable 51 cm² – 75cm²: No suffix has a benefit amount of N/A, Standard $19, Woven $65and microfibrous $69, equating to a 363% difference between microfibrous and standard pliable patches&#10;For 03.05.04.03 - Absorbable &gt;75cm²: No suffix has a benefit amount of $26 , Standard $34, woven $91 and microfibrous $98, equating to a 188% difference between microfibrous and standard pliable patches&#10;"/>
      </w:tblPr>
      <w:tblGrid>
        <w:gridCol w:w="2127"/>
        <w:gridCol w:w="1399"/>
        <w:gridCol w:w="1399"/>
        <w:gridCol w:w="1399"/>
        <w:gridCol w:w="1400"/>
        <w:gridCol w:w="1632"/>
      </w:tblGrid>
      <w:tr w:rsidR="00202254" w14:paraId="2E68600D" w14:textId="77777777" w:rsidTr="009C3BEC">
        <w:trPr>
          <w:cnfStyle w:val="100000000000" w:firstRow="1" w:lastRow="0" w:firstColumn="0" w:lastColumn="0" w:oddVBand="0" w:evenVBand="0" w:oddHBand="0" w:evenHBand="0" w:firstRowFirstColumn="0" w:firstRowLastColumn="0" w:lastRowFirstColumn="0" w:lastRowLastColumn="0"/>
          <w:tblHeader/>
        </w:trPr>
        <w:tc>
          <w:tcPr>
            <w:tcW w:w="2127" w:type="dxa"/>
            <w:tcBorders>
              <w:top w:val="nil"/>
              <w:left w:val="nil"/>
            </w:tcBorders>
            <w:shd w:val="clear" w:color="auto" w:fill="FFFFFF" w:themeFill="background1"/>
            <w:vAlign w:val="center"/>
          </w:tcPr>
          <w:p w14:paraId="49DAC284" w14:textId="77777777" w:rsidR="00202254" w:rsidRPr="00D05E90" w:rsidRDefault="00202254" w:rsidP="00AF1D4E">
            <w:pPr>
              <w:pStyle w:val="Bodytextwithparaspace"/>
              <w:spacing w:after="0"/>
              <w:jc w:val="center"/>
              <w:rPr>
                <w:b w:val="0"/>
              </w:rPr>
            </w:pPr>
          </w:p>
        </w:tc>
        <w:tc>
          <w:tcPr>
            <w:tcW w:w="5597" w:type="dxa"/>
            <w:gridSpan w:val="4"/>
            <w:shd w:val="clear" w:color="auto" w:fill="FFE600" w:themeFill="text2"/>
            <w:vAlign w:val="center"/>
          </w:tcPr>
          <w:p w14:paraId="68650E3A" w14:textId="77777777" w:rsidR="00202254" w:rsidRPr="000C7ECB" w:rsidRDefault="00202254" w:rsidP="00AF1D4E">
            <w:pPr>
              <w:pStyle w:val="Bodytextwithparaspace"/>
              <w:spacing w:after="0"/>
              <w:jc w:val="center"/>
              <w:rPr>
                <w:bCs/>
              </w:rPr>
            </w:pPr>
            <w:r w:rsidRPr="001B0368">
              <w:rPr>
                <w:bCs/>
              </w:rPr>
              <w:t>Suffix</w:t>
            </w:r>
          </w:p>
        </w:tc>
        <w:tc>
          <w:tcPr>
            <w:tcW w:w="1632" w:type="dxa"/>
            <w:vMerge w:val="restart"/>
            <w:shd w:val="clear" w:color="auto" w:fill="FFE600" w:themeFill="text2"/>
            <w:vAlign w:val="center"/>
          </w:tcPr>
          <w:p w14:paraId="7EA28B95" w14:textId="42EB4498" w:rsidR="00202254" w:rsidRPr="00202254" w:rsidRDefault="00202254">
            <w:pPr>
              <w:pStyle w:val="Bodytextwithparaspace"/>
              <w:spacing w:after="0"/>
              <w:rPr>
                <w:bCs/>
              </w:rPr>
            </w:pPr>
            <w:r w:rsidRPr="00202254">
              <w:rPr>
                <w:bCs/>
              </w:rPr>
              <w:t>‘Microfibrous’</w:t>
            </w:r>
          </w:p>
          <w:p w14:paraId="07DFC3D4" w14:textId="3CD1D20F" w:rsidR="00202254" w:rsidRPr="000C7ECB" w:rsidRDefault="00202254" w:rsidP="00FA699C">
            <w:pPr>
              <w:pStyle w:val="Bodytextwithparaspace"/>
              <w:spacing w:after="0"/>
              <w:rPr>
                <w:bCs/>
              </w:rPr>
            </w:pPr>
            <w:r w:rsidRPr="00202254">
              <w:rPr>
                <w:bCs/>
              </w:rPr>
              <w:t>relative to ‘Standard’</w:t>
            </w:r>
          </w:p>
        </w:tc>
      </w:tr>
      <w:tr w:rsidR="00202254" w14:paraId="1C53E5F5" w14:textId="77777777" w:rsidTr="00717063">
        <w:tc>
          <w:tcPr>
            <w:tcW w:w="2127" w:type="dxa"/>
            <w:shd w:val="clear" w:color="auto" w:fill="FFE600" w:themeFill="text2"/>
            <w:vAlign w:val="center"/>
          </w:tcPr>
          <w:p w14:paraId="7539A9DD" w14:textId="77777777" w:rsidR="00202254" w:rsidRPr="00AF1D4E" w:rsidRDefault="00202254" w:rsidP="00466263">
            <w:pPr>
              <w:pStyle w:val="Bodytextwithparaspace"/>
              <w:spacing w:after="0"/>
              <w:rPr>
                <w:b/>
              </w:rPr>
            </w:pPr>
            <w:r w:rsidRPr="00AF1D4E">
              <w:rPr>
                <w:b/>
              </w:rPr>
              <w:t>Subgroup</w:t>
            </w:r>
          </w:p>
        </w:tc>
        <w:tc>
          <w:tcPr>
            <w:tcW w:w="1399" w:type="dxa"/>
            <w:shd w:val="clear" w:color="auto" w:fill="FFE600" w:themeFill="text2"/>
            <w:vAlign w:val="center"/>
          </w:tcPr>
          <w:p w14:paraId="403666A4" w14:textId="77777777" w:rsidR="00202254" w:rsidRPr="00AF1D4E" w:rsidRDefault="00202254">
            <w:pPr>
              <w:pStyle w:val="Bodytextwithparaspace"/>
              <w:spacing w:after="0"/>
              <w:rPr>
                <w:b/>
              </w:rPr>
            </w:pPr>
            <w:r w:rsidRPr="00AF1D4E">
              <w:rPr>
                <w:b/>
              </w:rPr>
              <w:t>No suffix</w:t>
            </w:r>
          </w:p>
        </w:tc>
        <w:tc>
          <w:tcPr>
            <w:tcW w:w="1399" w:type="dxa"/>
            <w:shd w:val="clear" w:color="auto" w:fill="FFE600" w:themeFill="text2"/>
            <w:vAlign w:val="center"/>
          </w:tcPr>
          <w:p w14:paraId="331892DB" w14:textId="7CB7B665" w:rsidR="00202254" w:rsidRPr="00AF1D4E" w:rsidRDefault="00202254">
            <w:pPr>
              <w:pStyle w:val="Bodytextwithparaspace"/>
              <w:spacing w:after="0"/>
              <w:rPr>
                <w:b/>
              </w:rPr>
            </w:pPr>
            <w:r>
              <w:rPr>
                <w:b/>
              </w:rPr>
              <w:t>Standard</w:t>
            </w:r>
          </w:p>
        </w:tc>
        <w:tc>
          <w:tcPr>
            <w:tcW w:w="1399" w:type="dxa"/>
            <w:shd w:val="clear" w:color="auto" w:fill="FFE600" w:themeFill="text2"/>
            <w:vAlign w:val="center"/>
          </w:tcPr>
          <w:p w14:paraId="7091C517" w14:textId="768B7FE7" w:rsidR="00202254" w:rsidRPr="00AF1D4E" w:rsidRDefault="00202254">
            <w:pPr>
              <w:pStyle w:val="Bodytextwithparaspace"/>
              <w:spacing w:after="0"/>
              <w:rPr>
                <w:b/>
              </w:rPr>
            </w:pPr>
            <w:r>
              <w:rPr>
                <w:b/>
              </w:rPr>
              <w:t>Woven</w:t>
            </w:r>
          </w:p>
        </w:tc>
        <w:tc>
          <w:tcPr>
            <w:tcW w:w="1400" w:type="dxa"/>
            <w:shd w:val="clear" w:color="auto" w:fill="FFE600" w:themeFill="text2"/>
            <w:vAlign w:val="center"/>
          </w:tcPr>
          <w:p w14:paraId="5CF4F662" w14:textId="25C809F2" w:rsidR="00202254" w:rsidRPr="00AF1D4E" w:rsidRDefault="00202254">
            <w:pPr>
              <w:pStyle w:val="Bodytextwithparaspace"/>
              <w:spacing w:after="0"/>
              <w:rPr>
                <w:b/>
              </w:rPr>
            </w:pPr>
            <w:r w:rsidRPr="00AF1D4E">
              <w:rPr>
                <w:b/>
              </w:rPr>
              <w:t>Microfibrous</w:t>
            </w:r>
          </w:p>
        </w:tc>
        <w:tc>
          <w:tcPr>
            <w:tcW w:w="1632" w:type="dxa"/>
            <w:vMerge/>
            <w:shd w:val="clear" w:color="auto" w:fill="FFE600" w:themeFill="text2"/>
            <w:vAlign w:val="center"/>
          </w:tcPr>
          <w:p w14:paraId="6A92C9C8" w14:textId="2E536DC3" w:rsidR="00202254" w:rsidRPr="00AF1D4E" w:rsidRDefault="00202254">
            <w:pPr>
              <w:pStyle w:val="Bodytextwithparaspace"/>
              <w:spacing w:after="0"/>
              <w:rPr>
                <w:b/>
              </w:rPr>
            </w:pPr>
          </w:p>
        </w:tc>
      </w:tr>
      <w:tr w:rsidR="004C3670" w14:paraId="39A26A22" w14:textId="77777777" w:rsidTr="00717063">
        <w:tc>
          <w:tcPr>
            <w:tcW w:w="2127" w:type="dxa"/>
          </w:tcPr>
          <w:p w14:paraId="59A9BBD9" w14:textId="77777777" w:rsidR="00FB5F1A" w:rsidRPr="00A26B3B" w:rsidRDefault="00FB5F1A" w:rsidP="002E4C3F">
            <w:pPr>
              <w:pStyle w:val="Bodytextwithparaspace"/>
              <w:spacing w:after="0"/>
            </w:pPr>
            <w:r w:rsidRPr="00003B6D">
              <w:t>03.05.04.01 - Absorbable ≤50cm²</w:t>
            </w:r>
          </w:p>
        </w:tc>
        <w:tc>
          <w:tcPr>
            <w:tcW w:w="1399" w:type="dxa"/>
            <w:vAlign w:val="center"/>
          </w:tcPr>
          <w:p w14:paraId="5F98577C" w14:textId="77777777" w:rsidR="00FB5F1A" w:rsidRPr="00A26B3B" w:rsidRDefault="00FB5F1A" w:rsidP="000C7ECB">
            <w:pPr>
              <w:pStyle w:val="Bodytextwithparaspace"/>
              <w:spacing w:after="0"/>
              <w:jc w:val="center"/>
            </w:pPr>
            <w:r>
              <w:t>$8</w:t>
            </w:r>
          </w:p>
        </w:tc>
        <w:tc>
          <w:tcPr>
            <w:tcW w:w="1399" w:type="dxa"/>
            <w:vAlign w:val="center"/>
          </w:tcPr>
          <w:p w14:paraId="72612036" w14:textId="77777777" w:rsidR="00FB5F1A" w:rsidRPr="00A26B3B" w:rsidRDefault="00FB5F1A" w:rsidP="000C7ECB">
            <w:pPr>
              <w:pStyle w:val="Bodytextwithparaspace"/>
              <w:spacing w:after="0"/>
              <w:jc w:val="center"/>
            </w:pPr>
            <w:r>
              <w:t>$19</w:t>
            </w:r>
          </w:p>
        </w:tc>
        <w:tc>
          <w:tcPr>
            <w:tcW w:w="1399" w:type="dxa"/>
            <w:vAlign w:val="center"/>
          </w:tcPr>
          <w:p w14:paraId="131DB49A" w14:textId="77777777" w:rsidR="00FB5F1A" w:rsidRPr="00A26B3B" w:rsidRDefault="00FB5F1A" w:rsidP="000C7ECB">
            <w:pPr>
              <w:pStyle w:val="Bodytextwithparaspace"/>
              <w:spacing w:after="0"/>
              <w:jc w:val="center"/>
            </w:pPr>
            <w:r>
              <w:t>$33</w:t>
            </w:r>
          </w:p>
        </w:tc>
        <w:tc>
          <w:tcPr>
            <w:tcW w:w="1400" w:type="dxa"/>
            <w:vAlign w:val="center"/>
          </w:tcPr>
          <w:p w14:paraId="75A62A85" w14:textId="77777777" w:rsidR="00FB5F1A" w:rsidRDefault="00FB5F1A" w:rsidP="000C7ECB">
            <w:pPr>
              <w:pStyle w:val="Bodytextwithparaspace"/>
              <w:spacing w:after="0"/>
              <w:jc w:val="center"/>
            </w:pPr>
            <w:r>
              <w:t>$34</w:t>
            </w:r>
          </w:p>
        </w:tc>
        <w:tc>
          <w:tcPr>
            <w:tcW w:w="1632" w:type="dxa"/>
            <w:vAlign w:val="center"/>
          </w:tcPr>
          <w:p w14:paraId="02BA2176" w14:textId="77777777" w:rsidR="00FB5F1A" w:rsidRDefault="00FB5F1A" w:rsidP="000C7ECB">
            <w:pPr>
              <w:pStyle w:val="Bodytextwithparaspace"/>
              <w:spacing w:after="0"/>
              <w:jc w:val="center"/>
            </w:pPr>
            <w:r>
              <w:t>179%</w:t>
            </w:r>
          </w:p>
        </w:tc>
      </w:tr>
      <w:tr w:rsidR="004C3670" w14:paraId="7F21A8D3" w14:textId="77777777" w:rsidTr="00717063">
        <w:tc>
          <w:tcPr>
            <w:tcW w:w="2127" w:type="dxa"/>
          </w:tcPr>
          <w:p w14:paraId="26CE7206" w14:textId="77777777" w:rsidR="00FB5F1A" w:rsidRPr="00A26B3B" w:rsidRDefault="00FB5F1A" w:rsidP="002E4C3F">
            <w:pPr>
              <w:pStyle w:val="Bodytextwithparaspace"/>
              <w:spacing w:after="0"/>
            </w:pPr>
            <w:r w:rsidRPr="00255734">
              <w:t>03.05.04.02 - Absorbable 51 cm² – 75cm²</w:t>
            </w:r>
          </w:p>
        </w:tc>
        <w:tc>
          <w:tcPr>
            <w:tcW w:w="1399" w:type="dxa"/>
            <w:vAlign w:val="center"/>
          </w:tcPr>
          <w:p w14:paraId="58F9083A" w14:textId="77777777" w:rsidR="00FB5F1A" w:rsidRPr="00A26B3B" w:rsidRDefault="00FB5F1A" w:rsidP="000C7ECB">
            <w:pPr>
              <w:pStyle w:val="Bodytextwithparaspace"/>
              <w:spacing w:after="0"/>
              <w:jc w:val="center"/>
            </w:pPr>
            <w:r>
              <w:t>N/A</w:t>
            </w:r>
          </w:p>
        </w:tc>
        <w:tc>
          <w:tcPr>
            <w:tcW w:w="1399" w:type="dxa"/>
            <w:vAlign w:val="center"/>
          </w:tcPr>
          <w:p w14:paraId="64BD6DD0" w14:textId="77777777" w:rsidR="00FB5F1A" w:rsidRPr="00A26B3B" w:rsidRDefault="00FB5F1A" w:rsidP="000C7ECB">
            <w:pPr>
              <w:pStyle w:val="Bodytextwithparaspace"/>
              <w:spacing w:after="0"/>
              <w:jc w:val="center"/>
            </w:pPr>
            <w:r>
              <w:t>$19</w:t>
            </w:r>
          </w:p>
        </w:tc>
        <w:tc>
          <w:tcPr>
            <w:tcW w:w="1399" w:type="dxa"/>
            <w:vAlign w:val="center"/>
          </w:tcPr>
          <w:p w14:paraId="522AAF1C" w14:textId="77777777" w:rsidR="00FB5F1A" w:rsidRPr="00A26B3B" w:rsidRDefault="00FB5F1A" w:rsidP="000C7ECB">
            <w:pPr>
              <w:pStyle w:val="Bodytextwithparaspace"/>
              <w:spacing w:after="0"/>
              <w:jc w:val="center"/>
            </w:pPr>
            <w:r>
              <w:t>$65</w:t>
            </w:r>
          </w:p>
        </w:tc>
        <w:tc>
          <w:tcPr>
            <w:tcW w:w="1400" w:type="dxa"/>
            <w:vAlign w:val="center"/>
          </w:tcPr>
          <w:p w14:paraId="4A8CAA40" w14:textId="77777777" w:rsidR="00FB5F1A" w:rsidRDefault="00FB5F1A" w:rsidP="000C7ECB">
            <w:pPr>
              <w:pStyle w:val="Bodytextwithparaspace"/>
              <w:spacing w:after="0"/>
              <w:jc w:val="center"/>
            </w:pPr>
            <w:r>
              <w:t>$69</w:t>
            </w:r>
          </w:p>
        </w:tc>
        <w:tc>
          <w:tcPr>
            <w:tcW w:w="1632" w:type="dxa"/>
            <w:vAlign w:val="center"/>
          </w:tcPr>
          <w:p w14:paraId="116C345E" w14:textId="77777777" w:rsidR="00FB5F1A" w:rsidRDefault="00FB5F1A" w:rsidP="000C7ECB">
            <w:pPr>
              <w:pStyle w:val="Bodytextwithparaspace"/>
              <w:spacing w:after="0"/>
              <w:jc w:val="center"/>
            </w:pPr>
            <w:r>
              <w:t>363%</w:t>
            </w:r>
          </w:p>
        </w:tc>
      </w:tr>
      <w:tr w:rsidR="004C3670" w14:paraId="69291643" w14:textId="77777777" w:rsidTr="00717063">
        <w:tc>
          <w:tcPr>
            <w:tcW w:w="2127" w:type="dxa"/>
          </w:tcPr>
          <w:p w14:paraId="4956AD13" w14:textId="77777777" w:rsidR="00FB5F1A" w:rsidRPr="00A26B3B" w:rsidRDefault="00FB5F1A" w:rsidP="002E4C3F">
            <w:pPr>
              <w:pStyle w:val="Bodytextwithparaspace"/>
              <w:spacing w:after="0"/>
            </w:pPr>
            <w:r w:rsidRPr="00255734">
              <w:t>03.05.04.03 - Absorbable &gt;75cm²</w:t>
            </w:r>
          </w:p>
        </w:tc>
        <w:tc>
          <w:tcPr>
            <w:tcW w:w="1399" w:type="dxa"/>
            <w:vAlign w:val="center"/>
          </w:tcPr>
          <w:p w14:paraId="1D3A86A6" w14:textId="77777777" w:rsidR="00FB5F1A" w:rsidRPr="00A26B3B" w:rsidRDefault="00FB5F1A" w:rsidP="000C7ECB">
            <w:pPr>
              <w:pStyle w:val="Bodytextwithparaspace"/>
              <w:spacing w:after="0"/>
              <w:jc w:val="center"/>
            </w:pPr>
            <w:r>
              <w:t>$26</w:t>
            </w:r>
          </w:p>
        </w:tc>
        <w:tc>
          <w:tcPr>
            <w:tcW w:w="1399" w:type="dxa"/>
            <w:vAlign w:val="center"/>
          </w:tcPr>
          <w:p w14:paraId="694C527D" w14:textId="77777777" w:rsidR="00FB5F1A" w:rsidRPr="00A26B3B" w:rsidRDefault="00FB5F1A" w:rsidP="000C7ECB">
            <w:pPr>
              <w:pStyle w:val="Bodytextwithparaspace"/>
              <w:spacing w:after="0"/>
              <w:jc w:val="center"/>
            </w:pPr>
            <w:r>
              <w:t>$34</w:t>
            </w:r>
          </w:p>
        </w:tc>
        <w:tc>
          <w:tcPr>
            <w:tcW w:w="1399" w:type="dxa"/>
            <w:vAlign w:val="center"/>
          </w:tcPr>
          <w:p w14:paraId="30056A7D" w14:textId="77777777" w:rsidR="00FB5F1A" w:rsidRPr="00A26B3B" w:rsidRDefault="00FB5F1A" w:rsidP="000C7ECB">
            <w:pPr>
              <w:pStyle w:val="Bodytextwithparaspace"/>
              <w:spacing w:after="0"/>
              <w:jc w:val="center"/>
            </w:pPr>
            <w:r>
              <w:t>$91</w:t>
            </w:r>
          </w:p>
        </w:tc>
        <w:tc>
          <w:tcPr>
            <w:tcW w:w="1400" w:type="dxa"/>
            <w:vAlign w:val="center"/>
          </w:tcPr>
          <w:p w14:paraId="5AD31886" w14:textId="77777777" w:rsidR="00FB5F1A" w:rsidRDefault="00FB5F1A" w:rsidP="000C7ECB">
            <w:pPr>
              <w:pStyle w:val="Bodytextwithparaspace"/>
              <w:spacing w:after="0"/>
              <w:jc w:val="center"/>
            </w:pPr>
            <w:r>
              <w:t>$98</w:t>
            </w:r>
          </w:p>
        </w:tc>
        <w:tc>
          <w:tcPr>
            <w:tcW w:w="1632" w:type="dxa"/>
            <w:vAlign w:val="center"/>
          </w:tcPr>
          <w:p w14:paraId="6F60A1B9" w14:textId="77777777" w:rsidR="00FB5F1A" w:rsidRDefault="00FB5F1A" w:rsidP="000C7ECB">
            <w:pPr>
              <w:pStyle w:val="Bodytextwithparaspace"/>
              <w:spacing w:after="0"/>
              <w:jc w:val="center"/>
            </w:pPr>
            <w:r>
              <w:t>188%</w:t>
            </w:r>
          </w:p>
        </w:tc>
      </w:tr>
    </w:tbl>
    <w:p w14:paraId="68480372" w14:textId="5749C526" w:rsidR="004B555D" w:rsidRDefault="004B555D" w:rsidP="00A26B3B">
      <w:pPr>
        <w:pStyle w:val="Bodytextwithparaspace"/>
        <w:spacing w:before="240"/>
      </w:pPr>
      <w:r>
        <w:t xml:space="preserve">It is noted that the relative difference in the benefit amounts per item between the more expensive ‘Microfibrous’ </w:t>
      </w:r>
      <w:r w:rsidR="00803509">
        <w:t>(Antimicrobial, Low Antigenicity, Microfibrous) and</w:t>
      </w:r>
      <w:r>
        <w:t xml:space="preserve"> ‘Woven’ </w:t>
      </w:r>
      <w:r w:rsidR="00803509">
        <w:t xml:space="preserve">(Antimicrobial, Low Antigenicity, Woven) </w:t>
      </w:r>
      <w:r>
        <w:t xml:space="preserve">versions and the ‘Standard’ </w:t>
      </w:r>
      <w:r w:rsidR="004C3670">
        <w:t>(</w:t>
      </w:r>
      <w:r w:rsidR="00803509">
        <w:t xml:space="preserve">Antimicrobial, Low Antigenicity) </w:t>
      </w:r>
      <w:r>
        <w:t xml:space="preserve">versions </w:t>
      </w:r>
      <w:r w:rsidR="003E010A">
        <w:t xml:space="preserve">differed </w:t>
      </w:r>
      <w:r>
        <w:t>significantly for the middle size subgroup ‘</w:t>
      </w:r>
      <w:r w:rsidRPr="00255734">
        <w:t>03.05.04.02 - Absorbable 51 cm² – 75cm²</w:t>
      </w:r>
      <w:r>
        <w:t xml:space="preserve">’. </w:t>
      </w:r>
      <w:r w:rsidR="003A11AA">
        <w:t xml:space="preserve">This </w:t>
      </w:r>
      <w:r w:rsidR="003E010A">
        <w:t xml:space="preserve">was </w:t>
      </w:r>
      <w:r w:rsidR="003A11AA">
        <w:t xml:space="preserve">primarily due to the benefit amount for the ‘Standard’ version not varying between the smallest and middle-sized subgroups. </w:t>
      </w:r>
      <w:r>
        <w:t xml:space="preserve">At the same time, usage of the ‘Standard’ version for </w:t>
      </w:r>
      <w:r w:rsidR="000A2E67">
        <w:t>each</w:t>
      </w:r>
      <w:r w:rsidR="00B31781">
        <w:t xml:space="preserve"> subgroup</w:t>
      </w:r>
      <w:r w:rsidR="000A2E67">
        <w:t xml:space="preserve"> differ</w:t>
      </w:r>
      <w:r w:rsidR="003E010A">
        <w:t>ed</w:t>
      </w:r>
      <w:r>
        <w:t>. Consequently, the average benefit per item for th</w:t>
      </w:r>
      <w:r w:rsidR="00D05E90">
        <w:t>e</w:t>
      </w:r>
      <w:r>
        <w:t xml:space="preserve"> middle subgroup </w:t>
      </w:r>
      <w:r w:rsidR="003E010A">
        <w:t>became</w:t>
      </w:r>
      <w:r>
        <w:t xml:space="preserve"> the largest out of all three subgroups. </w:t>
      </w:r>
    </w:p>
    <w:p w14:paraId="3AD1D70A" w14:textId="77777777" w:rsidR="00C82E23" w:rsidRDefault="00C82E23" w:rsidP="000736A8">
      <w:pPr>
        <w:pStyle w:val="EYHeading4"/>
      </w:pPr>
      <w:r>
        <w:t>Matrix</w:t>
      </w:r>
    </w:p>
    <w:p w14:paraId="1F336198" w14:textId="23F3F496" w:rsidR="005824A9" w:rsidRDefault="00ED5650">
      <w:pPr>
        <w:pStyle w:val="Bodytextwithparaspace"/>
      </w:pPr>
      <w:r w:rsidRPr="00A26B3B">
        <w:t>Within the ’03.</w:t>
      </w:r>
      <w:r w:rsidR="001E60BC" w:rsidRPr="00A26B3B">
        <w:t>05.05 – Matrix’ group, there are a variety of</w:t>
      </w:r>
      <w:r w:rsidR="00FC61EE">
        <w:t xml:space="preserve"> benefit amounts</w:t>
      </w:r>
      <w:r w:rsidR="001E60BC" w:rsidRPr="00A26B3B">
        <w:t xml:space="preserve"> for ‘liquid’ matrix products. These liquid matrix products are firstly divided into subgroups based on the volume of the product, and then further based on whether they fall into the ‘Complete Biomaterial’ suffix or not.</w:t>
      </w:r>
      <w:r w:rsidR="00BE0AB7">
        <w:t xml:space="preserve"> </w:t>
      </w:r>
      <w:r w:rsidR="00772ECE">
        <w:t xml:space="preserve">The benefit amounts for these various </w:t>
      </w:r>
      <w:r w:rsidR="005824A9">
        <w:t xml:space="preserve">combinations are shown in </w:t>
      </w:r>
      <w:r w:rsidR="008E6129">
        <w:fldChar w:fldCharType="begin"/>
      </w:r>
      <w:r w:rsidR="008E6129">
        <w:instrText xml:space="preserve"> REF _Ref39417773 \h </w:instrText>
      </w:r>
      <w:r w:rsidR="008E6129">
        <w:fldChar w:fldCharType="separate"/>
      </w:r>
      <w:r w:rsidR="00784DE2">
        <w:t xml:space="preserve">Table </w:t>
      </w:r>
      <w:r w:rsidR="00784DE2">
        <w:rPr>
          <w:noProof/>
        </w:rPr>
        <w:t>13</w:t>
      </w:r>
      <w:r w:rsidR="008E6129">
        <w:fldChar w:fldCharType="end"/>
      </w:r>
      <w:r w:rsidR="008E6129">
        <w:t xml:space="preserve"> </w:t>
      </w:r>
      <w:r w:rsidR="008E6129">
        <w:fldChar w:fldCharType="begin"/>
      </w:r>
      <w:r w:rsidR="008E6129">
        <w:instrText xml:space="preserve"> REF _Ref39417705 \p \h </w:instrText>
      </w:r>
      <w:r w:rsidR="008E6129">
        <w:fldChar w:fldCharType="separate"/>
      </w:r>
      <w:r w:rsidR="00784DE2">
        <w:t>below</w:t>
      </w:r>
      <w:r w:rsidR="008E6129">
        <w:fldChar w:fldCharType="end"/>
      </w:r>
      <w:r w:rsidR="008E6129">
        <w:t>.</w:t>
      </w:r>
      <w:r w:rsidR="005824A9">
        <w:t xml:space="preserve"> </w:t>
      </w:r>
    </w:p>
    <w:p w14:paraId="1133B839" w14:textId="61E5CB11" w:rsidR="00E756D1" w:rsidRDefault="00E756D1" w:rsidP="00A26B3B">
      <w:pPr>
        <w:pStyle w:val="Caption"/>
        <w:keepNext/>
      </w:pPr>
      <w:bookmarkStart w:id="135" w:name="_Ref39417773"/>
      <w:bookmarkStart w:id="136" w:name="_Ref39417705"/>
      <w:r>
        <w:t xml:space="preserve">Table </w:t>
      </w:r>
      <w:r w:rsidR="00FC6370">
        <w:fldChar w:fldCharType="begin"/>
      </w:r>
      <w:r w:rsidR="00FC6370">
        <w:instrText xml:space="preserve"> SEQ Table \* ARABIC </w:instrText>
      </w:r>
      <w:r w:rsidR="00FC6370">
        <w:fldChar w:fldCharType="separate"/>
      </w:r>
      <w:r w:rsidR="00784DE2">
        <w:rPr>
          <w:noProof/>
        </w:rPr>
        <w:t>13</w:t>
      </w:r>
      <w:r w:rsidR="00FC6370">
        <w:rPr>
          <w:noProof/>
        </w:rPr>
        <w:fldChar w:fldCharType="end"/>
      </w:r>
      <w:bookmarkEnd w:id="135"/>
      <w:r>
        <w:t xml:space="preserve"> – Matrix, ‘Liquid’ – Comparison of minimum benefit amounts</w:t>
      </w:r>
      <w:bookmarkEnd w:id="136"/>
    </w:p>
    <w:tbl>
      <w:tblPr>
        <w:tblStyle w:val="TableGrid"/>
        <w:tblW w:w="0" w:type="auto"/>
        <w:tblLook w:val="04A0" w:firstRow="1" w:lastRow="0" w:firstColumn="1" w:lastColumn="0" w:noHBand="0" w:noVBand="1"/>
        <w:tblCaption w:val="Table 13 - Matrix, 'Liquid' - Comparison of minimum benefit amounts"/>
        <w:tblDescription w:val="This table describes the minimum benefit amounts for the 03.05.05 Matrix Group:&#10;03.05.05.01 - Liquid ≤6ml $407 $632&#10;03.05.05.02 - Liquid &gt;6ml N/A $903&#10;"/>
      </w:tblPr>
      <w:tblGrid>
        <w:gridCol w:w="3006"/>
        <w:gridCol w:w="3006"/>
        <w:gridCol w:w="3007"/>
      </w:tblGrid>
      <w:tr w:rsidR="005824A9" w14:paraId="6A7F137E" w14:textId="77777777" w:rsidTr="009C3BEC">
        <w:trPr>
          <w:tblHeader/>
        </w:trPr>
        <w:tc>
          <w:tcPr>
            <w:tcW w:w="3006" w:type="dxa"/>
            <w:tcBorders>
              <w:top w:val="nil"/>
              <w:left w:val="nil"/>
            </w:tcBorders>
            <w:vAlign w:val="center"/>
          </w:tcPr>
          <w:p w14:paraId="082F186F" w14:textId="77777777" w:rsidR="005824A9" w:rsidRDefault="005824A9" w:rsidP="00202254">
            <w:pPr>
              <w:pStyle w:val="Bodytextwithparaspace"/>
              <w:spacing w:after="0"/>
            </w:pPr>
          </w:p>
        </w:tc>
        <w:tc>
          <w:tcPr>
            <w:tcW w:w="6013" w:type="dxa"/>
            <w:gridSpan w:val="2"/>
            <w:shd w:val="clear" w:color="auto" w:fill="FFE600" w:themeFill="text2"/>
            <w:vAlign w:val="center"/>
          </w:tcPr>
          <w:p w14:paraId="11C916DF" w14:textId="77777777" w:rsidR="005824A9" w:rsidRPr="00A26B3B" w:rsidRDefault="005824A9" w:rsidP="00202254">
            <w:pPr>
              <w:pStyle w:val="Bodytextwithparaspace"/>
              <w:spacing w:after="0"/>
              <w:jc w:val="center"/>
              <w:rPr>
                <w:b/>
                <w:bCs/>
              </w:rPr>
            </w:pPr>
            <w:r w:rsidRPr="00A26B3B">
              <w:rPr>
                <w:b/>
                <w:bCs/>
              </w:rPr>
              <w:t>Suffix</w:t>
            </w:r>
          </w:p>
        </w:tc>
      </w:tr>
      <w:tr w:rsidR="005824A9" w14:paraId="214BE779" w14:textId="77777777" w:rsidTr="00202254">
        <w:tc>
          <w:tcPr>
            <w:tcW w:w="3006" w:type="dxa"/>
            <w:shd w:val="clear" w:color="auto" w:fill="FFE600" w:themeFill="text2"/>
            <w:vAlign w:val="center"/>
          </w:tcPr>
          <w:p w14:paraId="281BC89A" w14:textId="77777777" w:rsidR="005824A9" w:rsidRPr="00466263" w:rsidRDefault="005824A9" w:rsidP="00202254">
            <w:pPr>
              <w:pStyle w:val="Bodytextwithparaspace"/>
              <w:spacing w:after="0"/>
              <w:rPr>
                <w:b/>
                <w:bCs/>
              </w:rPr>
            </w:pPr>
            <w:r w:rsidRPr="00466263">
              <w:rPr>
                <w:b/>
                <w:bCs/>
              </w:rPr>
              <w:t>Product subgroup</w:t>
            </w:r>
          </w:p>
        </w:tc>
        <w:tc>
          <w:tcPr>
            <w:tcW w:w="3006" w:type="dxa"/>
            <w:shd w:val="clear" w:color="auto" w:fill="FFE600" w:themeFill="text2"/>
            <w:vAlign w:val="center"/>
          </w:tcPr>
          <w:p w14:paraId="4CEB9123" w14:textId="77777777" w:rsidR="005824A9" w:rsidRPr="00AF1D4E" w:rsidRDefault="005824A9" w:rsidP="00202254">
            <w:pPr>
              <w:pStyle w:val="Bodytextwithparaspace"/>
              <w:spacing w:after="0"/>
              <w:rPr>
                <w:b/>
              </w:rPr>
            </w:pPr>
            <w:r w:rsidRPr="00AF1D4E">
              <w:rPr>
                <w:b/>
              </w:rPr>
              <w:t>No suffix</w:t>
            </w:r>
          </w:p>
        </w:tc>
        <w:tc>
          <w:tcPr>
            <w:tcW w:w="3007" w:type="dxa"/>
            <w:shd w:val="clear" w:color="auto" w:fill="FFE600" w:themeFill="text2"/>
            <w:vAlign w:val="center"/>
          </w:tcPr>
          <w:p w14:paraId="042BD9B7" w14:textId="77777777" w:rsidR="005824A9" w:rsidRPr="00AF1D4E" w:rsidRDefault="005824A9" w:rsidP="00202254">
            <w:pPr>
              <w:pStyle w:val="Bodytextwithparaspace"/>
              <w:spacing w:after="0"/>
              <w:rPr>
                <w:b/>
              </w:rPr>
            </w:pPr>
            <w:r w:rsidRPr="00AF1D4E">
              <w:rPr>
                <w:b/>
              </w:rPr>
              <w:t>Complete Biomaterial</w:t>
            </w:r>
          </w:p>
        </w:tc>
      </w:tr>
      <w:tr w:rsidR="005824A9" w14:paraId="46F14F2B" w14:textId="77777777" w:rsidTr="005824A9">
        <w:tc>
          <w:tcPr>
            <w:tcW w:w="3006" w:type="dxa"/>
          </w:tcPr>
          <w:p w14:paraId="77FBC3F4" w14:textId="77777777" w:rsidR="005824A9" w:rsidRDefault="00E756D1">
            <w:pPr>
              <w:pStyle w:val="Bodytextwithparaspace"/>
            </w:pPr>
            <w:r w:rsidRPr="000610C4">
              <w:rPr>
                <w:rFonts w:cs="Calibri"/>
                <w:color w:val="000000"/>
              </w:rPr>
              <w:t>03.05.05.01 - Liquid ≤6ml</w:t>
            </w:r>
          </w:p>
        </w:tc>
        <w:tc>
          <w:tcPr>
            <w:tcW w:w="3006" w:type="dxa"/>
          </w:tcPr>
          <w:p w14:paraId="10994DEC" w14:textId="77777777" w:rsidR="005824A9" w:rsidRDefault="005824A9">
            <w:pPr>
              <w:pStyle w:val="Bodytextwithparaspace"/>
            </w:pPr>
            <w:r>
              <w:t>$407</w:t>
            </w:r>
          </w:p>
        </w:tc>
        <w:tc>
          <w:tcPr>
            <w:tcW w:w="3007" w:type="dxa"/>
          </w:tcPr>
          <w:p w14:paraId="644F07F6" w14:textId="77777777" w:rsidR="005824A9" w:rsidRDefault="005824A9">
            <w:pPr>
              <w:pStyle w:val="Bodytextwithparaspace"/>
            </w:pPr>
            <w:r>
              <w:t>$632</w:t>
            </w:r>
          </w:p>
        </w:tc>
      </w:tr>
      <w:tr w:rsidR="005824A9" w14:paraId="70C039CD" w14:textId="77777777" w:rsidTr="005824A9">
        <w:tc>
          <w:tcPr>
            <w:tcW w:w="3006" w:type="dxa"/>
          </w:tcPr>
          <w:p w14:paraId="3277068E" w14:textId="77777777" w:rsidR="005824A9" w:rsidRDefault="00E756D1">
            <w:pPr>
              <w:pStyle w:val="Bodytextwithparaspace"/>
            </w:pPr>
            <w:r w:rsidRPr="000610C4">
              <w:rPr>
                <w:rFonts w:cs="Calibri"/>
                <w:color w:val="000000"/>
              </w:rPr>
              <w:t>03.05.05.02 - Liquid &gt;6ml</w:t>
            </w:r>
          </w:p>
        </w:tc>
        <w:tc>
          <w:tcPr>
            <w:tcW w:w="3006" w:type="dxa"/>
          </w:tcPr>
          <w:p w14:paraId="1B433893" w14:textId="77777777" w:rsidR="005824A9" w:rsidRDefault="005824A9">
            <w:pPr>
              <w:pStyle w:val="Bodytextwithparaspace"/>
            </w:pPr>
            <w:r>
              <w:t>N/A</w:t>
            </w:r>
          </w:p>
        </w:tc>
        <w:tc>
          <w:tcPr>
            <w:tcW w:w="3007" w:type="dxa"/>
          </w:tcPr>
          <w:p w14:paraId="7CDE21B6" w14:textId="77777777" w:rsidR="005824A9" w:rsidRDefault="005824A9">
            <w:pPr>
              <w:pStyle w:val="Bodytextwithparaspace"/>
            </w:pPr>
            <w:r>
              <w:t>$903</w:t>
            </w:r>
          </w:p>
        </w:tc>
      </w:tr>
    </w:tbl>
    <w:p w14:paraId="0FCD19CD" w14:textId="3C6A510C" w:rsidR="00CF7B03" w:rsidRDefault="00CF7B03" w:rsidP="008B0F6B">
      <w:pPr>
        <w:pStyle w:val="Bodytextwithparaspace"/>
        <w:spacing w:before="240"/>
      </w:pPr>
      <w:r>
        <w:t>One product in this category has been the third largest single item contributing to growth in benefits for the ‘High’ priority GM category, increasing in annual benefits by $8.8m over FY14 through FY19.</w:t>
      </w:r>
    </w:p>
    <w:p w14:paraId="6DBC6A37" w14:textId="5C4EE0A8" w:rsidR="00BF33C0" w:rsidRDefault="00D82C67" w:rsidP="008B0F6B">
      <w:pPr>
        <w:pStyle w:val="Bodytextwithparaspace"/>
        <w:spacing w:before="240"/>
      </w:pPr>
      <w:r>
        <w:t xml:space="preserve">There </w:t>
      </w:r>
      <w:r w:rsidR="003E010A">
        <w:t>wa</w:t>
      </w:r>
      <w:r>
        <w:t>s a suggestion</w:t>
      </w:r>
      <w:r w:rsidR="000E5F58">
        <w:t xml:space="preserve"> that</w:t>
      </w:r>
      <w:r w:rsidR="008B0F6B">
        <w:t xml:space="preserve"> </w:t>
      </w:r>
      <w:r w:rsidR="000E5F58">
        <w:t xml:space="preserve"> the inclusion of Thrombin in </w:t>
      </w:r>
      <w:r w:rsidR="00B86E23">
        <w:t>some liquid Matrix</w:t>
      </w:r>
      <w:r w:rsidR="000E5F58">
        <w:t xml:space="preserve"> product</w:t>
      </w:r>
      <w:r w:rsidR="00B86E23">
        <w:t>s</w:t>
      </w:r>
      <w:r w:rsidR="008B0F6B">
        <w:t xml:space="preserve"> </w:t>
      </w:r>
      <w:r w:rsidR="003E010A">
        <w:t xml:space="preserve">justified </w:t>
      </w:r>
      <w:r w:rsidR="00AF33E1">
        <w:t xml:space="preserve">the listing of this product in the ‘Complete Biomaterial’ suffix. As a consequence, the </w:t>
      </w:r>
      <w:r w:rsidR="000D4823">
        <w:t>benefit</w:t>
      </w:r>
      <w:r w:rsidR="00B86E23">
        <w:t xml:space="preserve"> amounts</w:t>
      </w:r>
      <w:r w:rsidR="00AF33E1">
        <w:t xml:space="preserve"> for th</w:t>
      </w:r>
      <w:r w:rsidR="006B6241">
        <w:t>is suffix are</w:t>
      </w:r>
      <w:r w:rsidR="00AF33E1">
        <w:t xml:space="preserve"> </w:t>
      </w:r>
      <w:r w:rsidR="000D4823">
        <w:t xml:space="preserve"> higher than the </w:t>
      </w:r>
      <w:r w:rsidR="00F652A6">
        <w:t>no suffix counterparts</w:t>
      </w:r>
      <w:r w:rsidR="00772ECE">
        <w:t>.</w:t>
      </w:r>
    </w:p>
    <w:p w14:paraId="701CD4D2" w14:textId="04036227" w:rsidR="00F127F0" w:rsidRDefault="000F4442">
      <w:pPr>
        <w:pStyle w:val="Bodytextwithparaspace"/>
        <w:spacing w:before="240"/>
      </w:pPr>
      <w:r>
        <w:t xml:space="preserve">It </w:t>
      </w:r>
      <w:r w:rsidR="003E010A">
        <w:t>was</w:t>
      </w:r>
      <w:r>
        <w:t xml:space="preserve"> suggested by consultation submissions and clinical </w:t>
      </w:r>
      <w:r w:rsidR="00DB435D">
        <w:t>subject matter resources</w:t>
      </w:r>
      <w:r w:rsidR="00BF33C0">
        <w:t xml:space="preserve"> </w:t>
      </w:r>
      <w:r>
        <w:t xml:space="preserve">that there is </w:t>
      </w:r>
      <w:r w:rsidR="00C10C13">
        <w:t xml:space="preserve">a lack of evidence supporting the clinical superiority of the use of Thrombin for patients not in low Thrombin states. Moreover, it </w:t>
      </w:r>
      <w:r w:rsidR="003E010A">
        <w:t>was</w:t>
      </w:r>
      <w:r w:rsidR="00C10C13">
        <w:t xml:space="preserve"> suggested that </w:t>
      </w:r>
      <w:r w:rsidR="00370BB4">
        <w:t xml:space="preserve">usage </w:t>
      </w:r>
      <w:r w:rsidR="00FF598B">
        <w:t xml:space="preserve">of Thrombin can even be associated with an increased chance of adverse outcomes, such as transmission of viral diseases, allergic reactions or development of antibodies. </w:t>
      </w:r>
      <w:r w:rsidR="004254C2">
        <w:t>No conclusions are drawn as to the relative clinical effectiveness of these products</w:t>
      </w:r>
      <w:r w:rsidR="00501E4B">
        <w:t xml:space="preserve"> on the basis of these comments;</w:t>
      </w:r>
      <w:r w:rsidR="004254C2">
        <w:t xml:space="preserve"> </w:t>
      </w:r>
      <w:r w:rsidR="00B82ED0">
        <w:t>however,</w:t>
      </w:r>
      <w:r w:rsidR="004254C2">
        <w:t xml:space="preserve"> this may indicate that further investigation is required. </w:t>
      </w:r>
    </w:p>
    <w:tbl>
      <w:tblPr>
        <w:tblStyle w:val="TableGrid"/>
        <w:tblW w:w="0" w:type="auto"/>
        <w:tblLook w:val="04A0" w:firstRow="1" w:lastRow="0" w:firstColumn="1" w:lastColumn="0" w:noHBand="0" w:noVBand="1"/>
        <w:tblCaption w:val="Finding 4.5.3"/>
        <w:tblDescription w:val="This table describes Finding 4.5.3&#10;There have been a number of cases where the higher cost products were used more extensively than the lower cost alternatives, potentially increasing the total benefits for the PL. In many of these cases, the pricing relativities between products appear at odds with differences in their clinical functionality.&#10;However, as noted in 0, it is difficult to determine whether the larger/more expensive versions of these items are warranted by clinical need or other efficiencies to drive better outcomes.&#10;"/>
      </w:tblPr>
      <w:tblGrid>
        <w:gridCol w:w="9019"/>
      </w:tblGrid>
      <w:tr w:rsidR="00BB5E7D" w14:paraId="491773A8" w14:textId="77777777" w:rsidTr="009C3BEC">
        <w:trPr>
          <w:tblHeader/>
        </w:trPr>
        <w:tc>
          <w:tcPr>
            <w:tcW w:w="9019" w:type="dxa"/>
            <w:shd w:val="clear" w:color="auto" w:fill="D2D2DA" w:themeFill="text1" w:themeFillTint="33"/>
          </w:tcPr>
          <w:p w14:paraId="1D1D5ED2" w14:textId="15245CED" w:rsidR="00F02250" w:rsidRDefault="00BB5E7D" w:rsidP="00F02250">
            <w:pPr>
              <w:pStyle w:val="Bodytextwithparaspace"/>
              <w:rPr>
                <w:b/>
              </w:rPr>
            </w:pPr>
            <w:r>
              <w:rPr>
                <w:b/>
              </w:rPr>
              <w:t xml:space="preserve">Finding </w:t>
            </w:r>
            <w:r>
              <w:rPr>
                <w:b/>
              </w:rPr>
              <w:fldChar w:fldCharType="begin"/>
            </w:r>
            <w:r>
              <w:rPr>
                <w:b/>
              </w:rPr>
              <w:instrText xml:space="preserve"> REF _Ref39073392 \r \h </w:instrText>
            </w:r>
            <w:r>
              <w:rPr>
                <w:b/>
              </w:rPr>
            </w:r>
            <w:r>
              <w:rPr>
                <w:b/>
              </w:rPr>
              <w:fldChar w:fldCharType="separate"/>
            </w:r>
            <w:r w:rsidR="00784DE2">
              <w:rPr>
                <w:b/>
              </w:rPr>
              <w:t>4.5.3</w:t>
            </w:r>
            <w:r>
              <w:rPr>
                <w:b/>
              </w:rPr>
              <w:fldChar w:fldCharType="end"/>
            </w:r>
          </w:p>
          <w:p w14:paraId="0ACB72BD" w14:textId="3C7C108F" w:rsidR="001968AF" w:rsidRDefault="001968AF" w:rsidP="001968AF">
            <w:pPr>
              <w:pStyle w:val="Bodytextwithparaspace"/>
            </w:pPr>
            <w:r>
              <w:t xml:space="preserve">There </w:t>
            </w:r>
            <w:r w:rsidR="0005742E">
              <w:t>have been</w:t>
            </w:r>
            <w:r w:rsidR="0005742E" w:rsidRPr="00A26B3B">
              <w:t xml:space="preserve"> </w:t>
            </w:r>
            <w:r w:rsidRPr="00A26B3B">
              <w:t xml:space="preserve">a number of cases where the higher cost products </w:t>
            </w:r>
            <w:r w:rsidR="003E010A">
              <w:t>were</w:t>
            </w:r>
            <w:r w:rsidRPr="00A26B3B">
              <w:t xml:space="preserve"> used more extensively than the lower cost alternatives, potentially increasing the total benefits for the PL.</w:t>
            </w:r>
            <w:r>
              <w:t xml:space="preserve"> In many of these</w:t>
            </w:r>
            <w:r w:rsidRPr="00A26B3B">
              <w:t xml:space="preserve"> cases</w:t>
            </w:r>
            <w:r>
              <w:t>,</w:t>
            </w:r>
            <w:r w:rsidRPr="00A26B3B">
              <w:t xml:space="preserve"> the pricing relativities between products </w:t>
            </w:r>
            <w:r>
              <w:t>appear at odds with differences in their clinical functionality.</w:t>
            </w:r>
          </w:p>
          <w:p w14:paraId="39FD64F9" w14:textId="3C934A2F" w:rsidR="00F975BB" w:rsidRPr="00F02250" w:rsidRDefault="001968AF" w:rsidP="001968AF">
            <w:pPr>
              <w:pStyle w:val="Bodytextwithparaspace"/>
            </w:pPr>
            <w:r>
              <w:t>However, as noted in</w:t>
            </w:r>
            <w:r w:rsidR="00BA4589">
              <w:t xml:space="preserve"> </w:t>
            </w:r>
            <w:r w:rsidR="00991B39" w:rsidRPr="00A26B3B">
              <w:fldChar w:fldCharType="begin"/>
            </w:r>
            <w:r w:rsidR="00991B39" w:rsidRPr="00A26B3B">
              <w:instrText xml:space="preserve"> REF _Ref38907991 \n \h </w:instrText>
            </w:r>
            <w:r w:rsidR="00C60DED">
              <w:instrText xml:space="preserve"> \* MERGEFORMAT </w:instrText>
            </w:r>
            <w:r w:rsidR="00991B39" w:rsidRPr="00A26B3B">
              <w:fldChar w:fldCharType="separate"/>
            </w:r>
            <w:r w:rsidR="00784DE2">
              <w:t>0</w:t>
            </w:r>
            <w:r w:rsidR="00991B39" w:rsidRPr="00A26B3B">
              <w:fldChar w:fldCharType="end"/>
            </w:r>
            <w:r>
              <w:t>, i</w:t>
            </w:r>
            <w:r w:rsidRPr="00A26B3B">
              <w:t>t is difficult to determine whether the larger/more expensive versions of these items are warranted by clinical need or other efficiencies to drive better outcomes</w:t>
            </w:r>
            <w:r>
              <w:t>.</w:t>
            </w:r>
          </w:p>
        </w:tc>
      </w:tr>
    </w:tbl>
    <w:p w14:paraId="23BCCDA6" w14:textId="77777777" w:rsidR="005F0486" w:rsidRPr="006031B4" w:rsidRDefault="005F0486">
      <w:pPr>
        <w:pStyle w:val="EYHeading3"/>
      </w:pPr>
      <w:bookmarkStart w:id="137" w:name="_Ref39074132"/>
      <w:r>
        <w:t xml:space="preserve">Comparison to the </w:t>
      </w:r>
      <w:r w:rsidR="008371A9">
        <w:t>p</w:t>
      </w:r>
      <w:r>
        <w:t xml:space="preserve">ublic </w:t>
      </w:r>
      <w:r w:rsidR="008371A9">
        <w:t>s</w:t>
      </w:r>
      <w:r>
        <w:t>ystem</w:t>
      </w:r>
      <w:bookmarkEnd w:id="137"/>
    </w:p>
    <w:p w14:paraId="1D2A1613" w14:textId="0EBE1BF6" w:rsidR="00866D86" w:rsidRDefault="0079545D" w:rsidP="00866D86">
      <w:pPr>
        <w:pStyle w:val="Bodytextwithparaspace"/>
      </w:pPr>
      <w:r>
        <w:t xml:space="preserve">If </w:t>
      </w:r>
      <w:r w:rsidR="00CF48D6">
        <w:t xml:space="preserve">the PL is reducing the level of competition between medical device manufacturers, the </w:t>
      </w:r>
      <w:r w:rsidR="00FC61EE">
        <w:t>benefit amount</w:t>
      </w:r>
      <w:r w:rsidR="00CF48D6">
        <w:t xml:space="preserve">s on the list </w:t>
      </w:r>
      <w:r w:rsidR="00766BED">
        <w:t>might be expected to be</w:t>
      </w:r>
      <w:r w:rsidR="009954B0">
        <w:t xml:space="preserve"> higher than those observed in the public system</w:t>
      </w:r>
      <w:r w:rsidR="00C0458A">
        <w:t xml:space="preserve"> where there is no PL equivalent funding mechanism</w:t>
      </w:r>
      <w:r w:rsidR="009954B0">
        <w:t>.</w:t>
      </w:r>
      <w:r w:rsidR="00C0458A">
        <w:t xml:space="preserve"> As such, p</w:t>
      </w:r>
      <w:r w:rsidR="00237DC8">
        <w:t xml:space="preserve">rices for similar items </w:t>
      </w:r>
      <w:r w:rsidR="00025F24">
        <w:t>were</w:t>
      </w:r>
      <w:r w:rsidR="00237DC8">
        <w:t xml:space="preserve"> </w:t>
      </w:r>
      <w:r w:rsidR="00486F29">
        <w:t xml:space="preserve">compared between the public and private system </w:t>
      </w:r>
      <w:r w:rsidR="00AB030C">
        <w:t xml:space="preserve">to assess whether this is observable for the PL. </w:t>
      </w:r>
    </w:p>
    <w:p w14:paraId="729D964A" w14:textId="583B2F7A" w:rsidR="00E867C5" w:rsidRPr="00E867C5" w:rsidRDefault="00BA15D6" w:rsidP="00A26B3B">
      <w:pPr>
        <w:spacing w:line="259" w:lineRule="auto"/>
      </w:pPr>
      <w:r>
        <w:t>However, i</w:t>
      </w:r>
      <w:r w:rsidR="00AB030C">
        <w:t xml:space="preserve">t </w:t>
      </w:r>
      <w:r w:rsidR="00025F24">
        <w:t>was</w:t>
      </w:r>
      <w:r w:rsidR="00AB030C">
        <w:t xml:space="preserve"> observed that, g</w:t>
      </w:r>
      <w:r w:rsidR="005F0486" w:rsidRPr="004759CE">
        <w:t>enerally</w:t>
      </w:r>
      <w:r>
        <w:t xml:space="preserve"> for these types of GM items</w:t>
      </w:r>
      <w:r w:rsidR="005F0486" w:rsidRPr="004759CE">
        <w:t xml:space="preserve">, public hospitals </w:t>
      </w:r>
      <w:r w:rsidR="00AB030C">
        <w:t xml:space="preserve">often </w:t>
      </w:r>
      <w:r w:rsidR="005F0486" w:rsidRPr="004759CE">
        <w:t>use</w:t>
      </w:r>
      <w:r w:rsidR="00025F24">
        <w:t>d</w:t>
      </w:r>
      <w:r w:rsidR="005F0486" w:rsidRPr="004759CE">
        <w:t xml:space="preserve"> the PL as a benchmark when setting </w:t>
      </w:r>
      <w:r w:rsidR="00866F6F">
        <w:t xml:space="preserve">the </w:t>
      </w:r>
      <w:r w:rsidR="005F0486" w:rsidRPr="004759CE">
        <w:t xml:space="preserve">prices </w:t>
      </w:r>
      <w:r w:rsidR="00866F6F">
        <w:t>which they will</w:t>
      </w:r>
      <w:r w:rsidR="005F0486" w:rsidRPr="004759CE">
        <w:t xml:space="preserve"> purchase items at. </w:t>
      </w:r>
      <w:r w:rsidR="00D2086A">
        <w:t xml:space="preserve">Evidence of this can be seen in </w:t>
      </w:r>
      <w:r w:rsidR="00D2086A">
        <w:fldChar w:fldCharType="begin"/>
      </w:r>
      <w:r w:rsidR="00D2086A">
        <w:instrText xml:space="preserve"> REF _Ref38559773 \h </w:instrText>
      </w:r>
      <w:r w:rsidR="00D2086A">
        <w:fldChar w:fldCharType="separate"/>
      </w:r>
      <w:r w:rsidR="00784DE2">
        <w:t xml:space="preserve">Figure </w:t>
      </w:r>
      <w:r w:rsidR="00784DE2">
        <w:rPr>
          <w:noProof/>
        </w:rPr>
        <w:t>23</w:t>
      </w:r>
      <w:r w:rsidR="00D2086A">
        <w:fldChar w:fldCharType="end"/>
      </w:r>
      <w:r w:rsidR="00416B3F">
        <w:t>,</w:t>
      </w:r>
      <w:r w:rsidR="00D2086A">
        <w:t xml:space="preserve"> which </w:t>
      </w:r>
      <w:r w:rsidR="00416B3F">
        <w:t>compares the p</w:t>
      </w:r>
      <w:r w:rsidR="00A0726C">
        <w:t xml:space="preserve">ublic prices for two Australian jurisdictions with the PL </w:t>
      </w:r>
      <w:r w:rsidR="00882290">
        <w:t>minimum benefit amount</w:t>
      </w:r>
      <w:r w:rsidR="00A0726C">
        <w:t>s</w:t>
      </w:r>
      <w:r w:rsidR="003C00CF">
        <w:t xml:space="preserve"> for all items in the GM category</w:t>
      </w:r>
      <w:r w:rsidR="00A0726C">
        <w:t>. It</w:t>
      </w:r>
      <w:r w:rsidR="00D2086A">
        <w:t xml:space="preserve"> shows that</w:t>
      </w:r>
      <w:r w:rsidR="005F0486" w:rsidRPr="004759CE">
        <w:t xml:space="preserve"> many </w:t>
      </w:r>
      <w:r w:rsidR="00D2086A">
        <w:t xml:space="preserve">of the </w:t>
      </w:r>
      <w:r w:rsidR="005F0486" w:rsidRPr="004759CE">
        <w:t xml:space="preserve">benchmarked items </w:t>
      </w:r>
      <w:r w:rsidR="00D2086A">
        <w:t xml:space="preserve">appear </w:t>
      </w:r>
      <w:r w:rsidR="005F0486" w:rsidRPr="004759CE">
        <w:t>along the diagonal</w:t>
      </w:r>
      <w:r w:rsidR="003C677C">
        <w:t xml:space="preserve">, </w:t>
      </w:r>
      <w:r w:rsidR="005F0486" w:rsidRPr="004759CE">
        <w:t>represent</w:t>
      </w:r>
      <w:r w:rsidR="003C677C">
        <w:t>ing</w:t>
      </w:r>
      <w:r w:rsidR="005F0486" w:rsidRPr="004759CE">
        <w:t xml:space="preserve"> close to a 1:1 relationship between the public hospital pricing and th</w:t>
      </w:r>
      <w:r w:rsidR="003C677C">
        <w:t>e</w:t>
      </w:r>
      <w:r w:rsidR="005F0486" w:rsidRPr="004759CE">
        <w:t xml:space="preserve"> PL</w:t>
      </w:r>
      <w:r w:rsidR="004759CE">
        <w:t>.</w:t>
      </w:r>
      <w:r w:rsidR="00933517" w:rsidRPr="005C78F2">
        <w:t xml:space="preserve"> However, the chart also shows exceptions where the public hospital price </w:t>
      </w:r>
      <w:r w:rsidR="00025F24">
        <w:t>wa</w:t>
      </w:r>
      <w:r w:rsidR="00025F24" w:rsidRPr="005C78F2">
        <w:t xml:space="preserve">s </w:t>
      </w:r>
      <w:r w:rsidR="00933517" w:rsidRPr="005C78F2">
        <w:t xml:space="preserve">cheaper than the PL, and instances where the public hospital prices </w:t>
      </w:r>
      <w:r w:rsidR="00025F24">
        <w:t>were</w:t>
      </w:r>
      <w:r w:rsidR="00025F24" w:rsidRPr="005C78F2">
        <w:t xml:space="preserve"> </w:t>
      </w:r>
      <w:r w:rsidR="00933517" w:rsidRPr="005C78F2">
        <w:t>more expensive</w:t>
      </w:r>
      <w:r w:rsidR="00866F6F">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Figure 23"/>
        <w:tblDescription w:val="This table presents Figure 23 - Benchmarking of GM PL item prices between public and private health systems"/>
      </w:tblPr>
      <w:tblGrid>
        <w:gridCol w:w="9019"/>
      </w:tblGrid>
      <w:tr w:rsidR="00EA304C" w14:paraId="4DB8679B" w14:textId="77777777" w:rsidTr="009C3BEC">
        <w:trPr>
          <w:tblHeader/>
        </w:trPr>
        <w:tc>
          <w:tcPr>
            <w:tcW w:w="9019" w:type="dxa"/>
          </w:tcPr>
          <w:p w14:paraId="43CA94B9" w14:textId="4F13CB8D" w:rsidR="00EA304C" w:rsidRDefault="00EA304C" w:rsidP="00A26B3B">
            <w:pPr>
              <w:pStyle w:val="Caption"/>
              <w:keepNext/>
            </w:pPr>
            <w:bookmarkStart w:id="138" w:name="_Ref38559773"/>
            <w:r>
              <w:t xml:space="preserve">Figure </w:t>
            </w:r>
            <w:r w:rsidR="00FC6370">
              <w:fldChar w:fldCharType="begin"/>
            </w:r>
            <w:r w:rsidR="00FC6370">
              <w:instrText xml:space="preserve"> SEQ Figure \* ARABIC </w:instrText>
            </w:r>
            <w:r w:rsidR="00FC6370">
              <w:fldChar w:fldCharType="separate"/>
            </w:r>
            <w:r w:rsidR="00784DE2">
              <w:rPr>
                <w:noProof/>
              </w:rPr>
              <w:t>23</w:t>
            </w:r>
            <w:r w:rsidR="00FC6370">
              <w:rPr>
                <w:noProof/>
              </w:rPr>
              <w:fldChar w:fldCharType="end"/>
            </w:r>
            <w:bookmarkEnd w:id="138"/>
            <w:r w:rsidR="00D37874">
              <w:t xml:space="preserve"> – </w:t>
            </w:r>
            <w:r w:rsidR="00420704">
              <w:t>Benchmarking</w:t>
            </w:r>
            <w:r w:rsidR="00D37874">
              <w:t xml:space="preserve"> </w:t>
            </w:r>
            <w:r w:rsidR="002B1E5B">
              <w:t>of</w:t>
            </w:r>
            <w:r w:rsidR="00D37874">
              <w:t xml:space="preserve"> </w:t>
            </w:r>
            <w:r w:rsidR="003C00CF">
              <w:t>GM</w:t>
            </w:r>
            <w:r w:rsidR="00D37874">
              <w:t xml:space="preserve"> </w:t>
            </w:r>
            <w:r w:rsidR="00420704">
              <w:t>PL</w:t>
            </w:r>
            <w:r w:rsidR="00D37874">
              <w:t xml:space="preserve"> </w:t>
            </w:r>
            <w:r w:rsidR="002B1E5B">
              <w:t>item prices</w:t>
            </w:r>
            <w:r w:rsidR="00420704">
              <w:t xml:space="preserve"> between </w:t>
            </w:r>
            <w:r w:rsidR="00D37874">
              <w:t xml:space="preserve">public and private </w:t>
            </w:r>
            <w:r w:rsidR="00420704">
              <w:t>health systems</w:t>
            </w:r>
          </w:p>
        </w:tc>
      </w:tr>
      <w:tr w:rsidR="00EA304C" w14:paraId="54922B22" w14:textId="77777777" w:rsidTr="00A26B3B">
        <w:tc>
          <w:tcPr>
            <w:tcW w:w="9019" w:type="dxa"/>
          </w:tcPr>
          <w:p w14:paraId="366B7C73" w14:textId="6FABCBE7" w:rsidR="00EA304C" w:rsidRDefault="001301C4" w:rsidP="004759CE">
            <w:pPr>
              <w:pStyle w:val="Bodytextwithparaspace"/>
            </w:pPr>
            <w:r>
              <w:rPr>
                <w:noProof/>
                <w:lang w:val="en-AU" w:eastAsia="en-AU"/>
              </w:rPr>
              <w:drawing>
                <wp:inline distT="0" distB="0" distL="0" distR="0" wp14:anchorId="6FF1D856" wp14:editId="71DE271F">
                  <wp:extent cx="4426585" cy="3290727"/>
                  <wp:effectExtent l="0" t="0" r="0" b="5080"/>
                  <wp:docPr id="29" name="Picture 29" descr="This figure graphically presents price differences between public and private hospitals for items in the General Miscellaneous Category. " title="Figure 23 - Benchmarking of GM PL item prices between public and private health sys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437929" cy="3299160"/>
                          </a:xfrm>
                          <a:prstGeom prst="rect">
                            <a:avLst/>
                          </a:prstGeom>
                          <a:noFill/>
                        </pic:spPr>
                      </pic:pic>
                    </a:graphicData>
                  </a:graphic>
                </wp:inline>
              </w:drawing>
            </w:r>
          </w:p>
        </w:tc>
      </w:tr>
    </w:tbl>
    <w:p w14:paraId="068D8BA6" w14:textId="21EEC5A6" w:rsidR="005F0486" w:rsidRPr="0021582D" w:rsidRDefault="005F0486">
      <w:pPr>
        <w:pStyle w:val="Bodytextwithparaspace"/>
      </w:pPr>
      <w:r w:rsidRPr="007E2DED">
        <w:t xml:space="preserve">In </w:t>
      </w:r>
      <w:r w:rsidR="00A0726C">
        <w:t>general</w:t>
      </w:r>
      <w:r w:rsidRPr="007E2DED">
        <w:t xml:space="preserve">, cheaper </w:t>
      </w:r>
      <w:r w:rsidR="002A76E0">
        <w:t xml:space="preserve">public </w:t>
      </w:r>
      <w:r w:rsidRPr="007E2DED">
        <w:t xml:space="preserve">pricing </w:t>
      </w:r>
      <w:r w:rsidR="006860C4">
        <w:t xml:space="preserve">generally </w:t>
      </w:r>
      <w:r w:rsidR="00025F24" w:rsidRPr="007E2DED">
        <w:t>occur</w:t>
      </w:r>
      <w:r w:rsidR="00025F24">
        <w:t>red</w:t>
      </w:r>
      <w:r w:rsidR="00025F24" w:rsidRPr="007E2DED">
        <w:t xml:space="preserve"> </w:t>
      </w:r>
      <w:r w:rsidRPr="007E2DED">
        <w:t xml:space="preserve">for </w:t>
      </w:r>
      <w:r w:rsidR="00855B88">
        <w:t xml:space="preserve">lower cost </w:t>
      </w:r>
      <w:r w:rsidRPr="007E2DED">
        <w:t xml:space="preserve">items that </w:t>
      </w:r>
      <w:r w:rsidR="00025F24">
        <w:t>we</w:t>
      </w:r>
      <w:r w:rsidR="00025F24" w:rsidRPr="007E2DED">
        <w:t>re</w:t>
      </w:r>
      <w:r w:rsidR="00025F24" w:rsidRPr="00A26B3B">
        <w:t xml:space="preserve"> </w:t>
      </w:r>
      <w:r w:rsidR="006860C4">
        <w:t xml:space="preserve">purchased in high volumes. These items are either </w:t>
      </w:r>
      <w:r w:rsidR="00336888" w:rsidRPr="00A26B3B">
        <w:t>high volume and fast-moving, or items where market share</w:t>
      </w:r>
      <w:r w:rsidR="006860C4">
        <w:t xml:space="preserve"> or </w:t>
      </w:r>
      <w:r w:rsidR="00336888" w:rsidRPr="00A26B3B">
        <w:t>volume commitment arrangements between the supplier and the public system ha</w:t>
      </w:r>
      <w:r w:rsidR="00617EB0">
        <w:t>ve</w:t>
      </w:r>
      <w:r w:rsidR="00336888" w:rsidRPr="00A26B3B">
        <w:t xml:space="preserve"> resulted in</w:t>
      </w:r>
      <w:r w:rsidR="00336888">
        <w:t xml:space="preserve"> </w:t>
      </w:r>
      <w:r w:rsidR="00212F68">
        <w:t>reductions in prices below either the PL minimum benefit amount, or the price normally offered by manufacturers to hospitals.</w:t>
      </w:r>
      <w:r w:rsidR="00C0458A">
        <w:t xml:space="preserve"> Additional detail is included in </w:t>
      </w:r>
      <w:r w:rsidR="00C0458A">
        <w:fldChar w:fldCharType="begin"/>
      </w:r>
      <w:r w:rsidR="00C0458A">
        <w:instrText xml:space="preserve"> REF _Ref39822297 \r \h </w:instrText>
      </w:r>
      <w:r w:rsidR="00C0458A">
        <w:fldChar w:fldCharType="separate"/>
      </w:r>
      <w:r w:rsidR="00784DE2">
        <w:t>Appendix C</w:t>
      </w:r>
      <w:r w:rsidR="00C0458A">
        <w:fldChar w:fldCharType="end"/>
      </w:r>
      <w:r w:rsidR="00C0458A">
        <w:t>.</w:t>
      </w:r>
    </w:p>
    <w:p w14:paraId="7F33200A" w14:textId="77777777" w:rsidR="00212F68" w:rsidRPr="0021582D" w:rsidRDefault="00514CDD" w:rsidP="000736A8">
      <w:pPr>
        <w:pStyle w:val="EYHeading4"/>
      </w:pPr>
      <w:r>
        <w:t>High volume and fast-moving items</w:t>
      </w:r>
    </w:p>
    <w:p w14:paraId="13B32AA1" w14:textId="237948D2" w:rsidR="00A505EF" w:rsidRDefault="00A370CD" w:rsidP="00A505EF">
      <w:pPr>
        <w:pStyle w:val="Bodytextwithparaspace"/>
      </w:pPr>
      <w:r>
        <w:t xml:space="preserve">An example </w:t>
      </w:r>
      <w:r w:rsidR="001F362A">
        <w:t>of a</w:t>
      </w:r>
      <w:r w:rsidR="00BE5914">
        <w:t xml:space="preserve">n item that is priced lower in the public system due to </w:t>
      </w:r>
      <w:r w:rsidR="00CE2B94">
        <w:t xml:space="preserve">significant </w:t>
      </w:r>
      <w:r w:rsidR="007E1AF4">
        <w:t xml:space="preserve">volumes in purchase orders </w:t>
      </w:r>
      <w:r w:rsidR="002B0C2F">
        <w:t>was seen for a product w</w:t>
      </w:r>
      <w:r w:rsidR="0042234D">
        <w:t>ithin the ‘Laparoscopic’ suffix of the subgroup ‘</w:t>
      </w:r>
      <w:r w:rsidR="0042234D" w:rsidRPr="0042234D">
        <w:t>03.08.03.03 - Clips with Disposable Applier</w:t>
      </w:r>
      <w:r w:rsidR="0042234D">
        <w:t>’</w:t>
      </w:r>
      <w:r w:rsidR="00025F24">
        <w:t>.</w:t>
      </w:r>
      <w:r w:rsidR="007831BB">
        <w:t xml:space="preserve"> I</w:t>
      </w:r>
      <w:r w:rsidR="000D0508">
        <w:t xml:space="preserve">n </w:t>
      </w:r>
      <w:r w:rsidR="00C0458A">
        <w:t xml:space="preserve">one of the </w:t>
      </w:r>
      <w:r w:rsidR="00475697">
        <w:t>public health system</w:t>
      </w:r>
      <w:r w:rsidR="00C0458A">
        <w:t>s analysed</w:t>
      </w:r>
      <w:r w:rsidR="00475697">
        <w:t xml:space="preserve">, this </w:t>
      </w:r>
      <w:r w:rsidR="005514B4">
        <w:t>item accounts for</w:t>
      </w:r>
      <w:r w:rsidR="00DF644F">
        <w:t xml:space="preserve"> 87% of the items purchased in the ‘Laparoscopic’ suffix</w:t>
      </w:r>
      <w:r w:rsidR="00C0458A">
        <w:t xml:space="preserve"> between FY17 and FY19</w:t>
      </w:r>
      <w:r w:rsidR="00DF644F">
        <w:t xml:space="preserve">. </w:t>
      </w:r>
      <w:r w:rsidR="00C0458A">
        <w:t>D</w:t>
      </w:r>
      <w:r w:rsidR="00DF644F">
        <w:t xml:space="preserve">ue to the high volume of items purchased by this public health system, the </w:t>
      </w:r>
      <w:r w:rsidR="00D45CDA">
        <w:t xml:space="preserve">items </w:t>
      </w:r>
      <w:r w:rsidR="00C0458A">
        <w:t xml:space="preserve">were purchased </w:t>
      </w:r>
      <w:r w:rsidR="00D45CDA">
        <w:t xml:space="preserve">at </w:t>
      </w:r>
      <w:r w:rsidR="00AE1B14">
        <w:t xml:space="preserve">a saving of </w:t>
      </w:r>
      <w:r w:rsidR="000115FE">
        <w:t xml:space="preserve">69% </w:t>
      </w:r>
      <w:r w:rsidR="00A861EC">
        <w:t>compared to the minimum benefit amount on the PL.</w:t>
      </w:r>
    </w:p>
    <w:p w14:paraId="5B772D44" w14:textId="77777777" w:rsidR="00E55105" w:rsidRDefault="001F304B" w:rsidP="000736A8">
      <w:pPr>
        <w:pStyle w:val="EYHeading4"/>
      </w:pPr>
      <w:r>
        <w:t>Market share or volume commitment</w:t>
      </w:r>
      <w:r w:rsidR="008801C0">
        <w:t>s</w:t>
      </w:r>
    </w:p>
    <w:p w14:paraId="06106E30" w14:textId="77777777" w:rsidR="001F304B" w:rsidRDefault="009047C9" w:rsidP="001F304B">
      <w:pPr>
        <w:pStyle w:val="Bodytextwithparaspace"/>
      </w:pPr>
      <w:r>
        <w:t xml:space="preserve">A more common mechanism used </w:t>
      </w:r>
      <w:r w:rsidR="00420351">
        <w:t>by public health systems to achieve lower prices for items is to negotiate market share or volume commitment arrangements with the manufacturer.</w:t>
      </w:r>
      <w:r w:rsidR="0010077A">
        <w:t xml:space="preserve"> Health systems </w:t>
      </w:r>
      <w:r w:rsidR="006712C3">
        <w:t xml:space="preserve">will commonly use a competitive tendering process to acquire items </w:t>
      </w:r>
      <w:r w:rsidR="008C6EEF">
        <w:t>that are required</w:t>
      </w:r>
      <w:r w:rsidR="00057B9A">
        <w:t>. In some cases,</w:t>
      </w:r>
      <w:r w:rsidR="008C6EEF">
        <w:t xml:space="preserve"> as part of this</w:t>
      </w:r>
      <w:r w:rsidR="00A13BB8">
        <w:t xml:space="preserve"> procurement process, a commitment </w:t>
      </w:r>
      <w:r w:rsidR="00855CF6">
        <w:t xml:space="preserve">relating to volumes or market share </w:t>
      </w:r>
      <w:r w:rsidR="007D49FD">
        <w:t xml:space="preserve">is made </w:t>
      </w:r>
      <w:r w:rsidR="00155A0D">
        <w:t xml:space="preserve">that </w:t>
      </w:r>
      <w:r w:rsidR="006955E8">
        <w:t xml:space="preserve">results in lower prices </w:t>
      </w:r>
      <w:r w:rsidR="00057B9A">
        <w:t xml:space="preserve">being offered by the manufacturer for the product in question. </w:t>
      </w:r>
    </w:p>
    <w:p w14:paraId="3F5FCACE" w14:textId="0A6984A2" w:rsidR="00057B9A" w:rsidRDefault="00B321EA" w:rsidP="001F304B">
      <w:pPr>
        <w:pStyle w:val="Bodytextwithparaspace"/>
      </w:pPr>
      <w:r>
        <w:t xml:space="preserve">Items </w:t>
      </w:r>
      <w:r w:rsidR="001243C3">
        <w:t xml:space="preserve">that were benchmarked </w:t>
      </w:r>
      <w:r>
        <w:t xml:space="preserve">in </w:t>
      </w:r>
      <w:r w:rsidR="00F8239E">
        <w:t>the group ’03.05.0</w:t>
      </w:r>
      <w:r>
        <w:t>2</w:t>
      </w:r>
      <w:r w:rsidR="00F8239E">
        <w:t xml:space="preserve"> – Powder’ </w:t>
      </w:r>
      <w:r w:rsidR="001243C3">
        <w:t xml:space="preserve">were found to be </w:t>
      </w:r>
      <w:r w:rsidR="002913C1">
        <w:t>between 5% and 62% more expensive</w:t>
      </w:r>
      <w:r w:rsidR="001243C3">
        <w:t xml:space="preserve"> in the public health system </w:t>
      </w:r>
      <w:r w:rsidR="002913C1">
        <w:t xml:space="preserve">when compared to the PL minimum benefit amount for those items. However, </w:t>
      </w:r>
      <w:r w:rsidR="008C31BC">
        <w:t xml:space="preserve">where a market share commitment was made for </w:t>
      </w:r>
      <w:r w:rsidR="00BD3AE2">
        <w:t>one powder product</w:t>
      </w:r>
      <w:r w:rsidR="00792636">
        <w:t xml:space="preserve">, the price for the public health system was </w:t>
      </w:r>
      <w:r w:rsidR="00E83641">
        <w:t xml:space="preserve">lowered to a </w:t>
      </w:r>
      <w:r w:rsidR="00F87212">
        <w:t xml:space="preserve">price </w:t>
      </w:r>
      <w:r w:rsidR="00E83641">
        <w:t xml:space="preserve">35% </w:t>
      </w:r>
      <w:r w:rsidR="00F87212">
        <w:t>less than its</w:t>
      </w:r>
      <w:r w:rsidR="00E83641">
        <w:t xml:space="preserve"> PL</w:t>
      </w:r>
      <w:r w:rsidR="00897A21">
        <w:t xml:space="preserve"> minimum benefit amount</w:t>
      </w:r>
      <w:r w:rsidR="00E83641">
        <w:t>.</w:t>
      </w:r>
    </w:p>
    <w:p w14:paraId="58F4107C" w14:textId="52FE47A0" w:rsidR="00E83641" w:rsidRDefault="00EE5AC1" w:rsidP="001F304B">
      <w:pPr>
        <w:pStyle w:val="Bodytextwithparaspace"/>
      </w:pPr>
      <w:r>
        <w:t>In another example,</w:t>
      </w:r>
      <w:r w:rsidR="00682CD1">
        <w:t xml:space="preserve"> one of the</w:t>
      </w:r>
      <w:r>
        <w:t xml:space="preserve"> items </w:t>
      </w:r>
      <w:r w:rsidR="00366436">
        <w:t>under</w:t>
      </w:r>
      <w:r>
        <w:t xml:space="preserve"> the </w:t>
      </w:r>
      <w:r w:rsidR="00366436">
        <w:t>‘Complex’ suffix in the subgroup ‘</w:t>
      </w:r>
      <w:r w:rsidR="00E63BD9" w:rsidRPr="00E63BD9">
        <w:t>03.08.01.04 - Gel/Liquid</w:t>
      </w:r>
      <w:r w:rsidR="00E63BD9">
        <w:t xml:space="preserve">’ </w:t>
      </w:r>
      <w:r w:rsidR="009D25AE">
        <w:t xml:space="preserve">was provided to one public health system </w:t>
      </w:r>
      <w:r w:rsidR="00682CD1">
        <w:t xml:space="preserve">at </w:t>
      </w:r>
      <w:r w:rsidR="009D25AE">
        <w:t xml:space="preserve">a </w:t>
      </w:r>
      <w:r w:rsidR="00790B78">
        <w:t>20% reduction on the PL minimum benefit amount, without any</w:t>
      </w:r>
      <w:r w:rsidR="00AF12CC">
        <w:t xml:space="preserve"> market share </w:t>
      </w:r>
      <w:r w:rsidR="006E3F75">
        <w:t xml:space="preserve">or volume commitment </w:t>
      </w:r>
      <w:r w:rsidR="00AF12CC">
        <w:t xml:space="preserve">arrangements in place. </w:t>
      </w:r>
      <w:r w:rsidR="006E3F75">
        <w:t>I</w:t>
      </w:r>
      <w:r w:rsidR="00AF12CC">
        <w:t xml:space="preserve">f a hospital </w:t>
      </w:r>
      <w:r w:rsidR="00121CE7">
        <w:t xml:space="preserve">within that public health system </w:t>
      </w:r>
      <w:r w:rsidR="00FF5791">
        <w:t xml:space="preserve">was able to provide </w:t>
      </w:r>
      <w:r w:rsidR="00DD3781">
        <w:t xml:space="preserve">the vendor </w:t>
      </w:r>
      <w:r w:rsidR="00FF5791">
        <w:t xml:space="preserve">with a </w:t>
      </w:r>
      <w:r w:rsidR="00515C9F">
        <w:t xml:space="preserve">significant volume of market share in that product group, </w:t>
      </w:r>
      <w:r w:rsidR="00DD3781">
        <w:t>the price</w:t>
      </w:r>
      <w:r w:rsidR="00EA461A">
        <w:t xml:space="preserve"> would </w:t>
      </w:r>
      <w:r w:rsidR="006E3F75">
        <w:t xml:space="preserve">further </w:t>
      </w:r>
      <w:r w:rsidR="00EA461A">
        <w:t>reduce</w:t>
      </w:r>
      <w:r w:rsidR="00682CD1">
        <w:t xml:space="preserve"> by 10%.</w:t>
      </w:r>
      <w:r w:rsidR="00EA461A">
        <w:t xml:space="preserve"> </w:t>
      </w:r>
    </w:p>
    <w:p w14:paraId="2629421C" w14:textId="0DE6A5FD" w:rsidR="00841B3F" w:rsidRDefault="00786414" w:rsidP="001F304B">
      <w:pPr>
        <w:pStyle w:val="Bodytextwithparaspace"/>
      </w:pPr>
      <w:r>
        <w:t xml:space="preserve">Further evidence of </w:t>
      </w:r>
      <w:r w:rsidR="006269BB">
        <w:t xml:space="preserve">volume-based discounting </w:t>
      </w:r>
      <w:r w:rsidR="00740A99">
        <w:t xml:space="preserve">is </w:t>
      </w:r>
      <w:r w:rsidR="00C662DC">
        <w:t xml:space="preserve">shown with </w:t>
      </w:r>
      <w:r w:rsidR="009F5BE4">
        <w:t xml:space="preserve">a </w:t>
      </w:r>
      <w:r w:rsidR="00C662DC">
        <w:t>product</w:t>
      </w:r>
      <w:r w:rsidR="009D22F0">
        <w:t xml:space="preserve"> in the subgroup ’03.02.05.02 – Administration Cassette’.</w:t>
      </w:r>
      <w:r w:rsidR="00C662DC">
        <w:t xml:space="preserve"> </w:t>
      </w:r>
      <w:r w:rsidR="00353DDE">
        <w:t>In this case,</w:t>
      </w:r>
      <w:r w:rsidR="00883E19">
        <w:t xml:space="preserve"> out of all items benchmarked, this product accounts for 42% of the items purchased by a public health system in the subgroup</w:t>
      </w:r>
      <w:r w:rsidR="00F53C21">
        <w:t>.</w:t>
      </w:r>
      <w:r w:rsidR="00C662DC">
        <w:t xml:space="preserve"> </w:t>
      </w:r>
      <w:r w:rsidR="001F2B92">
        <w:t xml:space="preserve">The one-off, non-committal prices offered to the public health system by </w:t>
      </w:r>
      <w:r w:rsidR="009D22F0">
        <w:t>the vendor</w:t>
      </w:r>
      <w:r w:rsidR="001F2B92">
        <w:t xml:space="preserve"> for this item was similar to the minimum benefit amount for items in this subgroup on the PL.</w:t>
      </w:r>
      <w:r w:rsidR="00270597">
        <w:t xml:space="preserve"> </w:t>
      </w:r>
      <w:r w:rsidR="00EB4B73">
        <w:t xml:space="preserve">However, with an increased volume commitment from a hospital within this health system, </w:t>
      </w:r>
      <w:r w:rsidR="009D22F0">
        <w:t>the vendor</w:t>
      </w:r>
      <w:r w:rsidR="00EB4B73">
        <w:t xml:space="preserve"> discounted the price of the product </w:t>
      </w:r>
      <w:r w:rsidR="00682CD1">
        <w:t>by 56%</w:t>
      </w:r>
      <w:r w:rsidR="00EB4B73">
        <w:t xml:space="preserve">. In this </w:t>
      </w:r>
      <w:r w:rsidR="00656FD6">
        <w:t>sub</w:t>
      </w:r>
      <w:r w:rsidR="00EB4B73">
        <w:t xml:space="preserve">group, </w:t>
      </w:r>
      <w:r w:rsidR="003B649D">
        <w:t xml:space="preserve">another </w:t>
      </w:r>
      <w:r w:rsidR="00EB4B73">
        <w:t xml:space="preserve">product </w:t>
      </w:r>
      <w:r w:rsidR="003B649D">
        <w:t xml:space="preserve">from a </w:t>
      </w:r>
      <w:r w:rsidR="004C1CC3">
        <w:t xml:space="preserve">separate vendor </w:t>
      </w:r>
      <w:r w:rsidR="00656FD6">
        <w:t>is also used</w:t>
      </w:r>
      <w:r w:rsidR="005D6B9B">
        <w:t xml:space="preserve"> by the public health system</w:t>
      </w:r>
      <w:r w:rsidR="00FF02E1">
        <w:t xml:space="preserve">. </w:t>
      </w:r>
      <w:r w:rsidR="00FA09BA">
        <w:t xml:space="preserve">Even without any volume commitments, this product is offered to the public health system at a price </w:t>
      </w:r>
      <w:r w:rsidR="00682CD1">
        <w:t>58% lower than the</w:t>
      </w:r>
      <w:r w:rsidR="00FB252D">
        <w:t xml:space="preserve"> minimum benefit amount on the PL.</w:t>
      </w:r>
    </w:p>
    <w:p w14:paraId="17D9F694" w14:textId="77777777" w:rsidR="003B4F06" w:rsidRDefault="00841B3F" w:rsidP="000736A8">
      <w:pPr>
        <w:pStyle w:val="EYHeading4"/>
      </w:pPr>
      <w:r>
        <w:t>Low volume items</w:t>
      </w:r>
      <w:r w:rsidR="00FA09BA">
        <w:t xml:space="preserve"> </w:t>
      </w:r>
    </w:p>
    <w:p w14:paraId="1FD54D68" w14:textId="10DF45B5" w:rsidR="007E6DD0" w:rsidRDefault="007E6DD0" w:rsidP="007E6DD0">
      <w:pPr>
        <w:pStyle w:val="Bodytextwithparaspace"/>
      </w:pPr>
      <w:r>
        <w:t xml:space="preserve">The above examples all show that, when there are either high volumes or the possibility of high volumes or significant market share, manufacturers can offer products at a price that is lower than the minimum benefit amount of the item on the PL. Conversely, items with low volumes can </w:t>
      </w:r>
      <w:r w:rsidR="009B4155">
        <w:t xml:space="preserve">experience more expensive pricing. </w:t>
      </w:r>
      <w:r w:rsidR="003C5B43">
        <w:t xml:space="preserve">For example, </w:t>
      </w:r>
      <w:r w:rsidR="000E0907">
        <w:t xml:space="preserve">of all the items benchmarked, </w:t>
      </w:r>
      <w:r w:rsidR="003C5B43">
        <w:t xml:space="preserve">the </w:t>
      </w:r>
      <w:r w:rsidR="00BA693F">
        <w:t xml:space="preserve">group </w:t>
      </w:r>
      <w:r w:rsidR="00513D6A">
        <w:t xml:space="preserve">’03.05.03 – Sponges’ </w:t>
      </w:r>
      <w:r w:rsidR="0053099C">
        <w:t>appears to have</w:t>
      </w:r>
      <w:r w:rsidR="00513D6A">
        <w:t xml:space="preserve"> very little usage in </w:t>
      </w:r>
      <w:r w:rsidR="0053099C">
        <w:t>either of the</w:t>
      </w:r>
      <w:r w:rsidR="00513D6A">
        <w:t xml:space="preserve"> public health systems</w:t>
      </w:r>
      <w:r w:rsidR="00C0458A">
        <w:t xml:space="preserve"> analysed</w:t>
      </w:r>
      <w:r w:rsidR="0053099C">
        <w:t xml:space="preserve">. </w:t>
      </w:r>
      <w:r w:rsidR="003167A8">
        <w:t xml:space="preserve">For items in this group, the </w:t>
      </w:r>
      <w:r w:rsidR="00AE6EE6">
        <w:t xml:space="preserve">prices in the public system are </w:t>
      </w:r>
      <w:r w:rsidR="003B3BD7">
        <w:t xml:space="preserve">generally </w:t>
      </w:r>
      <w:r w:rsidR="00AE6EE6">
        <w:t xml:space="preserve">more expensive than the minimum benefit amount on the PL. </w:t>
      </w:r>
      <w:r w:rsidR="00AF555C">
        <w:t xml:space="preserve">Within </w:t>
      </w:r>
      <w:r w:rsidR="00C73D93">
        <w:t xml:space="preserve">one of </w:t>
      </w:r>
      <w:r w:rsidR="00AF555C">
        <w:t>the public health system</w:t>
      </w:r>
      <w:r w:rsidR="00C73D93">
        <w:t>s</w:t>
      </w:r>
      <w:r w:rsidR="00682CD1">
        <w:t>,</w:t>
      </w:r>
      <w:r w:rsidR="00FA3C1C">
        <w:t xml:space="preserve"> where 6 different items had some volume of product purchased,</w:t>
      </w:r>
      <w:r w:rsidR="00C73D93">
        <w:t xml:space="preserve"> 5 </w:t>
      </w:r>
      <w:r w:rsidR="00FA3C1C">
        <w:t xml:space="preserve">out of the </w:t>
      </w:r>
      <w:r w:rsidR="00C73D93">
        <w:t>6 items</w:t>
      </w:r>
      <w:r w:rsidR="00A54493">
        <w:t xml:space="preserve"> </w:t>
      </w:r>
      <w:r w:rsidR="0018113A">
        <w:t xml:space="preserve">were </w:t>
      </w:r>
      <w:r w:rsidR="00A54493">
        <w:t xml:space="preserve">more expensive </w:t>
      </w:r>
      <w:r w:rsidR="001E5515">
        <w:t>in the public health system than the PL.</w:t>
      </w:r>
    </w:p>
    <w:p w14:paraId="550746C0" w14:textId="77777777" w:rsidR="00EC1DB7" w:rsidRDefault="00D4519F" w:rsidP="000736A8">
      <w:pPr>
        <w:pStyle w:val="EYHeading4"/>
      </w:pPr>
      <w:r>
        <w:t>Overall findings</w:t>
      </w:r>
    </w:p>
    <w:p w14:paraId="133227E4" w14:textId="4C6D49D9" w:rsidR="007C1D1E" w:rsidRDefault="00D60099" w:rsidP="00D4519F">
      <w:pPr>
        <w:pStyle w:val="Bodytextwithparaspace"/>
      </w:pPr>
      <w:r>
        <w:t xml:space="preserve">The benchmarking of the prices in </w:t>
      </w:r>
      <w:r w:rsidR="00C0458A">
        <w:t xml:space="preserve">two different Australian </w:t>
      </w:r>
      <w:r>
        <w:t>public health</w:t>
      </w:r>
      <w:r w:rsidR="00C0458A">
        <w:t xml:space="preserve"> jurisdiction</w:t>
      </w:r>
      <w:r>
        <w:t xml:space="preserve"> systems against the PL </w:t>
      </w:r>
      <w:r w:rsidR="00682CD1">
        <w:t xml:space="preserve">provided </w:t>
      </w:r>
      <w:r w:rsidR="008949FA">
        <w:t>several</w:t>
      </w:r>
      <w:r>
        <w:t xml:space="preserve"> </w:t>
      </w:r>
      <w:r w:rsidR="00650CDB">
        <w:t xml:space="preserve">key findings. Firstly, </w:t>
      </w:r>
      <w:r w:rsidR="007C1D1E">
        <w:t xml:space="preserve">because of the competitive tendering process, if </w:t>
      </w:r>
      <w:r w:rsidR="00650CDB">
        <w:t xml:space="preserve">health systems can purchase a product in high volumes or can commit to purchasing a high volume of that product or providing a significant market </w:t>
      </w:r>
      <w:r w:rsidR="00D20924">
        <w:t xml:space="preserve">share to a manufacturer for that product segment, </w:t>
      </w:r>
      <w:r w:rsidR="00D52F98">
        <w:t>then significant discounts can be achieved. This can result in t</w:t>
      </w:r>
      <w:r w:rsidR="00D20924">
        <w:t xml:space="preserve">he prices of items in the public health system </w:t>
      </w:r>
      <w:r w:rsidR="00D52F98">
        <w:t>being cheaper</w:t>
      </w:r>
      <w:r w:rsidR="00D20924">
        <w:t xml:space="preserve"> than the</w:t>
      </w:r>
      <w:r w:rsidR="00D52F98">
        <w:t xml:space="preserve"> benefit amounts on the</w:t>
      </w:r>
      <w:r w:rsidR="00D20924">
        <w:t xml:space="preserve"> PL</w:t>
      </w:r>
      <w:r w:rsidR="007C1D1E">
        <w:t>.</w:t>
      </w:r>
      <w:r w:rsidR="00D75DEE">
        <w:t xml:space="preserve"> </w:t>
      </w:r>
      <w:r w:rsidR="00C12A51">
        <w:t>However, items that are purchased in smaller volumes where volume commitments cannot be offered</w:t>
      </w:r>
      <w:r w:rsidR="00D75DEE">
        <w:t xml:space="preserve"> can be more expensive</w:t>
      </w:r>
      <w:r w:rsidR="00D52F98">
        <w:t xml:space="preserve"> than the benefit amounts on the PL</w:t>
      </w:r>
      <w:r w:rsidR="00682CD1">
        <w:t>.</w:t>
      </w:r>
    </w:p>
    <w:p w14:paraId="06311E23" w14:textId="5DD61454" w:rsidR="00D75DEE" w:rsidRDefault="00D75DEE" w:rsidP="00D4519F">
      <w:pPr>
        <w:pStyle w:val="Bodytextwithparaspace"/>
      </w:pPr>
      <w:r>
        <w:t xml:space="preserve">The implications from this is that where private hospital </w:t>
      </w:r>
      <w:r w:rsidR="00682CD1">
        <w:t xml:space="preserve">groups </w:t>
      </w:r>
      <w:r>
        <w:t>can</w:t>
      </w:r>
      <w:r w:rsidR="0085450E">
        <w:t xml:space="preserve"> either purchase items in a large quantity or provide a commitment to doing so, either because the private hospital </w:t>
      </w:r>
      <w:r w:rsidR="00682CD1">
        <w:t xml:space="preserve">group </w:t>
      </w:r>
      <w:r w:rsidR="0085450E">
        <w:t xml:space="preserve">is large enough or because the </w:t>
      </w:r>
      <w:r w:rsidR="00FB03A8">
        <w:t>item is used often enough in the</w:t>
      </w:r>
      <w:r w:rsidR="00682CD1">
        <w:t>ir</w:t>
      </w:r>
      <w:r w:rsidR="00FB03A8">
        <w:t xml:space="preserve"> private hospital</w:t>
      </w:r>
      <w:r w:rsidR="00682CD1">
        <w:t>s</w:t>
      </w:r>
      <w:r w:rsidR="00FB03A8">
        <w:t xml:space="preserve">, the competitive tendering process along with volume commitments can result in significant discounts and savings for </w:t>
      </w:r>
      <w:r w:rsidR="00B804E3">
        <w:t>the private health system</w:t>
      </w:r>
      <w:r w:rsidR="00FB03A8">
        <w:t xml:space="preserve"> for these items. However, items that are purchased at smaller quantities due to the private hospital being smaller</w:t>
      </w:r>
      <w:r w:rsidR="00A03ADD">
        <w:t>, the item being used less often, or a combination of both can</w:t>
      </w:r>
      <w:r>
        <w:t xml:space="preserve"> </w:t>
      </w:r>
      <w:r w:rsidR="00B804E3">
        <w:t>end up being more expensive without the PL to set a price.</w:t>
      </w:r>
      <w:r w:rsidR="005E7430">
        <w:t xml:space="preserve"> This could be particularly concerning for the viability and continued operation of smaller private hospitals and private hospital owners.</w:t>
      </w:r>
    </w:p>
    <w:p w14:paraId="255DE30F" w14:textId="345256FB" w:rsidR="00C1237E" w:rsidRDefault="005E7430" w:rsidP="005F0486">
      <w:pPr>
        <w:pStyle w:val="Bodytextwithparaspace"/>
      </w:pPr>
      <w:r>
        <w:t xml:space="preserve">Additionally, it is important to note </w:t>
      </w:r>
      <w:r w:rsidR="00B73E1B">
        <w:t xml:space="preserve">the importance of the PL in </w:t>
      </w:r>
      <w:r w:rsidR="00373248">
        <w:t>setting prices in the public health system. As seen in</w:t>
      </w:r>
      <w:r w:rsidR="0044458E">
        <w:t xml:space="preserve"> the diagonal line in</w:t>
      </w:r>
      <w:r w:rsidR="00373248">
        <w:t xml:space="preserve"> </w:t>
      </w:r>
      <w:r w:rsidR="00373248">
        <w:fldChar w:fldCharType="begin"/>
      </w:r>
      <w:r w:rsidR="00373248">
        <w:instrText xml:space="preserve"> REF _Ref38559773 \h </w:instrText>
      </w:r>
      <w:r w:rsidR="00373248">
        <w:fldChar w:fldCharType="separate"/>
      </w:r>
      <w:r w:rsidR="00784DE2">
        <w:t xml:space="preserve">Figure </w:t>
      </w:r>
      <w:r w:rsidR="00784DE2">
        <w:rPr>
          <w:noProof/>
        </w:rPr>
        <w:t>23</w:t>
      </w:r>
      <w:r w:rsidR="00373248">
        <w:fldChar w:fldCharType="end"/>
      </w:r>
      <w:r w:rsidR="00373248">
        <w:t xml:space="preserve">, </w:t>
      </w:r>
      <w:r w:rsidR="00DE0DBB">
        <w:t xml:space="preserve">public health systems rely heavily on the PL to help </w:t>
      </w:r>
      <w:r w:rsidR="0044458E">
        <w:t xml:space="preserve">them </w:t>
      </w:r>
      <w:r w:rsidR="00DE0DBB">
        <w:t xml:space="preserve">set an expectation for </w:t>
      </w:r>
      <w:r w:rsidR="0044458E">
        <w:t xml:space="preserve">the prices of different products. </w:t>
      </w:r>
      <w:r w:rsidR="00277902">
        <w:t xml:space="preserve">This means that </w:t>
      </w:r>
      <w:r w:rsidR="00130EF0">
        <w:t xml:space="preserve">the negotiations and discounts for different items in the public systems are still reliant on the price set on the PL as a </w:t>
      </w:r>
      <w:r w:rsidR="009C10AB">
        <w:t>benchmark and</w:t>
      </w:r>
      <w:r w:rsidR="00130EF0">
        <w:t xml:space="preserve"> are therefore still not truly reflective </w:t>
      </w:r>
      <w:r w:rsidR="00497879">
        <w:t xml:space="preserve">of the ‘market price’ </w:t>
      </w:r>
      <w:r w:rsidR="00F83B82">
        <w:t xml:space="preserve">achievable </w:t>
      </w:r>
      <w:r w:rsidR="00497879">
        <w:t>for the product in an entirely competitive environment.</w:t>
      </w:r>
    </w:p>
    <w:tbl>
      <w:tblPr>
        <w:tblStyle w:val="TableGrid"/>
        <w:tblW w:w="0" w:type="auto"/>
        <w:tblLook w:val="04A0" w:firstRow="1" w:lastRow="0" w:firstColumn="1" w:lastColumn="0" w:noHBand="0" w:noVBand="1"/>
        <w:tblCaption w:val="Finding 4.5.4"/>
        <w:tblDescription w:val="This table describes Finding 4.5.4&#10;Overall, the analysis in this section does not suggest that GM items on the PL have significantly higher benefit prices than in the public system. For low volume products, the analysis found that the PL can provide a discount compared to the public sector. Conversely, for high volume products, like many GM items, the public sector can offer lower prices, especially where market share or volume commitments are agreed to. However, as the public health system relies heavily on the PL when setting prices, this analysis does not necessarily suggest that the PL is reflective of a true ‘market price’.&#10;"/>
      </w:tblPr>
      <w:tblGrid>
        <w:gridCol w:w="9019"/>
      </w:tblGrid>
      <w:tr w:rsidR="001E6C03" w14:paraId="3C8529F5" w14:textId="77777777" w:rsidTr="009C3BEC">
        <w:trPr>
          <w:tblHeader/>
        </w:trPr>
        <w:tc>
          <w:tcPr>
            <w:tcW w:w="9019" w:type="dxa"/>
            <w:shd w:val="clear" w:color="auto" w:fill="D2D2DA" w:themeFill="text1" w:themeFillTint="33"/>
          </w:tcPr>
          <w:p w14:paraId="1DDC6EB9" w14:textId="7E0BC892" w:rsidR="001E6C03" w:rsidRDefault="001E6C03" w:rsidP="005F0486">
            <w:pPr>
              <w:pStyle w:val="Bodytextwithparaspace"/>
              <w:rPr>
                <w:b/>
              </w:rPr>
            </w:pPr>
            <w:r>
              <w:rPr>
                <w:b/>
              </w:rPr>
              <w:t xml:space="preserve">Finding </w:t>
            </w:r>
            <w:r>
              <w:rPr>
                <w:b/>
              </w:rPr>
              <w:fldChar w:fldCharType="begin"/>
            </w:r>
            <w:r>
              <w:rPr>
                <w:b/>
              </w:rPr>
              <w:instrText xml:space="preserve"> REF _Ref39074132 \r \h </w:instrText>
            </w:r>
            <w:r>
              <w:rPr>
                <w:b/>
              </w:rPr>
            </w:r>
            <w:r>
              <w:rPr>
                <w:b/>
              </w:rPr>
              <w:fldChar w:fldCharType="separate"/>
            </w:r>
            <w:r w:rsidR="00784DE2">
              <w:rPr>
                <w:b/>
              </w:rPr>
              <w:t>4.5.4</w:t>
            </w:r>
            <w:r>
              <w:rPr>
                <w:b/>
              </w:rPr>
              <w:fldChar w:fldCharType="end"/>
            </w:r>
          </w:p>
          <w:p w14:paraId="2C90727F" w14:textId="77777777" w:rsidR="00981758" w:rsidRPr="001E6C03" w:rsidRDefault="0009334D">
            <w:pPr>
              <w:pStyle w:val="Bodytextwithparaspace"/>
            </w:pPr>
            <w:r w:rsidRPr="00A26B3B">
              <w:t>Ov</w:t>
            </w:r>
            <w:r>
              <w:t>erall, the analysis in this section does not suggest that GM items on the PL have significantly higher benefit price</w:t>
            </w:r>
            <w:r w:rsidR="001A0CC7">
              <w:t>s</w:t>
            </w:r>
            <w:r>
              <w:t xml:space="preserve"> than in the public system. For low volume products, the analysis found that the PL can </w:t>
            </w:r>
            <w:r w:rsidR="001A0CC7">
              <w:t>provide a discount compared to the public sector. Conversely, for high volume products, like many GM items, the public sector can offer lower prices</w:t>
            </w:r>
            <w:r w:rsidR="00897A21">
              <w:t>, especially where market share or volume commitments are agreed to</w:t>
            </w:r>
            <w:r w:rsidR="001A0CC7">
              <w:t>. However, as the public health system relies heavily on the PL when setting prices, this analysis does not necessarily suggest that the PL is reflective of a true ‘mark</w:t>
            </w:r>
            <w:r w:rsidR="001A0CC7" w:rsidRPr="001A0CC7">
              <w:t>et price’.</w:t>
            </w:r>
          </w:p>
        </w:tc>
      </w:tr>
    </w:tbl>
    <w:p w14:paraId="443AFBCD" w14:textId="733C4B4E" w:rsidR="00EF2527" w:rsidRDefault="00EF2527" w:rsidP="00EF2527">
      <w:pPr>
        <w:pStyle w:val="EYHeading2"/>
      </w:pPr>
      <w:bookmarkStart w:id="139" w:name="_Toc42692640"/>
      <w:bookmarkStart w:id="140" w:name="_Ref39231684"/>
      <w:bookmarkStart w:id="141" w:name="_Ref39504518"/>
      <w:bookmarkStart w:id="142" w:name="_Ref39513647"/>
      <w:bookmarkStart w:id="143" w:name="_Ref39562501"/>
      <w:bookmarkStart w:id="144" w:name="_Ref39578330"/>
      <w:bookmarkStart w:id="145" w:name="_Ref39578783"/>
      <w:bookmarkStart w:id="146" w:name="_Toc59015971"/>
      <w:bookmarkEnd w:id="139"/>
      <w:r>
        <w:t xml:space="preserve">Alternative </w:t>
      </w:r>
      <w:r w:rsidR="00F24EA8">
        <w:t>f</w:t>
      </w:r>
      <w:r>
        <w:t>unding</w:t>
      </w:r>
      <w:r w:rsidR="00F71AF4">
        <w:t xml:space="preserve"> mechanisms</w:t>
      </w:r>
      <w:bookmarkEnd w:id="140"/>
      <w:bookmarkEnd w:id="141"/>
      <w:bookmarkEnd w:id="142"/>
      <w:bookmarkEnd w:id="143"/>
      <w:bookmarkEnd w:id="144"/>
      <w:bookmarkEnd w:id="145"/>
      <w:bookmarkEnd w:id="146"/>
    </w:p>
    <w:p w14:paraId="25DACB6E" w14:textId="77777777" w:rsidR="00E403B5" w:rsidRDefault="007F4EF6" w:rsidP="00E403B5">
      <w:pPr>
        <w:pStyle w:val="Bodytextwithparaspace"/>
      </w:pPr>
      <w:r>
        <w:t>The</w:t>
      </w:r>
      <w:r w:rsidR="00E403B5">
        <w:t xml:space="preserve"> approach was to:</w:t>
      </w:r>
    </w:p>
    <w:p w14:paraId="55BAFA46" w14:textId="617585D9" w:rsidR="00E403B5" w:rsidRPr="006652E5" w:rsidRDefault="00E403B5" w:rsidP="00463B2D">
      <w:pPr>
        <w:pStyle w:val="Bodytextwithparaspace"/>
        <w:numPr>
          <w:ilvl w:val="1"/>
          <w:numId w:val="11"/>
        </w:numPr>
        <w:ind w:left="709"/>
      </w:pPr>
      <w:r>
        <w:t>c</w:t>
      </w:r>
      <w:r w:rsidRPr="006652E5">
        <w:t xml:space="preserve">ollect feedback from stakeholders and input from the Department and </w:t>
      </w:r>
      <w:r w:rsidR="00D52F98">
        <w:t xml:space="preserve">clinical </w:t>
      </w:r>
      <w:r w:rsidR="00DB435D">
        <w:t>subject matter resources</w:t>
      </w:r>
      <w:r w:rsidRPr="006652E5">
        <w:t xml:space="preserve"> on the alternative funding mechanisms that exist; and</w:t>
      </w:r>
    </w:p>
    <w:p w14:paraId="01203BEE" w14:textId="77777777" w:rsidR="00E403B5" w:rsidRPr="006652E5" w:rsidRDefault="00E403B5" w:rsidP="00463B2D">
      <w:pPr>
        <w:pStyle w:val="Bodytextwithparaspace"/>
        <w:numPr>
          <w:ilvl w:val="1"/>
          <w:numId w:val="11"/>
        </w:numPr>
        <w:ind w:left="709"/>
      </w:pPr>
      <w:r>
        <w:t>analyse</w:t>
      </w:r>
      <w:r w:rsidRPr="006652E5">
        <w:t xml:space="preserve"> the usage of </w:t>
      </w:r>
      <w:r w:rsidRPr="00A26B3B">
        <w:t xml:space="preserve">items </w:t>
      </w:r>
      <w:r w:rsidRPr="006652E5">
        <w:t>since listing.</w:t>
      </w:r>
    </w:p>
    <w:p w14:paraId="4CA7CD89" w14:textId="358EA046" w:rsidR="00E403B5" w:rsidRDefault="00E403B5" w:rsidP="00E403B5">
      <w:pPr>
        <w:pStyle w:val="Bodytextwithparaspace"/>
      </w:pPr>
      <w:r>
        <w:t xml:space="preserve">Items with </w:t>
      </w:r>
      <w:r w:rsidR="00602756">
        <w:t xml:space="preserve">potential </w:t>
      </w:r>
      <w:r>
        <w:t xml:space="preserve">usage and/or benefit amount issues </w:t>
      </w:r>
      <w:r w:rsidR="0020675C">
        <w:t xml:space="preserve">identified in Sections </w:t>
      </w:r>
      <w:r w:rsidR="0020675C">
        <w:fldChar w:fldCharType="begin"/>
      </w:r>
      <w:r w:rsidR="0020675C">
        <w:instrText xml:space="preserve"> REF _Ref39602441 \r \h </w:instrText>
      </w:r>
      <w:r w:rsidR="0020675C">
        <w:fldChar w:fldCharType="separate"/>
      </w:r>
      <w:r w:rsidR="00784DE2">
        <w:t>4.4</w:t>
      </w:r>
      <w:r w:rsidR="0020675C">
        <w:fldChar w:fldCharType="end"/>
      </w:r>
      <w:r w:rsidR="0020675C">
        <w:t xml:space="preserve"> and </w:t>
      </w:r>
      <w:r w:rsidR="0020675C">
        <w:fldChar w:fldCharType="begin"/>
      </w:r>
      <w:r w:rsidR="0020675C">
        <w:instrText xml:space="preserve"> REF _Ref39602485 \r \h </w:instrText>
      </w:r>
      <w:r w:rsidR="0020675C">
        <w:fldChar w:fldCharType="separate"/>
      </w:r>
      <w:r w:rsidR="00784DE2">
        <w:t>4.5</w:t>
      </w:r>
      <w:r w:rsidR="0020675C">
        <w:fldChar w:fldCharType="end"/>
      </w:r>
      <w:r w:rsidR="0020675C">
        <w:t xml:space="preserve"> </w:t>
      </w:r>
      <w:r>
        <w:t>could then be candidates for considering alternative funding arrangements.</w:t>
      </w:r>
      <w:r w:rsidR="0020675C">
        <w:t xml:space="preserve"> Additional discussion on the benefits of the main alternative funding mechanism is given in Section </w:t>
      </w:r>
      <w:r w:rsidR="0020675C">
        <w:fldChar w:fldCharType="begin"/>
      </w:r>
      <w:r w:rsidR="0020675C">
        <w:instrText xml:space="preserve"> REF _Ref41309854 \r \h </w:instrText>
      </w:r>
      <w:r w:rsidR="0020675C">
        <w:fldChar w:fldCharType="separate"/>
      </w:r>
      <w:r w:rsidR="00784DE2">
        <w:t>6.2.1</w:t>
      </w:r>
      <w:r w:rsidR="0020675C">
        <w:fldChar w:fldCharType="end"/>
      </w:r>
      <w:r w:rsidR="0020675C">
        <w:t>.</w:t>
      </w:r>
      <w:r>
        <w:t xml:space="preserve"> </w:t>
      </w:r>
    </w:p>
    <w:p w14:paraId="5C84E3D3" w14:textId="21C58D2E" w:rsidR="00E403B5" w:rsidRPr="003934F6" w:rsidRDefault="00E403B5" w:rsidP="00E403B5">
      <w:pPr>
        <w:pStyle w:val="Bodytextwithparaspace"/>
      </w:pPr>
      <w:r>
        <w:t>This component</w:t>
      </w:r>
      <w:r w:rsidR="0020675C">
        <w:t xml:space="preserve"> and the discussion in Section </w:t>
      </w:r>
      <w:r w:rsidR="0020675C">
        <w:fldChar w:fldCharType="begin"/>
      </w:r>
      <w:r w:rsidR="0020675C">
        <w:instrText xml:space="preserve"> REF _Ref41309854 \r \h </w:instrText>
      </w:r>
      <w:r w:rsidR="0020675C">
        <w:fldChar w:fldCharType="separate"/>
      </w:r>
      <w:r w:rsidR="00784DE2">
        <w:t>6.2.1</w:t>
      </w:r>
      <w:r w:rsidR="0020675C">
        <w:fldChar w:fldCharType="end"/>
      </w:r>
      <w:r w:rsidR="0020675C">
        <w:t xml:space="preserve"> are</w:t>
      </w:r>
      <w:r>
        <w:t xml:space="preserve"> intended to address the Terms of Reference items 3, 4 and 5.</w:t>
      </w:r>
    </w:p>
    <w:p w14:paraId="7124FFE6" w14:textId="5AA4BAC9" w:rsidR="006A7848" w:rsidRPr="008C76D1" w:rsidRDefault="00801C91" w:rsidP="00E403B5">
      <w:pPr>
        <w:pStyle w:val="EYHeading3"/>
      </w:pPr>
      <w:r>
        <w:t>Case based or bundled payments</w:t>
      </w:r>
    </w:p>
    <w:p w14:paraId="238BBFF0" w14:textId="59F2A26A" w:rsidR="000A4B75" w:rsidRDefault="0020675C" w:rsidP="0020675C">
      <w:pPr>
        <w:pStyle w:val="Bodytextwithparaspace"/>
      </w:pPr>
      <w:r>
        <w:t xml:space="preserve">The main alternative to funding these items through the PL would be for them to be included within </w:t>
      </w:r>
      <w:r w:rsidR="00801C91">
        <w:t>case based or bundled payments, such as DRG based payments or banded theatre fees</w:t>
      </w:r>
      <w:r w:rsidR="000A4B75">
        <w:t xml:space="preserve"> relat</w:t>
      </w:r>
      <w:r w:rsidR="00801C91">
        <w:t>ing</w:t>
      </w:r>
      <w:r w:rsidR="000A4B75">
        <w:t xml:space="preserve"> to the nature of the procedure being performed under the National Procedure Banding schedule. The precise mechanism by which insurers </w:t>
      </w:r>
      <w:r w:rsidR="00801C91">
        <w:t xml:space="preserve">reimburse </w:t>
      </w:r>
      <w:r w:rsidR="000A4B75">
        <w:t xml:space="preserve">these fees would depend on the arrangements between insurers and hospitals. Theatre fees are intended to </w:t>
      </w:r>
      <w:r w:rsidR="00801C91">
        <w:t>include</w:t>
      </w:r>
      <w:r w:rsidR="00801C91" w:rsidRPr="00E30473">
        <w:t xml:space="preserve"> </w:t>
      </w:r>
      <w:r w:rsidR="000A4B75">
        <w:t>consumables</w:t>
      </w:r>
      <w:r w:rsidR="00801C91">
        <w:t xml:space="preserve"> and </w:t>
      </w:r>
      <w:r w:rsidR="000A4B75">
        <w:t>disposable instruments.</w:t>
      </w:r>
    </w:p>
    <w:p w14:paraId="1FD796AB" w14:textId="4BFF6214" w:rsidR="0020675C" w:rsidRDefault="000A4B75" w:rsidP="0020675C">
      <w:pPr>
        <w:pStyle w:val="Bodytextwithparaspace"/>
      </w:pPr>
      <w:r>
        <w:t>T</w:t>
      </w:r>
      <w:r w:rsidR="0020675C">
        <w:t xml:space="preserve">he effect of removing these items from the PL </w:t>
      </w:r>
      <w:r>
        <w:t xml:space="preserve">and funding them in this way </w:t>
      </w:r>
      <w:r w:rsidR="0020675C">
        <w:t xml:space="preserve">would be </w:t>
      </w:r>
      <w:r w:rsidR="0045346A">
        <w:t>consistent with stakeholder feedback that observed that, for example, many items in the group ’03.08.04 – Staples &amp; Tackers’ are disposable and consumable products.</w:t>
      </w:r>
    </w:p>
    <w:p w14:paraId="6BE332EE" w14:textId="663F52A8" w:rsidR="002E70A8" w:rsidRDefault="0020675C">
      <w:pPr>
        <w:pStyle w:val="Bodytextwithparaspace"/>
      </w:pPr>
      <w:r>
        <w:t xml:space="preserve">Indeed, many of these items </w:t>
      </w:r>
      <w:r w:rsidR="00682CD1">
        <w:t>were</w:t>
      </w:r>
      <w:r>
        <w:t xml:space="preserve"> previously funded in this way, including </w:t>
      </w:r>
      <w:r w:rsidR="00C965D1">
        <w:t>the items that have shown sudden increased usage since listing</w:t>
      </w:r>
      <w:r w:rsidR="001C2CD5">
        <w:t>.</w:t>
      </w:r>
      <w:r w:rsidR="001C2CD5">
        <w:rPr>
          <w:i/>
        </w:rPr>
        <w:t xml:space="preserve"> </w:t>
      </w:r>
      <w:r w:rsidR="0045346A">
        <w:t xml:space="preserve">As such, an element of the growth observed for these products represents a transfer in funding arrangements. </w:t>
      </w:r>
      <w:r w:rsidR="00B13FDD">
        <w:t xml:space="preserve">Where the </w:t>
      </w:r>
      <w:r w:rsidR="00801C91">
        <w:t>case based or bundled payments</w:t>
      </w:r>
      <w:r w:rsidR="00B13FDD">
        <w:t xml:space="preserve"> </w:t>
      </w:r>
      <w:r w:rsidR="00801C91">
        <w:t>were</w:t>
      </w:r>
      <w:r w:rsidR="00B13FDD">
        <w:t xml:space="preserve"> not </w:t>
      </w:r>
      <w:r w:rsidR="0045346A">
        <w:t xml:space="preserve">explicitly </w:t>
      </w:r>
      <w:r w:rsidR="00B13FDD">
        <w:t xml:space="preserve">reduced following the listing on the PL, it could be argued that the items are being </w:t>
      </w:r>
      <w:r w:rsidR="00B34664">
        <w:t>doubly funded.</w:t>
      </w:r>
    </w:p>
    <w:p w14:paraId="0625D557" w14:textId="77777777" w:rsidR="00246A9A" w:rsidRDefault="00830E95" w:rsidP="00B34664">
      <w:pPr>
        <w:pStyle w:val="Bodytextwithparaspace"/>
      </w:pPr>
      <w:r>
        <w:t>In other cases, PL-funded items are</w:t>
      </w:r>
      <w:r w:rsidR="008D377D">
        <w:t xml:space="preserve"> being used instead of </w:t>
      </w:r>
      <w:r w:rsidR="00CC3D92">
        <w:t xml:space="preserve">items that </w:t>
      </w:r>
      <w:r w:rsidR="00F50CE7">
        <w:t xml:space="preserve">perform similar clinical </w:t>
      </w:r>
      <w:r w:rsidR="007F2354">
        <w:t>roles but</w:t>
      </w:r>
      <w:r w:rsidR="00F50CE7">
        <w:t xml:space="preserve"> are funded in </w:t>
      </w:r>
      <w:r w:rsidR="00246A9A">
        <w:t>this way</w:t>
      </w:r>
      <w:r w:rsidR="00F50CE7">
        <w:t>. For example</w:t>
      </w:r>
      <w:r w:rsidR="00246A9A">
        <w:t>:</w:t>
      </w:r>
    </w:p>
    <w:p w14:paraId="74762E43" w14:textId="56317DFF" w:rsidR="00246A9A" w:rsidRDefault="000671E8" w:rsidP="00463B2D">
      <w:pPr>
        <w:pStyle w:val="Bodytextwithparaspace"/>
        <w:numPr>
          <w:ilvl w:val="1"/>
          <w:numId w:val="11"/>
        </w:numPr>
        <w:ind w:left="709"/>
      </w:pPr>
      <w:r>
        <w:t xml:space="preserve">There </w:t>
      </w:r>
      <w:r w:rsidR="00E62747">
        <w:t xml:space="preserve">are other </w:t>
      </w:r>
      <w:r w:rsidR="00B34664">
        <w:t>products that are similar or could serve as substitutes to items in the ’03.05.05 – Matrix’ grou</w:t>
      </w:r>
      <w:r w:rsidR="00E62747">
        <w:t>p</w:t>
      </w:r>
      <w:r w:rsidR="00246A9A">
        <w:t>;</w:t>
      </w:r>
    </w:p>
    <w:p w14:paraId="0D738193" w14:textId="0B63A128" w:rsidR="0045346A" w:rsidRDefault="000671E8" w:rsidP="00463B2D">
      <w:pPr>
        <w:pStyle w:val="Bodytextwithparaspace"/>
        <w:numPr>
          <w:ilvl w:val="1"/>
          <w:numId w:val="11"/>
        </w:numPr>
        <w:ind w:left="709"/>
      </w:pPr>
      <w:r>
        <w:t xml:space="preserve">Many </w:t>
      </w:r>
      <w:r w:rsidR="004423E3">
        <w:t>internal adhesives in the ’03.08.02 – Internal Adhesives’ group are alternatives to sutures, which are explicitly excluded from the PL</w:t>
      </w:r>
      <w:r w:rsidR="0045346A">
        <w:t>; and</w:t>
      </w:r>
    </w:p>
    <w:p w14:paraId="74D9C15D" w14:textId="53F59069" w:rsidR="00B34664" w:rsidRDefault="000671E8" w:rsidP="00463B2D">
      <w:pPr>
        <w:pStyle w:val="Bodytextwithparaspace"/>
        <w:numPr>
          <w:ilvl w:val="1"/>
          <w:numId w:val="11"/>
        </w:numPr>
        <w:ind w:left="709"/>
      </w:pPr>
      <w:r>
        <w:t xml:space="preserve">While </w:t>
      </w:r>
      <w:r w:rsidR="00647107">
        <w:t>some products were</w:t>
      </w:r>
      <w:r w:rsidR="0045346A">
        <w:t xml:space="preserve"> included on the PL a competitor’s equivalent products were not</w:t>
      </w:r>
      <w:r w:rsidR="004423E3">
        <w:t>.</w:t>
      </w:r>
    </w:p>
    <w:p w14:paraId="522DD19C" w14:textId="6EBC9925" w:rsidR="00C80BDC" w:rsidRPr="0039099B" w:rsidRDefault="00C80BDC" w:rsidP="00DC636B">
      <w:pPr>
        <w:pStyle w:val="Bodytextwithparaspace"/>
      </w:pPr>
      <w:r>
        <w:t xml:space="preserve">The merits of this alternative funding mechanism for ‘High’ priority GM items, compared to the PL, is discussed in Section </w:t>
      </w:r>
      <w:r>
        <w:fldChar w:fldCharType="begin"/>
      </w:r>
      <w:r>
        <w:instrText xml:space="preserve"> REF _Ref41309854 \r \h </w:instrText>
      </w:r>
      <w:r>
        <w:fldChar w:fldCharType="separate"/>
      </w:r>
      <w:r w:rsidR="00784DE2">
        <w:t>6.2.1</w:t>
      </w:r>
      <w:r>
        <w:fldChar w:fldCharType="end"/>
      </w:r>
      <w:r>
        <w:t>.</w:t>
      </w:r>
    </w:p>
    <w:p w14:paraId="60DC04E5" w14:textId="77777777" w:rsidR="00A9518F" w:rsidRDefault="00A9518F" w:rsidP="00E403B5">
      <w:pPr>
        <w:pStyle w:val="EYHeading3"/>
      </w:pPr>
      <w:r>
        <w:t>Eclipse funding</w:t>
      </w:r>
    </w:p>
    <w:p w14:paraId="73B4A59F" w14:textId="649E1757" w:rsidR="00726ED6" w:rsidRDefault="00726ED6" w:rsidP="00726ED6">
      <w:pPr>
        <w:pStyle w:val="Bodytextwithparaspace"/>
      </w:pPr>
      <w:r>
        <w:t xml:space="preserve">Stakeholders indicated that some items exist on the Eclipse system, a tool for Medicare Online claiming. In these scenarios, hospitals can claim funding for </w:t>
      </w:r>
      <w:r w:rsidR="00271E3E">
        <w:t xml:space="preserve">those </w:t>
      </w:r>
      <w:r>
        <w:t>product</w:t>
      </w:r>
      <w:r w:rsidR="00271E3E">
        <w:t>s</w:t>
      </w:r>
      <w:r>
        <w:t xml:space="preserve"> </w:t>
      </w:r>
      <w:r w:rsidR="00801C91">
        <w:t>from private health insurers through in-hospital claiming arrangements</w:t>
      </w:r>
      <w:r>
        <w:t xml:space="preserve">. Items on Eclipse include </w:t>
      </w:r>
      <w:r w:rsidR="00647107">
        <w:t>some products</w:t>
      </w:r>
      <w:r>
        <w:t xml:space="preserve"> in the ’03.05.03 – Sponges’ and ’03.08.04 – Staples &amp; Tackers’ group</w:t>
      </w:r>
      <w:r w:rsidR="00647107">
        <w:t>s</w:t>
      </w:r>
      <w:r>
        <w:t xml:space="preserve">. However, it is suggested that most hospitals continue to </w:t>
      </w:r>
      <w:r w:rsidR="00801C91">
        <w:t xml:space="preserve">charge for </w:t>
      </w:r>
      <w:r>
        <w:t xml:space="preserve">these items </w:t>
      </w:r>
      <w:r w:rsidR="00801C91">
        <w:t xml:space="preserve">through </w:t>
      </w:r>
      <w:r>
        <w:t>the PL because it has a higher, non-negotiated price through this mechanism.</w:t>
      </w:r>
    </w:p>
    <w:tbl>
      <w:tblPr>
        <w:tblStyle w:val="TableGrid"/>
        <w:tblW w:w="0" w:type="auto"/>
        <w:tblLook w:val="04A0" w:firstRow="1" w:lastRow="0" w:firstColumn="1" w:lastColumn="0" w:noHBand="0" w:noVBand="1"/>
        <w:tblCaption w:val="Finding 4.6"/>
        <w:tblDescription w:val="This table describes Finding 4.6&#10;The main alternative to funding these items through the PL would be for them to be included within the case based or bundled payments.&#10;"/>
      </w:tblPr>
      <w:tblGrid>
        <w:gridCol w:w="9019"/>
      </w:tblGrid>
      <w:tr w:rsidR="00CF4D4A" w14:paraId="0AF2DF46" w14:textId="77777777" w:rsidTr="009C3BEC">
        <w:trPr>
          <w:tblHeader/>
        </w:trPr>
        <w:tc>
          <w:tcPr>
            <w:tcW w:w="9019" w:type="dxa"/>
            <w:shd w:val="clear" w:color="auto" w:fill="D2D2DA" w:themeFill="text1" w:themeFillTint="33"/>
          </w:tcPr>
          <w:p w14:paraId="5EDD2E40" w14:textId="03B8F7DE" w:rsidR="00CF4D4A" w:rsidRDefault="00CF4D4A" w:rsidP="00CF4D4A">
            <w:pPr>
              <w:pStyle w:val="Bodytextwithparaspace"/>
              <w:rPr>
                <w:b/>
              </w:rPr>
            </w:pPr>
            <w:r>
              <w:rPr>
                <w:b/>
              </w:rPr>
              <w:t xml:space="preserve">Finding </w:t>
            </w:r>
            <w:r w:rsidR="00123850">
              <w:rPr>
                <w:b/>
              </w:rPr>
              <w:fldChar w:fldCharType="begin"/>
            </w:r>
            <w:r w:rsidR="00123850">
              <w:rPr>
                <w:b/>
              </w:rPr>
              <w:instrText xml:space="preserve"> REF _Ref39231684 \r \h </w:instrText>
            </w:r>
            <w:r w:rsidR="00123850">
              <w:rPr>
                <w:b/>
              </w:rPr>
            </w:r>
            <w:r w:rsidR="00123850">
              <w:rPr>
                <w:b/>
              </w:rPr>
              <w:fldChar w:fldCharType="separate"/>
            </w:r>
            <w:r w:rsidR="00784DE2">
              <w:rPr>
                <w:b/>
              </w:rPr>
              <w:t>4.6</w:t>
            </w:r>
            <w:r w:rsidR="00123850">
              <w:rPr>
                <w:b/>
              </w:rPr>
              <w:fldChar w:fldCharType="end"/>
            </w:r>
          </w:p>
          <w:p w14:paraId="6273AE4E" w14:textId="2CB1295B" w:rsidR="004611FC" w:rsidRPr="006D1F40" w:rsidRDefault="00C80BDC">
            <w:pPr>
              <w:pStyle w:val="Bodytextwithparaspace"/>
            </w:pPr>
            <w:r>
              <w:t xml:space="preserve">The main alternative to funding these items through the PL would be for them to be included within the </w:t>
            </w:r>
            <w:r w:rsidR="00801C91">
              <w:t>case based or bundled payments</w:t>
            </w:r>
            <w:r>
              <w:t>.</w:t>
            </w:r>
          </w:p>
        </w:tc>
      </w:tr>
    </w:tbl>
    <w:p w14:paraId="226C3A5A" w14:textId="77777777" w:rsidR="000A4A1B" w:rsidRPr="00B014F6" w:rsidRDefault="00A47463" w:rsidP="000A4A1B">
      <w:pPr>
        <w:pStyle w:val="EYHeading1"/>
      </w:pPr>
      <w:bookmarkStart w:id="147" w:name="_Toc38986882"/>
      <w:bookmarkStart w:id="148" w:name="_Toc38986883"/>
      <w:bookmarkStart w:id="149" w:name="_Toc38986884"/>
      <w:bookmarkStart w:id="150" w:name="_Toc38986885"/>
      <w:bookmarkStart w:id="151" w:name="_Toc38572733"/>
      <w:bookmarkStart w:id="152" w:name="_Toc38986886"/>
      <w:bookmarkStart w:id="153" w:name="_Toc38572734"/>
      <w:bookmarkStart w:id="154" w:name="_Toc38986887"/>
      <w:bookmarkStart w:id="155" w:name="_Toc38572735"/>
      <w:bookmarkStart w:id="156" w:name="_Toc38986888"/>
      <w:bookmarkStart w:id="157" w:name="_Toc38572736"/>
      <w:bookmarkStart w:id="158" w:name="_Toc38986889"/>
      <w:bookmarkStart w:id="159" w:name="_Toc38572737"/>
      <w:bookmarkStart w:id="160" w:name="_Toc38986890"/>
      <w:bookmarkStart w:id="161" w:name="_Toc38572738"/>
      <w:bookmarkStart w:id="162" w:name="_Toc38986891"/>
      <w:bookmarkStart w:id="163" w:name="_Toc38572739"/>
      <w:bookmarkStart w:id="164" w:name="_Toc38986892"/>
      <w:bookmarkStart w:id="165" w:name="_Toc38572740"/>
      <w:bookmarkStart w:id="166" w:name="_Toc38986893"/>
      <w:bookmarkStart w:id="167" w:name="_Toc38572741"/>
      <w:bookmarkStart w:id="168" w:name="_Toc38986894"/>
      <w:bookmarkStart w:id="169" w:name="_Toc38572742"/>
      <w:bookmarkStart w:id="170" w:name="_Toc38986895"/>
      <w:bookmarkStart w:id="171" w:name="_Toc38572743"/>
      <w:bookmarkStart w:id="172" w:name="_Toc38986896"/>
      <w:bookmarkStart w:id="173" w:name="_Toc38572744"/>
      <w:bookmarkStart w:id="174" w:name="_Toc38986897"/>
      <w:bookmarkStart w:id="175" w:name="_Toc38572745"/>
      <w:bookmarkStart w:id="176" w:name="_Toc38986898"/>
      <w:bookmarkStart w:id="177" w:name="_Toc38572746"/>
      <w:bookmarkStart w:id="178" w:name="_Toc38986899"/>
      <w:bookmarkStart w:id="179" w:name="_Toc38572747"/>
      <w:bookmarkStart w:id="180" w:name="_Toc38986900"/>
      <w:bookmarkStart w:id="181" w:name="_Toc38572748"/>
      <w:bookmarkStart w:id="182" w:name="_Toc38986901"/>
      <w:bookmarkStart w:id="183" w:name="_Toc38572749"/>
      <w:bookmarkStart w:id="184" w:name="_Toc38986902"/>
      <w:bookmarkStart w:id="185" w:name="_Toc38572750"/>
      <w:bookmarkStart w:id="186" w:name="_Toc38986903"/>
      <w:bookmarkStart w:id="187" w:name="_Toc38572751"/>
      <w:bookmarkStart w:id="188" w:name="_Toc38986904"/>
      <w:bookmarkStart w:id="189" w:name="_Toc38572752"/>
      <w:bookmarkStart w:id="190" w:name="_Toc38986905"/>
      <w:bookmarkStart w:id="191" w:name="_Toc38572753"/>
      <w:bookmarkStart w:id="192" w:name="_Toc38986906"/>
      <w:bookmarkStart w:id="193" w:name="_Toc38572754"/>
      <w:bookmarkStart w:id="194" w:name="_Toc38986907"/>
      <w:bookmarkStart w:id="195" w:name="_Toc38572755"/>
      <w:bookmarkStart w:id="196" w:name="_Toc38986908"/>
      <w:bookmarkStart w:id="197" w:name="_Toc38572756"/>
      <w:bookmarkStart w:id="198" w:name="_Toc38986909"/>
      <w:bookmarkStart w:id="199" w:name="_Toc38572757"/>
      <w:bookmarkStart w:id="200" w:name="_Toc38986910"/>
      <w:bookmarkStart w:id="201" w:name="_Toc38572758"/>
      <w:bookmarkStart w:id="202" w:name="_Toc38986911"/>
      <w:bookmarkStart w:id="203" w:name="_Toc38572759"/>
      <w:bookmarkStart w:id="204" w:name="_Toc38986912"/>
      <w:bookmarkStart w:id="205" w:name="_Toc38572760"/>
      <w:bookmarkStart w:id="206" w:name="_Toc38986913"/>
      <w:bookmarkStart w:id="207" w:name="_Toc38572761"/>
      <w:bookmarkStart w:id="208" w:name="_Toc38986914"/>
      <w:bookmarkStart w:id="209" w:name="_Toc38572762"/>
      <w:bookmarkStart w:id="210" w:name="_Toc38986915"/>
      <w:bookmarkStart w:id="211" w:name="_Toc38572763"/>
      <w:bookmarkStart w:id="212" w:name="_Toc38986916"/>
      <w:bookmarkStart w:id="213" w:name="_Ref39593339"/>
      <w:bookmarkStart w:id="214" w:name="_Toc59015972"/>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r w:rsidRPr="00B014F6">
        <w:t>Case studies</w:t>
      </w:r>
      <w:bookmarkEnd w:id="213"/>
      <w:bookmarkEnd w:id="214"/>
    </w:p>
    <w:p w14:paraId="2D0751D5" w14:textId="77777777" w:rsidR="00B014F6" w:rsidRDefault="00B014F6" w:rsidP="00463B2D">
      <w:pPr>
        <w:pStyle w:val="EYHeading2"/>
      </w:pPr>
      <w:bookmarkStart w:id="215" w:name="_Toc59015973"/>
      <w:r>
        <w:t>Introduction</w:t>
      </w:r>
      <w:bookmarkEnd w:id="215"/>
    </w:p>
    <w:p w14:paraId="0CDB28A1" w14:textId="01FFE968" w:rsidR="00670BFB" w:rsidRPr="00013EF7" w:rsidRDefault="006257AC">
      <w:pPr>
        <w:pStyle w:val="Bodytextwithparaspace"/>
      </w:pPr>
      <w:r>
        <w:t xml:space="preserve">In Section </w:t>
      </w:r>
      <w:r>
        <w:fldChar w:fldCharType="begin"/>
      </w:r>
      <w:r>
        <w:instrText xml:space="preserve"> REF _Ref39414525 \w \h </w:instrText>
      </w:r>
      <w:r>
        <w:fldChar w:fldCharType="separate"/>
      </w:r>
      <w:r w:rsidR="00784DE2">
        <w:t>4</w:t>
      </w:r>
      <w:r>
        <w:fldChar w:fldCharType="end"/>
      </w:r>
      <w:r w:rsidR="00F05C21">
        <w:t xml:space="preserve">, </w:t>
      </w:r>
      <w:r w:rsidR="00AA2EED">
        <w:t xml:space="preserve">the </w:t>
      </w:r>
      <w:r w:rsidR="008467AE">
        <w:t>findings</w:t>
      </w:r>
      <w:r w:rsidR="00AA2EED">
        <w:t xml:space="preserve"> from the review of </w:t>
      </w:r>
      <w:r w:rsidR="008467AE">
        <w:t xml:space="preserve">the ‘High’ priority </w:t>
      </w:r>
      <w:r w:rsidR="00AA2EED">
        <w:t xml:space="preserve">GM items were </w:t>
      </w:r>
      <w:r w:rsidR="00B55D75">
        <w:t>discussed</w:t>
      </w:r>
      <w:r w:rsidR="00AA2EED">
        <w:t xml:space="preserve"> across a number of topics relating to areas </w:t>
      </w:r>
      <w:r w:rsidR="001A26C9">
        <w:t xml:space="preserve">where </w:t>
      </w:r>
      <w:r w:rsidR="00F747EB">
        <w:t xml:space="preserve">potentially adverse </w:t>
      </w:r>
      <w:r w:rsidR="001A26C9">
        <w:t xml:space="preserve">outcomes were being driven by </w:t>
      </w:r>
      <w:r w:rsidR="00D74A77">
        <w:t xml:space="preserve">the usage, pricing and categorisation of items in the GM category of the PL. </w:t>
      </w:r>
      <w:r w:rsidR="00CC2B06">
        <w:t xml:space="preserve">In this section, a number of the examples </w:t>
      </w:r>
      <w:r w:rsidR="005D1D8D">
        <w:t>outlined</w:t>
      </w:r>
      <w:r w:rsidR="00CC2B06">
        <w:t xml:space="preserve"> in Section </w:t>
      </w:r>
      <w:r w:rsidR="00CC2B06">
        <w:fldChar w:fldCharType="begin"/>
      </w:r>
      <w:r w:rsidR="00CC2B06">
        <w:instrText xml:space="preserve"> REF _Ref39414525 \w \h </w:instrText>
      </w:r>
      <w:r w:rsidR="00CC2B06">
        <w:fldChar w:fldCharType="separate"/>
      </w:r>
      <w:r w:rsidR="00784DE2">
        <w:t>4</w:t>
      </w:r>
      <w:r w:rsidR="00CC2B06">
        <w:fldChar w:fldCharType="end"/>
      </w:r>
      <w:r w:rsidR="00CC2B06">
        <w:t xml:space="preserve"> are</w:t>
      </w:r>
      <w:r w:rsidR="005D1D8D">
        <w:t xml:space="preserve"> presented </w:t>
      </w:r>
      <w:r w:rsidR="006F1336">
        <w:t xml:space="preserve">as </w:t>
      </w:r>
      <w:r w:rsidR="0021615D">
        <w:t xml:space="preserve">individual </w:t>
      </w:r>
      <w:r w:rsidR="006F1336">
        <w:t>case studies</w:t>
      </w:r>
      <w:r w:rsidR="005D1D8D">
        <w:t xml:space="preserve"> to support th</w:t>
      </w:r>
      <w:r w:rsidR="00B55D75">
        <w:t xml:space="preserve">is </w:t>
      </w:r>
      <w:r w:rsidR="005D1D8D">
        <w:t>discussion</w:t>
      </w:r>
      <w:r w:rsidR="006F1336">
        <w:t xml:space="preserve">. </w:t>
      </w:r>
      <w:r w:rsidR="00F747EB">
        <w:t xml:space="preserve">These </w:t>
      </w:r>
      <w:r w:rsidR="006F1336">
        <w:t xml:space="preserve">case studies represent </w:t>
      </w:r>
      <w:r w:rsidR="008467AE">
        <w:t>examples</w:t>
      </w:r>
      <w:r w:rsidR="006F1336">
        <w:t xml:space="preserve"> </w:t>
      </w:r>
      <w:r w:rsidR="00F747EB">
        <w:t xml:space="preserve">where there </w:t>
      </w:r>
      <w:r w:rsidR="00271E3E">
        <w:t xml:space="preserve">was </w:t>
      </w:r>
      <w:r w:rsidR="00F747EB">
        <w:t xml:space="preserve">a </w:t>
      </w:r>
      <w:r w:rsidR="006F1336">
        <w:t>significant potential impac</w:t>
      </w:r>
      <w:r w:rsidR="00F747EB">
        <w:t>t on total benefit amounts</w:t>
      </w:r>
      <w:r w:rsidR="00193AC1">
        <w:t xml:space="preserve"> or where</w:t>
      </w:r>
      <w:r w:rsidR="0021615D">
        <w:t xml:space="preserve"> a</w:t>
      </w:r>
      <w:r w:rsidR="00193AC1">
        <w:t xml:space="preserve"> number of </w:t>
      </w:r>
      <w:r w:rsidR="00F747EB">
        <w:t xml:space="preserve">different </w:t>
      </w:r>
      <w:r w:rsidR="00193AC1">
        <w:t xml:space="preserve">impacts </w:t>
      </w:r>
      <w:r w:rsidR="00271E3E">
        <w:t>were</w:t>
      </w:r>
      <w:r w:rsidR="00193AC1">
        <w:t xml:space="preserve"> </w:t>
      </w:r>
      <w:r w:rsidR="00F747EB">
        <w:t>observed relating to specific items.</w:t>
      </w:r>
      <w:r w:rsidR="000A4E92">
        <w:t xml:space="preserve"> </w:t>
      </w:r>
    </w:p>
    <w:p w14:paraId="4EB27092" w14:textId="47A986F9" w:rsidR="00EC2C63" w:rsidRPr="00343F8D" w:rsidRDefault="00EC2C63" w:rsidP="00EC2C63">
      <w:pPr>
        <w:pStyle w:val="Bodytextwithparaspace"/>
      </w:pPr>
      <w:r>
        <w:fldChar w:fldCharType="begin"/>
      </w:r>
      <w:r>
        <w:instrText xml:space="preserve"> REF _Ref39828345 \h </w:instrText>
      </w:r>
      <w:r>
        <w:fldChar w:fldCharType="separate"/>
      </w:r>
      <w:r w:rsidR="00784DE2">
        <w:t xml:space="preserve">Table </w:t>
      </w:r>
      <w:r w:rsidR="00784DE2">
        <w:rPr>
          <w:noProof/>
        </w:rPr>
        <w:t>14</w:t>
      </w:r>
      <w:r>
        <w:fldChar w:fldCharType="end"/>
      </w:r>
      <w:r>
        <w:t xml:space="preserve"> lists the different case studies examined in the following subsections. For each case study, areas where significant issues or concerns are discussed are coloured in </w:t>
      </w:r>
      <w:r w:rsidRPr="00463B2D">
        <w:rPr>
          <w:color w:val="FFFFFF" w:themeColor="background1"/>
          <w:shd w:val="clear" w:color="auto" w:fill="E1362C"/>
        </w:rPr>
        <w:t>red</w:t>
      </w:r>
      <w:r>
        <w:t xml:space="preserve">, areas where some minor issues or concern are discussed are coloured in </w:t>
      </w:r>
      <w:r w:rsidRPr="00463B2D">
        <w:rPr>
          <w:color w:val="FFFFFF" w:themeColor="background1"/>
          <w:shd w:val="clear" w:color="auto" w:fill="FF9831"/>
        </w:rPr>
        <w:t>amber</w:t>
      </w:r>
      <w:r w:rsidRPr="00B01838">
        <w:t>,</w:t>
      </w:r>
      <w:r>
        <w:t xml:space="preserve"> and areas that have minor concerns noted but not discussed in detail are coloured in </w:t>
      </w:r>
      <w:r w:rsidRPr="00463B2D">
        <w:rPr>
          <w:shd w:val="clear" w:color="auto" w:fill="FFE600" w:themeFill="text2"/>
        </w:rPr>
        <w:t>yellow</w:t>
      </w:r>
      <w:r>
        <w:rPr>
          <w:shd w:val="clear" w:color="auto" w:fill="FFFACC" w:themeFill="text2" w:themeFillTint="33"/>
        </w:rPr>
        <w:t>.</w:t>
      </w:r>
      <w:r>
        <w:t xml:space="preserve"> </w:t>
      </w:r>
    </w:p>
    <w:p w14:paraId="2E9560D7" w14:textId="1AE82319" w:rsidR="00EC2C63" w:rsidRDefault="00EC2C63" w:rsidP="00AF1D4E">
      <w:pPr>
        <w:pStyle w:val="Caption"/>
        <w:keepNext/>
      </w:pPr>
      <w:bookmarkStart w:id="216" w:name="_Ref39828345"/>
      <w:r>
        <w:t xml:space="preserve">Table </w:t>
      </w:r>
      <w:r w:rsidR="00FC6370">
        <w:fldChar w:fldCharType="begin"/>
      </w:r>
      <w:r w:rsidR="00FC6370">
        <w:instrText xml:space="preserve"> SEQ Table \* ARABIC </w:instrText>
      </w:r>
      <w:r w:rsidR="00FC6370">
        <w:fldChar w:fldCharType="separate"/>
      </w:r>
      <w:r w:rsidR="00784DE2">
        <w:rPr>
          <w:noProof/>
        </w:rPr>
        <w:t>14</w:t>
      </w:r>
      <w:r w:rsidR="00FC6370">
        <w:rPr>
          <w:noProof/>
        </w:rPr>
        <w:fldChar w:fldCharType="end"/>
      </w:r>
      <w:bookmarkEnd w:id="216"/>
      <w:r>
        <w:t xml:space="preserve"> – Summary of case studies</w:t>
      </w:r>
    </w:p>
    <w:tbl>
      <w:tblPr>
        <w:tblW w:w="0" w:type="auto"/>
        <w:tblBorders>
          <w:top w:val="dotted" w:sz="8" w:space="0" w:color="7F7E82"/>
          <w:left w:val="dotted" w:sz="8" w:space="0" w:color="7F7E82"/>
          <w:bottom w:val="dotted" w:sz="8" w:space="0" w:color="7F7E82"/>
          <w:right w:val="dotted" w:sz="8" w:space="0" w:color="7F7E82"/>
          <w:insideH w:val="dotted" w:sz="8" w:space="0" w:color="7F7E82"/>
          <w:insideV w:val="dotted" w:sz="8" w:space="0" w:color="7F7E82"/>
        </w:tblBorders>
        <w:tblLayout w:type="fixed"/>
        <w:tblCellMar>
          <w:left w:w="57" w:type="dxa"/>
          <w:right w:w="57" w:type="dxa"/>
        </w:tblCellMar>
        <w:tblLook w:val="0000" w:firstRow="0" w:lastRow="0" w:firstColumn="0" w:lastColumn="0" w:noHBand="0" w:noVBand="0"/>
      </w:tblPr>
      <w:tblGrid>
        <w:gridCol w:w="416"/>
        <w:gridCol w:w="1134"/>
        <w:gridCol w:w="708"/>
        <w:gridCol w:w="709"/>
        <w:gridCol w:w="992"/>
        <w:gridCol w:w="993"/>
        <w:gridCol w:w="1417"/>
        <w:gridCol w:w="1134"/>
        <w:gridCol w:w="992"/>
        <w:gridCol w:w="514"/>
      </w:tblGrid>
      <w:tr w:rsidR="00EC2C63" w:rsidRPr="00EC2C63" w14:paraId="79CAB6A1" w14:textId="77777777" w:rsidTr="00E86714">
        <w:trPr>
          <w:trHeight w:val="20"/>
          <w:tblHeader/>
        </w:trPr>
        <w:tc>
          <w:tcPr>
            <w:tcW w:w="416" w:type="dxa"/>
            <w:shd w:val="clear" w:color="auto" w:fill="FFE600" w:themeFill="text2"/>
            <w:vAlign w:val="center"/>
          </w:tcPr>
          <w:p w14:paraId="33B0DCBE" w14:textId="77777777" w:rsidR="00EC2C63" w:rsidRPr="00AF1D4E" w:rsidRDefault="00EC2C63" w:rsidP="00E86714">
            <w:pPr>
              <w:pStyle w:val="Tabletextbold"/>
              <w:rPr>
                <w:sz w:val="17"/>
                <w:szCs w:val="17"/>
              </w:rPr>
            </w:pPr>
            <w:r w:rsidRPr="00AF1D4E">
              <w:rPr>
                <w:sz w:val="17"/>
                <w:szCs w:val="17"/>
              </w:rPr>
              <w:t>No.</w:t>
            </w:r>
          </w:p>
        </w:tc>
        <w:tc>
          <w:tcPr>
            <w:tcW w:w="1134" w:type="dxa"/>
            <w:shd w:val="clear" w:color="auto" w:fill="FFE600" w:themeFill="text2"/>
            <w:vAlign w:val="center"/>
          </w:tcPr>
          <w:p w14:paraId="23112730" w14:textId="77777777" w:rsidR="00EC2C63" w:rsidRPr="00AF1D4E" w:rsidRDefault="00EC2C63" w:rsidP="00E86714">
            <w:pPr>
              <w:pStyle w:val="Tabletextbold"/>
              <w:rPr>
                <w:rFonts w:eastAsia="Arial Unicode MS"/>
                <w:sz w:val="17"/>
                <w:szCs w:val="17"/>
              </w:rPr>
            </w:pPr>
            <w:r w:rsidRPr="00AF1D4E">
              <w:rPr>
                <w:sz w:val="17"/>
                <w:szCs w:val="17"/>
              </w:rPr>
              <w:t>Case study</w:t>
            </w:r>
          </w:p>
        </w:tc>
        <w:tc>
          <w:tcPr>
            <w:tcW w:w="708" w:type="dxa"/>
            <w:shd w:val="clear" w:color="auto" w:fill="FFE600" w:themeFill="text2"/>
            <w:vAlign w:val="center"/>
          </w:tcPr>
          <w:p w14:paraId="64191ED2" w14:textId="77777777" w:rsidR="00EC2C63" w:rsidRPr="00AF1D4E" w:rsidRDefault="00EC2C63" w:rsidP="00E86714">
            <w:pPr>
              <w:pStyle w:val="Tabletextbold"/>
              <w:rPr>
                <w:rFonts w:eastAsia="Arial Unicode MS"/>
                <w:sz w:val="17"/>
                <w:szCs w:val="17"/>
              </w:rPr>
            </w:pPr>
            <w:r w:rsidRPr="00AF1D4E">
              <w:rPr>
                <w:sz w:val="17"/>
                <w:szCs w:val="17"/>
              </w:rPr>
              <w:t>Meets listing criteria</w:t>
            </w:r>
          </w:p>
          <w:p w14:paraId="32C05BF2" w14:textId="77777777" w:rsidR="00EC2C63" w:rsidRPr="00AF1D4E" w:rsidRDefault="00EC2C63" w:rsidP="00E86714">
            <w:pPr>
              <w:pStyle w:val="Tabletextbold"/>
              <w:rPr>
                <w:rFonts w:eastAsia="Arial Unicode MS"/>
                <w:sz w:val="17"/>
                <w:szCs w:val="17"/>
              </w:rPr>
            </w:pPr>
          </w:p>
        </w:tc>
        <w:tc>
          <w:tcPr>
            <w:tcW w:w="709" w:type="dxa"/>
            <w:shd w:val="clear" w:color="auto" w:fill="FFE600" w:themeFill="text2"/>
            <w:vAlign w:val="center"/>
          </w:tcPr>
          <w:p w14:paraId="18941DD8" w14:textId="77777777" w:rsidR="00EC2C63" w:rsidRPr="00AF1D4E" w:rsidRDefault="00EC2C63" w:rsidP="00E86714">
            <w:pPr>
              <w:pStyle w:val="Tabletextbold"/>
              <w:rPr>
                <w:rFonts w:eastAsia="Arial Unicode MS"/>
                <w:sz w:val="17"/>
                <w:szCs w:val="17"/>
              </w:rPr>
            </w:pPr>
            <w:r w:rsidRPr="00AF1D4E">
              <w:rPr>
                <w:sz w:val="17"/>
                <w:szCs w:val="17"/>
              </w:rPr>
              <w:t>Above trend usage</w:t>
            </w:r>
          </w:p>
        </w:tc>
        <w:tc>
          <w:tcPr>
            <w:tcW w:w="992" w:type="dxa"/>
            <w:shd w:val="clear" w:color="auto" w:fill="FFE600" w:themeFill="text2"/>
            <w:vAlign w:val="center"/>
          </w:tcPr>
          <w:p w14:paraId="0549B386" w14:textId="77777777" w:rsidR="00EC2C63" w:rsidRPr="00AF1D4E" w:rsidRDefault="00EC2C63" w:rsidP="00E86714">
            <w:pPr>
              <w:pStyle w:val="Tabletextbold"/>
              <w:rPr>
                <w:rFonts w:eastAsia="Arial Unicode MS"/>
                <w:sz w:val="17"/>
                <w:szCs w:val="17"/>
              </w:rPr>
            </w:pPr>
            <w:r w:rsidRPr="00AF1D4E">
              <w:rPr>
                <w:sz w:val="17"/>
                <w:szCs w:val="17"/>
              </w:rPr>
              <w:t>Significant benefits per item increases</w:t>
            </w:r>
          </w:p>
        </w:tc>
        <w:tc>
          <w:tcPr>
            <w:tcW w:w="993" w:type="dxa"/>
            <w:shd w:val="clear" w:color="auto" w:fill="FFE600" w:themeFill="text2"/>
            <w:vAlign w:val="center"/>
          </w:tcPr>
          <w:p w14:paraId="7778DD2A" w14:textId="77777777" w:rsidR="00EC2C63" w:rsidRPr="00AF1D4E" w:rsidRDefault="00EC2C63" w:rsidP="00E86714">
            <w:pPr>
              <w:pStyle w:val="Tabletextbold"/>
              <w:rPr>
                <w:rFonts w:eastAsia="Arial Unicode MS"/>
                <w:sz w:val="17"/>
                <w:szCs w:val="17"/>
              </w:rPr>
            </w:pPr>
            <w:r w:rsidRPr="00AF1D4E">
              <w:rPr>
                <w:sz w:val="17"/>
                <w:szCs w:val="17"/>
              </w:rPr>
              <w:t>Benefit amount relativity anomalies</w:t>
            </w:r>
          </w:p>
        </w:tc>
        <w:tc>
          <w:tcPr>
            <w:tcW w:w="1417" w:type="dxa"/>
            <w:shd w:val="clear" w:color="auto" w:fill="FFE600" w:themeFill="text2"/>
            <w:vAlign w:val="center"/>
          </w:tcPr>
          <w:p w14:paraId="72C98B04" w14:textId="77777777" w:rsidR="00EC2C63" w:rsidRPr="00AF1D4E" w:rsidRDefault="00EC2C63" w:rsidP="00E86714">
            <w:pPr>
              <w:pStyle w:val="Tabletextbold"/>
              <w:rPr>
                <w:rFonts w:eastAsia="Arial Unicode MS"/>
                <w:sz w:val="17"/>
                <w:szCs w:val="17"/>
              </w:rPr>
            </w:pPr>
            <w:r w:rsidRPr="00AF1D4E">
              <w:rPr>
                <w:sz w:val="17"/>
                <w:szCs w:val="17"/>
              </w:rPr>
              <w:t>Categorisation issues</w:t>
            </w:r>
          </w:p>
        </w:tc>
        <w:tc>
          <w:tcPr>
            <w:tcW w:w="1134" w:type="dxa"/>
            <w:shd w:val="clear" w:color="auto" w:fill="FFE600" w:themeFill="text2"/>
            <w:vAlign w:val="center"/>
          </w:tcPr>
          <w:p w14:paraId="38E714E9" w14:textId="77777777" w:rsidR="00EC2C63" w:rsidRPr="00AF1D4E" w:rsidRDefault="00EC2C63" w:rsidP="00E86714">
            <w:pPr>
              <w:pStyle w:val="Tabletextbold"/>
              <w:rPr>
                <w:sz w:val="17"/>
                <w:szCs w:val="17"/>
              </w:rPr>
            </w:pPr>
            <w:r w:rsidRPr="00AF1D4E">
              <w:rPr>
                <w:sz w:val="17"/>
                <w:szCs w:val="17"/>
              </w:rPr>
              <w:t>Alternative funding mechanisms available</w:t>
            </w:r>
          </w:p>
        </w:tc>
        <w:tc>
          <w:tcPr>
            <w:tcW w:w="992" w:type="dxa"/>
            <w:shd w:val="clear" w:color="auto" w:fill="FFE600" w:themeFill="text2"/>
            <w:vAlign w:val="center"/>
          </w:tcPr>
          <w:p w14:paraId="1419FD3F" w14:textId="77777777" w:rsidR="00EC2C63" w:rsidRPr="00AF1D4E" w:rsidRDefault="00EC2C63" w:rsidP="00E86714">
            <w:pPr>
              <w:pStyle w:val="Tabletextbold"/>
              <w:rPr>
                <w:sz w:val="17"/>
                <w:szCs w:val="17"/>
              </w:rPr>
            </w:pPr>
            <w:r w:rsidRPr="00AF1D4E">
              <w:rPr>
                <w:sz w:val="17"/>
                <w:szCs w:val="17"/>
              </w:rPr>
              <w:t>Price bench-marking</w:t>
            </w:r>
          </w:p>
        </w:tc>
        <w:tc>
          <w:tcPr>
            <w:tcW w:w="514" w:type="dxa"/>
            <w:shd w:val="clear" w:color="auto" w:fill="FFE600" w:themeFill="text2"/>
            <w:vAlign w:val="center"/>
          </w:tcPr>
          <w:p w14:paraId="4415221E" w14:textId="77777777" w:rsidR="00EC2C63" w:rsidRPr="00AF1D4E" w:rsidRDefault="00EC2C63" w:rsidP="00E86714">
            <w:pPr>
              <w:pStyle w:val="Tabletextbold"/>
              <w:rPr>
                <w:sz w:val="17"/>
                <w:szCs w:val="17"/>
              </w:rPr>
            </w:pPr>
            <w:r w:rsidRPr="00AF1D4E">
              <w:rPr>
                <w:sz w:val="17"/>
                <w:szCs w:val="17"/>
              </w:rPr>
              <w:t>Page</w:t>
            </w:r>
          </w:p>
        </w:tc>
      </w:tr>
      <w:tr w:rsidR="00EC2C63" w:rsidRPr="00EC2C63" w14:paraId="42886339" w14:textId="77777777" w:rsidTr="00463B2D">
        <w:trPr>
          <w:trHeight w:val="139"/>
        </w:trPr>
        <w:tc>
          <w:tcPr>
            <w:tcW w:w="416" w:type="dxa"/>
            <w:vAlign w:val="center"/>
          </w:tcPr>
          <w:p w14:paraId="70CD479B" w14:textId="77777777" w:rsidR="00EC2C63" w:rsidRPr="00AF1D4E" w:rsidRDefault="00EC2C63" w:rsidP="00E86714">
            <w:pPr>
              <w:pStyle w:val="TableText"/>
              <w:rPr>
                <w:b/>
                <w:sz w:val="17"/>
                <w:szCs w:val="17"/>
              </w:rPr>
            </w:pPr>
            <w:r w:rsidRPr="00AF1D4E">
              <w:rPr>
                <w:b/>
                <w:sz w:val="17"/>
                <w:szCs w:val="17"/>
              </w:rPr>
              <w:t>1</w:t>
            </w:r>
          </w:p>
        </w:tc>
        <w:tc>
          <w:tcPr>
            <w:tcW w:w="1134" w:type="dxa"/>
            <w:noWrap/>
            <w:vAlign w:val="center"/>
          </w:tcPr>
          <w:p w14:paraId="0E40EEBC" w14:textId="77777777" w:rsidR="00EC2C63" w:rsidRPr="00AF1D4E" w:rsidRDefault="00EC2C63" w:rsidP="00E86714">
            <w:pPr>
              <w:pStyle w:val="TableText"/>
              <w:rPr>
                <w:sz w:val="17"/>
                <w:szCs w:val="17"/>
              </w:rPr>
            </w:pPr>
            <w:r w:rsidRPr="00AF1D4E">
              <w:rPr>
                <w:sz w:val="17"/>
                <w:szCs w:val="17"/>
              </w:rPr>
              <w:t>Internal Adhesives</w:t>
            </w:r>
          </w:p>
        </w:tc>
        <w:tc>
          <w:tcPr>
            <w:tcW w:w="708" w:type="dxa"/>
            <w:shd w:val="clear" w:color="auto" w:fill="FFE600" w:themeFill="text2"/>
            <w:noWrap/>
            <w:vAlign w:val="center"/>
          </w:tcPr>
          <w:p w14:paraId="6C136BA6" w14:textId="77777777" w:rsidR="00EC2C63" w:rsidRPr="00AF1D4E" w:rsidRDefault="00EC2C63" w:rsidP="00E86714">
            <w:pPr>
              <w:pStyle w:val="TableText"/>
              <w:rPr>
                <w:sz w:val="17"/>
                <w:szCs w:val="17"/>
              </w:rPr>
            </w:pPr>
          </w:p>
        </w:tc>
        <w:tc>
          <w:tcPr>
            <w:tcW w:w="709" w:type="dxa"/>
            <w:shd w:val="clear" w:color="auto" w:fill="E1362C"/>
            <w:noWrap/>
            <w:vAlign w:val="center"/>
          </w:tcPr>
          <w:p w14:paraId="4015B8D7" w14:textId="77777777" w:rsidR="00EC2C63" w:rsidRPr="00AF1D4E" w:rsidRDefault="00EC2C63" w:rsidP="00E86714">
            <w:pPr>
              <w:pStyle w:val="TableText"/>
              <w:rPr>
                <w:rFonts w:ascii="Segoe UI Symbol" w:hAnsi="Segoe UI Symbol"/>
                <w:sz w:val="17"/>
                <w:szCs w:val="17"/>
              </w:rPr>
            </w:pPr>
          </w:p>
        </w:tc>
        <w:tc>
          <w:tcPr>
            <w:tcW w:w="992" w:type="dxa"/>
            <w:vAlign w:val="center"/>
          </w:tcPr>
          <w:p w14:paraId="1C60DB90" w14:textId="77777777" w:rsidR="00EC2C63" w:rsidRPr="00AF1D4E" w:rsidRDefault="00EC2C63" w:rsidP="00E86714">
            <w:pPr>
              <w:pStyle w:val="TableText"/>
              <w:rPr>
                <w:rFonts w:ascii="Segoe UI Symbol" w:hAnsi="Segoe UI Symbol"/>
                <w:sz w:val="17"/>
                <w:szCs w:val="17"/>
              </w:rPr>
            </w:pPr>
          </w:p>
        </w:tc>
        <w:tc>
          <w:tcPr>
            <w:tcW w:w="993" w:type="dxa"/>
            <w:shd w:val="clear" w:color="auto" w:fill="FF9831"/>
            <w:vAlign w:val="center"/>
          </w:tcPr>
          <w:p w14:paraId="4AD3D36B" w14:textId="77777777" w:rsidR="00EC2C63" w:rsidRPr="00AF1D4E" w:rsidRDefault="00EC2C63" w:rsidP="00E86714">
            <w:pPr>
              <w:pStyle w:val="TableText"/>
              <w:rPr>
                <w:rFonts w:ascii="Segoe UI Symbol" w:hAnsi="Segoe UI Symbol"/>
                <w:sz w:val="17"/>
                <w:szCs w:val="17"/>
              </w:rPr>
            </w:pPr>
          </w:p>
        </w:tc>
        <w:tc>
          <w:tcPr>
            <w:tcW w:w="1417" w:type="dxa"/>
            <w:vAlign w:val="center"/>
          </w:tcPr>
          <w:p w14:paraId="3B627AE0" w14:textId="77777777" w:rsidR="00EC2C63" w:rsidRPr="00AF1D4E" w:rsidRDefault="00EC2C63" w:rsidP="00E86714">
            <w:pPr>
              <w:pStyle w:val="TableText"/>
              <w:rPr>
                <w:rFonts w:ascii="Segoe UI Symbol" w:hAnsi="Segoe UI Symbol"/>
                <w:sz w:val="17"/>
                <w:szCs w:val="17"/>
              </w:rPr>
            </w:pPr>
          </w:p>
        </w:tc>
        <w:tc>
          <w:tcPr>
            <w:tcW w:w="1134" w:type="dxa"/>
            <w:shd w:val="clear" w:color="auto" w:fill="FFE600" w:themeFill="text2"/>
            <w:vAlign w:val="center"/>
          </w:tcPr>
          <w:p w14:paraId="4C10B665" w14:textId="77777777" w:rsidR="00EC2C63" w:rsidRPr="00AF1D4E" w:rsidRDefault="00EC2C63" w:rsidP="00E86714">
            <w:pPr>
              <w:pStyle w:val="TableText"/>
              <w:rPr>
                <w:rFonts w:ascii="Segoe UI Symbol" w:hAnsi="Segoe UI Symbol"/>
                <w:sz w:val="17"/>
                <w:szCs w:val="17"/>
              </w:rPr>
            </w:pPr>
          </w:p>
        </w:tc>
        <w:tc>
          <w:tcPr>
            <w:tcW w:w="992" w:type="dxa"/>
            <w:shd w:val="clear" w:color="auto" w:fill="FFE600" w:themeFill="text2"/>
            <w:vAlign w:val="center"/>
          </w:tcPr>
          <w:p w14:paraId="3832246C" w14:textId="77777777" w:rsidR="00EC2C63" w:rsidRPr="00AF1D4E" w:rsidRDefault="00EC2C63" w:rsidP="00E86714">
            <w:pPr>
              <w:pStyle w:val="TableText"/>
              <w:rPr>
                <w:rFonts w:ascii="Segoe UI Symbol" w:hAnsi="Segoe UI Symbol"/>
                <w:sz w:val="17"/>
                <w:szCs w:val="17"/>
              </w:rPr>
            </w:pPr>
          </w:p>
        </w:tc>
        <w:tc>
          <w:tcPr>
            <w:tcW w:w="514" w:type="dxa"/>
            <w:vAlign w:val="center"/>
          </w:tcPr>
          <w:p w14:paraId="76AC1401" w14:textId="5689D6C7" w:rsidR="00EC2C63" w:rsidRPr="00AF1D4E" w:rsidRDefault="00EC2C63" w:rsidP="00E86714">
            <w:pPr>
              <w:pStyle w:val="TableText"/>
              <w:rPr>
                <w:rFonts w:ascii="Segoe UI Symbol" w:hAnsi="Segoe UI Symbol"/>
                <w:sz w:val="17"/>
                <w:szCs w:val="17"/>
              </w:rPr>
            </w:pPr>
            <w:r w:rsidRPr="00AF1D4E">
              <w:rPr>
                <w:rFonts w:ascii="Segoe UI Symbol" w:hAnsi="Segoe UI Symbol"/>
                <w:sz w:val="17"/>
                <w:szCs w:val="17"/>
              </w:rPr>
              <w:fldChar w:fldCharType="begin"/>
            </w:r>
            <w:r w:rsidRPr="00AF1D4E">
              <w:rPr>
                <w:rFonts w:ascii="Segoe UI Symbol" w:hAnsi="Segoe UI Symbol"/>
                <w:sz w:val="17"/>
                <w:szCs w:val="17"/>
              </w:rPr>
              <w:instrText xml:space="preserve"> PAGEREF _Ref38909881 \h </w:instrText>
            </w:r>
            <w:r w:rsidRPr="00AF1D4E">
              <w:rPr>
                <w:rFonts w:ascii="Segoe UI Symbol" w:hAnsi="Segoe UI Symbol"/>
                <w:sz w:val="17"/>
                <w:szCs w:val="17"/>
              </w:rPr>
            </w:r>
            <w:r w:rsidRPr="00AF1D4E">
              <w:rPr>
                <w:rFonts w:ascii="Segoe UI Symbol" w:hAnsi="Segoe UI Symbol"/>
                <w:sz w:val="17"/>
                <w:szCs w:val="17"/>
              </w:rPr>
              <w:fldChar w:fldCharType="separate"/>
            </w:r>
            <w:r w:rsidR="00784DE2">
              <w:rPr>
                <w:rFonts w:ascii="Segoe UI Symbol" w:hAnsi="Segoe UI Symbol"/>
                <w:noProof/>
                <w:sz w:val="17"/>
                <w:szCs w:val="17"/>
              </w:rPr>
              <w:t>58</w:t>
            </w:r>
            <w:r w:rsidRPr="00AF1D4E">
              <w:rPr>
                <w:rFonts w:ascii="Segoe UI Symbol" w:hAnsi="Segoe UI Symbol"/>
                <w:sz w:val="17"/>
                <w:szCs w:val="17"/>
              </w:rPr>
              <w:fldChar w:fldCharType="end"/>
            </w:r>
          </w:p>
        </w:tc>
      </w:tr>
      <w:tr w:rsidR="00EC2C63" w:rsidRPr="00EC2C63" w14:paraId="231231CC" w14:textId="77777777" w:rsidTr="00463B2D">
        <w:trPr>
          <w:trHeight w:val="20"/>
        </w:trPr>
        <w:tc>
          <w:tcPr>
            <w:tcW w:w="416" w:type="dxa"/>
            <w:vAlign w:val="center"/>
          </w:tcPr>
          <w:p w14:paraId="05535B1A" w14:textId="77777777" w:rsidR="00EC2C63" w:rsidRPr="00AF1D4E" w:rsidRDefault="00EC2C63" w:rsidP="00E86714">
            <w:pPr>
              <w:pStyle w:val="TableText"/>
              <w:rPr>
                <w:b/>
                <w:sz w:val="17"/>
                <w:szCs w:val="17"/>
              </w:rPr>
            </w:pPr>
            <w:r w:rsidRPr="00AF1D4E">
              <w:rPr>
                <w:b/>
                <w:sz w:val="17"/>
                <w:szCs w:val="17"/>
              </w:rPr>
              <w:t>2</w:t>
            </w:r>
          </w:p>
        </w:tc>
        <w:tc>
          <w:tcPr>
            <w:tcW w:w="1134" w:type="dxa"/>
            <w:noWrap/>
            <w:vAlign w:val="center"/>
          </w:tcPr>
          <w:p w14:paraId="69DA9C4E" w14:textId="77777777" w:rsidR="00EC2C63" w:rsidRPr="00AF1D4E" w:rsidRDefault="00E86714" w:rsidP="00E86714">
            <w:pPr>
              <w:pStyle w:val="TableText"/>
              <w:rPr>
                <w:sz w:val="17"/>
                <w:szCs w:val="17"/>
              </w:rPr>
            </w:pPr>
            <w:r>
              <w:rPr>
                <w:sz w:val="17"/>
                <w:szCs w:val="17"/>
              </w:rPr>
              <w:t>Staples and Tackers</w:t>
            </w:r>
          </w:p>
        </w:tc>
        <w:tc>
          <w:tcPr>
            <w:tcW w:w="708" w:type="dxa"/>
            <w:shd w:val="clear" w:color="auto" w:fill="FFE600" w:themeFill="text2"/>
            <w:noWrap/>
            <w:vAlign w:val="center"/>
          </w:tcPr>
          <w:p w14:paraId="02AB4E75" w14:textId="77777777" w:rsidR="00EC2C63" w:rsidRPr="00AF1D4E" w:rsidRDefault="00EC2C63" w:rsidP="00E86714">
            <w:pPr>
              <w:pStyle w:val="TableText"/>
              <w:rPr>
                <w:sz w:val="17"/>
                <w:szCs w:val="17"/>
              </w:rPr>
            </w:pPr>
          </w:p>
        </w:tc>
        <w:tc>
          <w:tcPr>
            <w:tcW w:w="709" w:type="dxa"/>
            <w:shd w:val="clear" w:color="auto" w:fill="FF9831"/>
            <w:noWrap/>
            <w:vAlign w:val="center"/>
          </w:tcPr>
          <w:p w14:paraId="00ED841F" w14:textId="77777777" w:rsidR="00EC2C63" w:rsidRPr="00AF1D4E" w:rsidRDefault="00EC2C63" w:rsidP="00E86714">
            <w:pPr>
              <w:pStyle w:val="TableText"/>
              <w:rPr>
                <w:rFonts w:ascii="Segoe UI Symbol" w:hAnsi="Segoe UI Symbol"/>
                <w:sz w:val="17"/>
                <w:szCs w:val="17"/>
              </w:rPr>
            </w:pPr>
          </w:p>
        </w:tc>
        <w:tc>
          <w:tcPr>
            <w:tcW w:w="992" w:type="dxa"/>
            <w:vAlign w:val="center"/>
          </w:tcPr>
          <w:p w14:paraId="32F253C9" w14:textId="77777777" w:rsidR="00EC2C63" w:rsidRPr="00AF1D4E" w:rsidRDefault="00EC2C63" w:rsidP="00E86714">
            <w:pPr>
              <w:pStyle w:val="TableText"/>
              <w:rPr>
                <w:rFonts w:ascii="Segoe UI Symbol" w:hAnsi="Segoe UI Symbol"/>
                <w:sz w:val="17"/>
                <w:szCs w:val="17"/>
              </w:rPr>
            </w:pPr>
          </w:p>
        </w:tc>
        <w:tc>
          <w:tcPr>
            <w:tcW w:w="993" w:type="dxa"/>
            <w:vAlign w:val="center"/>
          </w:tcPr>
          <w:p w14:paraId="15850B2D" w14:textId="77777777" w:rsidR="00EC2C63" w:rsidRPr="00AF1D4E" w:rsidRDefault="00EC2C63" w:rsidP="00E86714">
            <w:pPr>
              <w:pStyle w:val="TableText"/>
              <w:rPr>
                <w:rFonts w:ascii="Segoe UI Symbol" w:hAnsi="Segoe UI Symbol"/>
                <w:sz w:val="17"/>
                <w:szCs w:val="17"/>
              </w:rPr>
            </w:pPr>
          </w:p>
        </w:tc>
        <w:tc>
          <w:tcPr>
            <w:tcW w:w="1417" w:type="dxa"/>
            <w:vAlign w:val="center"/>
          </w:tcPr>
          <w:p w14:paraId="2C0A76C8" w14:textId="77777777" w:rsidR="00EC2C63" w:rsidRPr="00AF1D4E" w:rsidRDefault="00EC2C63" w:rsidP="00E86714">
            <w:pPr>
              <w:pStyle w:val="TableText"/>
              <w:rPr>
                <w:rFonts w:ascii="Segoe UI Symbol" w:hAnsi="Segoe UI Symbol"/>
                <w:sz w:val="17"/>
                <w:szCs w:val="17"/>
              </w:rPr>
            </w:pPr>
          </w:p>
        </w:tc>
        <w:tc>
          <w:tcPr>
            <w:tcW w:w="1134" w:type="dxa"/>
            <w:shd w:val="clear" w:color="auto" w:fill="FFE600" w:themeFill="text2"/>
            <w:vAlign w:val="center"/>
          </w:tcPr>
          <w:p w14:paraId="287BA60B" w14:textId="77777777" w:rsidR="00EC2C63" w:rsidRPr="00AF1D4E" w:rsidRDefault="00EC2C63" w:rsidP="00E86714">
            <w:pPr>
              <w:pStyle w:val="TableText"/>
              <w:rPr>
                <w:rFonts w:ascii="Segoe UI Symbol" w:hAnsi="Segoe UI Symbol"/>
                <w:sz w:val="17"/>
                <w:szCs w:val="17"/>
              </w:rPr>
            </w:pPr>
          </w:p>
        </w:tc>
        <w:tc>
          <w:tcPr>
            <w:tcW w:w="992" w:type="dxa"/>
            <w:vAlign w:val="center"/>
          </w:tcPr>
          <w:p w14:paraId="2A9DCBDA" w14:textId="77777777" w:rsidR="00EC2C63" w:rsidRPr="00AF1D4E" w:rsidRDefault="00EC2C63" w:rsidP="00E86714">
            <w:pPr>
              <w:pStyle w:val="TableText"/>
              <w:rPr>
                <w:rFonts w:ascii="Segoe UI Symbol" w:hAnsi="Segoe UI Symbol"/>
                <w:sz w:val="17"/>
                <w:szCs w:val="17"/>
              </w:rPr>
            </w:pPr>
          </w:p>
        </w:tc>
        <w:tc>
          <w:tcPr>
            <w:tcW w:w="514" w:type="dxa"/>
            <w:vAlign w:val="center"/>
          </w:tcPr>
          <w:p w14:paraId="02A22FD8" w14:textId="3006585E" w:rsidR="00EC2C63" w:rsidRPr="00AF1D4E" w:rsidRDefault="00EC2C63" w:rsidP="00E86714">
            <w:pPr>
              <w:pStyle w:val="TableText"/>
              <w:rPr>
                <w:rFonts w:ascii="Segoe UI Symbol" w:hAnsi="Segoe UI Symbol"/>
                <w:sz w:val="17"/>
                <w:szCs w:val="17"/>
              </w:rPr>
            </w:pPr>
            <w:r w:rsidRPr="00AF1D4E">
              <w:rPr>
                <w:rFonts w:ascii="Segoe UI Symbol" w:hAnsi="Segoe UI Symbol"/>
                <w:sz w:val="17"/>
                <w:szCs w:val="17"/>
              </w:rPr>
              <w:fldChar w:fldCharType="begin"/>
            </w:r>
            <w:r w:rsidRPr="00AF1D4E">
              <w:rPr>
                <w:rFonts w:ascii="Segoe UI Symbol" w:hAnsi="Segoe UI Symbol"/>
                <w:sz w:val="17"/>
                <w:szCs w:val="17"/>
              </w:rPr>
              <w:instrText xml:space="preserve"> PAGEREF _Ref39581548 \h </w:instrText>
            </w:r>
            <w:r w:rsidRPr="00AF1D4E">
              <w:rPr>
                <w:rFonts w:ascii="Segoe UI Symbol" w:hAnsi="Segoe UI Symbol"/>
                <w:sz w:val="17"/>
                <w:szCs w:val="17"/>
              </w:rPr>
            </w:r>
            <w:r w:rsidRPr="00AF1D4E">
              <w:rPr>
                <w:rFonts w:ascii="Segoe UI Symbol" w:hAnsi="Segoe UI Symbol"/>
                <w:sz w:val="17"/>
                <w:szCs w:val="17"/>
              </w:rPr>
              <w:fldChar w:fldCharType="separate"/>
            </w:r>
            <w:r w:rsidR="00784DE2">
              <w:rPr>
                <w:rFonts w:ascii="Segoe UI Symbol" w:hAnsi="Segoe UI Symbol"/>
                <w:noProof/>
                <w:sz w:val="17"/>
                <w:szCs w:val="17"/>
              </w:rPr>
              <w:t>61</w:t>
            </w:r>
            <w:r w:rsidRPr="00AF1D4E">
              <w:rPr>
                <w:rFonts w:ascii="Segoe UI Symbol" w:hAnsi="Segoe UI Symbol"/>
                <w:sz w:val="17"/>
                <w:szCs w:val="17"/>
              </w:rPr>
              <w:fldChar w:fldCharType="end"/>
            </w:r>
          </w:p>
        </w:tc>
      </w:tr>
      <w:tr w:rsidR="00EC2C63" w:rsidRPr="00EC2C63" w14:paraId="3E02AE81" w14:textId="77777777" w:rsidTr="00463B2D">
        <w:trPr>
          <w:trHeight w:val="20"/>
        </w:trPr>
        <w:tc>
          <w:tcPr>
            <w:tcW w:w="416" w:type="dxa"/>
            <w:vAlign w:val="center"/>
          </w:tcPr>
          <w:p w14:paraId="0C0D236A" w14:textId="77777777" w:rsidR="00EC2C63" w:rsidRPr="00AF1D4E" w:rsidRDefault="00EC2C63" w:rsidP="00E86714">
            <w:pPr>
              <w:pStyle w:val="TableText"/>
              <w:rPr>
                <w:b/>
                <w:sz w:val="17"/>
                <w:szCs w:val="17"/>
              </w:rPr>
            </w:pPr>
            <w:r w:rsidRPr="00AF1D4E">
              <w:rPr>
                <w:b/>
                <w:sz w:val="17"/>
                <w:szCs w:val="17"/>
              </w:rPr>
              <w:t>3</w:t>
            </w:r>
          </w:p>
        </w:tc>
        <w:tc>
          <w:tcPr>
            <w:tcW w:w="1134" w:type="dxa"/>
            <w:noWrap/>
            <w:vAlign w:val="center"/>
          </w:tcPr>
          <w:p w14:paraId="76ED3765" w14:textId="36A9D67D" w:rsidR="00EC2C63" w:rsidRPr="00AF1D4E" w:rsidRDefault="00EC2C63" w:rsidP="00E86714">
            <w:pPr>
              <w:autoSpaceDE/>
              <w:autoSpaceDN/>
              <w:adjustRightInd/>
              <w:rPr>
                <w:sz w:val="17"/>
                <w:szCs w:val="17"/>
              </w:rPr>
            </w:pPr>
            <w:r w:rsidRPr="00AF1D4E">
              <w:rPr>
                <w:sz w:val="17"/>
                <w:szCs w:val="17"/>
              </w:rPr>
              <w:fldChar w:fldCharType="begin"/>
            </w:r>
            <w:r w:rsidRPr="00AF1D4E">
              <w:rPr>
                <w:sz w:val="17"/>
                <w:szCs w:val="17"/>
              </w:rPr>
              <w:instrText xml:space="preserve"> REF _Ref39418131 \h  \* MERGEFORMAT </w:instrText>
            </w:r>
            <w:r w:rsidRPr="00AF1D4E">
              <w:rPr>
                <w:sz w:val="17"/>
                <w:szCs w:val="17"/>
              </w:rPr>
            </w:r>
            <w:r w:rsidRPr="00AF1D4E">
              <w:rPr>
                <w:sz w:val="17"/>
                <w:szCs w:val="17"/>
              </w:rPr>
              <w:fldChar w:fldCharType="separate"/>
            </w:r>
            <w:r w:rsidR="00784DE2" w:rsidRPr="00784DE2">
              <w:rPr>
                <w:sz w:val="17"/>
                <w:szCs w:val="17"/>
              </w:rPr>
              <w:t>Matrix</w:t>
            </w:r>
            <w:r w:rsidRPr="00AF1D4E">
              <w:rPr>
                <w:sz w:val="17"/>
                <w:szCs w:val="17"/>
              </w:rPr>
              <w:fldChar w:fldCharType="end"/>
            </w:r>
          </w:p>
        </w:tc>
        <w:tc>
          <w:tcPr>
            <w:tcW w:w="708" w:type="dxa"/>
            <w:noWrap/>
            <w:vAlign w:val="center"/>
          </w:tcPr>
          <w:p w14:paraId="05731A9A" w14:textId="77777777" w:rsidR="00EC2C63" w:rsidRPr="00AF1D4E" w:rsidRDefault="00EC2C63" w:rsidP="00E86714">
            <w:pPr>
              <w:pStyle w:val="TableText"/>
              <w:rPr>
                <w:sz w:val="17"/>
                <w:szCs w:val="17"/>
              </w:rPr>
            </w:pPr>
          </w:p>
        </w:tc>
        <w:tc>
          <w:tcPr>
            <w:tcW w:w="709" w:type="dxa"/>
            <w:shd w:val="clear" w:color="auto" w:fill="FF9831"/>
            <w:noWrap/>
            <w:vAlign w:val="center"/>
          </w:tcPr>
          <w:p w14:paraId="2BD031A1" w14:textId="77777777" w:rsidR="00EC2C63" w:rsidRPr="00AF1D4E" w:rsidRDefault="00EC2C63" w:rsidP="00E86714">
            <w:pPr>
              <w:pStyle w:val="TableText"/>
              <w:rPr>
                <w:rFonts w:ascii="Segoe UI Symbol" w:hAnsi="Segoe UI Symbol"/>
                <w:sz w:val="17"/>
                <w:szCs w:val="17"/>
              </w:rPr>
            </w:pPr>
          </w:p>
        </w:tc>
        <w:tc>
          <w:tcPr>
            <w:tcW w:w="992" w:type="dxa"/>
            <w:vAlign w:val="center"/>
          </w:tcPr>
          <w:p w14:paraId="6D0CC35B" w14:textId="77777777" w:rsidR="00EC2C63" w:rsidRPr="00AF1D4E" w:rsidRDefault="00EC2C63" w:rsidP="00E86714">
            <w:pPr>
              <w:pStyle w:val="TableText"/>
              <w:rPr>
                <w:rFonts w:ascii="Segoe UI Symbol" w:hAnsi="Segoe UI Symbol"/>
                <w:sz w:val="17"/>
                <w:szCs w:val="17"/>
              </w:rPr>
            </w:pPr>
          </w:p>
        </w:tc>
        <w:tc>
          <w:tcPr>
            <w:tcW w:w="993" w:type="dxa"/>
            <w:vAlign w:val="center"/>
          </w:tcPr>
          <w:p w14:paraId="1DAF5A0B" w14:textId="77777777" w:rsidR="00EC2C63" w:rsidRPr="00AF1D4E" w:rsidRDefault="00EC2C63" w:rsidP="00E86714">
            <w:pPr>
              <w:pStyle w:val="TableText"/>
              <w:rPr>
                <w:rFonts w:ascii="Segoe UI Symbol" w:hAnsi="Segoe UI Symbol"/>
                <w:sz w:val="17"/>
                <w:szCs w:val="17"/>
              </w:rPr>
            </w:pPr>
          </w:p>
        </w:tc>
        <w:tc>
          <w:tcPr>
            <w:tcW w:w="1417" w:type="dxa"/>
            <w:vAlign w:val="center"/>
          </w:tcPr>
          <w:p w14:paraId="6B1E25B2" w14:textId="77777777" w:rsidR="00EC2C63" w:rsidRPr="00AF1D4E" w:rsidRDefault="00EC2C63" w:rsidP="00E86714">
            <w:pPr>
              <w:pStyle w:val="TableText"/>
              <w:rPr>
                <w:rFonts w:ascii="Segoe UI Symbol" w:hAnsi="Segoe UI Symbol"/>
                <w:sz w:val="17"/>
                <w:szCs w:val="17"/>
              </w:rPr>
            </w:pPr>
          </w:p>
        </w:tc>
        <w:tc>
          <w:tcPr>
            <w:tcW w:w="1134" w:type="dxa"/>
            <w:shd w:val="clear" w:color="auto" w:fill="FFE600" w:themeFill="text2"/>
            <w:vAlign w:val="center"/>
          </w:tcPr>
          <w:p w14:paraId="7E99055C" w14:textId="77777777" w:rsidR="00EC2C63" w:rsidRPr="00AF1D4E" w:rsidRDefault="00EC2C63" w:rsidP="00E86714">
            <w:pPr>
              <w:pStyle w:val="TableText"/>
              <w:rPr>
                <w:rFonts w:ascii="Segoe UI Symbol" w:hAnsi="Segoe UI Symbol"/>
                <w:sz w:val="17"/>
                <w:szCs w:val="17"/>
                <w:highlight w:val="yellow"/>
              </w:rPr>
            </w:pPr>
          </w:p>
        </w:tc>
        <w:tc>
          <w:tcPr>
            <w:tcW w:w="992" w:type="dxa"/>
            <w:shd w:val="clear" w:color="auto" w:fill="FFE600" w:themeFill="text2"/>
            <w:vAlign w:val="center"/>
          </w:tcPr>
          <w:p w14:paraId="4F6FA99C" w14:textId="77777777" w:rsidR="00EC2C63" w:rsidRPr="00AF1D4E" w:rsidRDefault="00EC2C63" w:rsidP="00E86714">
            <w:pPr>
              <w:pStyle w:val="TableText"/>
              <w:rPr>
                <w:rFonts w:ascii="Segoe UI Symbol" w:hAnsi="Segoe UI Symbol"/>
                <w:sz w:val="17"/>
                <w:szCs w:val="17"/>
                <w:highlight w:val="yellow"/>
              </w:rPr>
            </w:pPr>
          </w:p>
        </w:tc>
        <w:tc>
          <w:tcPr>
            <w:tcW w:w="514" w:type="dxa"/>
            <w:vAlign w:val="center"/>
          </w:tcPr>
          <w:p w14:paraId="09CAA403" w14:textId="1C7DA183" w:rsidR="00EC2C63" w:rsidRPr="00AF1D4E" w:rsidRDefault="00EC2C63" w:rsidP="00E86714">
            <w:pPr>
              <w:pStyle w:val="TableText"/>
              <w:rPr>
                <w:rFonts w:ascii="Segoe UI Symbol" w:hAnsi="Segoe UI Symbol"/>
                <w:sz w:val="17"/>
                <w:szCs w:val="17"/>
              </w:rPr>
            </w:pPr>
            <w:r w:rsidRPr="00AF1D4E">
              <w:rPr>
                <w:rFonts w:ascii="Segoe UI Symbol" w:hAnsi="Segoe UI Symbol"/>
                <w:sz w:val="17"/>
                <w:szCs w:val="17"/>
              </w:rPr>
              <w:fldChar w:fldCharType="begin"/>
            </w:r>
            <w:r w:rsidRPr="00AF1D4E">
              <w:rPr>
                <w:rFonts w:ascii="Segoe UI Symbol" w:hAnsi="Segoe UI Symbol"/>
                <w:sz w:val="17"/>
                <w:szCs w:val="17"/>
              </w:rPr>
              <w:instrText xml:space="preserve"> PAGEREF _Ref39420781 \h </w:instrText>
            </w:r>
            <w:r w:rsidRPr="00AF1D4E">
              <w:rPr>
                <w:rFonts w:ascii="Segoe UI Symbol" w:hAnsi="Segoe UI Symbol"/>
                <w:sz w:val="17"/>
                <w:szCs w:val="17"/>
              </w:rPr>
            </w:r>
            <w:r w:rsidRPr="00AF1D4E">
              <w:rPr>
                <w:rFonts w:ascii="Segoe UI Symbol" w:hAnsi="Segoe UI Symbol"/>
                <w:sz w:val="17"/>
                <w:szCs w:val="17"/>
              </w:rPr>
              <w:fldChar w:fldCharType="separate"/>
            </w:r>
            <w:r w:rsidR="00784DE2">
              <w:rPr>
                <w:rFonts w:ascii="Segoe UI Symbol" w:hAnsi="Segoe UI Symbol"/>
                <w:noProof/>
                <w:sz w:val="17"/>
                <w:szCs w:val="17"/>
              </w:rPr>
              <w:t>64</w:t>
            </w:r>
            <w:r w:rsidRPr="00AF1D4E">
              <w:rPr>
                <w:rFonts w:ascii="Segoe UI Symbol" w:hAnsi="Segoe UI Symbol"/>
                <w:sz w:val="17"/>
                <w:szCs w:val="17"/>
              </w:rPr>
              <w:fldChar w:fldCharType="end"/>
            </w:r>
          </w:p>
        </w:tc>
      </w:tr>
      <w:tr w:rsidR="00EC2C63" w:rsidRPr="00EC2C63" w14:paraId="53FA15A9" w14:textId="77777777" w:rsidTr="00463B2D">
        <w:trPr>
          <w:trHeight w:val="20"/>
        </w:trPr>
        <w:tc>
          <w:tcPr>
            <w:tcW w:w="416" w:type="dxa"/>
            <w:vAlign w:val="center"/>
          </w:tcPr>
          <w:p w14:paraId="07ED532C" w14:textId="77777777" w:rsidR="00EC2C63" w:rsidRPr="00AF1D4E" w:rsidRDefault="00EC2C63" w:rsidP="00E86714">
            <w:pPr>
              <w:pStyle w:val="TableText"/>
              <w:rPr>
                <w:b/>
                <w:bCs/>
                <w:sz w:val="17"/>
                <w:szCs w:val="17"/>
              </w:rPr>
            </w:pPr>
            <w:r w:rsidRPr="00AF1D4E">
              <w:rPr>
                <w:b/>
                <w:bCs/>
                <w:sz w:val="17"/>
                <w:szCs w:val="17"/>
              </w:rPr>
              <w:t>4</w:t>
            </w:r>
          </w:p>
        </w:tc>
        <w:tc>
          <w:tcPr>
            <w:tcW w:w="1134" w:type="dxa"/>
            <w:noWrap/>
            <w:vAlign w:val="center"/>
          </w:tcPr>
          <w:p w14:paraId="369C7D53" w14:textId="2BA1CB44" w:rsidR="00EC2C63" w:rsidRPr="00AF1D4E" w:rsidRDefault="00E86714" w:rsidP="00E86714">
            <w:pPr>
              <w:pStyle w:val="TableText"/>
              <w:rPr>
                <w:sz w:val="17"/>
                <w:szCs w:val="17"/>
              </w:rPr>
            </w:pPr>
            <w:r>
              <w:rPr>
                <w:sz w:val="17"/>
                <w:szCs w:val="17"/>
              </w:rPr>
              <w:t>Infusion Pumps, Balloon based</w:t>
            </w:r>
            <w:r w:rsidR="001301C4" w:rsidRPr="00AF1D4E" w:rsidDel="001301C4">
              <w:rPr>
                <w:sz w:val="17"/>
                <w:szCs w:val="17"/>
              </w:rPr>
              <w:t xml:space="preserve"> </w:t>
            </w:r>
          </w:p>
        </w:tc>
        <w:tc>
          <w:tcPr>
            <w:tcW w:w="708" w:type="dxa"/>
            <w:shd w:val="clear" w:color="auto" w:fill="FFE600" w:themeFill="text2"/>
            <w:noWrap/>
            <w:vAlign w:val="center"/>
          </w:tcPr>
          <w:p w14:paraId="2C80B7CA" w14:textId="77777777" w:rsidR="00EC2C63" w:rsidRPr="00AF1D4E" w:rsidRDefault="00EC2C63" w:rsidP="00E86714">
            <w:pPr>
              <w:pStyle w:val="TableText"/>
              <w:rPr>
                <w:sz w:val="17"/>
                <w:szCs w:val="17"/>
              </w:rPr>
            </w:pPr>
          </w:p>
        </w:tc>
        <w:tc>
          <w:tcPr>
            <w:tcW w:w="709" w:type="dxa"/>
            <w:shd w:val="clear" w:color="auto" w:fill="auto"/>
            <w:noWrap/>
            <w:vAlign w:val="center"/>
          </w:tcPr>
          <w:p w14:paraId="611783AB" w14:textId="77777777" w:rsidR="00EC2C63" w:rsidRPr="00AF1D4E" w:rsidRDefault="00EC2C63" w:rsidP="00E86714">
            <w:pPr>
              <w:pStyle w:val="TableText"/>
              <w:rPr>
                <w:rFonts w:ascii="Segoe UI Symbol" w:hAnsi="Segoe UI Symbol"/>
                <w:sz w:val="17"/>
                <w:szCs w:val="17"/>
              </w:rPr>
            </w:pPr>
          </w:p>
        </w:tc>
        <w:tc>
          <w:tcPr>
            <w:tcW w:w="992" w:type="dxa"/>
            <w:shd w:val="clear" w:color="auto" w:fill="E1362C"/>
            <w:vAlign w:val="center"/>
          </w:tcPr>
          <w:p w14:paraId="5E23154E" w14:textId="77777777" w:rsidR="00EC2C63" w:rsidRPr="00AF1D4E" w:rsidRDefault="00EC2C63" w:rsidP="00E86714">
            <w:pPr>
              <w:pStyle w:val="TableText"/>
              <w:rPr>
                <w:rFonts w:ascii="Segoe UI Symbol" w:hAnsi="Segoe UI Symbol"/>
                <w:sz w:val="17"/>
                <w:szCs w:val="17"/>
              </w:rPr>
            </w:pPr>
          </w:p>
        </w:tc>
        <w:tc>
          <w:tcPr>
            <w:tcW w:w="993" w:type="dxa"/>
            <w:shd w:val="clear" w:color="auto" w:fill="FF9831"/>
            <w:vAlign w:val="center"/>
          </w:tcPr>
          <w:p w14:paraId="02F5378B" w14:textId="77777777" w:rsidR="00EC2C63" w:rsidRPr="00AF1D4E" w:rsidRDefault="00EC2C63" w:rsidP="00E86714">
            <w:pPr>
              <w:pStyle w:val="TableText"/>
              <w:rPr>
                <w:rFonts w:ascii="Segoe UI Symbol" w:hAnsi="Segoe UI Symbol"/>
                <w:sz w:val="17"/>
                <w:szCs w:val="17"/>
              </w:rPr>
            </w:pPr>
          </w:p>
        </w:tc>
        <w:tc>
          <w:tcPr>
            <w:tcW w:w="1417" w:type="dxa"/>
            <w:shd w:val="clear" w:color="auto" w:fill="E1362C"/>
            <w:vAlign w:val="center"/>
          </w:tcPr>
          <w:p w14:paraId="146079AF" w14:textId="77777777" w:rsidR="00EC2C63" w:rsidRPr="00AF1D4E" w:rsidRDefault="00EC2C63" w:rsidP="00E86714">
            <w:pPr>
              <w:pStyle w:val="TableText"/>
              <w:rPr>
                <w:rFonts w:ascii="Segoe UI Symbol" w:hAnsi="Segoe UI Symbol"/>
                <w:sz w:val="17"/>
                <w:szCs w:val="17"/>
              </w:rPr>
            </w:pPr>
          </w:p>
        </w:tc>
        <w:tc>
          <w:tcPr>
            <w:tcW w:w="1134" w:type="dxa"/>
            <w:shd w:val="clear" w:color="auto" w:fill="FFE600" w:themeFill="text2"/>
            <w:vAlign w:val="center"/>
          </w:tcPr>
          <w:p w14:paraId="5428EC2B" w14:textId="77777777" w:rsidR="00EC2C63" w:rsidRPr="00AF1D4E" w:rsidRDefault="00EC2C63" w:rsidP="00E86714">
            <w:pPr>
              <w:pStyle w:val="TableText"/>
              <w:rPr>
                <w:rFonts w:ascii="Segoe UI Symbol" w:hAnsi="Segoe UI Symbol"/>
                <w:sz w:val="17"/>
                <w:szCs w:val="17"/>
              </w:rPr>
            </w:pPr>
          </w:p>
        </w:tc>
        <w:tc>
          <w:tcPr>
            <w:tcW w:w="992" w:type="dxa"/>
            <w:shd w:val="clear" w:color="auto" w:fill="auto"/>
            <w:vAlign w:val="center"/>
          </w:tcPr>
          <w:p w14:paraId="40F903F0" w14:textId="77777777" w:rsidR="00EC2C63" w:rsidRPr="00AF1D4E" w:rsidRDefault="00EC2C63" w:rsidP="00E86714">
            <w:pPr>
              <w:pStyle w:val="TableText"/>
              <w:rPr>
                <w:rFonts w:ascii="Segoe UI Symbol" w:hAnsi="Segoe UI Symbol"/>
                <w:sz w:val="17"/>
                <w:szCs w:val="17"/>
              </w:rPr>
            </w:pPr>
          </w:p>
        </w:tc>
        <w:tc>
          <w:tcPr>
            <w:tcW w:w="514" w:type="dxa"/>
            <w:vAlign w:val="center"/>
          </w:tcPr>
          <w:p w14:paraId="2C18F19E" w14:textId="035C4047" w:rsidR="00EC2C63" w:rsidRPr="00AF1D4E" w:rsidRDefault="00EC2C63" w:rsidP="00E86714">
            <w:pPr>
              <w:pStyle w:val="TableText"/>
              <w:rPr>
                <w:rFonts w:ascii="Segoe UI Symbol" w:hAnsi="Segoe UI Symbol"/>
                <w:sz w:val="17"/>
                <w:szCs w:val="17"/>
              </w:rPr>
            </w:pPr>
            <w:r w:rsidRPr="00AF1D4E">
              <w:rPr>
                <w:rFonts w:ascii="Segoe UI Symbol" w:hAnsi="Segoe UI Symbol"/>
                <w:sz w:val="17"/>
                <w:szCs w:val="17"/>
              </w:rPr>
              <w:fldChar w:fldCharType="begin"/>
            </w:r>
            <w:r w:rsidRPr="00AF1D4E">
              <w:rPr>
                <w:rFonts w:ascii="Segoe UI Symbol" w:hAnsi="Segoe UI Symbol"/>
                <w:sz w:val="17"/>
                <w:szCs w:val="17"/>
              </w:rPr>
              <w:instrText xml:space="preserve"> PAGEREF _Ref39600622 \h </w:instrText>
            </w:r>
            <w:r w:rsidRPr="00AF1D4E">
              <w:rPr>
                <w:rFonts w:ascii="Segoe UI Symbol" w:hAnsi="Segoe UI Symbol"/>
                <w:sz w:val="17"/>
                <w:szCs w:val="17"/>
              </w:rPr>
            </w:r>
            <w:r w:rsidRPr="00AF1D4E">
              <w:rPr>
                <w:rFonts w:ascii="Segoe UI Symbol" w:hAnsi="Segoe UI Symbol"/>
                <w:sz w:val="17"/>
                <w:szCs w:val="17"/>
              </w:rPr>
              <w:fldChar w:fldCharType="separate"/>
            </w:r>
            <w:r w:rsidR="00784DE2">
              <w:rPr>
                <w:rFonts w:ascii="Segoe UI Symbol" w:hAnsi="Segoe UI Symbol"/>
                <w:noProof/>
                <w:sz w:val="17"/>
                <w:szCs w:val="17"/>
              </w:rPr>
              <w:t>65</w:t>
            </w:r>
            <w:r w:rsidRPr="00AF1D4E">
              <w:rPr>
                <w:rFonts w:ascii="Segoe UI Symbol" w:hAnsi="Segoe UI Symbol"/>
                <w:sz w:val="17"/>
                <w:szCs w:val="17"/>
              </w:rPr>
              <w:fldChar w:fldCharType="end"/>
            </w:r>
          </w:p>
        </w:tc>
      </w:tr>
      <w:tr w:rsidR="00EC2C63" w:rsidRPr="00EC2C63" w14:paraId="55BB2024" w14:textId="77777777" w:rsidTr="00463B2D">
        <w:trPr>
          <w:trHeight w:val="20"/>
        </w:trPr>
        <w:tc>
          <w:tcPr>
            <w:tcW w:w="416" w:type="dxa"/>
            <w:vAlign w:val="center"/>
          </w:tcPr>
          <w:p w14:paraId="3C1DD760" w14:textId="77777777" w:rsidR="00EC2C63" w:rsidRPr="00AF1D4E" w:rsidRDefault="00EC2C63" w:rsidP="00E86714">
            <w:pPr>
              <w:pStyle w:val="TableText"/>
              <w:rPr>
                <w:b/>
                <w:sz w:val="17"/>
                <w:szCs w:val="17"/>
              </w:rPr>
            </w:pPr>
            <w:r w:rsidRPr="00AF1D4E">
              <w:rPr>
                <w:b/>
                <w:bCs/>
                <w:sz w:val="17"/>
                <w:szCs w:val="17"/>
              </w:rPr>
              <w:t>5</w:t>
            </w:r>
          </w:p>
        </w:tc>
        <w:tc>
          <w:tcPr>
            <w:tcW w:w="1134" w:type="dxa"/>
            <w:noWrap/>
            <w:vAlign w:val="center"/>
          </w:tcPr>
          <w:p w14:paraId="5FDC55B0" w14:textId="77777777" w:rsidR="00EC2C63" w:rsidRPr="00AF1D4E" w:rsidRDefault="00E86714" w:rsidP="00E86714">
            <w:pPr>
              <w:pStyle w:val="TableText"/>
              <w:rPr>
                <w:sz w:val="17"/>
                <w:szCs w:val="17"/>
              </w:rPr>
            </w:pPr>
            <w:r>
              <w:rPr>
                <w:sz w:val="17"/>
                <w:szCs w:val="17"/>
              </w:rPr>
              <w:t>Infusion Pump Accessories</w:t>
            </w:r>
          </w:p>
        </w:tc>
        <w:tc>
          <w:tcPr>
            <w:tcW w:w="708" w:type="dxa"/>
            <w:shd w:val="clear" w:color="auto" w:fill="FFE600" w:themeFill="text2"/>
            <w:noWrap/>
            <w:vAlign w:val="center"/>
          </w:tcPr>
          <w:p w14:paraId="22D03CA5" w14:textId="77777777" w:rsidR="00EC2C63" w:rsidRPr="00AF1D4E" w:rsidRDefault="00EC2C63" w:rsidP="00E86714">
            <w:pPr>
              <w:pStyle w:val="TableText"/>
              <w:rPr>
                <w:sz w:val="17"/>
                <w:szCs w:val="17"/>
              </w:rPr>
            </w:pPr>
          </w:p>
        </w:tc>
        <w:tc>
          <w:tcPr>
            <w:tcW w:w="709" w:type="dxa"/>
            <w:shd w:val="clear" w:color="auto" w:fill="E1362C"/>
            <w:noWrap/>
            <w:vAlign w:val="center"/>
          </w:tcPr>
          <w:p w14:paraId="29B35B83" w14:textId="77777777" w:rsidR="00EC2C63" w:rsidRPr="00AF1D4E" w:rsidRDefault="00EC2C63" w:rsidP="00E86714">
            <w:pPr>
              <w:pStyle w:val="TableText"/>
              <w:rPr>
                <w:rFonts w:ascii="Segoe UI Symbol" w:hAnsi="Segoe UI Symbol"/>
                <w:sz w:val="17"/>
                <w:szCs w:val="17"/>
              </w:rPr>
            </w:pPr>
          </w:p>
        </w:tc>
        <w:tc>
          <w:tcPr>
            <w:tcW w:w="992" w:type="dxa"/>
            <w:shd w:val="clear" w:color="auto" w:fill="FFE600" w:themeFill="text2"/>
            <w:vAlign w:val="center"/>
          </w:tcPr>
          <w:p w14:paraId="60CA74B3" w14:textId="77777777" w:rsidR="00EC2C63" w:rsidRPr="00AF1D4E" w:rsidRDefault="00EC2C63" w:rsidP="00E86714">
            <w:pPr>
              <w:pStyle w:val="TableText"/>
              <w:rPr>
                <w:rFonts w:ascii="Segoe UI Symbol" w:hAnsi="Segoe UI Symbol"/>
                <w:sz w:val="17"/>
                <w:szCs w:val="17"/>
              </w:rPr>
            </w:pPr>
          </w:p>
        </w:tc>
        <w:tc>
          <w:tcPr>
            <w:tcW w:w="993" w:type="dxa"/>
            <w:vAlign w:val="center"/>
          </w:tcPr>
          <w:p w14:paraId="51EBD523" w14:textId="77777777" w:rsidR="00EC2C63" w:rsidRPr="00AF1D4E" w:rsidRDefault="00EC2C63" w:rsidP="00E86714">
            <w:pPr>
              <w:pStyle w:val="TableText"/>
              <w:rPr>
                <w:rFonts w:ascii="Segoe UI Symbol" w:hAnsi="Segoe UI Symbol"/>
                <w:sz w:val="17"/>
                <w:szCs w:val="17"/>
              </w:rPr>
            </w:pPr>
          </w:p>
        </w:tc>
        <w:tc>
          <w:tcPr>
            <w:tcW w:w="1417" w:type="dxa"/>
            <w:vAlign w:val="center"/>
          </w:tcPr>
          <w:p w14:paraId="5F5C7EF2" w14:textId="77777777" w:rsidR="00EC2C63" w:rsidRPr="00AF1D4E" w:rsidRDefault="00EC2C63" w:rsidP="00E86714">
            <w:pPr>
              <w:pStyle w:val="TableText"/>
              <w:rPr>
                <w:rFonts w:ascii="Segoe UI Symbol" w:hAnsi="Segoe UI Symbol"/>
                <w:sz w:val="17"/>
                <w:szCs w:val="17"/>
              </w:rPr>
            </w:pPr>
          </w:p>
        </w:tc>
        <w:tc>
          <w:tcPr>
            <w:tcW w:w="1134" w:type="dxa"/>
            <w:shd w:val="clear" w:color="auto" w:fill="auto"/>
            <w:vAlign w:val="center"/>
          </w:tcPr>
          <w:p w14:paraId="7A7F04F1" w14:textId="77777777" w:rsidR="00EC2C63" w:rsidRPr="00AF1D4E" w:rsidRDefault="00EC2C63" w:rsidP="00E86714">
            <w:pPr>
              <w:pStyle w:val="TableText"/>
              <w:rPr>
                <w:rFonts w:ascii="Segoe UI Symbol" w:hAnsi="Segoe UI Symbol"/>
                <w:sz w:val="17"/>
                <w:szCs w:val="17"/>
              </w:rPr>
            </w:pPr>
          </w:p>
        </w:tc>
        <w:tc>
          <w:tcPr>
            <w:tcW w:w="992" w:type="dxa"/>
            <w:vAlign w:val="center"/>
          </w:tcPr>
          <w:p w14:paraId="75ED9B7E" w14:textId="77777777" w:rsidR="00EC2C63" w:rsidRPr="00AF1D4E" w:rsidRDefault="00EC2C63" w:rsidP="00E86714">
            <w:pPr>
              <w:pStyle w:val="TableText"/>
              <w:rPr>
                <w:rFonts w:ascii="Segoe UI Symbol" w:hAnsi="Segoe UI Symbol"/>
                <w:sz w:val="17"/>
                <w:szCs w:val="17"/>
              </w:rPr>
            </w:pPr>
          </w:p>
        </w:tc>
        <w:tc>
          <w:tcPr>
            <w:tcW w:w="514" w:type="dxa"/>
            <w:vAlign w:val="center"/>
          </w:tcPr>
          <w:p w14:paraId="37731A0C" w14:textId="68D67BFA" w:rsidR="00EC2C63" w:rsidRPr="00AF1D4E" w:rsidRDefault="00EC2C63" w:rsidP="00E86714">
            <w:pPr>
              <w:pStyle w:val="TableText"/>
              <w:rPr>
                <w:rFonts w:ascii="Segoe UI Symbol" w:hAnsi="Segoe UI Symbol"/>
                <w:sz w:val="17"/>
                <w:szCs w:val="17"/>
              </w:rPr>
            </w:pPr>
            <w:r w:rsidRPr="00AF1D4E">
              <w:rPr>
                <w:rFonts w:ascii="Segoe UI Symbol" w:hAnsi="Segoe UI Symbol"/>
                <w:sz w:val="17"/>
                <w:szCs w:val="17"/>
              </w:rPr>
              <w:fldChar w:fldCharType="begin"/>
            </w:r>
            <w:r w:rsidRPr="00AF1D4E">
              <w:rPr>
                <w:rFonts w:ascii="Segoe UI Symbol" w:hAnsi="Segoe UI Symbol"/>
                <w:sz w:val="17"/>
                <w:szCs w:val="17"/>
              </w:rPr>
              <w:instrText xml:space="preserve"> PAGEREF _Ref39600627 \h </w:instrText>
            </w:r>
            <w:r w:rsidRPr="00AF1D4E">
              <w:rPr>
                <w:rFonts w:ascii="Segoe UI Symbol" w:hAnsi="Segoe UI Symbol"/>
                <w:sz w:val="17"/>
                <w:szCs w:val="17"/>
              </w:rPr>
            </w:r>
            <w:r w:rsidRPr="00AF1D4E">
              <w:rPr>
                <w:rFonts w:ascii="Segoe UI Symbol" w:hAnsi="Segoe UI Symbol"/>
                <w:sz w:val="17"/>
                <w:szCs w:val="17"/>
              </w:rPr>
              <w:fldChar w:fldCharType="separate"/>
            </w:r>
            <w:r w:rsidR="00784DE2">
              <w:rPr>
                <w:rFonts w:ascii="Segoe UI Symbol" w:hAnsi="Segoe UI Symbol"/>
                <w:noProof/>
                <w:sz w:val="17"/>
                <w:szCs w:val="17"/>
              </w:rPr>
              <w:t>66</w:t>
            </w:r>
            <w:r w:rsidRPr="00AF1D4E">
              <w:rPr>
                <w:rFonts w:ascii="Segoe UI Symbol" w:hAnsi="Segoe UI Symbol"/>
                <w:sz w:val="17"/>
                <w:szCs w:val="17"/>
              </w:rPr>
              <w:fldChar w:fldCharType="end"/>
            </w:r>
          </w:p>
        </w:tc>
      </w:tr>
    </w:tbl>
    <w:p w14:paraId="06CCE07F" w14:textId="77777777" w:rsidR="00EC2C63" w:rsidRDefault="00EC2C63">
      <w:pPr>
        <w:autoSpaceDE/>
        <w:autoSpaceDN/>
        <w:adjustRightInd/>
        <w:rPr>
          <w:b/>
          <w:sz w:val="28"/>
          <w:szCs w:val="24"/>
        </w:rPr>
      </w:pPr>
      <w:bookmarkStart w:id="217" w:name="_Toc38986919"/>
      <w:bookmarkStart w:id="218" w:name="_Toc38986920"/>
      <w:bookmarkStart w:id="219" w:name="_Toc38986921"/>
      <w:bookmarkStart w:id="220" w:name="_Toc38986922"/>
      <w:bookmarkStart w:id="221" w:name="_Toc38986923"/>
      <w:bookmarkStart w:id="222" w:name="_Ref39820544"/>
      <w:bookmarkStart w:id="223" w:name="_Ref38909881"/>
      <w:bookmarkEnd w:id="217"/>
      <w:bookmarkEnd w:id="218"/>
      <w:bookmarkEnd w:id="219"/>
      <w:bookmarkEnd w:id="220"/>
      <w:bookmarkEnd w:id="221"/>
      <w:r>
        <w:br w:type="page"/>
      </w:r>
    </w:p>
    <w:p w14:paraId="7CCD0C53" w14:textId="77777777" w:rsidR="004969C5" w:rsidRDefault="00C90C95" w:rsidP="004969C5">
      <w:pPr>
        <w:pStyle w:val="EYHeading2"/>
      </w:pPr>
      <w:bookmarkStart w:id="224" w:name="_Ref39852464"/>
      <w:bookmarkStart w:id="225" w:name="_Ref39852545"/>
      <w:bookmarkStart w:id="226" w:name="_Ref39852607"/>
      <w:bookmarkStart w:id="227" w:name="_Toc59015974"/>
      <w:r>
        <w:t>Internal Adhesives</w:t>
      </w:r>
      <w:bookmarkEnd w:id="222"/>
      <w:bookmarkEnd w:id="223"/>
      <w:bookmarkEnd w:id="224"/>
      <w:bookmarkEnd w:id="225"/>
      <w:bookmarkEnd w:id="226"/>
      <w:bookmarkEnd w:id="227"/>
    </w:p>
    <w:p w14:paraId="615EC216" w14:textId="77777777" w:rsidR="00D44688" w:rsidRDefault="00D44688" w:rsidP="00D44688">
      <w:pPr>
        <w:pStyle w:val="Bodytextwithparaspace"/>
        <w:rPr>
          <w:rFonts w:eastAsia="Calibri"/>
        </w:rPr>
      </w:pPr>
      <w:r>
        <w:rPr>
          <w:rFonts w:eastAsia="Calibri"/>
        </w:rPr>
        <w:t>The internal adhesives group (03.08.02 – Internal Adhesives) is part of the closure devices subcategory (03.08 – Closure Devices) of the GM category. This product group</w:t>
      </w:r>
      <w:r w:rsidRPr="00E474B7">
        <w:rPr>
          <w:rFonts w:eastAsia="Calibri"/>
        </w:rPr>
        <w:t xml:space="preserve"> encompasses surgical glues, sponges and patches that are used as sealants to prevent leakage of fluids and </w:t>
      </w:r>
      <w:r w:rsidR="00394A01">
        <w:rPr>
          <w:rFonts w:eastAsia="Calibri"/>
        </w:rPr>
        <w:t xml:space="preserve">to </w:t>
      </w:r>
      <w:r w:rsidRPr="00E474B7">
        <w:rPr>
          <w:rFonts w:eastAsia="Calibri"/>
        </w:rPr>
        <w:t>control bleeding.</w:t>
      </w:r>
      <w:r>
        <w:rPr>
          <w:rFonts w:eastAsia="Calibri"/>
        </w:rPr>
        <w:t xml:space="preserve"> </w:t>
      </w:r>
    </w:p>
    <w:p w14:paraId="0B48C29A" w14:textId="3E6ECCE9" w:rsidR="00D44688" w:rsidRDefault="00D44688" w:rsidP="00D44688">
      <w:pPr>
        <w:pStyle w:val="Bodytextwithparaspace"/>
        <w:rPr>
          <w:rFonts w:eastAsia="Calibri"/>
        </w:rPr>
      </w:pPr>
      <w:r>
        <w:rPr>
          <w:rFonts w:eastAsia="Calibri"/>
        </w:rPr>
        <w:t xml:space="preserve">Large levels of growth </w:t>
      </w:r>
      <w:r w:rsidR="00271E3E">
        <w:rPr>
          <w:rFonts w:eastAsia="Calibri"/>
        </w:rPr>
        <w:t>were</w:t>
      </w:r>
      <w:r>
        <w:rPr>
          <w:rFonts w:eastAsia="Calibri"/>
        </w:rPr>
        <w:t xml:space="preserve"> observed for the internal adhesives group. Notably, total annual benefits paid for this group </w:t>
      </w:r>
      <w:r w:rsidR="00271E3E">
        <w:rPr>
          <w:rFonts w:eastAsia="Calibri"/>
        </w:rPr>
        <w:t>grew</w:t>
      </w:r>
      <w:r>
        <w:rPr>
          <w:rFonts w:eastAsia="Calibri"/>
        </w:rPr>
        <w:t xml:space="preserve"> at a CAGR of 28% from FY14 through to FY19. This had a particularly large impact on total benefits for the GM category as internal adhesives represent</w:t>
      </w:r>
      <w:r w:rsidR="00271E3E">
        <w:rPr>
          <w:rFonts w:eastAsia="Calibri"/>
        </w:rPr>
        <w:t>ed</w:t>
      </w:r>
      <w:r>
        <w:rPr>
          <w:rFonts w:eastAsia="Calibri"/>
        </w:rPr>
        <w:t xml:space="preserve"> the second largest group of items in the ‘High’ priority GM category. As a result, total annual benefits increased by $30.5m </w:t>
      </w:r>
      <w:r w:rsidR="00271E3E">
        <w:rPr>
          <w:rFonts w:eastAsia="Calibri"/>
        </w:rPr>
        <w:t xml:space="preserve">from </w:t>
      </w:r>
      <w:r>
        <w:rPr>
          <w:rFonts w:eastAsia="Calibri"/>
        </w:rPr>
        <w:t xml:space="preserve">FY14 to account for almost $43m in benefits in FY19. This large pace of growth significantly outstripped the level of growth in separations over the same period (roughly 3% CAGR), suggesting that the growth may </w:t>
      </w:r>
      <w:r w:rsidR="00271E3E">
        <w:rPr>
          <w:rFonts w:eastAsia="Calibri"/>
        </w:rPr>
        <w:t>have been</w:t>
      </w:r>
      <w:r>
        <w:rPr>
          <w:rFonts w:eastAsia="Calibri"/>
        </w:rPr>
        <w:t xml:space="preserve"> driven by factors other than pure clinical need.</w:t>
      </w:r>
    </w:p>
    <w:p w14:paraId="015E440C" w14:textId="77777777" w:rsidR="00D44688" w:rsidRDefault="00D44688" w:rsidP="008C63F3">
      <w:pPr>
        <w:pStyle w:val="EYHeading3"/>
        <w:rPr>
          <w:rFonts w:eastAsia="Calibri"/>
        </w:rPr>
      </w:pPr>
      <w:bookmarkStart w:id="228" w:name="_Ref39582946"/>
      <w:bookmarkStart w:id="229" w:name="_Ref39765291"/>
      <w:r>
        <w:rPr>
          <w:rFonts w:eastAsia="Calibri"/>
        </w:rPr>
        <w:t>Topical skin adhesives</w:t>
      </w:r>
      <w:bookmarkEnd w:id="228"/>
      <w:bookmarkEnd w:id="229"/>
    </w:p>
    <w:p w14:paraId="18653962" w14:textId="16AD77EC" w:rsidR="00D44688" w:rsidRDefault="00D44688" w:rsidP="00D44688">
      <w:pPr>
        <w:pStyle w:val="Bodytextwithparaspace"/>
      </w:pPr>
      <w:r>
        <w:rPr>
          <w:rFonts w:eastAsia="Calibri"/>
        </w:rPr>
        <w:t xml:space="preserve">It is apparent that a large amount of </w:t>
      </w:r>
      <w:r w:rsidR="00394A01">
        <w:rPr>
          <w:rFonts w:eastAsia="Calibri"/>
        </w:rPr>
        <w:t xml:space="preserve">the </w:t>
      </w:r>
      <w:r>
        <w:rPr>
          <w:rFonts w:eastAsia="Calibri"/>
        </w:rPr>
        <w:t xml:space="preserve">observed growth </w:t>
      </w:r>
      <w:r w:rsidR="00271E3E">
        <w:rPr>
          <w:rFonts w:eastAsia="Calibri"/>
        </w:rPr>
        <w:t>was</w:t>
      </w:r>
      <w:r>
        <w:rPr>
          <w:rFonts w:eastAsia="Calibri"/>
        </w:rPr>
        <w:t xml:space="preserve"> due to the introduction of topical skin adhesive products to this part of the PL. These products are typically used for the purposes of skin closure </w:t>
      </w:r>
      <w:r w:rsidR="00394A01">
        <w:rPr>
          <w:rFonts w:eastAsia="Calibri"/>
        </w:rPr>
        <w:t>on</w:t>
      </w:r>
      <w:r>
        <w:rPr>
          <w:rFonts w:eastAsia="Calibri"/>
        </w:rPr>
        <w:t xml:space="preserve"> the surface. </w:t>
      </w:r>
      <w:r>
        <w:t xml:space="preserve">Consultation submissions described topical </w:t>
      </w:r>
      <w:r w:rsidR="00394A01">
        <w:t xml:space="preserve">skin </w:t>
      </w:r>
      <w:r>
        <w:t>adhesive products as representing alternatives to other skin closure techniques such as skin sutures</w:t>
      </w:r>
      <w:r w:rsidR="00394A01">
        <w:t>,</w:t>
      </w:r>
      <w:r>
        <w:t xml:space="preserve"> which are covered under general hospital payment methods. </w:t>
      </w:r>
    </w:p>
    <w:p w14:paraId="7E5720D7" w14:textId="7E3EDA87" w:rsidR="00D44688" w:rsidRDefault="00394A01" w:rsidP="00D44688">
      <w:pPr>
        <w:pStyle w:val="Bodytextwithparaspace"/>
        <w:rPr>
          <w:rFonts w:eastAsia="Calibri"/>
        </w:rPr>
      </w:pPr>
      <w:r>
        <w:rPr>
          <w:rFonts w:eastAsia="Calibri"/>
        </w:rPr>
        <w:t>T</w:t>
      </w:r>
      <w:r w:rsidR="00D44688">
        <w:rPr>
          <w:rFonts w:eastAsia="Calibri"/>
        </w:rPr>
        <w:t xml:space="preserve">opical skin adhesive items were first introduced to the PL in February 2017 </w:t>
      </w:r>
      <w:r w:rsidR="00CF2198">
        <w:rPr>
          <w:rFonts w:eastAsia="Calibri"/>
        </w:rPr>
        <w:t>and s</w:t>
      </w:r>
      <w:r w:rsidR="00D44688">
        <w:rPr>
          <w:rFonts w:eastAsia="Calibri"/>
        </w:rPr>
        <w:t xml:space="preserve">ubsequently expanded in 2018. </w:t>
      </w:r>
    </w:p>
    <w:p w14:paraId="63D8CE7C" w14:textId="77777777" w:rsidR="00187F22" w:rsidRDefault="00187F22" w:rsidP="00AF1D4E">
      <w:pPr>
        <w:pStyle w:val="EYHeading4"/>
        <w:rPr>
          <w:rFonts w:eastAsia="Calibri"/>
        </w:rPr>
      </w:pPr>
      <w:r>
        <w:rPr>
          <w:rFonts w:eastAsia="Calibri"/>
        </w:rPr>
        <w:t>Usage</w:t>
      </w:r>
    </w:p>
    <w:p w14:paraId="0F766243" w14:textId="5B89526C" w:rsidR="00D44688" w:rsidRDefault="00D44688" w:rsidP="00D44688">
      <w:pPr>
        <w:pStyle w:val="Bodytextwithparaspace"/>
      </w:pPr>
      <w:r>
        <w:rPr>
          <w:rFonts w:eastAsia="Calibri"/>
        </w:rPr>
        <w:fldChar w:fldCharType="begin"/>
      </w:r>
      <w:r>
        <w:rPr>
          <w:rFonts w:eastAsia="Calibri"/>
        </w:rPr>
        <w:instrText xml:space="preserve"> REF _Ref39480232 \h </w:instrText>
      </w:r>
      <w:r>
        <w:rPr>
          <w:rFonts w:eastAsia="Calibri"/>
        </w:rPr>
      </w:r>
      <w:r>
        <w:rPr>
          <w:rFonts w:eastAsia="Calibri"/>
        </w:rPr>
        <w:fldChar w:fldCharType="separate"/>
      </w:r>
      <w:r w:rsidR="00784DE2">
        <w:t xml:space="preserve">Figure </w:t>
      </w:r>
      <w:r w:rsidR="00784DE2">
        <w:rPr>
          <w:noProof/>
        </w:rPr>
        <w:t>24</w:t>
      </w:r>
      <w:r>
        <w:rPr>
          <w:rFonts w:eastAsia="Calibri"/>
        </w:rPr>
        <w:fldChar w:fldCharType="end"/>
      </w:r>
      <w:r>
        <w:rPr>
          <w:rFonts w:eastAsia="Calibri"/>
        </w:rPr>
        <w:t xml:space="preserve"> and </w:t>
      </w:r>
      <w:r>
        <w:rPr>
          <w:rFonts w:eastAsia="Calibri"/>
        </w:rPr>
        <w:fldChar w:fldCharType="begin"/>
      </w:r>
      <w:r>
        <w:rPr>
          <w:rFonts w:eastAsia="Calibri"/>
        </w:rPr>
        <w:instrText xml:space="preserve"> REF _Ref39483591 \h </w:instrText>
      </w:r>
      <w:r>
        <w:rPr>
          <w:rFonts w:eastAsia="Calibri"/>
        </w:rPr>
      </w:r>
      <w:r>
        <w:rPr>
          <w:rFonts w:eastAsia="Calibri"/>
        </w:rPr>
        <w:fldChar w:fldCharType="separate"/>
      </w:r>
      <w:r w:rsidR="00784DE2">
        <w:t xml:space="preserve">Figure </w:t>
      </w:r>
      <w:r w:rsidR="00784DE2">
        <w:rPr>
          <w:noProof/>
        </w:rPr>
        <w:t>25</w:t>
      </w:r>
      <w:r>
        <w:rPr>
          <w:rFonts w:eastAsia="Calibri"/>
        </w:rPr>
        <w:fldChar w:fldCharType="end"/>
      </w:r>
      <w:r>
        <w:rPr>
          <w:rFonts w:eastAsia="Calibri"/>
        </w:rPr>
        <w:t xml:space="preserve"> show how much of the growth for internal adhesives occurred in the two years following the introduction of topical skin adhesives and within the subgroup under which these topical skin adhesives were listed (</w:t>
      </w:r>
      <w:r w:rsidRPr="00E474B7">
        <w:rPr>
          <w:rFonts w:eastAsia="Calibri" w:cs="Calibri"/>
        </w:rPr>
        <w:t xml:space="preserve">03.08.02.01 - Adhesive </w:t>
      </w:r>
      <w:r w:rsidRPr="009876BC">
        <w:t>≤</w:t>
      </w:r>
      <w:r w:rsidRPr="00E474B7">
        <w:rPr>
          <w:rFonts w:eastAsia="Calibri" w:cs="Calibri"/>
        </w:rPr>
        <w:t>2ml</w:t>
      </w:r>
      <w:r>
        <w:rPr>
          <w:rFonts w:eastAsia="Calibri"/>
        </w:rPr>
        <w:t>). In particular, in the two-year period from the end of FY17 to FY19 the total annual benefits paid for this subgroup increased by over $15.6m, a 527% total increase.</w:t>
      </w:r>
    </w:p>
    <w:tbl>
      <w:tblPr>
        <w:tblStyle w:val="TableGrid"/>
        <w:tblW w:w="9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Figure 24 and Figure 25"/>
        <w:tblDescription w:val="This table presents Figure 24 - Internal adhesives - Item usage by subgroup and Figure 25 - Internal adhesives - Total PL benefits by subgroups"/>
      </w:tblPr>
      <w:tblGrid>
        <w:gridCol w:w="4728"/>
        <w:gridCol w:w="4727"/>
      </w:tblGrid>
      <w:tr w:rsidR="001B4459" w14:paraId="0141BB86" w14:textId="77777777" w:rsidTr="009C3BEC">
        <w:trPr>
          <w:trHeight w:val="250"/>
          <w:tblHeader/>
        </w:trPr>
        <w:tc>
          <w:tcPr>
            <w:tcW w:w="4728" w:type="dxa"/>
          </w:tcPr>
          <w:p w14:paraId="4BA45771" w14:textId="6BEE5A45" w:rsidR="00D44688" w:rsidRDefault="00D44688" w:rsidP="00812ACF">
            <w:pPr>
              <w:pStyle w:val="Caption"/>
              <w:keepNext/>
            </w:pPr>
            <w:bookmarkStart w:id="230" w:name="_Ref39480232"/>
            <w:r>
              <w:t xml:space="preserve">Figure </w:t>
            </w:r>
            <w:r w:rsidR="00FC6370">
              <w:fldChar w:fldCharType="begin"/>
            </w:r>
            <w:r w:rsidR="00FC6370">
              <w:instrText xml:space="preserve"> SEQ Figure \* ARABIC </w:instrText>
            </w:r>
            <w:r w:rsidR="00FC6370">
              <w:fldChar w:fldCharType="separate"/>
            </w:r>
            <w:r w:rsidR="00784DE2">
              <w:rPr>
                <w:noProof/>
              </w:rPr>
              <w:t>24</w:t>
            </w:r>
            <w:r w:rsidR="00FC6370">
              <w:rPr>
                <w:noProof/>
              </w:rPr>
              <w:fldChar w:fldCharType="end"/>
            </w:r>
            <w:bookmarkEnd w:id="230"/>
            <w:r>
              <w:t xml:space="preserve"> – Internal adhesives – Item usage by subgroup </w:t>
            </w:r>
          </w:p>
        </w:tc>
        <w:tc>
          <w:tcPr>
            <w:tcW w:w="4727" w:type="dxa"/>
          </w:tcPr>
          <w:p w14:paraId="7ABB5F3E" w14:textId="4D3F35A7" w:rsidR="00D44688" w:rsidRDefault="00D44688" w:rsidP="00812ACF">
            <w:pPr>
              <w:pStyle w:val="Caption"/>
              <w:keepNext/>
            </w:pPr>
            <w:bookmarkStart w:id="231" w:name="_Ref39483591"/>
            <w:r>
              <w:t xml:space="preserve">Figure </w:t>
            </w:r>
            <w:r w:rsidR="00FC6370">
              <w:fldChar w:fldCharType="begin"/>
            </w:r>
            <w:r w:rsidR="00FC6370">
              <w:instrText xml:space="preserve"> SEQ Figure \* AR</w:instrText>
            </w:r>
            <w:r w:rsidR="00FC6370">
              <w:instrText xml:space="preserve">ABIC </w:instrText>
            </w:r>
            <w:r w:rsidR="00FC6370">
              <w:fldChar w:fldCharType="separate"/>
            </w:r>
            <w:r w:rsidR="00784DE2">
              <w:rPr>
                <w:noProof/>
              </w:rPr>
              <w:t>25</w:t>
            </w:r>
            <w:r w:rsidR="00FC6370">
              <w:rPr>
                <w:noProof/>
              </w:rPr>
              <w:fldChar w:fldCharType="end"/>
            </w:r>
            <w:bookmarkEnd w:id="231"/>
            <w:r>
              <w:t xml:space="preserve"> – Internal adhesives – Total PL benefits by subgroup</w:t>
            </w:r>
          </w:p>
        </w:tc>
      </w:tr>
      <w:tr w:rsidR="001B4459" w14:paraId="6C0D7A6C" w14:textId="77777777" w:rsidTr="00812ACF">
        <w:trPr>
          <w:trHeight w:val="3926"/>
        </w:trPr>
        <w:tc>
          <w:tcPr>
            <w:tcW w:w="4728" w:type="dxa"/>
          </w:tcPr>
          <w:p w14:paraId="51C3A9AB" w14:textId="2BB41649" w:rsidR="00D44688" w:rsidRDefault="001B4459" w:rsidP="00812ACF">
            <w:pPr>
              <w:pStyle w:val="Bodytextwithparaspace"/>
            </w:pPr>
            <w:r>
              <w:rPr>
                <w:noProof/>
                <w:lang w:val="en-AU" w:eastAsia="en-AU"/>
              </w:rPr>
              <w:drawing>
                <wp:inline distT="0" distB="0" distL="0" distR="0" wp14:anchorId="37668FA9" wp14:editId="090AF063">
                  <wp:extent cx="2731135" cy="2269472"/>
                  <wp:effectExtent l="0" t="0" r="0" b="0"/>
                  <wp:docPr id="1466070625" name="Picture 1466070625" descr="Figure 24 - Internal adhesive - item usage by subgroup&#10;&#10;This figure shows the number of internal adhesive items used by subgroup between FY14 and FY19, showing a significant increase in the use of 03.08.02.01 since FY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62953" cy="2295911"/>
                          </a:xfrm>
                          <a:prstGeom prst="rect">
                            <a:avLst/>
                          </a:prstGeom>
                          <a:noFill/>
                        </pic:spPr>
                      </pic:pic>
                    </a:graphicData>
                  </a:graphic>
                </wp:inline>
              </w:drawing>
            </w:r>
          </w:p>
        </w:tc>
        <w:tc>
          <w:tcPr>
            <w:tcW w:w="4727" w:type="dxa"/>
          </w:tcPr>
          <w:p w14:paraId="5A50E27B" w14:textId="7BD1D091" w:rsidR="00D44688" w:rsidRDefault="00342D06" w:rsidP="00812ACF">
            <w:pPr>
              <w:pStyle w:val="Bodytextwithparaspace"/>
            </w:pPr>
            <w:r>
              <w:rPr>
                <w:noProof/>
                <w:lang w:val="en-AU" w:eastAsia="en-AU"/>
              </w:rPr>
              <w:drawing>
                <wp:inline distT="0" distB="0" distL="0" distR="0" wp14:anchorId="2DF9E0E5" wp14:editId="1FF3AA1D">
                  <wp:extent cx="2749550" cy="2259411"/>
                  <wp:effectExtent l="0" t="0" r="0" b="7620"/>
                  <wp:docPr id="1466070626" name="Picture 1466070626" descr="Figure 25 - Internal adhesive - Total PL benefits by subgroup&#10;&#10;This table shows the benefits for the internal adhesive sub-groups for FY14 to FY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73266" cy="2278900"/>
                          </a:xfrm>
                          <a:prstGeom prst="rect">
                            <a:avLst/>
                          </a:prstGeom>
                          <a:noFill/>
                        </pic:spPr>
                      </pic:pic>
                    </a:graphicData>
                  </a:graphic>
                </wp:inline>
              </w:drawing>
            </w:r>
          </w:p>
        </w:tc>
      </w:tr>
    </w:tbl>
    <w:p w14:paraId="5C1E7718" w14:textId="34FC52AB" w:rsidR="00D44688" w:rsidRPr="00E474B7" w:rsidRDefault="00D44688" w:rsidP="00D44688">
      <w:pPr>
        <w:pStyle w:val="Bodytextwithparaspace"/>
        <w:rPr>
          <w:rFonts w:eastAsia="Calibri"/>
        </w:rPr>
      </w:pPr>
      <w:r>
        <w:rPr>
          <w:rFonts w:eastAsia="Calibri"/>
        </w:rPr>
        <w:t xml:space="preserve">The addition of these products represented an apparent expansion of the types of products included on the PL </w:t>
      </w:r>
      <w:r w:rsidR="00FF2F28">
        <w:rPr>
          <w:rFonts w:eastAsia="Calibri"/>
        </w:rPr>
        <w:t xml:space="preserve">and </w:t>
      </w:r>
      <w:r>
        <w:rPr>
          <w:rFonts w:eastAsia="Calibri"/>
        </w:rPr>
        <w:t>led to a rapid increase in usage (and hence benefits) for the PL.</w:t>
      </w:r>
      <w:r>
        <w:t xml:space="preserve"> This </w:t>
      </w:r>
      <w:r w:rsidR="00271E3E">
        <w:t>was</w:t>
      </w:r>
      <w:r>
        <w:t xml:space="preserve"> reflected in the large increase in usage (with respect of the PL) noted in a short time following their initial availability on the PL. </w:t>
      </w:r>
      <w:r>
        <w:rPr>
          <w:rFonts w:eastAsia="Calibri"/>
        </w:rPr>
        <w:t xml:space="preserve">It </w:t>
      </w:r>
      <w:r w:rsidR="00271E3E">
        <w:rPr>
          <w:rFonts w:eastAsia="Calibri"/>
        </w:rPr>
        <w:t>was</w:t>
      </w:r>
      <w:r>
        <w:rPr>
          <w:rFonts w:eastAsia="Calibri"/>
        </w:rPr>
        <w:t xml:space="preserve"> suggested in consultation submissions and from clinical </w:t>
      </w:r>
      <w:r w:rsidR="00DB435D">
        <w:rPr>
          <w:rFonts w:eastAsia="Calibri"/>
        </w:rPr>
        <w:t>subject matter resources</w:t>
      </w:r>
      <w:r w:rsidR="00394A01">
        <w:rPr>
          <w:rFonts w:eastAsia="Calibri"/>
        </w:rPr>
        <w:t xml:space="preserve"> </w:t>
      </w:r>
      <w:r>
        <w:rPr>
          <w:rFonts w:eastAsia="Calibri"/>
        </w:rPr>
        <w:t xml:space="preserve">that these products may not align with the intention of the PL and with the listing criteria themselves, as presented in the </w:t>
      </w:r>
      <w:r w:rsidR="000736A8">
        <w:rPr>
          <w:rFonts w:eastAsia="Calibri"/>
        </w:rPr>
        <w:t>Prostheses List</w:t>
      </w:r>
      <w:r>
        <w:rPr>
          <w:rFonts w:eastAsia="Calibri"/>
        </w:rPr>
        <w:t xml:space="preserve"> Guidelines. Alignment with the criteria is specifically discussed in greater detail in Section </w:t>
      </w:r>
      <w:r>
        <w:rPr>
          <w:rFonts w:eastAsia="Calibri"/>
        </w:rPr>
        <w:fldChar w:fldCharType="begin"/>
      </w:r>
      <w:r>
        <w:rPr>
          <w:rFonts w:eastAsia="Calibri"/>
        </w:rPr>
        <w:instrText xml:space="preserve"> REF _Ref39048041 \w \h </w:instrText>
      </w:r>
      <w:r>
        <w:rPr>
          <w:rFonts w:eastAsia="Calibri"/>
        </w:rPr>
      </w:r>
      <w:r>
        <w:rPr>
          <w:rFonts w:eastAsia="Calibri"/>
        </w:rPr>
        <w:fldChar w:fldCharType="separate"/>
      </w:r>
      <w:r w:rsidR="00784DE2">
        <w:rPr>
          <w:rFonts w:eastAsia="Calibri"/>
        </w:rPr>
        <w:t>4.3.2</w:t>
      </w:r>
      <w:r>
        <w:rPr>
          <w:rFonts w:eastAsia="Calibri"/>
        </w:rPr>
        <w:fldChar w:fldCharType="end"/>
      </w:r>
      <w:r>
        <w:rPr>
          <w:rFonts w:eastAsia="Calibri"/>
        </w:rPr>
        <w:t>.</w:t>
      </w:r>
    </w:p>
    <w:p w14:paraId="17CBC949" w14:textId="5042B839" w:rsidR="00D44688" w:rsidRPr="00537412" w:rsidRDefault="00D44688" w:rsidP="00D44688">
      <w:pPr>
        <w:pStyle w:val="Bodytextwithparaspace"/>
      </w:pPr>
      <w:r>
        <w:rPr>
          <w:rFonts w:eastAsia="Calibri"/>
        </w:rPr>
        <w:t xml:space="preserve">Furthermore, it is evident that the rate at which these topical skin adhesive products </w:t>
      </w:r>
      <w:r w:rsidR="00271E3E">
        <w:rPr>
          <w:rFonts w:eastAsia="Calibri"/>
        </w:rPr>
        <w:t>were</w:t>
      </w:r>
      <w:r>
        <w:rPr>
          <w:rFonts w:eastAsia="Calibri"/>
        </w:rPr>
        <w:t xml:space="preserve"> used differed significantly between the various hospital groups. </w:t>
      </w:r>
      <w:r w:rsidR="00593696">
        <w:rPr>
          <w:rFonts w:eastAsia="Calibri"/>
        </w:rPr>
        <w:t>P</w:t>
      </w:r>
      <w:r>
        <w:rPr>
          <w:rFonts w:eastAsia="Calibri"/>
        </w:rPr>
        <w:t xml:space="preserve">articularly high rates of usage </w:t>
      </w:r>
      <w:r w:rsidR="00271E3E">
        <w:rPr>
          <w:rFonts w:eastAsia="Calibri"/>
        </w:rPr>
        <w:t>were</w:t>
      </w:r>
      <w:r>
        <w:rPr>
          <w:rFonts w:eastAsia="Calibri"/>
        </w:rPr>
        <w:t xml:space="preserve"> seen for </w:t>
      </w:r>
      <w:r w:rsidR="00BE045D">
        <w:rPr>
          <w:rFonts w:eastAsia="Calibri"/>
        </w:rPr>
        <w:t xml:space="preserve">two </w:t>
      </w:r>
      <w:r w:rsidR="00D702DD">
        <w:rPr>
          <w:rFonts w:eastAsia="Calibri"/>
        </w:rPr>
        <w:t xml:space="preserve">large </w:t>
      </w:r>
      <w:r w:rsidR="00BE045D">
        <w:rPr>
          <w:rFonts w:eastAsia="Calibri"/>
        </w:rPr>
        <w:t>hospital groups</w:t>
      </w:r>
      <w:r>
        <w:rPr>
          <w:rFonts w:eastAsia="Calibri"/>
        </w:rPr>
        <w:t xml:space="preserve">, with </w:t>
      </w:r>
      <w:r w:rsidR="00D702DD">
        <w:rPr>
          <w:rFonts w:eastAsia="Calibri"/>
        </w:rPr>
        <w:t xml:space="preserve">one </w:t>
      </w:r>
      <w:r>
        <w:rPr>
          <w:rFonts w:eastAsia="Calibri"/>
        </w:rPr>
        <w:t xml:space="preserve">showing a rate of usage over 51% larger than that observed for </w:t>
      </w:r>
      <w:r w:rsidR="00ED347E">
        <w:rPr>
          <w:rFonts w:eastAsia="Calibri"/>
        </w:rPr>
        <w:t>another</w:t>
      </w:r>
      <w:r>
        <w:rPr>
          <w:rFonts w:eastAsia="Calibri"/>
        </w:rPr>
        <w:t>. Th</w:t>
      </w:r>
      <w:r w:rsidR="0008029F">
        <w:rPr>
          <w:rFonts w:eastAsia="Calibri"/>
        </w:rPr>
        <w:t>e differences between usage</w:t>
      </w:r>
      <w:r>
        <w:rPr>
          <w:rFonts w:eastAsia="Calibri"/>
        </w:rPr>
        <w:t xml:space="preserve"> </w:t>
      </w:r>
      <w:r w:rsidR="0008029F">
        <w:rPr>
          <w:rFonts w:eastAsia="Calibri"/>
        </w:rPr>
        <w:t xml:space="preserve">across hospitals </w:t>
      </w:r>
      <w:r>
        <w:rPr>
          <w:rFonts w:eastAsia="Calibri"/>
        </w:rPr>
        <w:t xml:space="preserve">may be suggestive that the extent of usage of topical skin adhesives </w:t>
      </w:r>
      <w:r w:rsidR="00271E3E">
        <w:rPr>
          <w:rFonts w:eastAsia="Calibri"/>
        </w:rPr>
        <w:t xml:space="preserve">was </w:t>
      </w:r>
      <w:r>
        <w:rPr>
          <w:rFonts w:eastAsia="Calibri"/>
        </w:rPr>
        <w:t xml:space="preserve">at least partially been driven by factors </w:t>
      </w:r>
      <w:r w:rsidR="00B67F8D">
        <w:rPr>
          <w:rFonts w:eastAsia="Calibri"/>
        </w:rPr>
        <w:t xml:space="preserve">outside of the clinical need. For example, a </w:t>
      </w:r>
      <w:r>
        <w:rPr>
          <w:rFonts w:eastAsia="Calibri"/>
        </w:rPr>
        <w:t xml:space="preserve">preference </w:t>
      </w:r>
      <w:r w:rsidR="00B67F8D">
        <w:rPr>
          <w:rFonts w:eastAsia="Calibri"/>
        </w:rPr>
        <w:t>for these products</w:t>
      </w:r>
      <w:r>
        <w:rPr>
          <w:rFonts w:eastAsia="Calibri"/>
        </w:rPr>
        <w:t xml:space="preserve"> over alternatives such as skin sutures might be expected to be less uniformly experienced across hospitals than if </w:t>
      </w:r>
      <w:r w:rsidR="0008029F">
        <w:rPr>
          <w:rFonts w:eastAsia="Calibri"/>
        </w:rPr>
        <w:t>the use</w:t>
      </w:r>
      <w:r>
        <w:rPr>
          <w:rFonts w:eastAsia="Calibri"/>
        </w:rPr>
        <w:t xml:space="preserve"> was driven by reasons of clinical need or outcomes. It may also be explainable by differences in case mix or other clinical factors between facilities themselves.</w:t>
      </w:r>
      <w:r>
        <w:t xml:space="preserve"> </w:t>
      </w:r>
    </w:p>
    <w:p w14:paraId="50A5C3D0" w14:textId="61507704" w:rsidR="00D44688" w:rsidRDefault="00D44688" w:rsidP="00D44688">
      <w:pPr>
        <w:pStyle w:val="Bodytextwithparaspace"/>
      </w:pPr>
      <w:r>
        <w:t xml:space="preserve">It is also evident from the consultation submissions and clinical </w:t>
      </w:r>
      <w:r w:rsidR="00DB435D">
        <w:t>subject matter resources</w:t>
      </w:r>
      <w:r>
        <w:t xml:space="preserve"> that these products existed and were widely used for a number of years prior to their introduction to the PL but </w:t>
      </w:r>
      <w:r w:rsidR="00271E3E">
        <w:t xml:space="preserve">were </w:t>
      </w:r>
      <w:r>
        <w:t xml:space="preserve">funded through alternative arrangements. It is not apparent without further information if this growth </w:t>
      </w:r>
      <w:r w:rsidR="00271E3E">
        <w:t xml:space="preserve">was </w:t>
      </w:r>
      <w:r>
        <w:t xml:space="preserve">reflective purely of a transferral of usage between these funding sources and therefore whether a greater level of usage </w:t>
      </w:r>
      <w:r w:rsidR="00271E3E">
        <w:t>was</w:t>
      </w:r>
      <w:r>
        <w:t xml:space="preserve"> driven by their inclusion on the PL. However, the substantial increase in benefits that this set of products represented in a short period of time indicates that further investigation is warranted.</w:t>
      </w:r>
    </w:p>
    <w:p w14:paraId="0255F462" w14:textId="77777777" w:rsidR="00D44688" w:rsidRDefault="00187F22" w:rsidP="000736A8">
      <w:pPr>
        <w:pStyle w:val="EYHeading4"/>
      </w:pPr>
      <w:bookmarkStart w:id="232" w:name="_Ref39821515"/>
      <w:r>
        <w:t>M</w:t>
      </w:r>
      <w:r w:rsidR="00D44688">
        <w:t>inimum benefit amounts</w:t>
      </w:r>
      <w:bookmarkEnd w:id="232"/>
    </w:p>
    <w:p w14:paraId="368D03B5" w14:textId="77777777" w:rsidR="00394A01" w:rsidRDefault="00D44688" w:rsidP="00D44688">
      <w:pPr>
        <w:pStyle w:val="Bodytextwithparaspace"/>
      </w:pPr>
      <w:r>
        <w:t xml:space="preserve">That </w:t>
      </w:r>
      <w:r w:rsidR="00394A01">
        <w:t xml:space="preserve">the inclusion of </w:t>
      </w:r>
      <w:r>
        <w:t>topical skin adhesive products represent</w:t>
      </w:r>
      <w:r w:rsidR="00394A01">
        <w:t>s</w:t>
      </w:r>
      <w:r>
        <w:t xml:space="preserve"> an expansion of the PL, rather than new versions of similar products </w:t>
      </w:r>
      <w:r w:rsidR="00394A01">
        <w:t xml:space="preserve">that </w:t>
      </w:r>
      <w:r>
        <w:t>already existing on the PL, is further suggested by the apparent discrepancies in minimum benefit amounts between many of these products and other internal adhesives.</w:t>
      </w:r>
    </w:p>
    <w:p w14:paraId="5AD401C2" w14:textId="534A99BF" w:rsidR="00D44688" w:rsidRDefault="00394A01" w:rsidP="00D44688">
      <w:pPr>
        <w:pStyle w:val="Bodytextwithparaspace"/>
      </w:pPr>
      <w:r>
        <w:t>T</w:t>
      </w:r>
      <w:r w:rsidR="00D44688">
        <w:t>he lowest level at which minimum benefit amounts are typically set is by suffixes within subgroups, with all products belonging to the same suffix-subgroup ‘cell’ sharing the same minimum benefit amount. For the ‘</w:t>
      </w:r>
      <w:r w:rsidR="00D44688" w:rsidRPr="00E474B7">
        <w:rPr>
          <w:rFonts w:eastAsia="Calibri" w:cs="Calibri"/>
        </w:rPr>
        <w:t xml:space="preserve">03.08.02.01 - Adhesive </w:t>
      </w:r>
      <w:r w:rsidR="00D44688" w:rsidRPr="009876BC">
        <w:t>≤</w:t>
      </w:r>
      <w:r w:rsidR="00D44688" w:rsidRPr="00E474B7">
        <w:rPr>
          <w:rFonts w:eastAsia="Calibri" w:cs="Calibri"/>
        </w:rPr>
        <w:t>2ml</w:t>
      </w:r>
      <w:r w:rsidR="00D44688">
        <w:rPr>
          <w:rFonts w:eastAsia="Calibri" w:cs="Calibri"/>
        </w:rPr>
        <w:t>’ subgroup, however, products w</w:t>
      </w:r>
      <w:r w:rsidR="00D44688">
        <w:t xml:space="preserve">ithin the ‘Synthetic’ suffix are further listed at two distinct and significantly different benefit levels. In particular, as at February 2020 most products </w:t>
      </w:r>
      <w:r w:rsidR="00271E3E">
        <w:t xml:space="preserve">were </w:t>
      </w:r>
      <w:r w:rsidR="00D44688">
        <w:t xml:space="preserve">listed at $258 per item, </w:t>
      </w:r>
      <w:r>
        <w:t xml:space="preserve">which </w:t>
      </w:r>
      <w:r w:rsidR="00271E3E">
        <w:t xml:space="preserve">was </w:t>
      </w:r>
      <w:r w:rsidR="00D44688">
        <w:t xml:space="preserve">514% higher than the lower amount </w:t>
      </w:r>
      <w:r>
        <w:t>in the same suffix</w:t>
      </w:r>
      <w:r w:rsidR="00D44688">
        <w:t xml:space="preserve"> of $42 per item.</w:t>
      </w:r>
      <w:r w:rsidR="006A341C">
        <w:t xml:space="preserve"> The various minimum benefit amounts for</w:t>
      </w:r>
      <w:r w:rsidR="007B0855">
        <w:t xml:space="preserve"> </w:t>
      </w:r>
      <w:r w:rsidR="004F023F">
        <w:t>these products are outlined in</w:t>
      </w:r>
      <w:r w:rsidR="00443A9E">
        <w:t xml:space="preserve"> </w:t>
      </w:r>
      <w:r w:rsidR="00443A9E">
        <w:fldChar w:fldCharType="begin"/>
      </w:r>
      <w:r w:rsidR="00443A9E">
        <w:instrText xml:space="preserve"> REF _Ref39601515 \h </w:instrText>
      </w:r>
      <w:r w:rsidR="00443A9E">
        <w:fldChar w:fldCharType="separate"/>
      </w:r>
      <w:r w:rsidR="00784DE2">
        <w:t xml:space="preserve">Table </w:t>
      </w:r>
      <w:r w:rsidR="00784DE2">
        <w:rPr>
          <w:noProof/>
        </w:rPr>
        <w:t>15</w:t>
      </w:r>
      <w:r w:rsidR="00443A9E">
        <w:fldChar w:fldCharType="end"/>
      </w:r>
      <w:r w:rsidR="00443A9E">
        <w:t xml:space="preserve"> </w:t>
      </w:r>
      <w:r w:rsidR="00443A9E">
        <w:fldChar w:fldCharType="begin"/>
      </w:r>
      <w:r w:rsidR="00443A9E">
        <w:instrText xml:space="preserve"> REF _Ref39601515 \p \h </w:instrText>
      </w:r>
      <w:r w:rsidR="00443A9E">
        <w:fldChar w:fldCharType="separate"/>
      </w:r>
      <w:r w:rsidR="00784DE2">
        <w:t>below</w:t>
      </w:r>
      <w:r w:rsidR="00443A9E">
        <w:fldChar w:fldCharType="end"/>
      </w:r>
      <w:r w:rsidR="004F023F">
        <w:t>.</w:t>
      </w:r>
    </w:p>
    <w:p w14:paraId="12545981" w14:textId="7C52C83B" w:rsidR="005940E9" w:rsidRDefault="005940E9" w:rsidP="005940E9">
      <w:pPr>
        <w:pStyle w:val="Caption"/>
        <w:keepNext/>
      </w:pPr>
      <w:bookmarkStart w:id="233" w:name="_Ref39601515"/>
      <w:r>
        <w:t xml:space="preserve">Table </w:t>
      </w:r>
      <w:r w:rsidR="00FC6370">
        <w:fldChar w:fldCharType="begin"/>
      </w:r>
      <w:r w:rsidR="00FC6370">
        <w:instrText xml:space="preserve"> SEQ Table \* ARABIC </w:instrText>
      </w:r>
      <w:r w:rsidR="00FC6370">
        <w:fldChar w:fldCharType="separate"/>
      </w:r>
      <w:r w:rsidR="00784DE2">
        <w:rPr>
          <w:noProof/>
        </w:rPr>
        <w:t>15</w:t>
      </w:r>
      <w:r w:rsidR="00FC6370">
        <w:rPr>
          <w:noProof/>
        </w:rPr>
        <w:fldChar w:fldCharType="end"/>
      </w:r>
      <w:bookmarkEnd w:id="233"/>
      <w:r w:rsidR="00443A9E">
        <w:t xml:space="preserve"> </w:t>
      </w:r>
      <w:r w:rsidR="00145AA0">
        <w:t>–</w:t>
      </w:r>
      <w:r w:rsidR="00443A9E">
        <w:t xml:space="preserve"> </w:t>
      </w:r>
      <w:r w:rsidR="00145AA0">
        <w:t>Internal Adhesives – Summary of minimum benefit amounts by subgroup and suffix</w:t>
      </w:r>
    </w:p>
    <w:tbl>
      <w:tblPr>
        <w:tblStyle w:val="Style1"/>
        <w:tblW w:w="9117" w:type="dxa"/>
        <w:tblLook w:val="04A0" w:firstRow="1" w:lastRow="0" w:firstColumn="1" w:lastColumn="0" w:noHBand="0" w:noVBand="1"/>
        <w:tblCaption w:val="Table 15 - Internal Adhesives - Summary of Minimum Benefit Amounts by Subgroup and Suffix"/>
        <w:tblDescription w:val="This table describes the minimum benefit amounts by subgroup and suffix for internal adhesives.&#10;For: &#10;03.08.02.01 – Adhesive ≤2ml: Synthetic Low amount $42 High amount, high amount $258; Biological $327&#10;03.08.02.02 – Adhesive &gt;2-5ml: Synthetic $516; Biological $602&#10;03.08.02.03 – Adhesive &gt;5ml: Synthetic $963; Biological $1,204&#10;"/>
      </w:tblPr>
      <w:tblGrid>
        <w:gridCol w:w="3282"/>
        <w:gridCol w:w="1680"/>
        <w:gridCol w:w="1539"/>
        <w:gridCol w:w="2616"/>
      </w:tblGrid>
      <w:tr w:rsidR="00C40850" w14:paraId="0D409DFC" w14:textId="77777777" w:rsidTr="009C3BEC">
        <w:trPr>
          <w:cnfStyle w:val="100000000000" w:firstRow="1" w:lastRow="0" w:firstColumn="0" w:lastColumn="0" w:oddVBand="0" w:evenVBand="0" w:oddHBand="0" w:evenHBand="0" w:firstRowFirstColumn="0" w:firstRowLastColumn="0" w:lastRowFirstColumn="0" w:lastRowLastColumn="0"/>
          <w:tblHeader/>
        </w:trPr>
        <w:tc>
          <w:tcPr>
            <w:tcW w:w="0" w:type="dxa"/>
            <w:tcBorders>
              <w:top w:val="nil"/>
              <w:left w:val="nil"/>
            </w:tcBorders>
            <w:shd w:val="clear" w:color="auto" w:fill="FFFFFF" w:themeFill="background1"/>
          </w:tcPr>
          <w:p w14:paraId="48FA5E2A" w14:textId="77777777" w:rsidR="005940E9" w:rsidRPr="00A26B3B" w:rsidRDefault="005940E9" w:rsidP="004558E3">
            <w:pPr>
              <w:pStyle w:val="Bodytextwithparaspace"/>
              <w:spacing w:after="0"/>
            </w:pPr>
          </w:p>
        </w:tc>
        <w:tc>
          <w:tcPr>
            <w:tcW w:w="0" w:type="dxa"/>
            <w:gridSpan w:val="3"/>
            <w:shd w:val="clear" w:color="auto" w:fill="FFE600" w:themeFill="text2"/>
          </w:tcPr>
          <w:p w14:paraId="47FB42DB" w14:textId="77777777" w:rsidR="005940E9" w:rsidRPr="002E4C3F" w:rsidRDefault="005940E9" w:rsidP="004558E3">
            <w:pPr>
              <w:pStyle w:val="Bodytextwithparaspace"/>
              <w:spacing w:after="0"/>
              <w:jc w:val="center"/>
              <w:rPr>
                <w:b w:val="0"/>
              </w:rPr>
            </w:pPr>
            <w:r w:rsidRPr="00A26B3B">
              <w:rPr>
                <w:bCs/>
              </w:rPr>
              <w:t>Suffix</w:t>
            </w:r>
          </w:p>
        </w:tc>
      </w:tr>
      <w:tr w:rsidR="005940E9" w14:paraId="54342E71" w14:textId="77777777" w:rsidTr="00AF1D4E">
        <w:trPr>
          <w:trHeight w:val="323"/>
        </w:trPr>
        <w:tc>
          <w:tcPr>
            <w:tcW w:w="3282" w:type="dxa"/>
            <w:shd w:val="clear" w:color="auto" w:fill="FFE600" w:themeFill="text2"/>
            <w:vAlign w:val="center"/>
          </w:tcPr>
          <w:p w14:paraId="02F97889" w14:textId="77777777" w:rsidR="005940E9" w:rsidRPr="00AF1D4E" w:rsidRDefault="005940E9" w:rsidP="00466263">
            <w:pPr>
              <w:pStyle w:val="Bodytextwithparaspace"/>
              <w:spacing w:after="0"/>
              <w:rPr>
                <w:b/>
              </w:rPr>
            </w:pPr>
            <w:r w:rsidRPr="00AF1D4E">
              <w:rPr>
                <w:b/>
              </w:rPr>
              <w:t>Subgroup</w:t>
            </w:r>
          </w:p>
        </w:tc>
        <w:tc>
          <w:tcPr>
            <w:tcW w:w="3219" w:type="dxa"/>
            <w:gridSpan w:val="2"/>
            <w:shd w:val="clear" w:color="auto" w:fill="FFE600" w:themeFill="text2"/>
            <w:vAlign w:val="center"/>
          </w:tcPr>
          <w:p w14:paraId="3791C4C9" w14:textId="77777777" w:rsidR="005940E9" w:rsidRPr="00AF1D4E" w:rsidRDefault="00374A94" w:rsidP="00466263">
            <w:pPr>
              <w:pStyle w:val="Bodytextwithparaspace"/>
              <w:spacing w:after="0"/>
              <w:rPr>
                <w:b/>
              </w:rPr>
            </w:pPr>
            <w:r w:rsidRPr="00AF1D4E">
              <w:rPr>
                <w:b/>
              </w:rPr>
              <w:t>Synthetic</w:t>
            </w:r>
          </w:p>
        </w:tc>
        <w:tc>
          <w:tcPr>
            <w:tcW w:w="2616" w:type="dxa"/>
            <w:shd w:val="clear" w:color="auto" w:fill="FFE600" w:themeFill="text2"/>
            <w:vAlign w:val="center"/>
          </w:tcPr>
          <w:p w14:paraId="6E372285" w14:textId="77777777" w:rsidR="005940E9" w:rsidRPr="00AF1D4E" w:rsidRDefault="00311F80" w:rsidP="00466263">
            <w:pPr>
              <w:pStyle w:val="Bodytextwithparaspace"/>
              <w:spacing w:after="0"/>
              <w:rPr>
                <w:b/>
              </w:rPr>
            </w:pPr>
            <w:r w:rsidRPr="00AF1D4E">
              <w:rPr>
                <w:b/>
              </w:rPr>
              <w:t>Biological</w:t>
            </w:r>
          </w:p>
        </w:tc>
      </w:tr>
      <w:tr w:rsidR="005940E9" w14:paraId="732288F7" w14:textId="77777777" w:rsidTr="002F5ED5">
        <w:trPr>
          <w:trHeight w:val="535"/>
        </w:trPr>
        <w:tc>
          <w:tcPr>
            <w:tcW w:w="3282" w:type="dxa"/>
            <w:vAlign w:val="center"/>
          </w:tcPr>
          <w:p w14:paraId="70E69511" w14:textId="77777777" w:rsidR="005940E9" w:rsidRPr="00A26B3B" w:rsidRDefault="00311F80" w:rsidP="00C40850">
            <w:pPr>
              <w:pStyle w:val="Bodytextwithparaspace"/>
              <w:spacing w:after="0"/>
            </w:pPr>
            <w:r>
              <w:t xml:space="preserve">03.08.02.01 – Adhesive </w:t>
            </w:r>
            <w:r>
              <w:rPr>
                <w:rFonts w:ascii="Times New Roman" w:hAnsi="Times New Roman"/>
              </w:rPr>
              <w:t>≤</w:t>
            </w:r>
            <w:r>
              <w:t>2ml</w:t>
            </w:r>
          </w:p>
        </w:tc>
        <w:tc>
          <w:tcPr>
            <w:tcW w:w="1680" w:type="dxa"/>
            <w:vAlign w:val="bottom"/>
          </w:tcPr>
          <w:p w14:paraId="58F19C38" w14:textId="77777777" w:rsidR="000E6215" w:rsidRPr="00C40850" w:rsidRDefault="000E6215" w:rsidP="00374A94">
            <w:pPr>
              <w:pStyle w:val="Bodytextwithparaspace"/>
              <w:spacing w:after="0"/>
              <w:jc w:val="center"/>
              <w:rPr>
                <w:i/>
                <w:iCs/>
              </w:rPr>
            </w:pPr>
            <w:r w:rsidRPr="00AF1D4E">
              <w:rPr>
                <w:i/>
                <w:iCs/>
              </w:rPr>
              <w:t>Low amount</w:t>
            </w:r>
          </w:p>
          <w:p w14:paraId="4802F1AD" w14:textId="77777777" w:rsidR="000E6215" w:rsidRPr="000671F1" w:rsidRDefault="000E6215" w:rsidP="00374A94">
            <w:pPr>
              <w:pStyle w:val="Bodytextwithparaspace"/>
              <w:spacing w:after="0"/>
              <w:jc w:val="center"/>
              <w:rPr>
                <w:i/>
              </w:rPr>
            </w:pPr>
            <w:r>
              <w:t>$42</w:t>
            </w:r>
          </w:p>
        </w:tc>
        <w:tc>
          <w:tcPr>
            <w:tcW w:w="1539" w:type="dxa"/>
            <w:vAlign w:val="bottom"/>
          </w:tcPr>
          <w:p w14:paraId="33FE51D1" w14:textId="77777777" w:rsidR="000E6215" w:rsidRPr="00C40850" w:rsidRDefault="000E6215" w:rsidP="00374A94">
            <w:pPr>
              <w:pStyle w:val="Bodytextwithparaspace"/>
              <w:spacing w:after="0"/>
              <w:jc w:val="center"/>
              <w:rPr>
                <w:i/>
                <w:iCs/>
              </w:rPr>
            </w:pPr>
            <w:r w:rsidRPr="00AF1D4E">
              <w:rPr>
                <w:i/>
                <w:iCs/>
              </w:rPr>
              <w:t>High amount</w:t>
            </w:r>
          </w:p>
          <w:p w14:paraId="3E957BD8" w14:textId="77777777" w:rsidR="005940E9" w:rsidRPr="00AF1D4E" w:rsidRDefault="00311F80" w:rsidP="00AF1D4E">
            <w:pPr>
              <w:pStyle w:val="Bodytextwithparaspace"/>
              <w:spacing w:after="0"/>
              <w:jc w:val="center"/>
              <w:rPr>
                <w:i/>
              </w:rPr>
            </w:pPr>
            <w:r>
              <w:t>$258</w:t>
            </w:r>
          </w:p>
        </w:tc>
        <w:tc>
          <w:tcPr>
            <w:tcW w:w="2616" w:type="dxa"/>
            <w:vAlign w:val="center"/>
          </w:tcPr>
          <w:p w14:paraId="07BCDACC" w14:textId="77777777" w:rsidR="005940E9" w:rsidRPr="00A26B3B" w:rsidRDefault="00311F80" w:rsidP="00AF1D4E">
            <w:pPr>
              <w:pStyle w:val="Bodytextwithparaspace"/>
              <w:spacing w:after="0"/>
              <w:jc w:val="center"/>
            </w:pPr>
            <w:r>
              <w:t>$327</w:t>
            </w:r>
          </w:p>
        </w:tc>
      </w:tr>
      <w:tr w:rsidR="00374A94" w14:paraId="29A54B8C" w14:textId="77777777" w:rsidTr="00AF1D4E">
        <w:tc>
          <w:tcPr>
            <w:tcW w:w="3282" w:type="dxa"/>
            <w:vAlign w:val="center"/>
          </w:tcPr>
          <w:p w14:paraId="0EED692A" w14:textId="77777777" w:rsidR="00374A94" w:rsidRDefault="00374A94" w:rsidP="00C40850">
            <w:pPr>
              <w:pStyle w:val="Bodytextwithparaspace"/>
              <w:spacing w:after="0"/>
            </w:pPr>
            <w:r>
              <w:t>03.08.02.02 – Adhesive &gt;2-5ml</w:t>
            </w:r>
          </w:p>
        </w:tc>
        <w:tc>
          <w:tcPr>
            <w:tcW w:w="3219" w:type="dxa"/>
            <w:gridSpan w:val="2"/>
            <w:vAlign w:val="center"/>
          </w:tcPr>
          <w:p w14:paraId="44E8266E" w14:textId="77777777" w:rsidR="00374A94" w:rsidRDefault="000E6215" w:rsidP="003C6D11">
            <w:pPr>
              <w:pStyle w:val="Bodytextwithparaspace"/>
              <w:spacing w:after="0"/>
              <w:jc w:val="center"/>
            </w:pPr>
            <w:r>
              <w:t>$516</w:t>
            </w:r>
          </w:p>
        </w:tc>
        <w:tc>
          <w:tcPr>
            <w:tcW w:w="2616" w:type="dxa"/>
            <w:vAlign w:val="center"/>
          </w:tcPr>
          <w:p w14:paraId="19173051" w14:textId="77777777" w:rsidR="00374A94" w:rsidRDefault="000E6215" w:rsidP="003C6D11">
            <w:pPr>
              <w:pStyle w:val="Bodytextwithparaspace"/>
              <w:spacing w:after="0"/>
              <w:jc w:val="center"/>
            </w:pPr>
            <w:r>
              <w:t>$602</w:t>
            </w:r>
          </w:p>
        </w:tc>
      </w:tr>
      <w:tr w:rsidR="00374A94" w14:paraId="331E4B2B" w14:textId="77777777" w:rsidTr="00AF1D4E">
        <w:tc>
          <w:tcPr>
            <w:tcW w:w="3282" w:type="dxa"/>
            <w:vAlign w:val="center"/>
          </w:tcPr>
          <w:p w14:paraId="45501592" w14:textId="77777777" w:rsidR="00374A94" w:rsidRDefault="00374A94" w:rsidP="00C40850">
            <w:pPr>
              <w:pStyle w:val="Bodytextwithparaspace"/>
              <w:spacing w:after="0"/>
            </w:pPr>
            <w:r>
              <w:t>03.08.02.03 – Adhesive &gt;5ml</w:t>
            </w:r>
          </w:p>
        </w:tc>
        <w:tc>
          <w:tcPr>
            <w:tcW w:w="3219" w:type="dxa"/>
            <w:gridSpan w:val="2"/>
            <w:vAlign w:val="center"/>
          </w:tcPr>
          <w:p w14:paraId="2C586878" w14:textId="77777777" w:rsidR="00374A94" w:rsidRDefault="000E6215" w:rsidP="003C6D11">
            <w:pPr>
              <w:pStyle w:val="Bodytextwithparaspace"/>
              <w:spacing w:after="0"/>
              <w:jc w:val="center"/>
            </w:pPr>
            <w:r>
              <w:t>$963</w:t>
            </w:r>
          </w:p>
        </w:tc>
        <w:tc>
          <w:tcPr>
            <w:tcW w:w="2616" w:type="dxa"/>
            <w:vAlign w:val="center"/>
          </w:tcPr>
          <w:p w14:paraId="56AC82AF" w14:textId="77777777" w:rsidR="00374A94" w:rsidRDefault="000E6215" w:rsidP="003C6D11">
            <w:pPr>
              <w:pStyle w:val="Bodytextwithparaspace"/>
              <w:spacing w:after="0"/>
              <w:jc w:val="center"/>
            </w:pPr>
            <w:r>
              <w:t>$1,204</w:t>
            </w:r>
          </w:p>
        </w:tc>
      </w:tr>
    </w:tbl>
    <w:p w14:paraId="2C367110" w14:textId="77777777" w:rsidR="004F023F" w:rsidRDefault="004F023F" w:rsidP="00AF1D4E">
      <w:pPr>
        <w:pStyle w:val="Bodytextwithparaspace"/>
        <w:spacing w:after="0"/>
      </w:pPr>
    </w:p>
    <w:p w14:paraId="3F9C2E61" w14:textId="07997011" w:rsidR="00187F22" w:rsidRDefault="00D44688" w:rsidP="00D44688">
      <w:pPr>
        <w:pStyle w:val="Bodytextwithparaspace"/>
      </w:pPr>
      <w:r>
        <w:t xml:space="preserve">It is apparent that this lower benefit level may have been intended for these topical skin adhesive products, as it first appeared on the PL when </w:t>
      </w:r>
      <w:r w:rsidR="00C7209E">
        <w:t>one product</w:t>
      </w:r>
      <w:r>
        <w:t xml:space="preserve"> was reduced to $45 per item after initially being listed at the standard amount of $300. Subsequently, new internal adhesive products were typically listed at this new, lower amount.</w:t>
      </w:r>
    </w:p>
    <w:p w14:paraId="65AC2896" w14:textId="684C2167" w:rsidR="00D44688" w:rsidRDefault="00D44688" w:rsidP="00D44688">
      <w:pPr>
        <w:pStyle w:val="Bodytextwithparaspace"/>
      </w:pPr>
      <w:r>
        <w:t>This appears to be somewhat inconsistent, however, with some products described as topical skin adhesives listed at the higher amount of $258 instead.</w:t>
      </w:r>
    </w:p>
    <w:p w14:paraId="189DEB2B" w14:textId="677C4B54" w:rsidR="00D44688" w:rsidRPr="00E474B7" w:rsidRDefault="00D44688" w:rsidP="00D44688">
      <w:pPr>
        <w:pStyle w:val="Bodytextwithparaspace"/>
      </w:pPr>
      <w:r>
        <w:t>It is unclear as to the basis by which a product is listed at either price</w:t>
      </w:r>
      <w:r w:rsidR="00187F22">
        <w:t xml:space="preserve"> and whether the</w:t>
      </w:r>
      <w:r>
        <w:t xml:space="preserve"> large differential in benefit amounts between these various products </w:t>
      </w:r>
      <w:r w:rsidR="00271E3E">
        <w:t>reflects</w:t>
      </w:r>
      <w:r w:rsidR="00187F22">
        <w:t xml:space="preserve"> differences in clinical </w:t>
      </w:r>
      <w:r>
        <w:t xml:space="preserve">effectiveness or patient outcomes. Moreover, these products </w:t>
      </w:r>
      <w:r w:rsidR="006E7651">
        <w:t>were</w:t>
      </w:r>
      <w:r w:rsidR="00271E3E">
        <w:t xml:space="preserve"> </w:t>
      </w:r>
      <w:r>
        <w:t>associated with significantly large (and growing) levels of usage.</w:t>
      </w:r>
    </w:p>
    <w:p w14:paraId="7D53A0F1" w14:textId="77777777" w:rsidR="00D44688" w:rsidRDefault="00D44688" w:rsidP="008C63F3">
      <w:pPr>
        <w:pStyle w:val="EYHeading3"/>
        <w:rPr>
          <w:rFonts w:eastAsia="Calibri"/>
        </w:rPr>
      </w:pPr>
      <w:bookmarkStart w:id="234" w:name="_Ref39819675"/>
      <w:r>
        <w:rPr>
          <w:rFonts w:eastAsia="Calibri"/>
        </w:rPr>
        <w:t>Other internal adhesives</w:t>
      </w:r>
      <w:bookmarkEnd w:id="234"/>
    </w:p>
    <w:p w14:paraId="0C5232F8" w14:textId="385D4923" w:rsidR="00187F22" w:rsidRDefault="00D44688" w:rsidP="00D44688">
      <w:pPr>
        <w:pStyle w:val="Bodytextwithparaspace"/>
      </w:pPr>
      <w:r>
        <w:t xml:space="preserve">There </w:t>
      </w:r>
      <w:r w:rsidR="0074345F">
        <w:t>was also</w:t>
      </w:r>
      <w:r>
        <w:t xml:space="preserve"> significant growth </w:t>
      </w:r>
      <w:r w:rsidR="0008029F">
        <w:t>in</w:t>
      </w:r>
      <w:r w:rsidR="00187F22">
        <w:t xml:space="preserve"> the usage of</w:t>
      </w:r>
      <w:r>
        <w:t xml:space="preserve"> internal adhesives outside of the topical skin adhesive products. Since FY11, total benefits for internal adhesives when excluding topical skin adhesives </w:t>
      </w:r>
      <w:r w:rsidR="0074345F">
        <w:t>grew</w:t>
      </w:r>
      <w:r>
        <w:t xml:space="preserve"> at a 21% CAGR, increasing from over $720k annually in FY11 to over $3.3m in FY19.</w:t>
      </w:r>
    </w:p>
    <w:p w14:paraId="4879F97C" w14:textId="4DD304B3" w:rsidR="00D44688" w:rsidRDefault="00D44688" w:rsidP="00D44688">
      <w:pPr>
        <w:pStyle w:val="Bodytextwithparaspace"/>
      </w:pPr>
      <w:r>
        <w:t xml:space="preserve">Adjusting for growth in separations over the same period, this </w:t>
      </w:r>
      <w:r w:rsidR="0074345F">
        <w:t xml:space="preserve">corresponded </w:t>
      </w:r>
      <w:r>
        <w:t xml:space="preserve">to a 16% CAGR </w:t>
      </w:r>
      <w:r w:rsidR="008C60A2">
        <w:t xml:space="preserve">in </w:t>
      </w:r>
      <w:r w:rsidR="00187F22">
        <w:t xml:space="preserve">total </w:t>
      </w:r>
      <w:r w:rsidR="008C60A2">
        <w:t>annual benefits</w:t>
      </w:r>
      <w:r w:rsidR="00187F22">
        <w:t xml:space="preserve"> for these items. As is evident from </w:t>
      </w:r>
      <w:r w:rsidR="00187F22">
        <w:fldChar w:fldCharType="begin"/>
      </w:r>
      <w:r w:rsidR="00187F22">
        <w:instrText xml:space="preserve"> REF _Ref39494900 \h </w:instrText>
      </w:r>
      <w:r w:rsidR="00187F22">
        <w:fldChar w:fldCharType="separate"/>
      </w:r>
      <w:r w:rsidR="00784DE2">
        <w:t xml:space="preserve">Figure </w:t>
      </w:r>
      <w:r w:rsidR="00784DE2">
        <w:rPr>
          <w:noProof/>
        </w:rPr>
        <w:t>26</w:t>
      </w:r>
      <w:r w:rsidR="00187F22">
        <w:fldChar w:fldCharType="end"/>
      </w:r>
      <w:r w:rsidR="00187F22">
        <w:t xml:space="preserve">, this </w:t>
      </w:r>
      <w:r w:rsidR="0074345F">
        <w:t>was</w:t>
      </w:r>
      <w:r w:rsidR="00187F22">
        <w:t xml:space="preserve"> driven by growth in the rate of usage of these products per separation over time, which </w:t>
      </w:r>
      <w:r w:rsidR="0074345F">
        <w:t>grew</w:t>
      </w:r>
      <w:r w:rsidR="00187F22">
        <w:t xml:space="preserve"> at an overall CAGR of 18% over the same period. This</w:t>
      </w:r>
      <w:r w:rsidR="008C60A2">
        <w:t xml:space="preserve"> </w:t>
      </w:r>
      <w:r>
        <w:t>indicat</w:t>
      </w:r>
      <w:r w:rsidR="00187F22">
        <w:t>es</w:t>
      </w:r>
      <w:r>
        <w:t xml:space="preserve"> that th</w:t>
      </w:r>
      <w:r w:rsidR="00187F22">
        <w:t>e growth in usage</w:t>
      </w:r>
      <w:r>
        <w:t xml:space="preserve"> </w:t>
      </w:r>
      <w:r w:rsidR="0074345F">
        <w:t>wa</w:t>
      </w:r>
      <w:r>
        <w:t xml:space="preserve">s significantly in excess of </w:t>
      </w:r>
      <w:r w:rsidR="00187F22">
        <w:t xml:space="preserve">the </w:t>
      </w:r>
      <w:r>
        <w:t xml:space="preserve">growth in surgical procedures over the same time period. </w:t>
      </w:r>
    </w:p>
    <w:tbl>
      <w:tblPr>
        <w:tblStyle w:val="TableGrid"/>
        <w:tblW w:w="95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Figure 26"/>
        <w:tblDescription w:val="This table presents Figure 26 - Internal Adhesives (excl topical skin adhesives) - Items per 1,000 separations"/>
      </w:tblPr>
      <w:tblGrid>
        <w:gridCol w:w="5346"/>
        <w:gridCol w:w="4191"/>
      </w:tblGrid>
      <w:tr w:rsidR="00D44688" w14:paraId="3FC48B55" w14:textId="77777777" w:rsidTr="009C3BEC">
        <w:trPr>
          <w:trHeight w:val="213"/>
          <w:tblHeader/>
        </w:trPr>
        <w:tc>
          <w:tcPr>
            <w:tcW w:w="5346" w:type="dxa"/>
          </w:tcPr>
          <w:p w14:paraId="0A64D607" w14:textId="75C04909" w:rsidR="00D44688" w:rsidRDefault="00D44688" w:rsidP="00812ACF">
            <w:pPr>
              <w:pStyle w:val="Caption"/>
              <w:keepNext/>
            </w:pPr>
            <w:bookmarkStart w:id="235" w:name="_Ref39494900"/>
            <w:r>
              <w:t xml:space="preserve">Figure </w:t>
            </w:r>
            <w:r w:rsidR="00FC6370">
              <w:fldChar w:fldCharType="begin"/>
            </w:r>
            <w:r w:rsidR="00FC6370">
              <w:instrText xml:space="preserve"> SEQ Figure \* ARABIC </w:instrText>
            </w:r>
            <w:r w:rsidR="00FC6370">
              <w:fldChar w:fldCharType="separate"/>
            </w:r>
            <w:r w:rsidR="00784DE2">
              <w:rPr>
                <w:noProof/>
              </w:rPr>
              <w:t>26</w:t>
            </w:r>
            <w:r w:rsidR="00FC6370">
              <w:rPr>
                <w:noProof/>
              </w:rPr>
              <w:fldChar w:fldCharType="end"/>
            </w:r>
            <w:bookmarkEnd w:id="235"/>
            <w:r>
              <w:t xml:space="preserve"> – Internal Adhesives (excl. topical skin adhesives) – Items per 1,000 separations</w:t>
            </w:r>
          </w:p>
        </w:tc>
        <w:tc>
          <w:tcPr>
            <w:tcW w:w="4191" w:type="dxa"/>
          </w:tcPr>
          <w:p w14:paraId="59738510" w14:textId="77777777" w:rsidR="00D44688" w:rsidRDefault="00D44688" w:rsidP="00812ACF">
            <w:pPr>
              <w:pStyle w:val="Caption"/>
              <w:keepNext/>
            </w:pPr>
          </w:p>
        </w:tc>
      </w:tr>
      <w:tr w:rsidR="00D44688" w14:paraId="4981489D" w14:textId="77777777" w:rsidTr="00812ACF">
        <w:trPr>
          <w:trHeight w:val="3352"/>
        </w:trPr>
        <w:tc>
          <w:tcPr>
            <w:tcW w:w="5346" w:type="dxa"/>
          </w:tcPr>
          <w:p w14:paraId="72221185" w14:textId="590CAB28" w:rsidR="00D44688" w:rsidRDefault="6A3EF2AA" w:rsidP="00812ACF">
            <w:pPr>
              <w:pStyle w:val="Bodytextwithparaspace"/>
            </w:pPr>
            <w:r>
              <w:rPr>
                <w:noProof/>
                <w:lang w:val="en-AU" w:eastAsia="en-AU"/>
              </w:rPr>
              <w:drawing>
                <wp:inline distT="0" distB="0" distL="0" distR="0" wp14:anchorId="3601C020" wp14:editId="310DC221">
                  <wp:extent cx="3077084" cy="2520000"/>
                  <wp:effectExtent l="0" t="0" r="9525" b="0"/>
                  <wp:docPr id="1433309938" name="Picture 61" descr="Figure 27 - Internal Adhesives (excl. topical skin adhesives) - items per 1,000 separations&#10;&#10;This figure shows the number of internal adhesives (excluding topical skin adhesives) used per 1,000 separations between FY11 and FY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077084" cy="2520000"/>
                          </a:xfrm>
                          <a:prstGeom prst="rect">
                            <a:avLst/>
                          </a:prstGeom>
                        </pic:spPr>
                      </pic:pic>
                    </a:graphicData>
                  </a:graphic>
                </wp:inline>
              </w:drawing>
            </w:r>
          </w:p>
        </w:tc>
        <w:tc>
          <w:tcPr>
            <w:tcW w:w="4191" w:type="dxa"/>
          </w:tcPr>
          <w:p w14:paraId="20070CC3" w14:textId="77777777" w:rsidR="00D44688" w:rsidRDefault="00D44688" w:rsidP="00812ACF">
            <w:pPr>
              <w:pStyle w:val="Bodytextwithparaspace"/>
            </w:pPr>
          </w:p>
        </w:tc>
      </w:tr>
    </w:tbl>
    <w:p w14:paraId="7FCB9C94" w14:textId="5C3E615A" w:rsidR="00D44688" w:rsidRDefault="00D44688" w:rsidP="00D44688">
      <w:pPr>
        <w:pStyle w:val="Bodytextwithparaspace"/>
      </w:pPr>
      <w:r>
        <w:t xml:space="preserve">The largest contributors to growth in usage for internal adhesives in terms of type of procedures </w:t>
      </w:r>
      <w:r w:rsidR="0074345F">
        <w:t>was</w:t>
      </w:r>
      <w:r>
        <w:t xml:space="preserve"> general surgical and bariatric surgery procedures, as shown in </w:t>
      </w:r>
      <w:r>
        <w:fldChar w:fldCharType="begin"/>
      </w:r>
      <w:r>
        <w:instrText xml:space="preserve"> REF _Ref39496313 \h </w:instrText>
      </w:r>
      <w:r>
        <w:fldChar w:fldCharType="separate"/>
      </w:r>
      <w:r w:rsidR="00784DE2">
        <w:t xml:space="preserve">Figure </w:t>
      </w:r>
      <w:r w:rsidR="00784DE2">
        <w:rPr>
          <w:noProof/>
        </w:rPr>
        <w:t>27</w:t>
      </w:r>
      <w:r>
        <w:fldChar w:fldCharType="end"/>
      </w:r>
      <w:r>
        <w:t xml:space="preserve">. Bariatric procedures were separated as a distinct sub-grouping within general surgical operations at the start of FY14. Combined, these two types of procedures accounted for 51% of the growth in usage since FY11 with usage per separation </w:t>
      </w:r>
      <w:r w:rsidR="0074345F">
        <w:t>growing</w:t>
      </w:r>
      <w:r>
        <w:t xml:space="preserve"> at a 23% CAGR. Since establishment in FY14, usage per separation for bariatric procedures </w:t>
      </w:r>
      <w:r w:rsidR="0074345F">
        <w:t>gew</w:t>
      </w:r>
      <w:r>
        <w:t xml:space="preserve"> at an 8% CAGR and general surgical (excluding bariatric) at 16% CAGR</w:t>
      </w:r>
      <w:r w:rsidR="00CA0B42">
        <w:t>.</w:t>
      </w:r>
      <w:r>
        <w:t xml:space="preserve"> </w:t>
      </w:r>
    </w:p>
    <w:p w14:paraId="4142C909" w14:textId="6357AFAB" w:rsidR="00D44688" w:rsidRDefault="00D44688" w:rsidP="00D44688">
      <w:pPr>
        <w:pStyle w:val="Bodytextwithparaspace"/>
      </w:pPr>
      <w:r>
        <w:t xml:space="preserve">This large annual growth </w:t>
      </w:r>
      <w:r w:rsidR="0074345F">
        <w:t>was also</w:t>
      </w:r>
      <w:r>
        <w:t xml:space="preserve"> observed generally across a range of other procedures. In particular, as shown in</w:t>
      </w:r>
      <w:r w:rsidR="00CA0B42">
        <w:t xml:space="preserve"> </w:t>
      </w:r>
      <w:r w:rsidR="00B02E3B">
        <w:fldChar w:fldCharType="begin"/>
      </w:r>
      <w:r w:rsidR="00B02E3B">
        <w:instrText xml:space="preserve"> REF _Ref39598052 \h </w:instrText>
      </w:r>
      <w:r w:rsidR="00B02E3B">
        <w:fldChar w:fldCharType="separate"/>
      </w:r>
      <w:r w:rsidR="00784DE2">
        <w:t xml:space="preserve">Figure </w:t>
      </w:r>
      <w:r w:rsidR="00784DE2">
        <w:rPr>
          <w:noProof/>
        </w:rPr>
        <w:t>28</w:t>
      </w:r>
      <w:r w:rsidR="00B02E3B">
        <w:fldChar w:fldCharType="end"/>
      </w:r>
      <w:r>
        <w:t xml:space="preserve">, significant rates of growth in usage </w:t>
      </w:r>
      <w:r w:rsidR="0074345F">
        <w:t>were</w:t>
      </w:r>
      <w:r>
        <w:t xml:space="preserve"> observed for both orthopaedic and gynaecological procedures. In FY11, these two types of procedures combined accounted for 7% of all items used from the internal adhesives group</w:t>
      </w:r>
      <w:r w:rsidR="0074345F">
        <w:t xml:space="preserve">, which </w:t>
      </w:r>
      <w:r w:rsidR="00A54572">
        <w:t>increased</w:t>
      </w:r>
      <w:r>
        <w:t xml:space="preserve"> to 20% by F19. </w:t>
      </w:r>
    </w:p>
    <w:p w14:paraId="3A272E12" w14:textId="0EFB2B73" w:rsidR="00D44688" w:rsidRDefault="00D44688" w:rsidP="00D44688">
      <w:pPr>
        <w:pStyle w:val="Bodytextwithparaspace"/>
      </w:pPr>
      <w:r>
        <w:t xml:space="preserve">The high level of growth seen across a wide variety of types of procedures shows that the rate of usage of internal adhesive products </w:t>
      </w:r>
      <w:r w:rsidR="006A5416">
        <w:t>grew</w:t>
      </w:r>
      <w:r>
        <w:t xml:space="preserve"> significantly faster than general levels of growth in surgical procedures and </w:t>
      </w:r>
      <w:r w:rsidR="006A5416">
        <w:t>was not</w:t>
      </w:r>
      <w:r>
        <w:t xml:space="preserve"> specific to advancements in any one type of procedure. This may be suggestive that the availability of these products on the PL </w:t>
      </w:r>
      <w:r w:rsidR="006A5416">
        <w:t xml:space="preserve">was </w:t>
      </w:r>
      <w:r>
        <w:t xml:space="preserve">driving levels of usage beyond clinical needs. </w:t>
      </w:r>
    </w:p>
    <w:tbl>
      <w:tblPr>
        <w:tblStyle w:val="TableGrid"/>
        <w:tblW w:w="95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Figure 27 and Figure 28"/>
        <w:tblDescription w:val="This table presents Figure 27 - Internal adhesives (excl. topical skin adhesives) - number of items used by type of procedure and Figure 28 - Internal Adhesives (excl. TSA) - CAGR, items per separation (FY11 - FY19), by grouping of primary MBS code"/>
      </w:tblPr>
      <w:tblGrid>
        <w:gridCol w:w="6336"/>
        <w:gridCol w:w="3639"/>
      </w:tblGrid>
      <w:tr w:rsidR="00D44688" w14:paraId="71E938F9" w14:textId="77777777" w:rsidTr="009C3BEC">
        <w:trPr>
          <w:trHeight w:val="213"/>
          <w:tblHeader/>
        </w:trPr>
        <w:tc>
          <w:tcPr>
            <w:tcW w:w="5346" w:type="dxa"/>
          </w:tcPr>
          <w:p w14:paraId="0C1F2D2D" w14:textId="4D8C21C3" w:rsidR="00D44688" w:rsidRDefault="00D44688" w:rsidP="00812ACF">
            <w:pPr>
              <w:pStyle w:val="Caption"/>
              <w:keepNext/>
            </w:pPr>
            <w:bookmarkStart w:id="236" w:name="_Ref39496313"/>
            <w:r>
              <w:t xml:space="preserve">Figure </w:t>
            </w:r>
            <w:r w:rsidR="00FC6370">
              <w:fldChar w:fldCharType="begin"/>
            </w:r>
            <w:r w:rsidR="00FC6370">
              <w:instrText xml:space="preserve"> SEQ Figure \* ARABIC </w:instrText>
            </w:r>
            <w:r w:rsidR="00FC6370">
              <w:fldChar w:fldCharType="separate"/>
            </w:r>
            <w:r w:rsidR="00784DE2">
              <w:rPr>
                <w:noProof/>
              </w:rPr>
              <w:t>27</w:t>
            </w:r>
            <w:r w:rsidR="00FC6370">
              <w:rPr>
                <w:noProof/>
              </w:rPr>
              <w:fldChar w:fldCharType="end"/>
            </w:r>
            <w:bookmarkEnd w:id="236"/>
            <w:r>
              <w:t xml:space="preserve"> – Internal Adhesives (excl. topical skin adhesives) – Number of items used by type of procedure</w:t>
            </w:r>
          </w:p>
        </w:tc>
        <w:tc>
          <w:tcPr>
            <w:tcW w:w="4191" w:type="dxa"/>
          </w:tcPr>
          <w:p w14:paraId="2314D983" w14:textId="06873993" w:rsidR="00D44688" w:rsidRDefault="00D44688" w:rsidP="00812ACF">
            <w:pPr>
              <w:pStyle w:val="Caption"/>
              <w:keepNext/>
            </w:pPr>
            <w:bookmarkStart w:id="237" w:name="_Ref39598052"/>
            <w:r>
              <w:t xml:space="preserve">Figure </w:t>
            </w:r>
            <w:r w:rsidR="00FC6370">
              <w:fldChar w:fldCharType="begin"/>
            </w:r>
            <w:r w:rsidR="00FC6370">
              <w:instrText xml:space="preserve"> SEQ Figure \* ARABIC </w:instrText>
            </w:r>
            <w:r w:rsidR="00FC6370">
              <w:fldChar w:fldCharType="separate"/>
            </w:r>
            <w:r w:rsidR="00784DE2">
              <w:rPr>
                <w:noProof/>
              </w:rPr>
              <w:t>28</w:t>
            </w:r>
            <w:r w:rsidR="00FC6370">
              <w:rPr>
                <w:noProof/>
              </w:rPr>
              <w:fldChar w:fldCharType="end"/>
            </w:r>
            <w:bookmarkEnd w:id="237"/>
            <w:r>
              <w:t xml:space="preserve"> – Internal Adhesives (excl. TSA) – CAGR, items per separation (FY11 – FY19), by grouping of primary MBS code</w:t>
            </w:r>
          </w:p>
        </w:tc>
      </w:tr>
      <w:tr w:rsidR="00D44688" w14:paraId="40F08E27" w14:textId="77777777" w:rsidTr="00812ACF">
        <w:trPr>
          <w:trHeight w:val="3352"/>
        </w:trPr>
        <w:tc>
          <w:tcPr>
            <w:tcW w:w="5346" w:type="dxa"/>
          </w:tcPr>
          <w:p w14:paraId="1B3BA61D" w14:textId="5827D858" w:rsidR="00D44688" w:rsidRDefault="00CE1FE3" w:rsidP="00812ACF">
            <w:pPr>
              <w:pStyle w:val="Bodytextwithparaspace"/>
            </w:pPr>
            <w:r>
              <w:rPr>
                <w:noProof/>
                <w:lang w:val="en-AU" w:eastAsia="en-AU"/>
              </w:rPr>
              <w:drawing>
                <wp:inline distT="0" distB="0" distL="0" distR="0" wp14:anchorId="46DF16B6" wp14:editId="7CA15406">
                  <wp:extent cx="3884289" cy="2458528"/>
                  <wp:effectExtent l="0" t="0" r="2540" b="0"/>
                  <wp:docPr id="1466070627" name="Picture 1466070627" descr="Internal adhesives (excl. topical skin adhesives) - number of items used by type of procedure" title="Figure 27 - Internal adhesives (excl. topical skin adhesives) - number of items used by type of proced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918690" cy="2480302"/>
                          </a:xfrm>
                          <a:prstGeom prst="rect">
                            <a:avLst/>
                          </a:prstGeom>
                          <a:noFill/>
                        </pic:spPr>
                      </pic:pic>
                    </a:graphicData>
                  </a:graphic>
                </wp:inline>
              </w:drawing>
            </w:r>
          </w:p>
        </w:tc>
        <w:tc>
          <w:tcPr>
            <w:tcW w:w="4191" w:type="dxa"/>
          </w:tcPr>
          <w:p w14:paraId="5A607189" w14:textId="560EF293" w:rsidR="00D44688" w:rsidRDefault="6A3EF2AA" w:rsidP="00812ACF">
            <w:pPr>
              <w:pStyle w:val="Bodytextwithparaspace"/>
            </w:pPr>
            <w:r>
              <w:rPr>
                <w:noProof/>
                <w:lang w:val="en-AU" w:eastAsia="en-AU"/>
              </w:rPr>
              <w:drawing>
                <wp:inline distT="0" distB="0" distL="0" distR="0" wp14:anchorId="31159C91" wp14:editId="5B657A4A">
                  <wp:extent cx="2173981" cy="2520000"/>
                  <wp:effectExtent l="0" t="0" r="0" b="0"/>
                  <wp:docPr id="1466070651" name="Picture 250954174" descr="Compound annual growth rate, internal adhesives - items per separation by MBS code" title="Figure 28 - internal Adhesives (excl. TSA) - CAGR, items per separation (FY 11 - FY19), by grouping of primary MBS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954174"/>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173981" cy="2520000"/>
                          </a:xfrm>
                          <a:prstGeom prst="rect">
                            <a:avLst/>
                          </a:prstGeom>
                        </pic:spPr>
                      </pic:pic>
                    </a:graphicData>
                  </a:graphic>
                </wp:inline>
              </w:drawing>
            </w:r>
          </w:p>
        </w:tc>
      </w:tr>
    </w:tbl>
    <w:p w14:paraId="678A51E5" w14:textId="3D5B023D" w:rsidR="00D44688" w:rsidRPr="000610C4" w:rsidRDefault="00D44688" w:rsidP="00D44688">
      <w:pPr>
        <w:pStyle w:val="Bodytextwithparaspace"/>
      </w:pPr>
      <w:r>
        <w:t>Additionally, within the ’03.08.02 – Internal Adhesives’ group</w:t>
      </w:r>
      <w:r w:rsidR="00187F22">
        <w:t>,</w:t>
      </w:r>
      <w:r>
        <w:t xml:space="preserve"> there </w:t>
      </w:r>
      <w:r w:rsidR="006A5416">
        <w:t xml:space="preserve">were </w:t>
      </w:r>
      <w:r>
        <w:t xml:space="preserve">significant differences in the rate of item usage per separation between the larger hospital </w:t>
      </w:r>
      <w:r w:rsidR="006A5416">
        <w:t xml:space="preserve">groups </w:t>
      </w:r>
      <w:r>
        <w:t xml:space="preserve">and the smaller hospital </w:t>
      </w:r>
      <w:r w:rsidR="006A5416">
        <w:t>groups</w:t>
      </w:r>
      <w:r w:rsidR="00374A94">
        <w:t xml:space="preserve">. </w:t>
      </w:r>
      <w:r>
        <w:t xml:space="preserve">Specifically, it is apparent that the larger hospital </w:t>
      </w:r>
      <w:r w:rsidR="006A5416">
        <w:t>groups were</w:t>
      </w:r>
      <w:r>
        <w:t xml:space="preserve"> using these items at a significantly higher rate than the smaller hospital </w:t>
      </w:r>
      <w:r w:rsidR="006A5416">
        <w:t>groups</w:t>
      </w:r>
      <w:r>
        <w:t xml:space="preserve">. The large increase in usage seen in FY18 and F19 </w:t>
      </w:r>
      <w:r w:rsidR="006A5416">
        <w:t xml:space="preserve">was </w:t>
      </w:r>
      <w:r>
        <w:t xml:space="preserve">due to the introduction of topical skin adhesives. </w:t>
      </w:r>
      <w:r w:rsidR="00CA0B42">
        <w:t>The differences seen in the usage rates between hospitals groups may indicate a</w:t>
      </w:r>
      <w:r>
        <w:t xml:space="preserve"> preference </w:t>
      </w:r>
      <w:r w:rsidR="00CA0B42">
        <w:t>to use</w:t>
      </w:r>
      <w:r>
        <w:t xml:space="preserve"> internal adhesives over alternative products, or for internal adhesives </w:t>
      </w:r>
      <w:r w:rsidR="00CA0B42">
        <w:t xml:space="preserve">to be used </w:t>
      </w:r>
      <w:r>
        <w:t>in greater volumes. It may also be explainable (at least partially) by differences in case mix or other clinical factors between facilities themselves.</w:t>
      </w:r>
    </w:p>
    <w:p w14:paraId="677CDF7E" w14:textId="77777777" w:rsidR="00E26D38" w:rsidRDefault="00815AB8" w:rsidP="00E26D38">
      <w:pPr>
        <w:pStyle w:val="EYHeading2"/>
      </w:pPr>
      <w:bookmarkStart w:id="238" w:name="_Toc46912805"/>
      <w:bookmarkStart w:id="239" w:name="_Toc46912806"/>
      <w:bookmarkStart w:id="240" w:name="_Toc46912807"/>
      <w:bookmarkStart w:id="241" w:name="_Toc46912808"/>
      <w:bookmarkStart w:id="242" w:name="_Toc46912809"/>
      <w:bookmarkStart w:id="243" w:name="_Toc46912814"/>
      <w:bookmarkStart w:id="244" w:name="_Toc46912815"/>
      <w:bookmarkStart w:id="245" w:name="_Toc46912882"/>
      <w:bookmarkStart w:id="246" w:name="_Toc46912883"/>
      <w:bookmarkStart w:id="247" w:name="_Toc46912884"/>
      <w:bookmarkStart w:id="248" w:name="_Toc46912897"/>
      <w:bookmarkStart w:id="249" w:name="_Toc46912898"/>
      <w:bookmarkStart w:id="250" w:name="_Toc46912899"/>
      <w:bookmarkStart w:id="251" w:name="_Ref39581548"/>
      <w:bookmarkStart w:id="252" w:name="_Ref39581554"/>
      <w:bookmarkStart w:id="253" w:name="_Ref39581561"/>
      <w:bookmarkStart w:id="254" w:name="_Ref39582145"/>
      <w:bookmarkStart w:id="255" w:name="_Ref39582151"/>
      <w:bookmarkStart w:id="256" w:name="_Toc59015975"/>
      <w:bookmarkEnd w:id="238"/>
      <w:bookmarkEnd w:id="239"/>
      <w:bookmarkEnd w:id="240"/>
      <w:bookmarkEnd w:id="241"/>
      <w:bookmarkEnd w:id="242"/>
      <w:bookmarkEnd w:id="243"/>
      <w:bookmarkEnd w:id="244"/>
      <w:bookmarkEnd w:id="245"/>
      <w:bookmarkEnd w:id="246"/>
      <w:bookmarkEnd w:id="247"/>
      <w:bookmarkEnd w:id="248"/>
      <w:bookmarkEnd w:id="249"/>
      <w:bookmarkEnd w:id="250"/>
      <w:r>
        <w:t>Staples and Tackers</w:t>
      </w:r>
      <w:bookmarkEnd w:id="251"/>
      <w:bookmarkEnd w:id="252"/>
      <w:bookmarkEnd w:id="253"/>
      <w:bookmarkEnd w:id="254"/>
      <w:bookmarkEnd w:id="255"/>
      <w:bookmarkEnd w:id="256"/>
    </w:p>
    <w:p w14:paraId="3C96E5CD" w14:textId="31695439" w:rsidR="002E7A21" w:rsidRPr="00C72C6A" w:rsidRDefault="002E7A21" w:rsidP="002E7A21">
      <w:pPr>
        <w:pStyle w:val="Bodytextwithparaspace"/>
      </w:pPr>
      <w:r>
        <w:t xml:space="preserve">The ‘03.08.04 – Staples and Tackers’ group </w:t>
      </w:r>
      <w:r w:rsidR="006A5416">
        <w:t xml:space="preserve">constituted </w:t>
      </w:r>
      <w:r>
        <w:t>the single largest group in the GM category of the PL</w:t>
      </w:r>
      <w:r w:rsidR="006A5416">
        <w:t xml:space="preserve"> as it</w:t>
      </w:r>
      <w:r>
        <w:t xml:space="preserve"> </w:t>
      </w:r>
      <w:r w:rsidR="006A5416">
        <w:t xml:space="preserve">accounted </w:t>
      </w:r>
      <w:r>
        <w:t xml:space="preserve">for almost $96m in benefits or almost 43% of all benefits for ‘High’ priority GM in FY19. </w:t>
      </w:r>
      <w:r w:rsidR="008E35B6">
        <w:t xml:space="preserve">Annual benefits for this group </w:t>
      </w:r>
      <w:r w:rsidR="006A5416">
        <w:t>grew</w:t>
      </w:r>
      <w:r w:rsidR="008E35B6">
        <w:t xml:space="preserve"> by over $39m in the period from FY14 through FY19, representing an 11% CAGR over the same period. </w:t>
      </w:r>
      <w:r w:rsidRPr="00537412">
        <w:rPr>
          <w:rFonts w:eastAsia="Calibri"/>
        </w:rPr>
        <w:t>This product group encompasses specialised staples used in surgery in place of sutures to close wounds or connect tissues. Staples are also used extensively in bowel, gastric, gynaecological and thoracic surgical stapling procedures.</w:t>
      </w:r>
    </w:p>
    <w:p w14:paraId="03FABB13" w14:textId="4102BEB5" w:rsidR="002E7A21" w:rsidRPr="008A305A" w:rsidRDefault="002E7A21" w:rsidP="002E7A21">
      <w:pPr>
        <w:pStyle w:val="Bodytextwithparaspace"/>
        <w:rPr>
          <w:rFonts w:eastAsia="Calibri"/>
        </w:rPr>
      </w:pPr>
      <w:r>
        <w:t xml:space="preserve">Of the top 10 individual items contributing to growth in benefits for the ‘High’ priority GM category, 6 </w:t>
      </w:r>
      <w:r w:rsidR="006A5416">
        <w:t xml:space="preserve">were </w:t>
      </w:r>
      <w:r>
        <w:t xml:space="preserve">from the staples and tackers group. </w:t>
      </w:r>
      <w:r w:rsidR="009E0531">
        <w:t>S</w:t>
      </w:r>
      <w:r>
        <w:t xml:space="preserve">ignificant trends of growth in benefit amounts </w:t>
      </w:r>
      <w:r w:rsidR="006A5416">
        <w:t>were</w:t>
      </w:r>
      <w:r>
        <w:t xml:space="preserve"> noted across many of the</w:t>
      </w:r>
      <w:r w:rsidR="009E0531">
        <w:t xml:space="preserve"> group’s</w:t>
      </w:r>
      <w:r>
        <w:t xml:space="preserve"> subgroups as </w:t>
      </w:r>
      <w:r w:rsidR="009E0531">
        <w:t xml:space="preserve">is </w:t>
      </w:r>
      <w:r>
        <w:t xml:space="preserve">evident in </w:t>
      </w:r>
      <w:r>
        <w:fldChar w:fldCharType="begin"/>
      </w:r>
      <w:r>
        <w:instrText xml:space="preserve"> REF _Ref39506880 \h </w:instrText>
      </w:r>
      <w:r>
        <w:fldChar w:fldCharType="separate"/>
      </w:r>
      <w:r w:rsidR="00784DE2">
        <w:t xml:space="preserve">Figure </w:t>
      </w:r>
      <w:r w:rsidR="00784DE2">
        <w:rPr>
          <w:noProof/>
        </w:rPr>
        <w:t>29</w:t>
      </w:r>
      <w:r>
        <w:fldChar w:fldCharType="end"/>
      </w:r>
      <w:r>
        <w:t xml:space="preserve"> and </w:t>
      </w:r>
      <w:r>
        <w:fldChar w:fldCharType="begin"/>
      </w:r>
      <w:r>
        <w:instrText xml:space="preserve"> REF _Ref39506881 \h </w:instrText>
      </w:r>
      <w:r>
        <w:fldChar w:fldCharType="separate"/>
      </w:r>
      <w:r w:rsidR="00784DE2">
        <w:t xml:space="preserve">Figure </w:t>
      </w:r>
      <w:r w:rsidR="00784DE2">
        <w:rPr>
          <w:noProof/>
        </w:rPr>
        <w:t>30</w:t>
      </w:r>
      <w:r>
        <w:fldChar w:fldCharType="end"/>
      </w:r>
      <w:r>
        <w:t>.</w:t>
      </w:r>
      <w:r w:rsidRPr="008B4DD5">
        <w:t xml:space="preserve"> </w:t>
      </w:r>
      <w:r>
        <w:t>Accordingly, staples and tackers represent</w:t>
      </w:r>
      <w:r w:rsidR="006A5416">
        <w:t>ed</w:t>
      </w:r>
      <w:r>
        <w:t xml:space="preserve"> a group of significant interest for this review. This case study provides further detail on patterns of usage and benefits across a number of different areas within the staples and tackers group. </w:t>
      </w:r>
    </w:p>
    <w:tbl>
      <w:tblPr>
        <w:tblStyle w:val="TableGrid"/>
        <w:tblW w:w="90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Figure 29 * Figure 30"/>
        <w:tblDescription w:val="This table presents Figure 29 - Staples &amp; Tackers - Total PL benefits by subgroup and Figure 30 - Staples &amp; Tackers - Annual growth in benefits by subgroup"/>
      </w:tblPr>
      <w:tblGrid>
        <w:gridCol w:w="4590"/>
        <w:gridCol w:w="4506"/>
      </w:tblGrid>
      <w:tr w:rsidR="00000CEF" w14:paraId="22CF15DC" w14:textId="77777777" w:rsidTr="009C3BEC">
        <w:trPr>
          <w:trHeight w:val="182"/>
          <w:tblHeader/>
        </w:trPr>
        <w:tc>
          <w:tcPr>
            <w:tcW w:w="4624" w:type="dxa"/>
          </w:tcPr>
          <w:p w14:paraId="44E773F6" w14:textId="2474D2A9" w:rsidR="002E7A21" w:rsidRDefault="002E7A21" w:rsidP="00C10A92">
            <w:pPr>
              <w:pStyle w:val="Caption"/>
              <w:keepNext/>
            </w:pPr>
            <w:bookmarkStart w:id="257" w:name="_Ref39506880"/>
            <w:r>
              <w:t xml:space="preserve">Figure </w:t>
            </w:r>
            <w:r w:rsidR="00FC6370">
              <w:fldChar w:fldCharType="begin"/>
            </w:r>
            <w:r w:rsidR="00FC6370">
              <w:instrText xml:space="preserve"> SEQ Figure \* ARABIC </w:instrText>
            </w:r>
            <w:r w:rsidR="00FC6370">
              <w:fldChar w:fldCharType="separate"/>
            </w:r>
            <w:r w:rsidR="00784DE2">
              <w:rPr>
                <w:noProof/>
              </w:rPr>
              <w:t>29</w:t>
            </w:r>
            <w:r w:rsidR="00FC6370">
              <w:rPr>
                <w:noProof/>
              </w:rPr>
              <w:fldChar w:fldCharType="end"/>
            </w:r>
            <w:bookmarkEnd w:id="257"/>
            <w:r>
              <w:t xml:space="preserve"> – Staples &amp; Tackers – Total PL benefits by subgroup</w:t>
            </w:r>
          </w:p>
        </w:tc>
        <w:tc>
          <w:tcPr>
            <w:tcW w:w="4472" w:type="dxa"/>
          </w:tcPr>
          <w:p w14:paraId="7E5876B6" w14:textId="1C02A812" w:rsidR="002E7A21" w:rsidRDefault="002E7A21" w:rsidP="00C10A92">
            <w:pPr>
              <w:pStyle w:val="Caption"/>
              <w:keepNext/>
            </w:pPr>
            <w:bookmarkStart w:id="258" w:name="_Ref39506881"/>
            <w:r>
              <w:t xml:space="preserve">Figure </w:t>
            </w:r>
            <w:r w:rsidR="00FC6370">
              <w:fldChar w:fldCharType="begin"/>
            </w:r>
            <w:r w:rsidR="00FC6370">
              <w:instrText xml:space="preserve"> SEQ Figure \* ARABIC </w:instrText>
            </w:r>
            <w:r w:rsidR="00FC6370">
              <w:fldChar w:fldCharType="separate"/>
            </w:r>
            <w:r w:rsidR="00784DE2">
              <w:rPr>
                <w:noProof/>
              </w:rPr>
              <w:t>30</w:t>
            </w:r>
            <w:r w:rsidR="00FC6370">
              <w:rPr>
                <w:noProof/>
              </w:rPr>
              <w:fldChar w:fldCharType="end"/>
            </w:r>
            <w:bookmarkEnd w:id="258"/>
            <w:r>
              <w:t xml:space="preserve"> – Staples &amp; Tackers – Annual growth in benefits by subgroup</w:t>
            </w:r>
          </w:p>
        </w:tc>
      </w:tr>
      <w:tr w:rsidR="00000CEF" w14:paraId="00335E01" w14:textId="77777777" w:rsidTr="00C10A92">
        <w:trPr>
          <w:trHeight w:val="2862"/>
        </w:trPr>
        <w:tc>
          <w:tcPr>
            <w:tcW w:w="4624" w:type="dxa"/>
          </w:tcPr>
          <w:p w14:paraId="7D866891" w14:textId="0D8CED5D" w:rsidR="002E7A21" w:rsidRDefault="00A535A3" w:rsidP="00C10A92">
            <w:pPr>
              <w:pStyle w:val="Bodytextwithparaspace"/>
            </w:pPr>
            <w:r>
              <w:rPr>
                <w:noProof/>
                <w:lang w:val="en-AU" w:eastAsia="en-AU"/>
              </w:rPr>
              <w:drawing>
                <wp:inline distT="0" distB="0" distL="0" distR="0" wp14:anchorId="28267564" wp14:editId="3E3C5FDB">
                  <wp:extent cx="2767793" cy="1664335"/>
                  <wp:effectExtent l="0" t="0" r="0" b="0"/>
                  <wp:docPr id="1466070628" name="Picture 1466070628" descr="Staples &amp; Tackers - Total PL benefits by subgroup" title="Figure 29 - Staples &amp; Tackers - Total PL benefits by sub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87259" cy="1676040"/>
                          </a:xfrm>
                          <a:prstGeom prst="rect">
                            <a:avLst/>
                          </a:prstGeom>
                          <a:noFill/>
                        </pic:spPr>
                      </pic:pic>
                    </a:graphicData>
                  </a:graphic>
                </wp:inline>
              </w:drawing>
            </w:r>
          </w:p>
        </w:tc>
        <w:tc>
          <w:tcPr>
            <w:tcW w:w="4472" w:type="dxa"/>
          </w:tcPr>
          <w:p w14:paraId="2866861A" w14:textId="35A1960F" w:rsidR="002E7A21" w:rsidRDefault="00000CEF" w:rsidP="00C10A92">
            <w:pPr>
              <w:pStyle w:val="Bodytextwithparaspace"/>
              <w:rPr>
                <w:noProof/>
              </w:rPr>
            </w:pPr>
            <w:r>
              <w:rPr>
                <w:noProof/>
                <w:lang w:val="en-AU" w:eastAsia="en-AU"/>
              </w:rPr>
              <w:drawing>
                <wp:inline distT="0" distB="0" distL="0" distR="0" wp14:anchorId="39629DAD" wp14:editId="77E2BE50">
                  <wp:extent cx="2716684" cy="1613140"/>
                  <wp:effectExtent l="0" t="0" r="7620" b="6350"/>
                  <wp:docPr id="1466070629" name="Picture 1466070629" descr="Staples &amp; Tackers - Annual Growth in benefits by subgroup" title="Figure 30 - Staples &amp; Tackers - Annual Growth in benefits by sub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44595" cy="1629713"/>
                          </a:xfrm>
                          <a:prstGeom prst="rect">
                            <a:avLst/>
                          </a:prstGeom>
                          <a:noFill/>
                        </pic:spPr>
                      </pic:pic>
                    </a:graphicData>
                  </a:graphic>
                </wp:inline>
              </w:drawing>
            </w:r>
          </w:p>
        </w:tc>
      </w:tr>
    </w:tbl>
    <w:p w14:paraId="4DA9F593" w14:textId="77777777" w:rsidR="002E7A21" w:rsidRDefault="002E7A21" w:rsidP="002E7A21">
      <w:pPr>
        <w:pStyle w:val="EYHeading3"/>
      </w:pPr>
      <w:r>
        <w:t>Overall high rates of growth</w:t>
      </w:r>
    </w:p>
    <w:p w14:paraId="0C3EDE80" w14:textId="1DD5C059" w:rsidR="002E7A21" w:rsidRDefault="002E7A21" w:rsidP="002E7A21">
      <w:pPr>
        <w:pStyle w:val="Bodytextwithparaspace"/>
      </w:pPr>
      <w:r>
        <w:t xml:space="preserve">Usage per separation for the staples and tackers group </w:t>
      </w:r>
      <w:r w:rsidR="00A54572">
        <w:t>increased</w:t>
      </w:r>
      <w:r>
        <w:t xml:space="preserve"> steadily </w:t>
      </w:r>
      <w:r w:rsidR="006A5416">
        <w:t xml:space="preserve">from </w:t>
      </w:r>
      <w:r>
        <w:t xml:space="preserve">FY11, as indicated in </w:t>
      </w:r>
      <w:r w:rsidR="00F24189">
        <w:fldChar w:fldCharType="begin"/>
      </w:r>
      <w:r w:rsidR="00F24189">
        <w:instrText xml:space="preserve"> REF _Ref39581752 \h </w:instrText>
      </w:r>
      <w:r w:rsidR="00F24189">
        <w:fldChar w:fldCharType="separate"/>
      </w:r>
      <w:r w:rsidR="00784DE2">
        <w:t xml:space="preserve">Figure </w:t>
      </w:r>
      <w:r w:rsidR="00784DE2">
        <w:rPr>
          <w:noProof/>
        </w:rPr>
        <w:t>31</w:t>
      </w:r>
      <w:r w:rsidR="00F24189">
        <w:fldChar w:fldCharType="end"/>
      </w:r>
      <w:r>
        <w:t xml:space="preserve">, at a CAGR of 12%. Consultation submissions and clinical </w:t>
      </w:r>
      <w:r w:rsidR="00DB435D">
        <w:t>subject matter resources</w:t>
      </w:r>
      <w:r w:rsidR="009E0531">
        <w:t xml:space="preserve"> </w:t>
      </w:r>
      <w:r>
        <w:t xml:space="preserve">highlighted that recent shifts and advancements in clinical practice towards keyhole surgery over open surgery resulted in a greater need for use of these items in related procedures and may </w:t>
      </w:r>
      <w:r w:rsidR="006A5416">
        <w:t xml:space="preserve">have </w:t>
      </w:r>
      <w:r>
        <w:t>be</w:t>
      </w:r>
      <w:r w:rsidR="006A5416">
        <w:t>en</w:t>
      </w:r>
      <w:r>
        <w:t xml:space="preserve"> a key contributor to this growth. However, it </w:t>
      </w:r>
      <w:r w:rsidR="006A5416">
        <w:t xml:space="preserve">was </w:t>
      </w:r>
      <w:r>
        <w:t xml:space="preserve">also noted from these submissions that there is significant scope for increased usage or wastage of these items beyond pure clinical need, for example through overuse of staple reloads than might otherwise be required. </w:t>
      </w:r>
    </w:p>
    <w:tbl>
      <w:tblPr>
        <w:tblStyle w:val="TableGrid"/>
        <w:tblW w:w="9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Figure 31"/>
        <w:tblDescription w:val="This table presents Figure 31 - Staples and Tackers - Items per 1,000 separations"/>
      </w:tblPr>
      <w:tblGrid>
        <w:gridCol w:w="5076"/>
        <w:gridCol w:w="4379"/>
      </w:tblGrid>
      <w:tr w:rsidR="002E7A21" w14:paraId="2529D7AF" w14:textId="77777777" w:rsidTr="009C3BEC">
        <w:trPr>
          <w:trHeight w:val="243"/>
          <w:tblHeader/>
        </w:trPr>
        <w:tc>
          <w:tcPr>
            <w:tcW w:w="5076" w:type="dxa"/>
          </w:tcPr>
          <w:p w14:paraId="62EA8B0C" w14:textId="14F06CA2" w:rsidR="002E7A21" w:rsidRDefault="002E7A21" w:rsidP="00C10A92">
            <w:pPr>
              <w:pStyle w:val="Caption"/>
              <w:keepNext/>
            </w:pPr>
            <w:bookmarkStart w:id="259" w:name="_Ref39581752"/>
            <w:r>
              <w:t xml:space="preserve">Figure </w:t>
            </w:r>
            <w:r w:rsidR="00FC6370">
              <w:fldChar w:fldCharType="begin"/>
            </w:r>
            <w:r w:rsidR="00FC6370">
              <w:instrText xml:space="preserve"> SEQ Figure \* ARABIC </w:instrText>
            </w:r>
            <w:r w:rsidR="00FC6370">
              <w:fldChar w:fldCharType="separate"/>
            </w:r>
            <w:r w:rsidR="00784DE2">
              <w:rPr>
                <w:noProof/>
              </w:rPr>
              <w:t>31</w:t>
            </w:r>
            <w:r w:rsidR="00FC6370">
              <w:rPr>
                <w:noProof/>
              </w:rPr>
              <w:fldChar w:fldCharType="end"/>
            </w:r>
            <w:bookmarkEnd w:id="259"/>
            <w:r>
              <w:t xml:space="preserve"> – Staples &amp; Tackers – Items per 1,000 separations</w:t>
            </w:r>
          </w:p>
        </w:tc>
        <w:tc>
          <w:tcPr>
            <w:tcW w:w="4379" w:type="dxa"/>
          </w:tcPr>
          <w:p w14:paraId="5AE52E30" w14:textId="77777777" w:rsidR="002E7A21" w:rsidRDefault="002E7A21" w:rsidP="00C10A92">
            <w:pPr>
              <w:pStyle w:val="Caption"/>
              <w:keepNext/>
            </w:pPr>
          </w:p>
        </w:tc>
      </w:tr>
      <w:tr w:rsidR="002E7A21" w14:paraId="2AA4269E" w14:textId="77777777" w:rsidTr="00CB4BA0">
        <w:trPr>
          <w:trHeight w:val="3150"/>
        </w:trPr>
        <w:tc>
          <w:tcPr>
            <w:tcW w:w="5076" w:type="dxa"/>
          </w:tcPr>
          <w:p w14:paraId="51440BCC" w14:textId="2EE201F1" w:rsidR="002E7A21" w:rsidRDefault="3D96BBCB" w:rsidP="00C10A92">
            <w:pPr>
              <w:pStyle w:val="Bodytextwithparaspace"/>
            </w:pPr>
            <w:r>
              <w:rPr>
                <w:noProof/>
                <w:lang w:val="en-AU" w:eastAsia="en-AU"/>
              </w:rPr>
              <w:drawing>
                <wp:inline distT="0" distB="0" distL="0" distR="0" wp14:anchorId="703A6702" wp14:editId="44DE5FF6">
                  <wp:extent cx="2464904" cy="2018651"/>
                  <wp:effectExtent l="0" t="0" r="0" b="1270"/>
                  <wp:docPr id="1670593028" name="Picture 884425342" descr="Figure 31 - Staples &amp; Tackers - Items per 1000 separations" title="Figure 31 - Staples &amp; Tackers - Items per 1000 sepa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425342"/>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72385" cy="2024778"/>
                          </a:xfrm>
                          <a:prstGeom prst="rect">
                            <a:avLst/>
                          </a:prstGeom>
                        </pic:spPr>
                      </pic:pic>
                    </a:graphicData>
                  </a:graphic>
                </wp:inline>
              </w:drawing>
            </w:r>
          </w:p>
        </w:tc>
        <w:tc>
          <w:tcPr>
            <w:tcW w:w="4379" w:type="dxa"/>
          </w:tcPr>
          <w:p w14:paraId="3A8565EE" w14:textId="77777777" w:rsidR="002E7A21" w:rsidRDefault="002E7A21" w:rsidP="00C10A92">
            <w:pPr>
              <w:pStyle w:val="Bodytextwithparaspace"/>
            </w:pPr>
          </w:p>
        </w:tc>
      </w:tr>
    </w:tbl>
    <w:p w14:paraId="766A35FD" w14:textId="52EA070A" w:rsidR="00EB5099" w:rsidRDefault="002E7A21" w:rsidP="002E7A21">
      <w:pPr>
        <w:pStyle w:val="Bodytextwithparaspace"/>
      </w:pPr>
      <w:r>
        <w:t xml:space="preserve">The growth observed in usage per separation </w:t>
      </w:r>
      <w:r w:rsidR="006A5416">
        <w:t>was</w:t>
      </w:r>
      <w:r>
        <w:t xml:space="preserve"> primarily driven by usage of these products in general surgical and bariatric surgery procedures. At the start of FY14, bariatric surgery procedures were established as a distinct subgroup of general surgical procedures on the MBS. Looking at </w:t>
      </w:r>
      <w:r w:rsidR="009A0732">
        <w:t xml:space="preserve">bariatric and general surgical procedures </w:t>
      </w:r>
      <w:r>
        <w:t xml:space="preserve">combined, </w:t>
      </w:r>
      <w:r w:rsidR="009A0732">
        <w:t xml:space="preserve">the </w:t>
      </w:r>
      <w:r>
        <w:t xml:space="preserve">growth in their usage accounted for 75% of </w:t>
      </w:r>
      <w:r w:rsidR="009A0732">
        <w:t>the total</w:t>
      </w:r>
      <w:r>
        <w:t xml:space="preserve"> growth in usage for the staples and tackers group. </w:t>
      </w:r>
    </w:p>
    <w:p w14:paraId="63A62CC2" w14:textId="0A6DDB71" w:rsidR="002E7A21" w:rsidRDefault="002E7A21" w:rsidP="002E7A21">
      <w:pPr>
        <w:pStyle w:val="Bodytextwithparaspace"/>
      </w:pPr>
      <w:r>
        <w:t xml:space="preserve">Growth in usage of these products for bariatric surgery significantly outstripped growth in the number of these procedures at a rate of </w:t>
      </w:r>
      <w:r w:rsidRPr="0034078B">
        <w:t>8% p.a.</w:t>
      </w:r>
      <w:r>
        <w:t xml:space="preserve"> (CAGR) </w:t>
      </w:r>
      <w:r w:rsidR="006A5416">
        <w:t xml:space="preserve">from </w:t>
      </w:r>
      <w:r>
        <w:t xml:space="preserve">FY14, as shown in </w:t>
      </w:r>
      <w:r w:rsidRPr="0034078B">
        <w:fldChar w:fldCharType="begin"/>
      </w:r>
      <w:r w:rsidRPr="0034078B">
        <w:instrText xml:space="preserve"> REF _Ref39509755 \h </w:instrText>
      </w:r>
      <w:r w:rsidR="0034078B">
        <w:instrText xml:space="preserve"> \* MERGEFORMAT </w:instrText>
      </w:r>
      <w:r w:rsidRPr="0034078B">
        <w:fldChar w:fldCharType="separate"/>
      </w:r>
      <w:r w:rsidR="00784DE2">
        <w:t xml:space="preserve">Figure </w:t>
      </w:r>
      <w:r w:rsidR="00784DE2">
        <w:rPr>
          <w:noProof/>
        </w:rPr>
        <w:t>33</w:t>
      </w:r>
      <w:r w:rsidRPr="0034078B">
        <w:fldChar w:fldCharType="end"/>
      </w:r>
      <w:r w:rsidR="009E0531">
        <w:t>. A</w:t>
      </w:r>
      <w:r>
        <w:t xml:space="preserve"> similar rate of growth of </w:t>
      </w:r>
      <w:r w:rsidRPr="0034078B">
        <w:t xml:space="preserve">7% </w:t>
      </w:r>
      <w:r w:rsidR="00EB5099" w:rsidRPr="0034078B">
        <w:t>p.a</w:t>
      </w:r>
      <w:r w:rsidR="00EB5099">
        <w:t>.</w:t>
      </w:r>
      <w:r>
        <w:t xml:space="preserve"> </w:t>
      </w:r>
      <w:r w:rsidR="006A5416">
        <w:t>was</w:t>
      </w:r>
      <w:r w:rsidR="009E0531">
        <w:t xml:space="preserve"> </w:t>
      </w:r>
      <w:r>
        <w:t xml:space="preserve">seen for the wider general surgical procedures (excluding bariatric surgery). High growth </w:t>
      </w:r>
      <w:r w:rsidR="006A5416">
        <w:t>was also</w:t>
      </w:r>
      <w:r>
        <w:t xml:space="preserve"> observed in the cardio-thoracic and orthopaedic surgical categories, and more generally across a wide range of procedures. The particularly high growth observed for orthopaedic surgical procedures </w:t>
      </w:r>
      <w:r w:rsidR="006A5416">
        <w:t xml:space="preserve">was </w:t>
      </w:r>
      <w:r>
        <w:t>primarily</w:t>
      </w:r>
      <w:r w:rsidR="009E0531">
        <w:t xml:space="preserve"> due</w:t>
      </w:r>
      <w:r>
        <w:t xml:space="preserve"> to the introduction of a single product. </w:t>
      </w:r>
    </w:p>
    <w:tbl>
      <w:tblPr>
        <w:tblStyle w:val="TableGrid"/>
        <w:tblW w:w="99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Figure 32 and Figure 33"/>
        <w:tblDescription w:val="This table presents Figure 32 - Staples &amp; tackers - Number of items by grouping of primary MBS codes and Figure 33 - Staples and Tackers - CAGR, items per separation (FY11 - FY19), by grouping of primary MBS code"/>
      </w:tblPr>
      <w:tblGrid>
        <w:gridCol w:w="6306"/>
        <w:gridCol w:w="3646"/>
      </w:tblGrid>
      <w:tr w:rsidR="002E7A21" w14:paraId="35D70985" w14:textId="77777777" w:rsidTr="009C3BEC">
        <w:trPr>
          <w:trHeight w:val="243"/>
          <w:tblHeader/>
        </w:trPr>
        <w:tc>
          <w:tcPr>
            <w:tcW w:w="6306" w:type="dxa"/>
          </w:tcPr>
          <w:p w14:paraId="7910066F" w14:textId="3FB9C870" w:rsidR="002E7A21" w:rsidRDefault="002E7A21" w:rsidP="00C10A92">
            <w:pPr>
              <w:pStyle w:val="Caption"/>
              <w:keepNext/>
            </w:pPr>
            <w:r>
              <w:t xml:space="preserve">Figure </w:t>
            </w:r>
            <w:r w:rsidR="00FC6370">
              <w:fldChar w:fldCharType="begin"/>
            </w:r>
            <w:r w:rsidR="00FC6370">
              <w:instrText xml:space="preserve"> SEQ Figure \* ARABIC </w:instrText>
            </w:r>
            <w:r w:rsidR="00FC6370">
              <w:fldChar w:fldCharType="separate"/>
            </w:r>
            <w:r w:rsidR="00784DE2">
              <w:rPr>
                <w:noProof/>
              </w:rPr>
              <w:t>32</w:t>
            </w:r>
            <w:r w:rsidR="00FC6370">
              <w:rPr>
                <w:noProof/>
              </w:rPr>
              <w:fldChar w:fldCharType="end"/>
            </w:r>
            <w:r>
              <w:t xml:space="preserve"> – Staples &amp; Tackers – Number of items by grouping of primary MBS code</w:t>
            </w:r>
          </w:p>
        </w:tc>
        <w:tc>
          <w:tcPr>
            <w:tcW w:w="3646" w:type="dxa"/>
          </w:tcPr>
          <w:p w14:paraId="76D3C91B" w14:textId="10BD57B5" w:rsidR="002E7A21" w:rsidRDefault="002E7A21" w:rsidP="00C10A92">
            <w:pPr>
              <w:pStyle w:val="Caption"/>
              <w:keepNext/>
            </w:pPr>
            <w:bookmarkStart w:id="260" w:name="_Ref39509755"/>
            <w:r>
              <w:t xml:space="preserve">Figure </w:t>
            </w:r>
            <w:r w:rsidR="00FC6370">
              <w:fldChar w:fldCharType="begin"/>
            </w:r>
            <w:r w:rsidR="00FC6370">
              <w:instrText xml:space="preserve"> SEQ Figure \* ARABIC </w:instrText>
            </w:r>
            <w:r w:rsidR="00FC6370">
              <w:fldChar w:fldCharType="separate"/>
            </w:r>
            <w:r w:rsidR="00784DE2">
              <w:rPr>
                <w:noProof/>
              </w:rPr>
              <w:t>33</w:t>
            </w:r>
            <w:r w:rsidR="00FC6370">
              <w:rPr>
                <w:noProof/>
              </w:rPr>
              <w:fldChar w:fldCharType="end"/>
            </w:r>
            <w:bookmarkEnd w:id="260"/>
            <w:r>
              <w:t xml:space="preserve"> – Staples &amp; Tackers – CAGR, items per separation (FY11 – FY19), by grouping of primary MBS code</w:t>
            </w:r>
          </w:p>
        </w:tc>
      </w:tr>
      <w:tr w:rsidR="002E7A21" w14:paraId="369AFE46" w14:textId="77777777" w:rsidTr="00C10A92">
        <w:trPr>
          <w:trHeight w:val="3830"/>
        </w:trPr>
        <w:tc>
          <w:tcPr>
            <w:tcW w:w="6306" w:type="dxa"/>
          </w:tcPr>
          <w:p w14:paraId="1594FEC6" w14:textId="54EAEEE5" w:rsidR="002E7A21" w:rsidRDefault="003C6711" w:rsidP="00C10A92">
            <w:pPr>
              <w:pStyle w:val="Bodytextwithparaspace"/>
            </w:pPr>
            <w:r>
              <w:rPr>
                <w:noProof/>
                <w:lang w:val="en-AU" w:eastAsia="en-AU"/>
              </w:rPr>
              <w:drawing>
                <wp:inline distT="0" distB="0" distL="0" distR="0" wp14:anchorId="0B36ADE2" wp14:editId="1D2F8905">
                  <wp:extent cx="3862070" cy="2479087"/>
                  <wp:effectExtent l="0" t="0" r="5080" b="0"/>
                  <wp:docPr id="1466070630" name="Picture 1466070630" descr="Figure 32 - Staples &amp; Tackers - Number of items by grouping of primary MBS Code; FY11 to FY19" title="Figure 32 - Staples &amp; Tackers - Number of items by grouping of primary MBS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888492" cy="2496047"/>
                          </a:xfrm>
                          <a:prstGeom prst="rect">
                            <a:avLst/>
                          </a:prstGeom>
                          <a:noFill/>
                        </pic:spPr>
                      </pic:pic>
                    </a:graphicData>
                  </a:graphic>
                </wp:inline>
              </w:drawing>
            </w:r>
          </w:p>
        </w:tc>
        <w:tc>
          <w:tcPr>
            <w:tcW w:w="3646" w:type="dxa"/>
          </w:tcPr>
          <w:p w14:paraId="0FFEA209" w14:textId="77777777" w:rsidR="002E7A21" w:rsidRDefault="3D96BBCB" w:rsidP="00C10A92">
            <w:pPr>
              <w:pStyle w:val="Bodytextwithparaspace"/>
            </w:pPr>
            <w:r>
              <w:rPr>
                <w:noProof/>
                <w:lang w:val="en-AU" w:eastAsia="en-AU"/>
              </w:rPr>
              <w:drawing>
                <wp:inline distT="0" distB="0" distL="0" distR="0" wp14:anchorId="49C98E78" wp14:editId="38038504">
                  <wp:extent cx="2178076" cy="2520000"/>
                  <wp:effectExtent l="0" t="0" r="0" b="0"/>
                  <wp:docPr id="1027975145" name="Picture 43923237" descr="Compound annual growth rate - staples and tackers; items per separation (FY11 - FY 19), by grouping of primary MBS code" title="Figure 33 - Staples &amp; Tackers - cAGR, items per separation (FY11 - FY 19), by grouping of primary MBS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23237"/>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78076" cy="2520000"/>
                          </a:xfrm>
                          <a:prstGeom prst="rect">
                            <a:avLst/>
                          </a:prstGeom>
                        </pic:spPr>
                      </pic:pic>
                    </a:graphicData>
                  </a:graphic>
                </wp:inline>
              </w:drawing>
            </w:r>
          </w:p>
        </w:tc>
      </w:tr>
    </w:tbl>
    <w:p w14:paraId="73199673" w14:textId="453A582F" w:rsidR="002E7A21" w:rsidRDefault="009E0531" w:rsidP="002E7A21">
      <w:pPr>
        <w:pStyle w:val="Bodytextwithparaspace"/>
      </w:pPr>
      <w:r>
        <w:t>Whilst a</w:t>
      </w:r>
      <w:r w:rsidR="002E7A21">
        <w:t xml:space="preserve"> shift in clinical practice relating to bariatric surgery </w:t>
      </w:r>
      <w:r w:rsidR="006A5416">
        <w:t>was</w:t>
      </w:r>
      <w:r w:rsidR="002E7A21">
        <w:t xml:space="preserve"> a big driver of the growth in </w:t>
      </w:r>
      <w:r>
        <w:t xml:space="preserve">the </w:t>
      </w:r>
      <w:r w:rsidR="002E7A21">
        <w:t xml:space="preserve">use of these items, </w:t>
      </w:r>
      <w:r>
        <w:t xml:space="preserve">there </w:t>
      </w:r>
      <w:r w:rsidR="006A5416">
        <w:t>was also</w:t>
      </w:r>
      <w:r>
        <w:t xml:space="preserve"> an increased usage at a separation level</w:t>
      </w:r>
      <w:r w:rsidR="002E7A21">
        <w:t xml:space="preserve">. Furthermore, significant growth </w:t>
      </w:r>
      <w:r w:rsidR="006A5416">
        <w:t>was also</w:t>
      </w:r>
      <w:r w:rsidR="002E7A21">
        <w:t xml:space="preserve"> seen outside of bariatric surgery, meaning this alone does not explain the entire extent of growth. </w:t>
      </w:r>
    </w:p>
    <w:p w14:paraId="37AD9D82" w14:textId="7FE73F95" w:rsidR="002E7A21" w:rsidRDefault="009E0531" w:rsidP="002E7A21">
      <w:pPr>
        <w:pStyle w:val="Bodytextwithparaspace"/>
      </w:pPr>
      <w:r>
        <w:t>G</w:t>
      </w:r>
      <w:r w:rsidR="002E7A21">
        <w:t xml:space="preserve">rowth </w:t>
      </w:r>
      <w:r w:rsidR="006A5416">
        <w:t xml:space="preserve">was </w:t>
      </w:r>
      <w:r w:rsidR="002E7A21">
        <w:t xml:space="preserve">not uniformly experienced across the various hospital </w:t>
      </w:r>
      <w:r w:rsidR="006A5416">
        <w:t xml:space="preserve">groups </w:t>
      </w:r>
      <w:r w:rsidR="00A610DA">
        <w:t>investigated</w:t>
      </w:r>
      <w:r w:rsidR="002E7A21">
        <w:t xml:space="preserve">. In particular, the two large hospital </w:t>
      </w:r>
      <w:r w:rsidR="00ED347E">
        <w:t>groups</w:t>
      </w:r>
      <w:r w:rsidR="002E7A21">
        <w:t xml:space="preserve"> experienced rates of growth significantly in excess of smaller hospital </w:t>
      </w:r>
      <w:r w:rsidR="00ED347E">
        <w:t>groups</w:t>
      </w:r>
      <w:r w:rsidR="002E7A21">
        <w:t xml:space="preserve">. Notably, </w:t>
      </w:r>
      <w:r w:rsidR="00B83F7E">
        <w:t>annual benefits for</w:t>
      </w:r>
      <w:r w:rsidR="002E7A21">
        <w:t xml:space="preserve"> </w:t>
      </w:r>
      <w:r w:rsidR="003C24FA">
        <w:t xml:space="preserve">one hospital group </w:t>
      </w:r>
      <w:r w:rsidR="002E7A21">
        <w:t xml:space="preserve">increased by 284% over the 5 years, or 18% CAGR, significantly greater than </w:t>
      </w:r>
      <w:r w:rsidR="00ED347E">
        <w:t>any others</w:t>
      </w:r>
      <w:r w:rsidR="002E7A21">
        <w:t>. The large difference in the</w:t>
      </w:r>
      <w:r w:rsidR="00ED347E">
        <w:t>se</w:t>
      </w:r>
      <w:r w:rsidR="002E7A21">
        <w:t xml:space="preserve"> rate</w:t>
      </w:r>
      <w:r w:rsidR="00ED347E">
        <w:t>s</w:t>
      </w:r>
      <w:r w:rsidR="002E7A21">
        <w:t xml:space="preserve"> of growth may be suggestive </w:t>
      </w:r>
      <w:r w:rsidR="00B83F7E">
        <w:t>that</w:t>
      </w:r>
      <w:r w:rsidR="002E7A21">
        <w:t xml:space="preserve"> factors </w:t>
      </w:r>
      <w:r w:rsidR="00B83F7E">
        <w:t xml:space="preserve">outside of clinical needs may </w:t>
      </w:r>
      <w:r w:rsidR="002E7A21">
        <w:t>influenc</w:t>
      </w:r>
      <w:r w:rsidR="00B83F7E">
        <w:t>e</w:t>
      </w:r>
      <w:r w:rsidR="002E7A21">
        <w:t xml:space="preserve"> the usage of these products.</w:t>
      </w:r>
    </w:p>
    <w:p w14:paraId="04992D63" w14:textId="77777777" w:rsidR="002E7A21" w:rsidRDefault="002E7A21" w:rsidP="00AF1D4E">
      <w:pPr>
        <w:pStyle w:val="EYHeading3"/>
      </w:pPr>
      <w:r>
        <w:t>Staples, Non-bone (Reload)</w:t>
      </w:r>
    </w:p>
    <w:p w14:paraId="036EEFA2" w14:textId="18CA2EBC" w:rsidR="002E7A21" w:rsidRPr="00D71D1D" w:rsidRDefault="002E7A21" w:rsidP="002E7A21">
      <w:pPr>
        <w:pStyle w:val="Bodytextwithparaspace"/>
      </w:pPr>
      <w:r>
        <w:t xml:space="preserve">The ‘03.08.04.01 – Staples, Non-bone (Reload)’ subgroup </w:t>
      </w:r>
      <w:r w:rsidR="006A5416">
        <w:t xml:space="preserve">accounted </w:t>
      </w:r>
      <w:r>
        <w:t xml:space="preserve">for half of all PL benefits paid </w:t>
      </w:r>
      <w:r w:rsidR="00B83F7E">
        <w:t xml:space="preserve">for the ‘03.08.04 – Staples &amp; Tackers’ group in FY19 </w:t>
      </w:r>
      <w:r>
        <w:t>($48m). Within this subgroup</w:t>
      </w:r>
      <w:r w:rsidR="006A5416">
        <w:t>,</w:t>
      </w:r>
      <w:r>
        <w:t xml:space="preserve"> at the suffix level</w:t>
      </w:r>
      <w:r w:rsidR="006A5416">
        <w:t>,</w:t>
      </w:r>
      <w:r>
        <w:t xml:space="preserve"> there </w:t>
      </w:r>
      <w:r w:rsidR="006A5416">
        <w:t>was</w:t>
      </w:r>
      <w:r>
        <w:t xml:space="preserve"> an increasing trend in the level of item usage for the more expensive ‘Endoscopic, Articulating/Roticulating’ versions (with a minimum benefit amount of $323 as at February 2020)</w:t>
      </w:r>
      <w:r w:rsidRPr="004C7DCA">
        <w:t>.</w:t>
      </w:r>
      <w:r>
        <w:t xml:space="preserve"> At the same time, there </w:t>
      </w:r>
      <w:r w:rsidR="006A5416">
        <w:t>was also</w:t>
      </w:r>
      <w:r>
        <w:t xml:space="preserve"> a notable decreasing trend in the level of item usage for the less expensive versions without a suffix (with a minimum benefit amount of $210 as at February 2020). </w:t>
      </w:r>
    </w:p>
    <w:p w14:paraId="46308224" w14:textId="42DF8971" w:rsidR="002E7A21" w:rsidRPr="00D71D1D" w:rsidRDefault="00B83F7E" w:rsidP="002E7A21">
      <w:pPr>
        <w:pStyle w:val="Bodytextwithparaspace"/>
      </w:pPr>
      <w:r>
        <w:t>The</w:t>
      </w:r>
      <w:r w:rsidR="002E7A21">
        <w:t xml:space="preserve"> growth </w:t>
      </w:r>
      <w:r w:rsidR="006A5416">
        <w:t>was</w:t>
      </w:r>
      <w:r w:rsidR="002E7A21">
        <w:t xml:space="preserve"> primarily driven by two main products, </w:t>
      </w:r>
      <w:r>
        <w:t xml:space="preserve">which </w:t>
      </w:r>
      <w:r w:rsidR="006A5416">
        <w:t xml:space="preserve">were </w:t>
      </w:r>
      <w:r w:rsidR="002E7A21">
        <w:t xml:space="preserve">in </w:t>
      </w:r>
      <w:r>
        <w:t>the Top 10 contributors to growth</w:t>
      </w:r>
      <w:r w:rsidR="00B3747B">
        <w:t xml:space="preserve"> for the GM category overall</w:t>
      </w:r>
      <w:r w:rsidR="002E7A21">
        <w:t xml:space="preserve">. These two products </w:t>
      </w:r>
      <w:r w:rsidR="006A5416">
        <w:t>were</w:t>
      </w:r>
      <w:r w:rsidR="002E7A21">
        <w:t xml:space="preserve"> associated with an increase in annual benefits of $14.4m and $7.5m from FY14 to FY19 respectively, or $21.9m in aggregate. It is further noted that there </w:t>
      </w:r>
      <w:r w:rsidR="006A5416">
        <w:t>were</w:t>
      </w:r>
      <w:r w:rsidR="002E7A21">
        <w:t xml:space="preserve"> some further offsetting decreases in other products not factored into these figures with annual benefits for the subgroup increasing by $20m over the same period in aggregate.</w:t>
      </w:r>
    </w:p>
    <w:p w14:paraId="4DFD81E8" w14:textId="0945B88F" w:rsidR="00A34163" w:rsidRPr="00D71D1D" w:rsidRDefault="00A34163" w:rsidP="002E7A21">
      <w:pPr>
        <w:pStyle w:val="Bodytextwithparaspace"/>
      </w:pPr>
      <w:r>
        <w:t>These products provide a</w:t>
      </w:r>
      <w:r w:rsidR="009E0531">
        <w:t xml:space="preserve">n </w:t>
      </w:r>
      <w:r>
        <w:t xml:space="preserve">example where the more expensive products in a subgroup </w:t>
      </w:r>
      <w:r w:rsidR="006A5416">
        <w:t xml:space="preserve">were </w:t>
      </w:r>
      <w:r>
        <w:t xml:space="preserve">used more extensively than the cheaper alternatives. Investigation is required to determine whether this usage is appropriate and providing better clinical outcomes or whether this is an example of the PL not </w:t>
      </w:r>
      <w:r w:rsidR="00CD085A">
        <w:t>dis</w:t>
      </w:r>
      <w:r w:rsidR="006A5416">
        <w:t>incentivising the choice</w:t>
      </w:r>
      <w:r w:rsidR="00CD085A">
        <w:t xml:space="preserve"> of items that are more expensive than other clinically sufficient items.</w:t>
      </w:r>
    </w:p>
    <w:p w14:paraId="014E24C0" w14:textId="77777777" w:rsidR="002E7A21" w:rsidRPr="008634E1" w:rsidRDefault="002E7A21" w:rsidP="00466263">
      <w:pPr>
        <w:pStyle w:val="EYHeading3"/>
      </w:pPr>
      <w:bookmarkStart w:id="261" w:name="_Ref39765705"/>
      <w:r>
        <w:t>Staples, Non-bone with Disposable Applier</w:t>
      </w:r>
      <w:bookmarkEnd w:id="261"/>
    </w:p>
    <w:p w14:paraId="2DE4958C" w14:textId="3BD4384B" w:rsidR="002E7A21" w:rsidRDefault="002E7A21" w:rsidP="002E7A21">
      <w:pPr>
        <w:pStyle w:val="Bodytextwithparaspace"/>
      </w:pPr>
      <w:r>
        <w:t>The ‘no suffix’ suffix grouping in the subgroup ’03.08.04.04 – Staples, Non-bone with Disposable Applier’ experienced significant growth in item usage in FY19, along with an increase in the PL benefits paid for this suffix</w:t>
      </w:r>
      <w:r w:rsidR="0073459C">
        <w:t>. U</w:t>
      </w:r>
      <w:r>
        <w:t>sage grew by over 20,000 items, representing a 172% increase from FY18</w:t>
      </w:r>
      <w:r w:rsidR="00F53BBE">
        <w:t>, mostly driven by one item</w:t>
      </w:r>
      <w:r w:rsidR="000E6215">
        <w:t>.</w:t>
      </w:r>
    </w:p>
    <w:p w14:paraId="7B8FB826" w14:textId="77777777" w:rsidR="00E26D38" w:rsidRDefault="00815AB8" w:rsidP="00E26D38">
      <w:pPr>
        <w:pStyle w:val="EYHeading2"/>
      </w:pPr>
      <w:bookmarkStart w:id="262" w:name="_Toc46912901"/>
      <w:bookmarkStart w:id="263" w:name="_Toc46912902"/>
      <w:bookmarkStart w:id="264" w:name="_Toc46912903"/>
      <w:bookmarkStart w:id="265" w:name="_Toc46912904"/>
      <w:bookmarkStart w:id="266" w:name="_Toc46912910"/>
      <w:bookmarkStart w:id="267" w:name="_Toc46912911"/>
      <w:bookmarkStart w:id="268" w:name="_Ref39415379"/>
      <w:bookmarkStart w:id="269" w:name="_Ref39418131"/>
      <w:bookmarkStart w:id="270" w:name="_Ref39420781"/>
      <w:bookmarkStart w:id="271" w:name="_Toc59015976"/>
      <w:bookmarkEnd w:id="262"/>
      <w:bookmarkEnd w:id="263"/>
      <w:bookmarkEnd w:id="264"/>
      <w:bookmarkEnd w:id="265"/>
      <w:bookmarkEnd w:id="266"/>
      <w:bookmarkEnd w:id="267"/>
      <w:r>
        <w:t>Matrix</w:t>
      </w:r>
      <w:bookmarkEnd w:id="268"/>
      <w:bookmarkEnd w:id="269"/>
      <w:bookmarkEnd w:id="270"/>
      <w:bookmarkEnd w:id="271"/>
    </w:p>
    <w:p w14:paraId="53988583" w14:textId="77777777" w:rsidR="003C15A0" w:rsidRPr="003C1D8F" w:rsidRDefault="00F13A62" w:rsidP="003C15A0">
      <w:pPr>
        <w:pStyle w:val="Bodytextwithparaspace"/>
        <w:rPr>
          <w:rFonts w:eastAsia="Calibri"/>
        </w:rPr>
      </w:pPr>
      <w:r w:rsidRPr="00A26B3B">
        <w:t>The matrix product group</w:t>
      </w:r>
      <w:r>
        <w:t xml:space="preserve"> (03.05.05 – Matrix) </w:t>
      </w:r>
      <w:r w:rsidR="007201C1">
        <w:t xml:space="preserve">is part of the haemostatic devices subcategory (03.05 – Haemostatic Devices) of the GM </w:t>
      </w:r>
      <w:r w:rsidR="00367737">
        <w:t>category</w:t>
      </w:r>
      <w:r w:rsidR="007201C1">
        <w:t xml:space="preserve">. </w:t>
      </w:r>
      <w:r w:rsidR="003C15A0" w:rsidRPr="003C1D8F">
        <w:rPr>
          <w:rFonts w:eastAsia="Calibri"/>
        </w:rPr>
        <w:t>Th</w:t>
      </w:r>
      <w:r w:rsidR="00CF4195">
        <w:rPr>
          <w:rFonts w:eastAsia="Calibri"/>
        </w:rPr>
        <w:t xml:space="preserve">ese products </w:t>
      </w:r>
      <w:r w:rsidR="003C15A0" w:rsidRPr="003C1D8F">
        <w:rPr>
          <w:rFonts w:eastAsia="Calibri"/>
        </w:rPr>
        <w:t>include high viscosity gels used for achieving haemostasis that are typically delivered through a syringe when control of bleeding by ligature or conventional surgical procedures is ineffective or impractical. Matri</w:t>
      </w:r>
      <w:r w:rsidR="00B82ED0">
        <w:rPr>
          <w:rFonts w:eastAsia="Calibri"/>
        </w:rPr>
        <w:t>ces</w:t>
      </w:r>
      <w:r w:rsidR="003C15A0" w:rsidRPr="003C1D8F">
        <w:rPr>
          <w:rFonts w:eastAsia="Calibri"/>
        </w:rPr>
        <w:t xml:space="preserve"> in a liquid form dominate this category but there are also non-liquid and powder versions available</w:t>
      </w:r>
      <w:r w:rsidR="000E6215">
        <w:rPr>
          <w:rFonts w:eastAsia="Calibri"/>
        </w:rPr>
        <w:t>.</w:t>
      </w:r>
    </w:p>
    <w:p w14:paraId="1D46C83C" w14:textId="77777777" w:rsidR="00A03680" w:rsidRDefault="00A03680" w:rsidP="00A26B3B">
      <w:pPr>
        <w:pStyle w:val="EYHeading3"/>
      </w:pPr>
      <w:r>
        <w:t>Liquid matrix products</w:t>
      </w:r>
    </w:p>
    <w:p w14:paraId="3F7C70E0" w14:textId="3F71BC63" w:rsidR="00833322" w:rsidRDefault="0039444B" w:rsidP="001B762D">
      <w:pPr>
        <w:pStyle w:val="Bodytextwithparaspace"/>
      </w:pPr>
      <w:r>
        <w:rPr>
          <w:rFonts w:eastAsia="Calibri"/>
        </w:rPr>
        <w:t>G</w:t>
      </w:r>
      <w:r w:rsidR="00D458F7">
        <w:rPr>
          <w:rFonts w:eastAsia="Calibri"/>
        </w:rPr>
        <w:t xml:space="preserve">rowth in benefits for </w:t>
      </w:r>
      <w:r w:rsidR="00176165">
        <w:rPr>
          <w:rFonts w:eastAsia="Calibri"/>
        </w:rPr>
        <w:t>the ’03.05.05</w:t>
      </w:r>
      <w:r w:rsidR="00AD5D77">
        <w:rPr>
          <w:rFonts w:eastAsia="Calibri"/>
        </w:rPr>
        <w:t xml:space="preserve"> – Matrix’</w:t>
      </w:r>
      <w:r w:rsidR="00176165">
        <w:rPr>
          <w:rFonts w:eastAsia="Calibri"/>
        </w:rPr>
        <w:t xml:space="preserve"> </w:t>
      </w:r>
      <w:r w:rsidR="00AD5D77">
        <w:rPr>
          <w:rFonts w:eastAsia="Calibri"/>
        </w:rPr>
        <w:t xml:space="preserve">group </w:t>
      </w:r>
      <w:r w:rsidR="006A5416">
        <w:rPr>
          <w:rFonts w:eastAsia="Calibri"/>
        </w:rPr>
        <w:t xml:space="preserve">was </w:t>
      </w:r>
      <w:r w:rsidR="00D458F7">
        <w:rPr>
          <w:rFonts w:eastAsia="Calibri"/>
        </w:rPr>
        <w:t xml:space="preserve">driven primarily by the </w:t>
      </w:r>
      <w:r w:rsidR="00D458F7">
        <w:t>‘</w:t>
      </w:r>
      <w:r w:rsidR="00D458F7" w:rsidRPr="003C1D8F">
        <w:t>03.05.05.02 - Liquid &gt;6ml’ subgroup</w:t>
      </w:r>
      <w:r w:rsidR="0073459C">
        <w:t>.</w:t>
      </w:r>
      <w:r w:rsidR="00D458F7">
        <w:t xml:space="preserve"> Th</w:t>
      </w:r>
      <w:r w:rsidR="00464EEA">
        <w:t>is subgroup also</w:t>
      </w:r>
      <w:r w:rsidR="00D458F7">
        <w:t xml:space="preserve"> </w:t>
      </w:r>
      <w:r w:rsidR="0031136B">
        <w:t xml:space="preserve">represented </w:t>
      </w:r>
      <w:r w:rsidR="00D458F7">
        <w:t xml:space="preserve">the most expensive </w:t>
      </w:r>
      <w:r w:rsidR="00D7454B">
        <w:t>products in the matrix group at</w:t>
      </w:r>
      <w:r w:rsidR="00464EEA">
        <w:t xml:space="preserve"> an average </w:t>
      </w:r>
      <w:r w:rsidR="0073459C">
        <w:t xml:space="preserve">benefit amount </w:t>
      </w:r>
      <w:r w:rsidR="00464EEA">
        <w:t>of</w:t>
      </w:r>
      <w:r w:rsidR="00D7454B">
        <w:t xml:space="preserve"> $950 per item, almost 49% higher than the</w:t>
      </w:r>
      <w:r w:rsidR="00D7454B" w:rsidRPr="00357FCC">
        <w:t xml:space="preserve"> </w:t>
      </w:r>
      <w:r w:rsidR="00D7454B">
        <w:t xml:space="preserve">smaller volume </w:t>
      </w:r>
      <w:r w:rsidR="0060345B">
        <w:t xml:space="preserve">liquid matrix </w:t>
      </w:r>
      <w:r w:rsidR="00481895">
        <w:t>products ‘</w:t>
      </w:r>
      <w:r w:rsidR="00481895" w:rsidRPr="003C1D8F">
        <w:t>03.05.05.0</w:t>
      </w:r>
      <w:r w:rsidR="00481895">
        <w:t>1</w:t>
      </w:r>
      <w:r w:rsidR="00481895" w:rsidRPr="003C1D8F">
        <w:t xml:space="preserve"> - Liquid </w:t>
      </w:r>
      <w:r w:rsidR="00481895">
        <w:t>≤</w:t>
      </w:r>
      <w:r w:rsidR="00481895" w:rsidRPr="003C1D8F">
        <w:t xml:space="preserve">6ml’ </w:t>
      </w:r>
      <w:r w:rsidR="00D7454B">
        <w:t xml:space="preserve">at </w:t>
      </w:r>
      <w:r w:rsidR="00481895">
        <w:t xml:space="preserve">an average </w:t>
      </w:r>
      <w:r w:rsidR="0073459C">
        <w:t xml:space="preserve">benefit amount of </w:t>
      </w:r>
      <w:r w:rsidR="00D7454B">
        <w:t>$640 per item.</w:t>
      </w:r>
      <w:r w:rsidR="001C76B2">
        <w:t xml:space="preserve"> </w:t>
      </w:r>
    </w:p>
    <w:p w14:paraId="24031B5E" w14:textId="3A5E3574" w:rsidR="00A03680" w:rsidRDefault="002B456D" w:rsidP="001B762D">
      <w:pPr>
        <w:pStyle w:val="Bodytextwithparaspace"/>
      </w:pPr>
      <w:r>
        <w:t>There</w:t>
      </w:r>
      <w:r w:rsidR="001C76B2">
        <w:t xml:space="preserve"> </w:t>
      </w:r>
      <w:r w:rsidR="0031136B">
        <w:t xml:space="preserve">were </w:t>
      </w:r>
      <w:r w:rsidR="001C76B2">
        <w:t xml:space="preserve">different usage patterns </w:t>
      </w:r>
      <w:r w:rsidR="00E25578">
        <w:t xml:space="preserve">observed </w:t>
      </w:r>
      <w:r w:rsidR="001C76B2">
        <w:t>between the two sized options of liquid matrices</w:t>
      </w:r>
      <w:r w:rsidR="0073459C">
        <w:t>,</w:t>
      </w:r>
      <w:r w:rsidR="001C76B2">
        <w:t xml:space="preserve"> </w:t>
      </w:r>
      <w:r w:rsidR="004F620D">
        <w:t>with a significant trend towards greater usage of the larger volume items over the period from FY14 through FY19</w:t>
      </w:r>
      <w:r w:rsidR="00B93952">
        <w:t>.</w:t>
      </w:r>
      <w:r w:rsidR="00B93952" w:rsidRPr="00B93952">
        <w:t xml:space="preserve"> </w:t>
      </w:r>
      <w:r w:rsidR="001F136B">
        <w:t>T</w:t>
      </w:r>
      <w:r w:rsidR="00B93952">
        <w:t xml:space="preserve">his </w:t>
      </w:r>
      <w:r w:rsidR="0031136B">
        <w:t>was</w:t>
      </w:r>
      <w:r w:rsidR="00B93952">
        <w:t xml:space="preserve"> a consequence of high rates of growth in item usage for the larger volume while usage for the smaller volume remained comparatively constant</w:t>
      </w:r>
      <w:r w:rsidR="0079113C">
        <w:t xml:space="preserve">, despite the significant price differential between these two sets of products. </w:t>
      </w:r>
      <w:r w:rsidR="008C517C">
        <w:t>Where this usage of a large</w:t>
      </w:r>
      <w:r w:rsidR="003517E7">
        <w:t>r</w:t>
      </w:r>
      <w:r w:rsidR="008C517C">
        <w:t xml:space="preserve"> volume was not necessarily required, this </w:t>
      </w:r>
      <w:r w:rsidR="0031136B">
        <w:t xml:space="preserve">led </w:t>
      </w:r>
      <w:r w:rsidR="008C517C">
        <w:t xml:space="preserve">to wastage and </w:t>
      </w:r>
      <w:r w:rsidR="0031136B">
        <w:t xml:space="preserve">contributed </w:t>
      </w:r>
      <w:r w:rsidR="008C517C">
        <w:t>to greater benefits being paid than might otherwise have been needed.</w:t>
      </w:r>
    </w:p>
    <w:tbl>
      <w:tblPr>
        <w:tblStyle w:val="TableGrid"/>
        <w:tblW w:w="9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Figure 34 and Figure 35"/>
        <w:tblDescription w:val="This table presents Figure 34 - Matrix, liquid - Proportion of total PL item usage and Figure 35 - Matrix, liquid - Total PL item usage by size"/>
      </w:tblPr>
      <w:tblGrid>
        <w:gridCol w:w="4728"/>
        <w:gridCol w:w="4727"/>
      </w:tblGrid>
      <w:tr w:rsidR="00861991" w14:paraId="006D5C16" w14:textId="77777777" w:rsidTr="009C3BEC">
        <w:trPr>
          <w:trHeight w:val="250"/>
          <w:tblHeader/>
        </w:trPr>
        <w:tc>
          <w:tcPr>
            <w:tcW w:w="4728" w:type="dxa"/>
          </w:tcPr>
          <w:p w14:paraId="263D9E65" w14:textId="36B62B68" w:rsidR="00861991" w:rsidRDefault="00861991" w:rsidP="008B5616">
            <w:pPr>
              <w:pStyle w:val="Caption"/>
              <w:keepNext/>
            </w:pPr>
            <w:bookmarkStart w:id="272" w:name="_Ref38636610"/>
            <w:r>
              <w:t xml:space="preserve">Figure </w:t>
            </w:r>
            <w:r w:rsidR="00FC6370">
              <w:fldChar w:fldCharType="begin"/>
            </w:r>
            <w:r w:rsidR="00FC6370">
              <w:instrText xml:space="preserve"> SEQ Figure \* ARABIC </w:instrText>
            </w:r>
            <w:r w:rsidR="00FC6370">
              <w:fldChar w:fldCharType="separate"/>
            </w:r>
            <w:r w:rsidR="00784DE2">
              <w:rPr>
                <w:noProof/>
              </w:rPr>
              <w:t>34</w:t>
            </w:r>
            <w:r w:rsidR="00FC6370">
              <w:rPr>
                <w:noProof/>
              </w:rPr>
              <w:fldChar w:fldCharType="end"/>
            </w:r>
            <w:bookmarkEnd w:id="272"/>
            <w:r>
              <w:t xml:space="preserve"> – Matrix, liquid – Proportion of total PL item usage </w:t>
            </w:r>
          </w:p>
        </w:tc>
        <w:tc>
          <w:tcPr>
            <w:tcW w:w="4727" w:type="dxa"/>
          </w:tcPr>
          <w:p w14:paraId="24F259D7" w14:textId="0E7BC25A" w:rsidR="00861991" w:rsidRDefault="00861991" w:rsidP="008B5616">
            <w:pPr>
              <w:pStyle w:val="Caption"/>
              <w:keepNext/>
            </w:pPr>
          </w:p>
        </w:tc>
      </w:tr>
      <w:tr w:rsidR="00861991" w14:paraId="23F9EC77" w14:textId="77777777" w:rsidTr="008B5616">
        <w:trPr>
          <w:trHeight w:val="3926"/>
        </w:trPr>
        <w:tc>
          <w:tcPr>
            <w:tcW w:w="4728" w:type="dxa"/>
          </w:tcPr>
          <w:p w14:paraId="7E725656" w14:textId="34787574" w:rsidR="00861991" w:rsidRDefault="00CC034A" w:rsidP="008B5616">
            <w:pPr>
              <w:pStyle w:val="Bodytextwithparaspace"/>
            </w:pPr>
            <w:r>
              <w:rPr>
                <w:noProof/>
                <w:lang w:val="en-AU" w:eastAsia="en-AU"/>
              </w:rPr>
              <w:drawing>
                <wp:inline distT="0" distB="0" distL="0" distR="0" wp14:anchorId="5C784F6D" wp14:editId="3FCE3A1B">
                  <wp:extent cx="2833661" cy="2240280"/>
                  <wp:effectExtent l="0" t="0" r="5080" b="7620"/>
                  <wp:docPr id="123053245" name="Picture 123053245" descr="Figure 34 - Matrix, liquid - proportion of total PL item usage&#10;FY 14 - FY19" title="Figure 34 - Matrix, liquid - proportion of total PL item u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39817" cy="2245147"/>
                          </a:xfrm>
                          <a:prstGeom prst="rect">
                            <a:avLst/>
                          </a:prstGeom>
                          <a:noFill/>
                        </pic:spPr>
                      </pic:pic>
                    </a:graphicData>
                  </a:graphic>
                </wp:inline>
              </w:drawing>
            </w:r>
          </w:p>
        </w:tc>
        <w:tc>
          <w:tcPr>
            <w:tcW w:w="4727" w:type="dxa"/>
          </w:tcPr>
          <w:p w14:paraId="036710BE" w14:textId="52572F3D" w:rsidR="000466EB" w:rsidRDefault="000466EB" w:rsidP="008B5616">
            <w:pPr>
              <w:pStyle w:val="Bodytextwithparaspace"/>
            </w:pPr>
          </w:p>
          <w:p w14:paraId="7B3EC0C6" w14:textId="77777777" w:rsidR="000466EB" w:rsidRPr="000466EB" w:rsidRDefault="000466EB" w:rsidP="000466EB"/>
          <w:p w14:paraId="75BC1498" w14:textId="20BE9DAA" w:rsidR="000466EB" w:rsidRDefault="000466EB" w:rsidP="000466EB"/>
          <w:p w14:paraId="4BB33B2E" w14:textId="77777777" w:rsidR="00861991" w:rsidRPr="000466EB" w:rsidRDefault="00861991" w:rsidP="000466EB">
            <w:pPr>
              <w:jc w:val="center"/>
            </w:pPr>
          </w:p>
        </w:tc>
      </w:tr>
    </w:tbl>
    <w:p w14:paraId="45F167D9" w14:textId="18967E59" w:rsidR="00A5435E" w:rsidRDefault="0073459C" w:rsidP="00283FC5">
      <w:pPr>
        <w:pStyle w:val="Bodytextwithparaspace"/>
      </w:pPr>
      <w:r>
        <w:t xml:space="preserve">The </w:t>
      </w:r>
      <w:r w:rsidR="002B456D">
        <w:t xml:space="preserve">apparent preference for </w:t>
      </w:r>
      <w:r w:rsidR="00EE06CB">
        <w:t xml:space="preserve">the </w:t>
      </w:r>
      <w:r w:rsidR="002B456D">
        <w:t>larger volume</w:t>
      </w:r>
      <w:r w:rsidR="00EE06CB">
        <w:t xml:space="preserve"> products</w:t>
      </w:r>
      <w:r w:rsidR="002B456D">
        <w:t xml:space="preserve"> </w:t>
      </w:r>
      <w:r w:rsidR="0031136B">
        <w:t>was</w:t>
      </w:r>
      <w:r w:rsidR="002B456D">
        <w:t xml:space="preserve"> seen generally across the board for private hospital </w:t>
      </w:r>
      <w:r w:rsidR="0031136B">
        <w:t>groups</w:t>
      </w:r>
      <w:r w:rsidR="002B456D">
        <w:t xml:space="preserve">. </w:t>
      </w:r>
      <w:r w:rsidR="00425257">
        <w:t>T</w:t>
      </w:r>
      <w:r w:rsidR="00283FC5">
        <w:t xml:space="preserve">he proportion of use of </w:t>
      </w:r>
      <w:r w:rsidR="00036256">
        <w:t>this large volume subgroup</w:t>
      </w:r>
      <w:r w:rsidR="00283FC5">
        <w:t xml:space="preserve"> </w:t>
      </w:r>
      <w:r w:rsidR="00A54572">
        <w:t>increased</w:t>
      </w:r>
      <w:r w:rsidR="00283FC5">
        <w:t xml:space="preserve"> across </w:t>
      </w:r>
      <w:r w:rsidR="00E74D3D">
        <w:t>the majority of</w:t>
      </w:r>
      <w:r w:rsidR="00283FC5">
        <w:t xml:space="preserve"> hospital </w:t>
      </w:r>
      <w:r w:rsidR="0031136B">
        <w:t xml:space="preserve">groups </w:t>
      </w:r>
      <w:r w:rsidR="00283FC5">
        <w:t>since FY11</w:t>
      </w:r>
      <w:r w:rsidR="00E74D3D">
        <w:t>.</w:t>
      </w:r>
      <w:r w:rsidR="00554451">
        <w:t xml:space="preserve"> </w:t>
      </w:r>
      <w:r w:rsidR="00670ED0">
        <w:t xml:space="preserve"> </w:t>
      </w:r>
    </w:p>
    <w:p w14:paraId="5929C8C5" w14:textId="46CDFE67" w:rsidR="00283FC5" w:rsidRDefault="00FF5C33" w:rsidP="001B762D">
      <w:pPr>
        <w:pStyle w:val="Bodytextwithparaspace"/>
      </w:pPr>
      <w:r>
        <w:t>However</w:t>
      </w:r>
      <w:r w:rsidR="00670ED0">
        <w:t xml:space="preserve">, </w:t>
      </w:r>
      <w:r w:rsidR="0073459C">
        <w:t>the</w:t>
      </w:r>
      <w:r w:rsidR="00283FC5">
        <w:t xml:space="preserve"> apparent preference for the larger, more expensive volumes</w:t>
      </w:r>
      <w:r w:rsidR="0073459C">
        <w:t xml:space="preserve"> </w:t>
      </w:r>
      <w:r w:rsidR="0031136B">
        <w:t xml:space="preserve">was </w:t>
      </w:r>
      <w:r w:rsidR="00283FC5">
        <w:t xml:space="preserve">not replicated for private patients in public hospitals. </w:t>
      </w:r>
      <w:r w:rsidR="002C2F24">
        <w:t xml:space="preserve">In particular, usage of the large volume only made up 27% of total liquid matrix usage in FY19 for private treatment in public hospitals, significantly smaller than the 68% average </w:t>
      </w:r>
      <w:r w:rsidR="00950457">
        <w:t xml:space="preserve">across all private hospitals. </w:t>
      </w:r>
      <w:r w:rsidR="007333E4">
        <w:t xml:space="preserve">Clinical </w:t>
      </w:r>
      <w:r w:rsidR="00DB435D">
        <w:t>subject matter resources</w:t>
      </w:r>
      <w:r w:rsidR="0073459C">
        <w:t xml:space="preserve"> </w:t>
      </w:r>
      <w:r w:rsidR="00B06722">
        <w:t xml:space="preserve">suggested that there </w:t>
      </w:r>
      <w:r w:rsidR="0073459C">
        <w:t>is not an obvious</w:t>
      </w:r>
      <w:r w:rsidR="00B06722">
        <w:t xml:space="preserve"> reason why private treatment in public hospitals would clinically require smaller sizes than would be required in private hospitals. </w:t>
      </w:r>
      <w:r w:rsidR="007867DD">
        <w:t>As a result, th</w:t>
      </w:r>
      <w:r w:rsidR="008C517C">
        <w:t xml:space="preserve">ese observed differences </w:t>
      </w:r>
      <w:r w:rsidR="007867DD">
        <w:t xml:space="preserve">may be suggestive </w:t>
      </w:r>
      <w:r w:rsidR="00283FC5">
        <w:t xml:space="preserve">that the increased preference for larger volumes </w:t>
      </w:r>
      <w:r w:rsidR="00A050AA">
        <w:t xml:space="preserve">observed within private facilities </w:t>
      </w:r>
      <w:r w:rsidR="00283FC5">
        <w:t xml:space="preserve">may not strictly </w:t>
      </w:r>
      <w:r w:rsidR="0031136B">
        <w:t>have been</w:t>
      </w:r>
      <w:r w:rsidR="00283FC5">
        <w:t xml:space="preserve"> driven by clinical need alone</w:t>
      </w:r>
      <w:r w:rsidR="007867DD">
        <w:t>.</w:t>
      </w:r>
      <w:r w:rsidR="00283FC5">
        <w:t xml:space="preserve"> </w:t>
      </w:r>
    </w:p>
    <w:p w14:paraId="6961E8AD" w14:textId="187464DA" w:rsidR="005F0824" w:rsidRDefault="005F0824" w:rsidP="005F0824">
      <w:pPr>
        <w:pStyle w:val="EYHeading2"/>
      </w:pPr>
      <w:bookmarkStart w:id="273" w:name="_Toc46912917"/>
      <w:bookmarkStart w:id="274" w:name="_Toc46912918"/>
      <w:bookmarkStart w:id="275" w:name="_Toc46912919"/>
      <w:bookmarkStart w:id="276" w:name="_Toc46912926"/>
      <w:bookmarkStart w:id="277" w:name="_Ref39599904"/>
      <w:bookmarkStart w:id="278" w:name="_Ref39599909"/>
      <w:bookmarkStart w:id="279" w:name="_Ref39600622"/>
      <w:bookmarkStart w:id="280" w:name="_Toc59015977"/>
      <w:bookmarkEnd w:id="273"/>
      <w:bookmarkEnd w:id="274"/>
      <w:bookmarkEnd w:id="275"/>
      <w:bookmarkEnd w:id="276"/>
      <w:r>
        <w:t>Infusion Pumps</w:t>
      </w:r>
      <w:bookmarkEnd w:id="277"/>
      <w:bookmarkEnd w:id="278"/>
      <w:bookmarkEnd w:id="279"/>
      <w:bookmarkEnd w:id="280"/>
    </w:p>
    <w:p w14:paraId="45304DBF" w14:textId="55D2324C" w:rsidR="00CA3A7B" w:rsidRDefault="001E2C64" w:rsidP="005F0824">
      <w:pPr>
        <w:pStyle w:val="Bodytextwithparaspace"/>
        <w:rPr>
          <w:rFonts w:eastAsia="Calibri"/>
        </w:rPr>
      </w:pPr>
      <w:r>
        <w:rPr>
          <w:rFonts w:eastAsia="Calibri"/>
        </w:rPr>
        <w:t xml:space="preserve">Infusion pumps represented </w:t>
      </w:r>
      <w:r w:rsidR="00302569">
        <w:rPr>
          <w:rFonts w:eastAsia="Calibri"/>
        </w:rPr>
        <w:t xml:space="preserve">$10.9m in benefits paid in FY19 across three product groups: </w:t>
      </w:r>
      <w:r w:rsidR="00187ACF">
        <w:rPr>
          <w:rFonts w:eastAsia="Calibri"/>
        </w:rPr>
        <w:t>‘</w:t>
      </w:r>
      <w:r w:rsidR="00CA41EA">
        <w:rPr>
          <w:rFonts w:eastAsia="Calibri"/>
        </w:rPr>
        <w:t>03.02.02 – Infusion Pumps, Balloon Based</w:t>
      </w:r>
      <w:r w:rsidR="00187ACF">
        <w:rPr>
          <w:rFonts w:eastAsia="Calibri"/>
        </w:rPr>
        <w:t>’</w:t>
      </w:r>
      <w:r w:rsidR="00CA41EA">
        <w:rPr>
          <w:rFonts w:eastAsia="Calibri"/>
        </w:rPr>
        <w:t xml:space="preserve">, </w:t>
      </w:r>
      <w:r w:rsidR="00187ACF">
        <w:rPr>
          <w:rFonts w:eastAsia="Calibri"/>
        </w:rPr>
        <w:t>‘</w:t>
      </w:r>
      <w:r w:rsidR="00CA41EA">
        <w:rPr>
          <w:rFonts w:eastAsia="Calibri"/>
        </w:rPr>
        <w:t>03.02.03 – Infusion Pumps, Battery Powered</w:t>
      </w:r>
      <w:r w:rsidR="00187ACF">
        <w:rPr>
          <w:rFonts w:eastAsia="Calibri"/>
        </w:rPr>
        <w:t>’</w:t>
      </w:r>
      <w:r w:rsidR="00CA41EA">
        <w:rPr>
          <w:rFonts w:eastAsia="Calibri"/>
        </w:rPr>
        <w:t xml:space="preserve"> and </w:t>
      </w:r>
      <w:r w:rsidR="00187ACF">
        <w:rPr>
          <w:rFonts w:eastAsia="Calibri"/>
        </w:rPr>
        <w:t>‘</w:t>
      </w:r>
      <w:r w:rsidR="00CA41EA">
        <w:rPr>
          <w:rFonts w:eastAsia="Calibri"/>
        </w:rPr>
        <w:t>03.02.04 – Infusion Pumps, Spring Powered</w:t>
      </w:r>
      <w:r w:rsidR="00187ACF">
        <w:rPr>
          <w:rFonts w:eastAsia="Calibri"/>
        </w:rPr>
        <w:t>’</w:t>
      </w:r>
      <w:r w:rsidR="00CA41EA">
        <w:rPr>
          <w:rFonts w:eastAsia="Calibri"/>
        </w:rPr>
        <w:t>. These product groups encompass</w:t>
      </w:r>
      <w:r w:rsidR="000C3746">
        <w:rPr>
          <w:rFonts w:eastAsia="Calibri"/>
        </w:rPr>
        <w:t xml:space="preserve"> single-use, portable infusion pumps for patients that provide liquid medication at a continuous flow rate over a specified period. </w:t>
      </w:r>
      <w:r w:rsidR="00BC07C9">
        <w:rPr>
          <w:rFonts w:eastAsia="Calibri"/>
        </w:rPr>
        <w:t>These devices are intended for the infusion of antibiotic therapy, chemotherapy, pain management, and other infusions administered via intravenous, intra-arterial, subcutaneous or epidural methods.</w:t>
      </w:r>
    </w:p>
    <w:p w14:paraId="7BE07754" w14:textId="2A9B41F9" w:rsidR="00187ACF" w:rsidRDefault="00187ACF" w:rsidP="005F0824">
      <w:pPr>
        <w:pStyle w:val="Bodytextwithparaspace"/>
        <w:rPr>
          <w:rFonts w:eastAsia="Calibri"/>
        </w:rPr>
      </w:pPr>
      <w:r>
        <w:rPr>
          <w:rFonts w:eastAsia="Calibri"/>
        </w:rPr>
        <w:t xml:space="preserve">In Section </w:t>
      </w:r>
      <w:r>
        <w:rPr>
          <w:rFonts w:eastAsia="Calibri"/>
        </w:rPr>
        <w:fldChar w:fldCharType="begin"/>
      </w:r>
      <w:r>
        <w:rPr>
          <w:rFonts w:eastAsia="Calibri"/>
        </w:rPr>
        <w:instrText xml:space="preserve"> REF _Ref41292583 \r \h </w:instrText>
      </w:r>
      <w:r>
        <w:rPr>
          <w:rFonts w:eastAsia="Calibri"/>
        </w:rPr>
      </w:r>
      <w:r>
        <w:rPr>
          <w:rFonts w:eastAsia="Calibri"/>
        </w:rPr>
        <w:fldChar w:fldCharType="separate"/>
      </w:r>
      <w:r w:rsidR="00784DE2">
        <w:rPr>
          <w:rFonts w:eastAsia="Calibri"/>
        </w:rPr>
        <w:t>4.3.2.2</w:t>
      </w:r>
      <w:r>
        <w:rPr>
          <w:rFonts w:eastAsia="Calibri"/>
        </w:rPr>
        <w:fldChar w:fldCharType="end"/>
      </w:r>
      <w:r>
        <w:rPr>
          <w:rFonts w:eastAsia="Calibri"/>
        </w:rPr>
        <w:t xml:space="preserve"> there is a detailed discussion on the eligibility of infusion pumps for inclusion on the PL that concludes that the case </w:t>
      </w:r>
      <w:r>
        <w:t>that they meet the criteria for listing is tenuous at best.</w:t>
      </w:r>
    </w:p>
    <w:p w14:paraId="63D2339D" w14:textId="15255BB8" w:rsidR="00531112" w:rsidRDefault="00531112" w:rsidP="00AF1D4E">
      <w:pPr>
        <w:pStyle w:val="EYHeading3"/>
      </w:pPr>
      <w:bookmarkStart w:id="281" w:name="_Ref41663918"/>
      <w:r>
        <w:t>Differential usage by hospital owners</w:t>
      </w:r>
      <w:bookmarkEnd w:id="281"/>
    </w:p>
    <w:p w14:paraId="689E7B0A" w14:textId="2D4BA967" w:rsidR="00384198" w:rsidRDefault="00C329DC" w:rsidP="00DC636B">
      <w:pPr>
        <w:pStyle w:val="Bodytextwithparaspace"/>
      </w:pPr>
      <w:r>
        <w:t xml:space="preserve">There </w:t>
      </w:r>
      <w:r w:rsidR="0031136B">
        <w:t xml:space="preserve">was </w:t>
      </w:r>
      <w:r>
        <w:t xml:space="preserve">differential usage </w:t>
      </w:r>
      <w:r w:rsidR="00BE62D5">
        <w:t xml:space="preserve">between hospital </w:t>
      </w:r>
      <w:r w:rsidR="0031136B">
        <w:t xml:space="preserve">groups </w:t>
      </w:r>
      <w:r w:rsidR="00E320DB">
        <w:t xml:space="preserve">for infusion </w:t>
      </w:r>
      <w:r w:rsidR="009B3746">
        <w:t>pumps across the three infusion pump groups (03.02.02, 03.02.03 and 03.02.04)</w:t>
      </w:r>
      <w:r w:rsidR="00337D09">
        <w:t xml:space="preserve">. </w:t>
      </w:r>
      <w:r w:rsidR="009761BA">
        <w:t>The o</w:t>
      </w:r>
      <w:r w:rsidR="00DB5BD3">
        <w:t xml:space="preserve">verall </w:t>
      </w:r>
      <w:r w:rsidR="00337D09">
        <w:t>usage of infusion pumps</w:t>
      </w:r>
      <w:r w:rsidR="00EC5A58">
        <w:t xml:space="preserve"> per </w:t>
      </w:r>
      <w:r w:rsidR="00384198">
        <w:t xml:space="preserve">separation, </w:t>
      </w:r>
      <w:r w:rsidR="0031136B">
        <w:t xml:space="preserve">was </w:t>
      </w:r>
      <w:r w:rsidR="00337D09">
        <w:t xml:space="preserve">significantly higher for </w:t>
      </w:r>
      <w:r w:rsidR="00B44616">
        <w:t xml:space="preserve">two </w:t>
      </w:r>
      <w:r w:rsidR="00A35D43">
        <w:t xml:space="preserve">private </w:t>
      </w:r>
      <w:r w:rsidR="00B44616">
        <w:t xml:space="preserve">hospital </w:t>
      </w:r>
      <w:r w:rsidR="0031136B">
        <w:t>group</w:t>
      </w:r>
      <w:r w:rsidR="00B44616">
        <w:t xml:space="preserve">s </w:t>
      </w:r>
      <w:r w:rsidR="008C4686">
        <w:t>compared to other</w:t>
      </w:r>
      <w:r w:rsidR="00A35D43">
        <w:t>s.</w:t>
      </w:r>
    </w:p>
    <w:p w14:paraId="2360E2FA" w14:textId="53AB6030" w:rsidR="00FC5B42" w:rsidRPr="00531112" w:rsidRDefault="009761BA" w:rsidP="00531112">
      <w:pPr>
        <w:pStyle w:val="Bodytextwithparaspace"/>
      </w:pPr>
      <w:r>
        <w:t>At the</w:t>
      </w:r>
      <w:r w:rsidR="006D1527">
        <w:t xml:space="preserve"> group</w:t>
      </w:r>
      <w:r>
        <w:t xml:space="preserve"> level</w:t>
      </w:r>
      <w:r w:rsidR="006D1527">
        <w:t xml:space="preserve">, there appears to </w:t>
      </w:r>
      <w:r w:rsidR="0031136B">
        <w:t xml:space="preserve">have been </w:t>
      </w:r>
      <w:r w:rsidR="006D1527">
        <w:t xml:space="preserve">a substitution effect occurring between ’03.02.02 </w:t>
      </w:r>
      <w:r w:rsidR="008A7BE2">
        <w:t xml:space="preserve">– Infusion Pumps, Balloon Based’ and </w:t>
      </w:r>
      <w:r w:rsidR="00B01770">
        <w:t xml:space="preserve">’03.02.04 – Infusion Pumps, Spring </w:t>
      </w:r>
      <w:r w:rsidR="00B26E91">
        <w:t>Powered’</w:t>
      </w:r>
      <w:r w:rsidR="00D5260F">
        <w:t xml:space="preserve"> for some private hospital </w:t>
      </w:r>
      <w:r w:rsidR="0031136B">
        <w:t>groups</w:t>
      </w:r>
      <w:r w:rsidR="0062375A">
        <w:t xml:space="preserve">, with usage of the ‘Spring Powered’ infusion pumps decreasing at the </w:t>
      </w:r>
      <w:r w:rsidR="0032757A">
        <w:t>same time that an increase in usage occurred for the ‘Balloon Based’ pumps.</w:t>
      </w:r>
      <w:r w:rsidR="00F027D4">
        <w:t xml:space="preserve"> </w:t>
      </w:r>
    </w:p>
    <w:p w14:paraId="601C0139" w14:textId="082BC33B" w:rsidR="00E0671C" w:rsidRDefault="009761BA" w:rsidP="00531112">
      <w:pPr>
        <w:pStyle w:val="Bodytextwithparaspace"/>
      </w:pPr>
      <w:r>
        <w:t>There is evidence that</w:t>
      </w:r>
      <w:r w:rsidR="004473FA">
        <w:t xml:space="preserve"> </w:t>
      </w:r>
      <w:r w:rsidR="008440AF">
        <w:t xml:space="preserve">some private hospital owners prefer </w:t>
      </w:r>
      <w:r w:rsidR="001C082C">
        <w:t>the usage of ’03.02.03 – Infusion Pumps, Battery Powered’ compared to</w:t>
      </w:r>
      <w:r w:rsidR="008440AF">
        <w:t xml:space="preserve"> others</w:t>
      </w:r>
      <w:r w:rsidR="00A35D43">
        <w:t xml:space="preserve">, whereby </w:t>
      </w:r>
      <w:r w:rsidR="00F76E2B">
        <w:t>increased usage of the ‘Battery Powered’ pumps appears to</w:t>
      </w:r>
      <w:r w:rsidR="009E6AAE">
        <w:t xml:space="preserve"> partially replace their previous usage of the ‘Spring Powered’ infusion pumps</w:t>
      </w:r>
      <w:r w:rsidR="00FB50CE">
        <w:t>.</w:t>
      </w:r>
    </w:p>
    <w:p w14:paraId="03F585F9" w14:textId="11ED6D9A" w:rsidR="009761BA" w:rsidRDefault="008D52A8">
      <w:pPr>
        <w:pStyle w:val="Bodytextwithparaspace"/>
      </w:pPr>
      <w:r>
        <w:t xml:space="preserve">These significant differences in usage </w:t>
      </w:r>
      <w:r w:rsidR="009761BA">
        <w:t>levels</w:t>
      </w:r>
      <w:r>
        <w:t xml:space="preserve"> for infusion pumps </w:t>
      </w:r>
      <w:r w:rsidR="002341CF">
        <w:t xml:space="preserve">suggests that their usage </w:t>
      </w:r>
      <w:r w:rsidR="0031136B">
        <w:t xml:space="preserve">was </w:t>
      </w:r>
      <w:r w:rsidR="002341CF">
        <w:t xml:space="preserve">not being driven </w:t>
      </w:r>
      <w:r w:rsidR="009761BA">
        <w:t xml:space="preserve">purely </w:t>
      </w:r>
      <w:r w:rsidR="002341CF">
        <w:t>by clinical need</w:t>
      </w:r>
      <w:r w:rsidR="009761BA">
        <w:t xml:space="preserve"> but, potentially, by clinician preferences and hospital contracting arrangements with manufacturers</w:t>
      </w:r>
      <w:r w:rsidR="009224CE">
        <w:t>.</w:t>
      </w:r>
    </w:p>
    <w:p w14:paraId="2DE94457" w14:textId="5C926524" w:rsidR="000E469D" w:rsidRPr="00531112" w:rsidRDefault="009761BA" w:rsidP="00DC636B">
      <w:pPr>
        <w:pStyle w:val="Bodytextwithparaspace"/>
      </w:pPr>
      <w:r>
        <w:t>Furthermore, s</w:t>
      </w:r>
      <w:r w:rsidR="009224CE">
        <w:t>takeholder feedback suggested that</w:t>
      </w:r>
      <w:r>
        <w:t xml:space="preserve"> in some hospitals</w:t>
      </w:r>
      <w:r w:rsidR="009224CE">
        <w:t xml:space="preserve"> infusion pumps are being purchased through the PL and being returned to the hospital’s capital equipment stock to be used for inpatients</w:t>
      </w:r>
      <w:r w:rsidR="00423033">
        <w:t xml:space="preserve">, </w:t>
      </w:r>
      <w:r>
        <w:t>which would lead to differences in recorded usage between hospitals. This would not be permitted under the P</w:t>
      </w:r>
      <w:r w:rsidR="0031136B">
        <w:t xml:space="preserve">rostheses </w:t>
      </w:r>
      <w:r>
        <w:t>L</w:t>
      </w:r>
      <w:r w:rsidR="0031136B">
        <w:t>ist Guidelines</w:t>
      </w:r>
      <w:r>
        <w:t>.</w:t>
      </w:r>
      <w:r w:rsidR="00D0309A">
        <w:t xml:space="preserve"> </w:t>
      </w:r>
      <w:r w:rsidR="009224CE">
        <w:t xml:space="preserve"> </w:t>
      </w:r>
    </w:p>
    <w:p w14:paraId="1CB2A83E" w14:textId="77777777" w:rsidR="009761BA" w:rsidRDefault="009761BA" w:rsidP="00AF1D4E">
      <w:pPr>
        <w:pStyle w:val="EYHeading3"/>
      </w:pPr>
      <w:r>
        <w:t>Infusion Pumps, Balloon Based</w:t>
      </w:r>
    </w:p>
    <w:p w14:paraId="5DA1E43B" w14:textId="15406E3F" w:rsidR="00FF0F60" w:rsidRDefault="00FF0F60" w:rsidP="00DC636B">
      <w:pPr>
        <w:pStyle w:val="EYHeading4"/>
      </w:pPr>
      <w:r>
        <w:t>Usage</w:t>
      </w:r>
    </w:p>
    <w:p w14:paraId="26BD862C" w14:textId="2F07B53B" w:rsidR="00FF0F60" w:rsidRDefault="005F0824" w:rsidP="005F0824">
      <w:pPr>
        <w:pStyle w:val="Bodytextwithparaspace"/>
      </w:pPr>
      <w:r>
        <w:t xml:space="preserve">Usage of these types of infusion pumps </w:t>
      </w:r>
      <w:r w:rsidR="0031136B">
        <w:t>grew</w:t>
      </w:r>
      <w:r>
        <w:t xml:space="preserve"> significantly </w:t>
      </w:r>
      <w:r w:rsidR="0031136B">
        <w:t xml:space="preserve">from </w:t>
      </w:r>
      <w:r>
        <w:t>FY14, primarily driven by large increases in FY15 and FY16 as</w:t>
      </w:r>
      <w:r w:rsidR="00FF0F60">
        <w:t xml:space="preserve"> is</w:t>
      </w:r>
      <w:r>
        <w:t xml:space="preserve"> evident </w:t>
      </w:r>
      <w:r w:rsidR="00FF0F60">
        <w:t xml:space="preserve">in </w:t>
      </w:r>
      <w:r w:rsidR="008C4446">
        <w:fldChar w:fldCharType="begin"/>
      </w:r>
      <w:r w:rsidR="008C4446">
        <w:instrText xml:space="preserve"> REF _Ref39851407 \h </w:instrText>
      </w:r>
      <w:r w:rsidR="008C4446">
        <w:fldChar w:fldCharType="separate"/>
      </w:r>
      <w:r w:rsidR="00784DE2">
        <w:t xml:space="preserve">Figure </w:t>
      </w:r>
      <w:r w:rsidR="00784DE2">
        <w:rPr>
          <w:noProof/>
        </w:rPr>
        <w:t>36</w:t>
      </w:r>
      <w:r w:rsidR="008C4446">
        <w:fldChar w:fldCharType="end"/>
      </w:r>
      <w:r>
        <w:t xml:space="preserve">. However, this </w:t>
      </w:r>
      <w:r w:rsidR="0031136B">
        <w:t>was</w:t>
      </w:r>
      <w:r>
        <w:t xml:space="preserve"> reflective of an apparent shift in usage away from spring-powered infusion pump alternatives to these balloon-based versions, as suggested by the offsetting and simultaneous trends seen for both of these product groups in </w:t>
      </w:r>
      <w:r w:rsidR="008C4446">
        <w:fldChar w:fldCharType="begin"/>
      </w:r>
      <w:r w:rsidR="008C4446">
        <w:instrText xml:space="preserve"> REF _Ref39851422 \h </w:instrText>
      </w:r>
      <w:r w:rsidR="008C4446">
        <w:fldChar w:fldCharType="separate"/>
      </w:r>
      <w:r w:rsidR="00784DE2">
        <w:t xml:space="preserve">Figure </w:t>
      </w:r>
      <w:r w:rsidR="00784DE2">
        <w:rPr>
          <w:noProof/>
        </w:rPr>
        <w:t>37</w:t>
      </w:r>
      <w:r w:rsidR="008C4446">
        <w:fldChar w:fldCharType="end"/>
      </w:r>
      <w:r>
        <w:t>.</w:t>
      </w:r>
    </w:p>
    <w:p w14:paraId="4FD11E8D" w14:textId="0D401557" w:rsidR="005F0824" w:rsidRPr="00232BCD" w:rsidRDefault="005F0824" w:rsidP="005F0824">
      <w:pPr>
        <w:pStyle w:val="Bodytextwithparaspace"/>
      </w:pPr>
      <w:r>
        <w:t>Inputs from clinical</w:t>
      </w:r>
      <w:r w:rsidR="00FF0F60">
        <w:t xml:space="preserve"> </w:t>
      </w:r>
      <w:r w:rsidR="00DB435D">
        <w:t>subject matter resources</w:t>
      </w:r>
      <w:r>
        <w:t xml:space="preserve"> indicated that this is reflective of the benefits provided by these balloon-based infusion pumps over the older-style spring-powered pumps, such as improved patient mobility.</w:t>
      </w:r>
    </w:p>
    <w:tbl>
      <w:tblPr>
        <w:tblStyle w:val="TableGrid"/>
        <w:tblW w:w="89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Figure 36 and Figure 37"/>
        <w:tblDescription w:val="This table presents Figure 36 - Infusion Pumps, Balloon Based - Item usage by subgroup and Figure 37 - Infusion PUmps - Usage of ballon based and spring powered pumps"/>
      </w:tblPr>
      <w:tblGrid>
        <w:gridCol w:w="3954"/>
        <w:gridCol w:w="5075"/>
      </w:tblGrid>
      <w:tr w:rsidR="005F0824" w14:paraId="2CF75F47" w14:textId="77777777" w:rsidTr="009C3BEC">
        <w:trPr>
          <w:trHeight w:val="205"/>
          <w:tblHeader/>
        </w:trPr>
        <w:tc>
          <w:tcPr>
            <w:tcW w:w="3934" w:type="dxa"/>
          </w:tcPr>
          <w:p w14:paraId="248DD586" w14:textId="670F192B" w:rsidR="005F0824" w:rsidRDefault="005F0824" w:rsidP="004558E3">
            <w:pPr>
              <w:pStyle w:val="Caption"/>
              <w:keepNext/>
            </w:pPr>
            <w:bookmarkStart w:id="282" w:name="_Ref39851407"/>
            <w:r>
              <w:t xml:space="preserve">Figure </w:t>
            </w:r>
            <w:r w:rsidR="00FC6370">
              <w:fldChar w:fldCharType="begin"/>
            </w:r>
            <w:r w:rsidR="00FC6370">
              <w:instrText xml:space="preserve"> SEQ Figure \* ARABIC </w:instrText>
            </w:r>
            <w:r w:rsidR="00FC6370">
              <w:fldChar w:fldCharType="separate"/>
            </w:r>
            <w:r w:rsidR="00784DE2">
              <w:rPr>
                <w:noProof/>
              </w:rPr>
              <w:t>36</w:t>
            </w:r>
            <w:r w:rsidR="00FC6370">
              <w:rPr>
                <w:noProof/>
              </w:rPr>
              <w:fldChar w:fldCharType="end"/>
            </w:r>
            <w:bookmarkEnd w:id="282"/>
            <w:r>
              <w:t xml:space="preserve"> – Infusion Pumps, Balloon Based – Item usage by subgroup</w:t>
            </w:r>
          </w:p>
        </w:tc>
        <w:tc>
          <w:tcPr>
            <w:tcW w:w="5049" w:type="dxa"/>
          </w:tcPr>
          <w:p w14:paraId="70454866" w14:textId="0D05B701" w:rsidR="005F0824" w:rsidRDefault="005F0824" w:rsidP="004558E3">
            <w:pPr>
              <w:pStyle w:val="Caption"/>
              <w:keepNext/>
            </w:pPr>
            <w:bookmarkStart w:id="283" w:name="_Ref39851422"/>
            <w:r>
              <w:t xml:space="preserve">Figure </w:t>
            </w:r>
            <w:r w:rsidR="00FC6370">
              <w:fldChar w:fldCharType="begin"/>
            </w:r>
            <w:r w:rsidR="00FC6370">
              <w:instrText xml:space="preserve"> SEQ Figure \* ARABIC </w:instrText>
            </w:r>
            <w:r w:rsidR="00FC6370">
              <w:fldChar w:fldCharType="separate"/>
            </w:r>
            <w:r w:rsidR="00784DE2">
              <w:rPr>
                <w:noProof/>
              </w:rPr>
              <w:t>37</w:t>
            </w:r>
            <w:r w:rsidR="00FC6370">
              <w:rPr>
                <w:noProof/>
              </w:rPr>
              <w:fldChar w:fldCharType="end"/>
            </w:r>
            <w:bookmarkEnd w:id="283"/>
            <w:r>
              <w:t xml:space="preserve"> – Infusion Pumps – Usage of balloon-based and spring-powered pumps</w:t>
            </w:r>
          </w:p>
        </w:tc>
      </w:tr>
      <w:tr w:rsidR="005F0824" w14:paraId="4F9F3B1E" w14:textId="77777777" w:rsidTr="004558E3">
        <w:trPr>
          <w:trHeight w:val="3234"/>
        </w:trPr>
        <w:tc>
          <w:tcPr>
            <w:tcW w:w="3934" w:type="dxa"/>
          </w:tcPr>
          <w:p w14:paraId="290EE1C3" w14:textId="116CF97B" w:rsidR="005F0824" w:rsidRDefault="005F0824" w:rsidP="004558E3">
            <w:pPr>
              <w:pStyle w:val="Bodytextwithparaspace"/>
            </w:pPr>
            <w:r>
              <w:rPr>
                <w:noProof/>
                <w:lang w:val="en-AU" w:eastAsia="en-AU"/>
              </w:rPr>
              <w:drawing>
                <wp:inline distT="0" distB="0" distL="0" distR="0" wp14:anchorId="361E83F3" wp14:editId="443252BC">
                  <wp:extent cx="2463011" cy="1980000"/>
                  <wp:effectExtent l="0" t="0" r="0" b="1270"/>
                  <wp:docPr id="1688255814" name="Picture 1688255814" descr="Figure 36 - Infusion Pumps, Balloon Based - Item usage by Subgroup&#10;FY14 - FY19" title="Figure 36 - Infusion Pumps, Balloon Based - Item usage by Sub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63011" cy="1980000"/>
                          </a:xfrm>
                          <a:prstGeom prst="rect">
                            <a:avLst/>
                          </a:prstGeom>
                          <a:noFill/>
                        </pic:spPr>
                      </pic:pic>
                    </a:graphicData>
                  </a:graphic>
                </wp:inline>
              </w:drawing>
            </w:r>
          </w:p>
        </w:tc>
        <w:tc>
          <w:tcPr>
            <w:tcW w:w="5049" w:type="dxa"/>
          </w:tcPr>
          <w:p w14:paraId="3AF7CDCE" w14:textId="77777777" w:rsidR="005F0824" w:rsidRDefault="005F0824" w:rsidP="004558E3">
            <w:pPr>
              <w:pStyle w:val="Bodytextwithparaspace"/>
              <w:rPr>
                <w:noProof/>
              </w:rPr>
            </w:pPr>
            <w:r>
              <w:rPr>
                <w:noProof/>
                <w:lang w:val="en-AU" w:eastAsia="en-AU"/>
              </w:rPr>
              <w:drawing>
                <wp:inline distT="0" distB="0" distL="0" distR="0" wp14:anchorId="0CD20A0D" wp14:editId="125FB8A0">
                  <wp:extent cx="3196525" cy="1980000"/>
                  <wp:effectExtent l="0" t="0" r="4445" b="1270"/>
                  <wp:docPr id="1688255813" name="Picture 1688255813" descr="Figure 37 - Infusion Pumps - Usage of balloon based and spring powered pumps; FY14 to FY19" title="Figure 37 - Infusion Pumps - Usage of balloon based and spring powered pum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196525" cy="1980000"/>
                          </a:xfrm>
                          <a:prstGeom prst="rect">
                            <a:avLst/>
                          </a:prstGeom>
                          <a:noFill/>
                        </pic:spPr>
                      </pic:pic>
                    </a:graphicData>
                  </a:graphic>
                </wp:inline>
              </w:drawing>
            </w:r>
          </w:p>
        </w:tc>
      </w:tr>
    </w:tbl>
    <w:p w14:paraId="2AABBB3A" w14:textId="0F4B9E6F" w:rsidR="005F0824" w:rsidRDefault="005F0824" w:rsidP="005F0824">
      <w:pPr>
        <w:pStyle w:val="Bodytextwithparaspace"/>
      </w:pPr>
      <w:r>
        <w:t xml:space="preserve">Considering the offsetting impacts of these two trends, it is apparent that growth in benefits for the two product groups combined </w:t>
      </w:r>
      <w:r w:rsidR="0031136B">
        <w:t>was</w:t>
      </w:r>
      <w:r>
        <w:t xml:space="preserve"> minimal </w:t>
      </w:r>
      <w:r w:rsidR="0031136B">
        <w:t xml:space="preserve">from </w:t>
      </w:r>
      <w:r>
        <w:t xml:space="preserve">FY14, corresponding to a 2% CAGR over FY14 to FY19.  This reflected a slight </w:t>
      </w:r>
      <w:r w:rsidRPr="00A26B3B">
        <w:t>decrease</w:t>
      </w:r>
      <w:r>
        <w:t xml:space="preserve"> over the same period when adjusting for growth in the number of overall separations over this time, corresponding to a -1% CAGR in benefits per separation. </w:t>
      </w:r>
    </w:p>
    <w:p w14:paraId="193A64EF" w14:textId="77777777" w:rsidR="009A29ED" w:rsidRDefault="00FF0F60" w:rsidP="00DC636B">
      <w:pPr>
        <w:pStyle w:val="EYHeading4"/>
      </w:pPr>
      <w:bookmarkStart w:id="284" w:name="_Ref39600627"/>
      <w:r>
        <w:t>M</w:t>
      </w:r>
      <w:r w:rsidR="009A29ED">
        <w:t>inimum benefit amounts</w:t>
      </w:r>
    </w:p>
    <w:p w14:paraId="703ED586" w14:textId="0950ACCB" w:rsidR="00A05496" w:rsidRDefault="009A29ED" w:rsidP="009A29ED">
      <w:pPr>
        <w:pStyle w:val="Bodytextwithparaspace"/>
      </w:pPr>
      <w:r>
        <w:t xml:space="preserve">Noting from above that growth in benefits for this group </w:t>
      </w:r>
      <w:r w:rsidR="0031136B">
        <w:t>was</w:t>
      </w:r>
      <w:r>
        <w:t xml:space="preserve"> minimal </w:t>
      </w:r>
      <w:r w:rsidR="0031136B">
        <w:t xml:space="preserve">from </w:t>
      </w:r>
      <w:r>
        <w:t>FY1</w:t>
      </w:r>
      <w:r w:rsidR="0044179D">
        <w:t xml:space="preserve">6 </w:t>
      </w:r>
      <w:r>
        <w:t xml:space="preserve">(and in fact slightly negative after adjusting for the number of separations), concerns </w:t>
      </w:r>
      <w:r w:rsidR="0031136B">
        <w:t>were</w:t>
      </w:r>
      <w:r>
        <w:t xml:space="preserve"> raised in consultation and from clinical </w:t>
      </w:r>
      <w:r w:rsidR="00DB435D">
        <w:t>subject matter resources</w:t>
      </w:r>
      <w:r w:rsidR="00FF0F60">
        <w:t xml:space="preserve"> </w:t>
      </w:r>
      <w:r>
        <w:t xml:space="preserve">regarding the benefit amounts payable for some of these products. In particular, the </w:t>
      </w:r>
      <w:r w:rsidR="00FF0F60">
        <w:t>range of</w:t>
      </w:r>
      <w:r>
        <w:t xml:space="preserve"> minimum benefit amounts between many of these products </w:t>
      </w:r>
      <w:r w:rsidR="0031136B">
        <w:t>was</w:t>
      </w:r>
      <w:r>
        <w:t xml:space="preserve"> cited as potentially driving higher total benefits than might otherwise be necessary (i.e. where more expensive products are being used when the cheaper versions might be sufficient to achieve the same clinical outcomes). </w:t>
      </w:r>
    </w:p>
    <w:p w14:paraId="3592786E" w14:textId="50DD5BE0" w:rsidR="00A05496" w:rsidRDefault="00A05496" w:rsidP="00E036E3">
      <w:pPr>
        <w:pStyle w:val="Bodytextwithparaspace"/>
      </w:pPr>
      <w:r>
        <w:t xml:space="preserve">The </w:t>
      </w:r>
      <w:r w:rsidR="00FF0F60">
        <w:t xml:space="preserve">potential </w:t>
      </w:r>
      <w:r>
        <w:t xml:space="preserve">for this is apparent when looking at the range of minimum benefit amounts payable between the various types of infusion pump products, as illustrated in </w:t>
      </w:r>
      <w:r w:rsidR="003C6D11">
        <w:fldChar w:fldCharType="begin"/>
      </w:r>
      <w:r w:rsidR="003C6D11">
        <w:instrText xml:space="preserve"> REF _Ref39743889 \h </w:instrText>
      </w:r>
      <w:r w:rsidR="003C6D11">
        <w:fldChar w:fldCharType="separate"/>
      </w:r>
      <w:r w:rsidR="00784DE2">
        <w:t xml:space="preserve">Figure </w:t>
      </w:r>
      <w:r w:rsidR="00784DE2">
        <w:rPr>
          <w:noProof/>
        </w:rPr>
        <w:t>38</w:t>
      </w:r>
      <w:r w:rsidR="003C6D11">
        <w:fldChar w:fldCharType="end"/>
      </w:r>
      <w:r>
        <w:t>. Notably, within the fixed flow rate versions</w:t>
      </w:r>
      <w:r w:rsidR="00FF0F60">
        <w:t>,</w:t>
      </w:r>
      <w:r>
        <w:t xml:space="preserve"> the ‘Set’ suffix products</w:t>
      </w:r>
      <w:r w:rsidR="00FF0F60">
        <w:t>’ benefit amounts are</w:t>
      </w:r>
      <w:r>
        <w:t xml:space="preserve"> 207% more than the standard ‘no suffix’ versions</w:t>
      </w:r>
      <w:r w:rsidR="00FF0F60">
        <w:t>. In addition, t</w:t>
      </w:r>
      <w:r>
        <w:t>he variable flow rate ‘Set’ and ‘Bolus’ versions</w:t>
      </w:r>
      <w:r w:rsidR="00FF0F60">
        <w:t>’ benefit amounts</w:t>
      </w:r>
      <w:r>
        <w:t xml:space="preserve"> </w:t>
      </w:r>
      <w:r w:rsidR="00FF0F60">
        <w:t xml:space="preserve">are </w:t>
      </w:r>
      <w:r>
        <w:t xml:space="preserve">127% and 173% more than the ‘no suffix’ versions, respectively. </w:t>
      </w:r>
      <w:r w:rsidR="00FF0F60">
        <w:t>As</w:t>
      </w:r>
      <w:r>
        <w:t xml:space="preserve"> shown in</w:t>
      </w:r>
      <w:r w:rsidR="008C4446">
        <w:t xml:space="preserve"> </w:t>
      </w:r>
      <w:r w:rsidR="008C4446">
        <w:fldChar w:fldCharType="begin"/>
      </w:r>
      <w:r w:rsidR="008C4446">
        <w:instrText xml:space="preserve"> REF _Ref39851521 \h </w:instrText>
      </w:r>
      <w:r w:rsidR="008C4446">
        <w:fldChar w:fldCharType="separate"/>
      </w:r>
      <w:r w:rsidR="00784DE2">
        <w:t xml:space="preserve">Figure </w:t>
      </w:r>
      <w:r w:rsidR="00784DE2">
        <w:rPr>
          <w:noProof/>
        </w:rPr>
        <w:t>39</w:t>
      </w:r>
      <w:r w:rsidR="008C4446">
        <w:fldChar w:fldCharType="end"/>
      </w:r>
      <w:r w:rsidR="00FF0F60">
        <w:t>,</w:t>
      </w:r>
      <w:r>
        <w:t xml:space="preserve"> usage of these pumps </w:t>
      </w:r>
      <w:r w:rsidR="0031136B">
        <w:t xml:space="preserve">was </w:t>
      </w:r>
      <w:r w:rsidR="00FF0F60">
        <w:t>higher for</w:t>
      </w:r>
      <w:r>
        <w:t xml:space="preserve"> the more expensive ‘Set’ and ‘Bolus’ products, compared to the predominant usage of ‘No suffix’ within the fixed flow rate subgroup.</w:t>
      </w:r>
    </w:p>
    <w:p w14:paraId="4F22EC73" w14:textId="44D658FF" w:rsidR="000671E8" w:rsidRDefault="00A05496" w:rsidP="00A05496">
      <w:pPr>
        <w:pStyle w:val="Bodytextwithparaspace"/>
      </w:pPr>
      <w:r>
        <w:t xml:space="preserve">Clinical </w:t>
      </w:r>
      <w:r w:rsidR="00DB435D">
        <w:t>subject matter resources</w:t>
      </w:r>
      <w:r w:rsidR="00FF0F60">
        <w:t xml:space="preserve"> </w:t>
      </w:r>
      <w:r>
        <w:t xml:space="preserve">and consultation submissions also highlighted that the types of pumps are often interchangeable, and that the additional features reflected by the different suffix groupings may not </w:t>
      </w:r>
      <w:r w:rsidR="00FF0F60">
        <w:t xml:space="preserve">always </w:t>
      </w:r>
      <w:r>
        <w:t xml:space="preserve">be </w:t>
      </w:r>
      <w:r w:rsidR="00FF0F60">
        <w:t xml:space="preserve">clinically </w:t>
      </w:r>
      <w:r>
        <w:t xml:space="preserve">necessary </w:t>
      </w:r>
      <w:r w:rsidR="00FF0F60">
        <w:t>and/or</w:t>
      </w:r>
      <w:r>
        <w:t xml:space="preserve"> may only be driving minimal improvements in clinical effectiveness and patient outcomes relative to the benefit differentials.</w:t>
      </w:r>
    </w:p>
    <w:p w14:paraId="68B82680" w14:textId="77777777" w:rsidR="000671E8" w:rsidRDefault="000671E8">
      <w:pPr>
        <w:autoSpaceDE/>
        <w:autoSpaceDN/>
        <w:adjustRightInd/>
      </w:pPr>
      <w:r>
        <w:br w:type="page"/>
      </w:r>
    </w:p>
    <w:tbl>
      <w:tblPr>
        <w:tblStyle w:val="TableGrid"/>
        <w:tblW w:w="90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Figure 38 &amp; Figure 39"/>
        <w:tblDescription w:val="This table presents Figure 38 - Infusion Pumps, Baloon Based - Minimum benefit amounts by subground and suffix (as at February 2020) and Figure 39 - Infusion Pumps, Balloon Based - Proportion of item usage by suffix for each group"/>
      </w:tblPr>
      <w:tblGrid>
        <w:gridCol w:w="4514"/>
        <w:gridCol w:w="4515"/>
      </w:tblGrid>
      <w:tr w:rsidR="009A29ED" w14:paraId="0C3D64F5" w14:textId="77777777" w:rsidTr="009C3BEC">
        <w:trPr>
          <w:trHeight w:val="224"/>
          <w:tblHeader/>
        </w:trPr>
        <w:tc>
          <w:tcPr>
            <w:tcW w:w="4514" w:type="dxa"/>
          </w:tcPr>
          <w:p w14:paraId="09D5E57A" w14:textId="7BD25AB9" w:rsidR="009A29ED" w:rsidRPr="000B03B2" w:rsidRDefault="009A29ED" w:rsidP="0044179D">
            <w:pPr>
              <w:pStyle w:val="Caption"/>
              <w:spacing w:after="0"/>
            </w:pPr>
            <w:bookmarkStart w:id="285" w:name="_Ref39743889"/>
            <w:r>
              <w:t xml:space="preserve">Figure </w:t>
            </w:r>
            <w:r w:rsidR="00FC6370">
              <w:fldChar w:fldCharType="begin"/>
            </w:r>
            <w:r w:rsidR="00FC6370">
              <w:instrText xml:space="preserve"> SEQ Figure \* ARABIC </w:instrText>
            </w:r>
            <w:r w:rsidR="00FC6370">
              <w:fldChar w:fldCharType="separate"/>
            </w:r>
            <w:r w:rsidR="00784DE2">
              <w:rPr>
                <w:noProof/>
              </w:rPr>
              <w:t>38</w:t>
            </w:r>
            <w:r w:rsidR="00FC6370">
              <w:rPr>
                <w:noProof/>
              </w:rPr>
              <w:fldChar w:fldCharType="end"/>
            </w:r>
            <w:bookmarkEnd w:id="285"/>
            <w:r>
              <w:t xml:space="preserve"> – Infusion Pumps, Balloon Based – Minimum benefit amounts by subgroup and suffix (as at February 2020)</w:t>
            </w:r>
          </w:p>
        </w:tc>
        <w:tc>
          <w:tcPr>
            <w:tcW w:w="4515" w:type="dxa"/>
          </w:tcPr>
          <w:p w14:paraId="6DD129CC" w14:textId="28ACB8E0" w:rsidR="009A29ED" w:rsidRDefault="009A29ED" w:rsidP="0044179D">
            <w:pPr>
              <w:pStyle w:val="Caption"/>
              <w:spacing w:after="0"/>
            </w:pPr>
            <w:bookmarkStart w:id="286" w:name="_Ref39851521"/>
            <w:r>
              <w:t xml:space="preserve">Figure </w:t>
            </w:r>
            <w:r w:rsidR="00FC6370">
              <w:fldChar w:fldCharType="begin"/>
            </w:r>
            <w:r w:rsidR="00FC6370">
              <w:instrText xml:space="preserve"> SEQ Figure \* A</w:instrText>
            </w:r>
            <w:r w:rsidR="00FC6370">
              <w:instrText xml:space="preserve">RABIC </w:instrText>
            </w:r>
            <w:r w:rsidR="00FC6370">
              <w:fldChar w:fldCharType="separate"/>
            </w:r>
            <w:r w:rsidR="00784DE2">
              <w:rPr>
                <w:noProof/>
              </w:rPr>
              <w:t>39</w:t>
            </w:r>
            <w:r w:rsidR="00FC6370">
              <w:rPr>
                <w:noProof/>
              </w:rPr>
              <w:fldChar w:fldCharType="end"/>
            </w:r>
            <w:bookmarkEnd w:id="286"/>
            <w:r>
              <w:t xml:space="preserve"> – Infusion Pumps, Balloon Based – Proportion of item usage by suffix for each subgroup</w:t>
            </w:r>
          </w:p>
        </w:tc>
      </w:tr>
      <w:tr w:rsidR="009A29ED" w14:paraId="640B2244" w14:textId="77777777" w:rsidTr="0044179D">
        <w:trPr>
          <w:trHeight w:val="3684"/>
        </w:trPr>
        <w:tc>
          <w:tcPr>
            <w:tcW w:w="4514" w:type="dxa"/>
          </w:tcPr>
          <w:p w14:paraId="2A56C992" w14:textId="1CAB94B0" w:rsidR="009A29ED" w:rsidRPr="000B03B2" w:rsidRDefault="009A29ED" w:rsidP="0044179D">
            <w:pPr>
              <w:keepNext/>
            </w:pPr>
            <w:r>
              <w:rPr>
                <w:noProof/>
                <w:lang w:val="en-AU" w:eastAsia="en-AU"/>
              </w:rPr>
              <w:drawing>
                <wp:inline distT="0" distB="0" distL="0" distR="0" wp14:anchorId="328D92C3" wp14:editId="0DE980ED">
                  <wp:extent cx="2844000" cy="2165330"/>
                  <wp:effectExtent l="0" t="0" r="0" b="6985"/>
                  <wp:docPr id="9" name="Picture 1688255821" descr="Figure 38 - Infusion Pumps, Balloon BAsed - Minimum benefit amounts by subgroup and suffix (as at February 2020)&#10;&#10;Figure 38 - Infusion Pumps, Balloon Based - Minimum benefit amounts by subgroup and suffix (as at February 20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8255821"/>
                          <pic:cNvPicPr/>
                        </pic:nvPicPr>
                        <pic:blipFill>
                          <a:blip r:embed="rId44">
                            <a:extLst>
                              <a:ext uri="{28A0092B-C50C-407E-A947-70E740481C1C}">
                                <a14:useLocalDpi xmlns:a14="http://schemas.microsoft.com/office/drawing/2010/main" val="0"/>
                              </a:ext>
                            </a:extLst>
                          </a:blip>
                          <a:stretch>
                            <a:fillRect/>
                          </a:stretch>
                        </pic:blipFill>
                        <pic:spPr>
                          <a:xfrm>
                            <a:off x="0" y="0"/>
                            <a:ext cx="2844000" cy="2165330"/>
                          </a:xfrm>
                          <a:prstGeom prst="rect">
                            <a:avLst/>
                          </a:prstGeom>
                        </pic:spPr>
                      </pic:pic>
                    </a:graphicData>
                  </a:graphic>
                </wp:inline>
              </w:drawing>
            </w:r>
          </w:p>
        </w:tc>
        <w:tc>
          <w:tcPr>
            <w:tcW w:w="4515" w:type="dxa"/>
          </w:tcPr>
          <w:p w14:paraId="5E7FB337" w14:textId="7D73F5D5" w:rsidR="009A29ED" w:rsidRDefault="009A29ED" w:rsidP="0044179D">
            <w:pPr>
              <w:keepNext/>
              <w:rPr>
                <w:noProof/>
              </w:rPr>
            </w:pPr>
            <w:r>
              <w:rPr>
                <w:noProof/>
                <w:lang w:val="en-AU" w:eastAsia="en-AU"/>
              </w:rPr>
              <w:drawing>
                <wp:inline distT="0" distB="0" distL="0" distR="0" wp14:anchorId="5C748C3A" wp14:editId="0DA64C80">
                  <wp:extent cx="2844000" cy="2169153"/>
                  <wp:effectExtent l="0" t="0" r="0" b="3175"/>
                  <wp:docPr id="11" name="Picture 1688255824" descr="Figure 39 - Infusio nPumps, Balloon Based - Proportion of item usage by suffix for each subgroup&#10;&#10;Figure 39 - Infusion Pumps, Balloon Based - Proportion of item usage by suffix for each subgroup&#10;03.02.02.01 - Fixed Flow Rate and 03.02.02.02 Variable Flow Rate, FY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8255824"/>
                          <pic:cNvPicPr/>
                        </pic:nvPicPr>
                        <pic:blipFill>
                          <a:blip r:embed="rId45">
                            <a:extLst>
                              <a:ext uri="{28A0092B-C50C-407E-A947-70E740481C1C}">
                                <a14:useLocalDpi xmlns:a14="http://schemas.microsoft.com/office/drawing/2010/main" val="0"/>
                              </a:ext>
                            </a:extLst>
                          </a:blip>
                          <a:stretch>
                            <a:fillRect/>
                          </a:stretch>
                        </pic:blipFill>
                        <pic:spPr>
                          <a:xfrm>
                            <a:off x="0" y="0"/>
                            <a:ext cx="2844000" cy="2169153"/>
                          </a:xfrm>
                          <a:prstGeom prst="rect">
                            <a:avLst/>
                          </a:prstGeom>
                        </pic:spPr>
                      </pic:pic>
                    </a:graphicData>
                  </a:graphic>
                </wp:inline>
              </w:drawing>
            </w:r>
          </w:p>
        </w:tc>
      </w:tr>
    </w:tbl>
    <w:p w14:paraId="1A2E6A04" w14:textId="77777777" w:rsidR="009A29ED" w:rsidRPr="00F550F8" w:rsidRDefault="009A29ED" w:rsidP="00DC636B">
      <w:pPr>
        <w:pStyle w:val="EYHeading4"/>
      </w:pPr>
      <w:r>
        <w:t>Large increases to benefit amounts</w:t>
      </w:r>
    </w:p>
    <w:p w14:paraId="01A5D0BB" w14:textId="6DA520A2" w:rsidR="009A29ED" w:rsidRDefault="009A29ED" w:rsidP="009A29ED">
      <w:pPr>
        <w:pStyle w:val="Bodytextwithparaspace"/>
      </w:pPr>
      <w:r>
        <w:t xml:space="preserve">Concerns regarding the large differentials in benefit amounts between versions highlighted above are further supported by recent reclassifications of </w:t>
      </w:r>
      <w:r w:rsidR="00146337">
        <w:t>some</w:t>
      </w:r>
      <w:r w:rsidR="00816749">
        <w:t xml:space="preserve"> </w:t>
      </w:r>
      <w:r>
        <w:t>fixed flow rate balloon-based infusion pump products</w:t>
      </w:r>
      <w:r w:rsidR="00146337">
        <w:t xml:space="preserve"> into</w:t>
      </w:r>
      <w:r>
        <w:t xml:space="preserve"> the “Set” suffix having previously been listed with no suffix. As a consequence of this reclassification, the minimum benefit amount for these products increased by 205% at the time of the change, increasing from $79 per item to $241 per item. This </w:t>
      </w:r>
      <w:r w:rsidR="0031136B">
        <w:t xml:space="preserve">represented </w:t>
      </w:r>
      <w:r>
        <w:t xml:space="preserve">a 207% increase at February 2020 benefit </w:t>
      </w:r>
      <w:r w:rsidR="00FF0F60">
        <w:t>amounts</w:t>
      </w:r>
      <w:r>
        <w:t>.</w:t>
      </w:r>
    </w:p>
    <w:p w14:paraId="71634470" w14:textId="7CFA2FDA" w:rsidR="00621D93" w:rsidRDefault="009A29ED" w:rsidP="00463B2D">
      <w:pPr>
        <w:pStyle w:val="Bodytextwithparaspace"/>
      </w:pPr>
      <w:r>
        <w:t>Due to the</w:t>
      </w:r>
      <w:r w:rsidR="00146337">
        <w:t xml:space="preserve"> relatively</w:t>
      </w:r>
      <w:r>
        <w:t xml:space="preserve"> recent nature of the changes</w:t>
      </w:r>
      <w:r w:rsidR="00FF0F60">
        <w:t>,</w:t>
      </w:r>
      <w:r>
        <w:t xml:space="preserve"> data is not available on any potential impacts on </w:t>
      </w:r>
      <w:r w:rsidR="00FF0F60">
        <w:t xml:space="preserve">usage </w:t>
      </w:r>
      <w:r>
        <w:t xml:space="preserve">for these items. It is not evident if changes were made to the product itself as part of this reclassification. However, the extent of this sudden increase in benefit amount is such that it seems unlikely that any changes to the product would lead to improvements in clinical effectiveness or patient outcomes of a commensurate size. </w:t>
      </w:r>
    </w:p>
    <w:p w14:paraId="09FBAB1D" w14:textId="5F06E2DD" w:rsidR="001C4FFE" w:rsidRDefault="00EE4DE7" w:rsidP="00AE5F60">
      <w:pPr>
        <w:pStyle w:val="EYHeading1"/>
      </w:pPr>
      <w:bookmarkStart w:id="287" w:name="_Toc46912928"/>
      <w:bookmarkStart w:id="288" w:name="_Toc46912984"/>
      <w:bookmarkStart w:id="289" w:name="_Toc46912985"/>
      <w:bookmarkStart w:id="290" w:name="_Toc46912986"/>
      <w:bookmarkStart w:id="291" w:name="_Toc46912987"/>
      <w:bookmarkStart w:id="292" w:name="_Toc46912988"/>
      <w:bookmarkStart w:id="293" w:name="_Toc46912993"/>
      <w:bookmarkStart w:id="294" w:name="_Toc46912994"/>
      <w:bookmarkStart w:id="295" w:name="_Toc46912995"/>
      <w:bookmarkStart w:id="296" w:name="_Toc46913004"/>
      <w:bookmarkStart w:id="297" w:name="_Toc46913005"/>
      <w:bookmarkStart w:id="298" w:name="_Toc46913006"/>
      <w:bookmarkStart w:id="299" w:name="_Toc46913007"/>
      <w:bookmarkStart w:id="300" w:name="_Toc46913012"/>
      <w:bookmarkStart w:id="301" w:name="_Toc46913013"/>
      <w:bookmarkStart w:id="302" w:name="_Toc46913018"/>
      <w:bookmarkStart w:id="303" w:name="_Toc46913019"/>
      <w:bookmarkStart w:id="304" w:name="_Toc46913020"/>
      <w:bookmarkStart w:id="305" w:name="_Toc46913021"/>
      <w:bookmarkStart w:id="306" w:name="_Toc46913022"/>
      <w:bookmarkStart w:id="307" w:name="_Toc46913023"/>
      <w:bookmarkStart w:id="308" w:name="_Toc46913024"/>
      <w:bookmarkStart w:id="309" w:name="_Toc46913027"/>
      <w:bookmarkStart w:id="310" w:name="_Toc46913089"/>
      <w:bookmarkStart w:id="311" w:name="_Toc38986932"/>
      <w:bookmarkStart w:id="312" w:name="_Ref39047763"/>
      <w:bookmarkStart w:id="313" w:name="_Ref39654090"/>
      <w:bookmarkStart w:id="314" w:name="_Toc59015978"/>
      <w:bookmarkEnd w:id="287"/>
      <w:bookmarkEnd w:id="288"/>
      <w:bookmarkEnd w:id="284"/>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r>
        <w:t>Findings</w:t>
      </w:r>
      <w:r w:rsidR="00A47463">
        <w:t xml:space="preserve"> and </w:t>
      </w:r>
      <w:bookmarkEnd w:id="312"/>
      <w:bookmarkEnd w:id="313"/>
      <w:r w:rsidR="00B61CD6">
        <w:t>next steps</w:t>
      </w:r>
      <w:bookmarkEnd w:id="314"/>
    </w:p>
    <w:p w14:paraId="16E01FED" w14:textId="472FBEA2" w:rsidR="00DB7650" w:rsidRDefault="00DB7650" w:rsidP="00DB7650">
      <w:pPr>
        <w:pStyle w:val="Bodytextwithparaspace"/>
      </w:pPr>
      <w:r>
        <w:t>The findings have been grouped</w:t>
      </w:r>
      <w:r w:rsidRPr="00A26B3B">
        <w:t xml:space="preserve"> </w:t>
      </w:r>
      <w:r w:rsidR="00605D9C">
        <w:t>into issues and then the causes of those issues.</w:t>
      </w:r>
      <w:r w:rsidRPr="00A26B3B">
        <w:t xml:space="preserve"> </w:t>
      </w:r>
      <w:r w:rsidR="00605D9C">
        <w:t>A</w:t>
      </w:r>
      <w:r>
        <w:t xml:space="preserve"> summary of the </w:t>
      </w:r>
      <w:r w:rsidR="000A4B75">
        <w:t>next steps, including recommendations,</w:t>
      </w:r>
      <w:r>
        <w:t xml:space="preserve"> for consideration by the Department is </w:t>
      </w:r>
      <w:r w:rsidR="00605D9C">
        <w:t xml:space="preserve">then </w:t>
      </w:r>
      <w:r>
        <w:t>provided.</w:t>
      </w:r>
    </w:p>
    <w:p w14:paraId="2F3576E7" w14:textId="77777777" w:rsidR="00DB7650" w:rsidRDefault="00DB7650" w:rsidP="00DB7650">
      <w:pPr>
        <w:pStyle w:val="EYHeading2"/>
      </w:pPr>
      <w:bookmarkStart w:id="315" w:name="_Ref41304858"/>
      <w:bookmarkStart w:id="316" w:name="_Toc59015979"/>
      <w:r>
        <w:t>Findings</w:t>
      </w:r>
      <w:bookmarkEnd w:id="315"/>
      <w:bookmarkEnd w:id="316"/>
    </w:p>
    <w:p w14:paraId="78B5F010" w14:textId="3C2D2C46" w:rsidR="00605D9C" w:rsidRPr="004A0C34" w:rsidRDefault="00DA1B9D" w:rsidP="00DC636B">
      <w:pPr>
        <w:pStyle w:val="EYHeading3"/>
      </w:pPr>
      <w:r>
        <w:t>I</w:t>
      </w:r>
      <w:r w:rsidR="00605D9C">
        <w:t>ssues</w:t>
      </w:r>
    </w:p>
    <w:tbl>
      <w:tblPr>
        <w:tblStyle w:val="TableGrid"/>
        <w:tblW w:w="9781" w:type="dxa"/>
        <w:tblLook w:val="04A0" w:firstRow="1" w:lastRow="0" w:firstColumn="1" w:lastColumn="0" w:noHBand="0" w:noVBand="1"/>
        <w:tblCaption w:val="6.1.1 - Findings and Isues"/>
        <w:tblDescription w:val="This table outlines the key findings of the review"/>
      </w:tblPr>
      <w:tblGrid>
        <w:gridCol w:w="1173"/>
        <w:gridCol w:w="7017"/>
        <w:gridCol w:w="1591"/>
      </w:tblGrid>
      <w:tr w:rsidR="00DB7650" w:rsidRPr="00EC3565" w14:paraId="4E654CA1" w14:textId="77777777" w:rsidTr="00945B32">
        <w:trPr>
          <w:tblHeader/>
        </w:trPr>
        <w:tc>
          <w:tcPr>
            <w:tcW w:w="1173" w:type="dxa"/>
            <w:shd w:val="clear" w:color="auto" w:fill="FFE600" w:themeFill="text2"/>
          </w:tcPr>
          <w:p w14:paraId="311F516A" w14:textId="77777777" w:rsidR="00DB7650" w:rsidRPr="00A26B3B" w:rsidRDefault="001C7584" w:rsidP="006B5BBF">
            <w:pPr>
              <w:pStyle w:val="Bodytextwithparaspace"/>
              <w:rPr>
                <w:b/>
                <w:highlight w:val="yellow"/>
              </w:rPr>
            </w:pPr>
            <w:r>
              <w:rPr>
                <w:b/>
              </w:rPr>
              <w:t>Issue t</w:t>
            </w:r>
            <w:r w:rsidR="00DB7650">
              <w:rPr>
                <w:b/>
              </w:rPr>
              <w:t>ype</w:t>
            </w:r>
          </w:p>
        </w:tc>
        <w:tc>
          <w:tcPr>
            <w:tcW w:w="7017" w:type="dxa"/>
            <w:shd w:val="clear" w:color="auto" w:fill="FFE600" w:themeFill="text2"/>
          </w:tcPr>
          <w:p w14:paraId="19830CA7" w14:textId="77777777" w:rsidR="00DB7650" w:rsidRPr="00EC3565" w:rsidRDefault="00DB7650" w:rsidP="006B5BBF">
            <w:pPr>
              <w:pStyle w:val="Bodytextwithparaspace"/>
              <w:rPr>
                <w:highlight w:val="yellow"/>
              </w:rPr>
            </w:pPr>
            <w:r w:rsidRPr="005F4673">
              <w:rPr>
                <w:b/>
              </w:rPr>
              <w:t>Finding</w:t>
            </w:r>
          </w:p>
        </w:tc>
        <w:tc>
          <w:tcPr>
            <w:tcW w:w="1591" w:type="dxa"/>
            <w:shd w:val="clear" w:color="auto" w:fill="FFE600" w:themeFill="text2"/>
          </w:tcPr>
          <w:p w14:paraId="53891E89" w14:textId="77777777" w:rsidR="00DB7650" w:rsidRPr="00EC3565" w:rsidRDefault="00DB7650" w:rsidP="00202254">
            <w:pPr>
              <w:pStyle w:val="Bodytextwithparaspace"/>
              <w:spacing w:after="0"/>
              <w:rPr>
                <w:highlight w:val="yellow"/>
              </w:rPr>
            </w:pPr>
            <w:r w:rsidRPr="005F4673">
              <w:rPr>
                <w:b/>
              </w:rPr>
              <w:t>Relevant items on PL</w:t>
            </w:r>
          </w:p>
        </w:tc>
      </w:tr>
      <w:tr w:rsidR="001C7584" w:rsidRPr="00EC3565" w14:paraId="4E505316" w14:textId="77777777" w:rsidTr="00945B32">
        <w:tc>
          <w:tcPr>
            <w:tcW w:w="1173" w:type="dxa"/>
            <w:vMerge w:val="restart"/>
            <w:shd w:val="clear" w:color="auto" w:fill="D2D2DA" w:themeFill="text1" w:themeFillTint="33"/>
          </w:tcPr>
          <w:p w14:paraId="0C843308" w14:textId="59A426E9" w:rsidR="001C7584" w:rsidRPr="00A26B3B" w:rsidRDefault="001C7584" w:rsidP="00FA6F76">
            <w:pPr>
              <w:pStyle w:val="Bodytextwithparaspace"/>
            </w:pPr>
            <w:r>
              <w:rPr>
                <w:b/>
              </w:rPr>
              <w:t>Listing criteria</w:t>
            </w:r>
          </w:p>
        </w:tc>
        <w:tc>
          <w:tcPr>
            <w:tcW w:w="7017" w:type="dxa"/>
          </w:tcPr>
          <w:p w14:paraId="46A67ADE" w14:textId="2E003F75" w:rsidR="001C7584" w:rsidRDefault="001C7584" w:rsidP="00DB7650">
            <w:pPr>
              <w:pStyle w:val="Bodytextwithparaspace"/>
            </w:pPr>
            <w:r>
              <w:rPr>
                <w:b/>
              </w:rPr>
              <w:t xml:space="preserve">Items not meeting the criteria </w:t>
            </w:r>
            <w:r>
              <w:t>- reference</w:t>
            </w:r>
            <w:r>
              <w:rPr>
                <w:b/>
              </w:rPr>
              <w:t xml:space="preserve"> </w:t>
            </w:r>
            <w:r w:rsidRPr="00A26B3B">
              <w:fldChar w:fldCharType="begin"/>
            </w:r>
            <w:r w:rsidRPr="00A26B3B">
              <w:instrText xml:space="preserve"> REF _Ref39048041 \r \h </w:instrText>
            </w:r>
            <w:r>
              <w:instrText xml:space="preserve"> \* MERGEFORMAT </w:instrText>
            </w:r>
            <w:r w:rsidRPr="00A26B3B">
              <w:fldChar w:fldCharType="separate"/>
            </w:r>
            <w:r w:rsidR="00784DE2">
              <w:t>4.3.2</w:t>
            </w:r>
            <w:r w:rsidRPr="00A26B3B">
              <w:fldChar w:fldCharType="end"/>
            </w:r>
            <w:r w:rsidRPr="00A26B3B">
              <w:t xml:space="preserve"> (1)</w:t>
            </w:r>
          </w:p>
          <w:p w14:paraId="7BC482FE" w14:textId="77777777" w:rsidR="001C7584" w:rsidRPr="00A26B3B" w:rsidRDefault="001C7584" w:rsidP="006B5BBF">
            <w:pPr>
              <w:pStyle w:val="Bodytextwithparaspace"/>
            </w:pPr>
            <w:r>
              <w:t>There are specific examples on the PL that can be considered as not meeting the criteria for listing.</w:t>
            </w:r>
          </w:p>
        </w:tc>
        <w:tc>
          <w:tcPr>
            <w:tcW w:w="1591" w:type="dxa"/>
          </w:tcPr>
          <w:p w14:paraId="54BD9F07" w14:textId="77777777" w:rsidR="001C7584" w:rsidRDefault="001C7584" w:rsidP="006B5BBF">
            <w:pPr>
              <w:pStyle w:val="Bodytextwithparaspace"/>
            </w:pPr>
            <w:r w:rsidRPr="00A26B3B">
              <w:rPr>
                <w:b/>
              </w:rPr>
              <w:t>03.08.02 Internal Adhesives</w:t>
            </w:r>
            <w:r>
              <w:rPr>
                <w:b/>
              </w:rPr>
              <w:t xml:space="preserve"> </w:t>
            </w:r>
            <w:r w:rsidRPr="00A26B3B">
              <w:t>(</w:t>
            </w:r>
            <w:r>
              <w:t>t</w:t>
            </w:r>
            <w:r w:rsidRPr="00A26B3B">
              <w:t>opical skin adhesives)</w:t>
            </w:r>
          </w:p>
          <w:p w14:paraId="3CE23D24" w14:textId="276BA83B" w:rsidR="00605D9C" w:rsidRPr="00DC636B" w:rsidRDefault="00605D9C" w:rsidP="006B5BBF">
            <w:pPr>
              <w:pStyle w:val="Bodytextwithparaspace"/>
              <w:rPr>
                <w:b/>
              </w:rPr>
            </w:pPr>
            <w:r w:rsidRPr="005F4673">
              <w:rPr>
                <w:b/>
              </w:rPr>
              <w:t>03.02 Drug Delivery Devices</w:t>
            </w:r>
          </w:p>
        </w:tc>
      </w:tr>
      <w:tr w:rsidR="001C7584" w:rsidRPr="005A6E0B" w14:paraId="3280222A" w14:textId="77777777" w:rsidTr="00945B32">
        <w:tc>
          <w:tcPr>
            <w:tcW w:w="1173" w:type="dxa"/>
            <w:vMerge/>
            <w:shd w:val="clear" w:color="auto" w:fill="D2D2DA" w:themeFill="text1" w:themeFillTint="33"/>
          </w:tcPr>
          <w:p w14:paraId="7A9057FE" w14:textId="77777777" w:rsidR="001C7584" w:rsidRPr="00806F32" w:rsidRDefault="001C7584" w:rsidP="00AF1D4E">
            <w:pPr>
              <w:pStyle w:val="Bulletnoparaspace"/>
              <w:numPr>
                <w:ilvl w:val="0"/>
                <w:numId w:val="0"/>
              </w:numPr>
              <w:ind w:left="425" w:hanging="425"/>
            </w:pPr>
          </w:p>
        </w:tc>
        <w:tc>
          <w:tcPr>
            <w:tcW w:w="7017" w:type="dxa"/>
          </w:tcPr>
          <w:p w14:paraId="0E8CA5C9" w14:textId="4092EA1F" w:rsidR="001C7584" w:rsidRDefault="00605D9C" w:rsidP="00DB7650">
            <w:pPr>
              <w:pStyle w:val="Bulletnoparaspace"/>
              <w:numPr>
                <w:ilvl w:val="0"/>
                <w:numId w:val="0"/>
              </w:numPr>
              <w:ind w:left="425" w:hanging="425"/>
            </w:pPr>
            <w:r>
              <w:rPr>
                <w:b/>
              </w:rPr>
              <w:t>Range of items meeting the criteria</w:t>
            </w:r>
            <w:r w:rsidR="001C7584">
              <w:rPr>
                <w:b/>
              </w:rPr>
              <w:t xml:space="preserve"> </w:t>
            </w:r>
            <w:r w:rsidR="001C7584">
              <w:t>- reference</w:t>
            </w:r>
            <w:r w:rsidR="001C7584">
              <w:rPr>
                <w:b/>
              </w:rPr>
              <w:t xml:space="preserve"> </w:t>
            </w:r>
            <w:r w:rsidR="001C7584" w:rsidRPr="005F4673">
              <w:fldChar w:fldCharType="begin"/>
            </w:r>
            <w:r w:rsidR="001C7584" w:rsidRPr="005F4673">
              <w:instrText xml:space="preserve"> REF _Ref39048041 \r \h  \* MERGEFORMAT </w:instrText>
            </w:r>
            <w:r w:rsidR="001C7584" w:rsidRPr="005F4673">
              <w:fldChar w:fldCharType="separate"/>
            </w:r>
            <w:r w:rsidR="00784DE2">
              <w:t>4.3.2</w:t>
            </w:r>
            <w:r w:rsidR="001C7584" w:rsidRPr="005F4673">
              <w:fldChar w:fldCharType="end"/>
            </w:r>
            <w:r w:rsidR="001C7584" w:rsidRPr="005F4673">
              <w:t xml:space="preserve"> (</w:t>
            </w:r>
            <w:r w:rsidR="001C7584">
              <w:t>2</w:t>
            </w:r>
            <w:r w:rsidR="001C7584" w:rsidRPr="005F4673">
              <w:t>)</w:t>
            </w:r>
          </w:p>
          <w:p w14:paraId="1D00A3CD" w14:textId="6A695F6B" w:rsidR="00605D9C" w:rsidRDefault="00605D9C" w:rsidP="00605D9C">
            <w:pPr>
              <w:pStyle w:val="Bodytextwithparaspace"/>
            </w:pPr>
            <w:r>
              <w:t xml:space="preserve">There has been an expansion in the nature of items being included on the PL. </w:t>
            </w:r>
            <w:r w:rsidRPr="00605D9C">
              <w:t>There is now a spectrum of items on the PL: from items that are clearly implanted prosthetic items through to items that are not strictly implanted themselves and/or are general use items that do not directly address the reason for surgery, and a range of items in between.</w:t>
            </w:r>
          </w:p>
          <w:p w14:paraId="1DA4F8F9" w14:textId="7BA07129" w:rsidR="004E2902" w:rsidRPr="001D56CF" w:rsidRDefault="005D2B45" w:rsidP="00DC636B">
            <w:pPr>
              <w:pStyle w:val="Bodytextwithparaspace"/>
            </w:pPr>
            <w:r>
              <w:t>This has resulted in items on the PL that arguably meet the criteria but that are potentially at odds with the purpose of the PL.</w:t>
            </w:r>
          </w:p>
        </w:tc>
        <w:tc>
          <w:tcPr>
            <w:tcW w:w="1591" w:type="dxa"/>
          </w:tcPr>
          <w:p w14:paraId="053DF10A" w14:textId="77777777" w:rsidR="001C7584" w:rsidRPr="005F4673" w:rsidRDefault="001C7584" w:rsidP="006B5BBF">
            <w:pPr>
              <w:pStyle w:val="Bodytextwithparaspace"/>
              <w:rPr>
                <w:b/>
              </w:rPr>
            </w:pPr>
            <w:r w:rsidRPr="005F4673">
              <w:rPr>
                <w:b/>
              </w:rPr>
              <w:t>03.05 Haemostatic Devices</w:t>
            </w:r>
          </w:p>
          <w:p w14:paraId="3454C115" w14:textId="77777777" w:rsidR="001C7584" w:rsidRPr="005A6E0B" w:rsidRDefault="001C7584" w:rsidP="004E2902">
            <w:pPr>
              <w:pStyle w:val="Bodytextwithparaspace"/>
              <w:rPr>
                <w:b/>
              </w:rPr>
            </w:pPr>
            <w:r w:rsidRPr="005F4673">
              <w:rPr>
                <w:b/>
              </w:rPr>
              <w:t>03.08 Closure Devices</w:t>
            </w:r>
          </w:p>
        </w:tc>
      </w:tr>
      <w:tr w:rsidR="002114FA" w:rsidRPr="00A26B3B" w14:paraId="746C33EC" w14:textId="77777777" w:rsidTr="00945B32">
        <w:tc>
          <w:tcPr>
            <w:tcW w:w="1173" w:type="dxa"/>
            <w:vMerge w:val="restart"/>
            <w:shd w:val="clear" w:color="auto" w:fill="D2D2DA" w:themeFill="text1" w:themeFillTint="33"/>
          </w:tcPr>
          <w:p w14:paraId="1F2A1158" w14:textId="62027C0C" w:rsidR="002114FA" w:rsidRPr="00A26B3B" w:rsidRDefault="002114FA" w:rsidP="00FA6F76">
            <w:pPr>
              <w:pStyle w:val="Bodytextwithparaspace"/>
            </w:pPr>
            <w:r>
              <w:rPr>
                <w:b/>
              </w:rPr>
              <w:t>Usage</w:t>
            </w:r>
          </w:p>
        </w:tc>
        <w:tc>
          <w:tcPr>
            <w:tcW w:w="7017" w:type="dxa"/>
          </w:tcPr>
          <w:p w14:paraId="2BE82BF2" w14:textId="77777777" w:rsidR="002114FA" w:rsidRPr="00A26B3B" w:rsidRDefault="002114FA" w:rsidP="006B5BBF">
            <w:pPr>
              <w:pStyle w:val="Bodytextwithparaspace"/>
              <w:rPr>
                <w:b/>
              </w:rPr>
            </w:pPr>
            <w:r w:rsidRPr="00A26B3B">
              <w:rPr>
                <w:b/>
              </w:rPr>
              <w:t>Growth issues</w:t>
            </w:r>
          </w:p>
          <w:p w14:paraId="04EAA7A1" w14:textId="49CBEF55" w:rsidR="002114FA" w:rsidRPr="00A26B3B" w:rsidRDefault="002114FA" w:rsidP="001C7584">
            <w:pPr>
              <w:pStyle w:val="Bodytextwithparaspace"/>
            </w:pPr>
            <w:r w:rsidRPr="00A26B3B">
              <w:rPr>
                <w:i/>
              </w:rPr>
              <w:t>Overall growth</w:t>
            </w:r>
            <w:r>
              <w:rPr>
                <w:i/>
              </w:rPr>
              <w:t xml:space="preserve"> </w:t>
            </w:r>
            <w:r>
              <w:t>- reference</w:t>
            </w:r>
            <w:r>
              <w:rPr>
                <w:i/>
              </w:rPr>
              <w:t xml:space="preserve"> </w:t>
            </w:r>
            <w:r w:rsidRPr="00A26B3B">
              <w:fldChar w:fldCharType="begin"/>
            </w:r>
            <w:r w:rsidRPr="00A26B3B">
              <w:instrText xml:space="preserve"> REF _Ref39053415 \r \h  \* MERGEFORMAT </w:instrText>
            </w:r>
            <w:r w:rsidRPr="00A26B3B">
              <w:fldChar w:fldCharType="separate"/>
            </w:r>
            <w:r w:rsidR="00784DE2">
              <w:t>4.4.1</w:t>
            </w:r>
            <w:r w:rsidRPr="00A26B3B">
              <w:fldChar w:fldCharType="end"/>
            </w:r>
          </w:p>
          <w:p w14:paraId="392D6E41" w14:textId="660C8EA4" w:rsidR="002114FA" w:rsidRDefault="002114FA" w:rsidP="006B5BBF">
            <w:pPr>
              <w:pStyle w:val="Bodytextwithparaspace"/>
            </w:pPr>
            <w:r>
              <w:t xml:space="preserve">The ‘High’ priority GM items </w:t>
            </w:r>
            <w:r w:rsidR="0031136B">
              <w:t>experienced</w:t>
            </w:r>
            <w:r>
              <w:t xml:space="preserve"> high growth in aggregate: beyond the growth in the number of procedures being performed and at a level suggestive that there may be inefficiencies and overuse.</w:t>
            </w:r>
          </w:p>
          <w:p w14:paraId="1EEB983F" w14:textId="115DA89D" w:rsidR="002114FA" w:rsidRPr="00A26B3B" w:rsidRDefault="002114FA" w:rsidP="001C7584">
            <w:pPr>
              <w:pStyle w:val="Bodytextwithparaspace"/>
            </w:pPr>
            <w:r w:rsidRPr="00A26B3B">
              <w:rPr>
                <w:i/>
              </w:rPr>
              <w:t>Growth in usage per separation</w:t>
            </w:r>
            <w:r>
              <w:rPr>
                <w:i/>
              </w:rPr>
              <w:t xml:space="preserve"> </w:t>
            </w:r>
            <w:r>
              <w:t xml:space="preserve">– reference </w:t>
            </w:r>
            <w:r w:rsidRPr="00A26B3B">
              <w:fldChar w:fldCharType="begin"/>
            </w:r>
            <w:r w:rsidRPr="00A26B3B">
              <w:instrText xml:space="preserve"> REF _Ref39062633 \r \h  \* MERGEFORMAT </w:instrText>
            </w:r>
            <w:r w:rsidRPr="00A26B3B">
              <w:fldChar w:fldCharType="separate"/>
            </w:r>
            <w:r w:rsidR="00784DE2">
              <w:t>4.4.4</w:t>
            </w:r>
            <w:r w:rsidRPr="00A26B3B">
              <w:fldChar w:fldCharType="end"/>
            </w:r>
          </w:p>
          <w:p w14:paraId="4F3C5A30" w14:textId="5D9D711C" w:rsidR="002114FA" w:rsidRPr="00707467" w:rsidRDefault="002114FA" w:rsidP="006B5BBF">
            <w:pPr>
              <w:pStyle w:val="Bodytextwithparaspace"/>
              <w:rPr>
                <w:highlight w:val="yellow"/>
              </w:rPr>
            </w:pPr>
            <w:r w:rsidRPr="00BD3605">
              <w:t>The</w:t>
            </w:r>
            <w:r>
              <w:t xml:space="preserve">re </w:t>
            </w:r>
            <w:r w:rsidR="00DA7E13">
              <w:t>have been</w:t>
            </w:r>
            <w:r w:rsidR="00DA7E13" w:rsidRPr="00BD3605">
              <w:t xml:space="preserve"> </w:t>
            </w:r>
            <w:r>
              <w:t xml:space="preserve">a number of </w:t>
            </w:r>
            <w:r w:rsidRPr="00BD3605">
              <w:t>examples of above-trend usage</w:t>
            </w:r>
            <w:r w:rsidRPr="00707467">
              <w:t xml:space="preserve"> growth</w:t>
            </w:r>
            <w:r w:rsidRPr="00BD3605">
              <w:t xml:space="preserve"> that can’t be explained by increases in the number of procedures. In all cases, the level of growth </w:t>
            </w:r>
            <w:r w:rsidR="0031136B">
              <w:t>wa</w:t>
            </w:r>
            <w:r w:rsidR="0031136B" w:rsidRPr="00BD3605">
              <w:t xml:space="preserve">s </w:t>
            </w:r>
            <w:r w:rsidRPr="00707467">
              <w:t xml:space="preserve">such </w:t>
            </w:r>
            <w:r w:rsidRPr="00BD3605">
              <w:t>that it seems unlikely that changes in the nature of procedures or in the case</w:t>
            </w:r>
            <w:r w:rsidRPr="00707467">
              <w:t xml:space="preserve"> </w:t>
            </w:r>
            <w:r w:rsidRPr="00BD3605">
              <w:t xml:space="preserve">mix </w:t>
            </w:r>
            <w:r w:rsidRPr="00707467">
              <w:t xml:space="preserve">are sufficient to explain all of the growth. </w:t>
            </w:r>
            <w:r>
              <w:t xml:space="preserve">This suggests that </w:t>
            </w:r>
            <w:r w:rsidRPr="00BD3605">
              <w:t>a</w:t>
            </w:r>
            <w:r w:rsidRPr="00707467">
              <w:t xml:space="preserve">t least some of the growth must </w:t>
            </w:r>
            <w:r w:rsidR="0031136B">
              <w:t xml:space="preserve">have </w:t>
            </w:r>
            <w:r w:rsidRPr="00707467">
              <w:t>be</w:t>
            </w:r>
            <w:r w:rsidR="0031136B">
              <w:t>en</w:t>
            </w:r>
            <w:r w:rsidRPr="00707467">
              <w:t xml:space="preserve"> due to an increase in the number of items per separation with</w:t>
            </w:r>
            <w:r>
              <w:t>in</w:t>
            </w:r>
            <w:r w:rsidRPr="00707467">
              <w:t xml:space="preserve"> the same procedure</w:t>
            </w:r>
            <w:r>
              <w:t>s</w:t>
            </w:r>
            <w:r w:rsidRPr="00BD3605">
              <w:t>.</w:t>
            </w:r>
          </w:p>
          <w:p w14:paraId="595CD135" w14:textId="54197B19" w:rsidR="002114FA" w:rsidRDefault="00776840" w:rsidP="006B5BBF">
            <w:pPr>
              <w:pStyle w:val="Bodytextwithparaspace"/>
              <w:rPr>
                <w:highlight w:val="yellow"/>
              </w:rPr>
            </w:pPr>
            <w:r>
              <w:t>This suggests</w:t>
            </w:r>
            <w:r w:rsidR="002114FA" w:rsidRPr="00707467">
              <w:t xml:space="preserve"> that there </w:t>
            </w:r>
            <w:r>
              <w:t>was</w:t>
            </w:r>
            <w:r w:rsidRPr="00707467">
              <w:t xml:space="preserve"> </w:t>
            </w:r>
            <w:r w:rsidR="002114FA" w:rsidRPr="00707467">
              <w:t xml:space="preserve">some element of over-use occurring in these groups. </w:t>
            </w:r>
          </w:p>
          <w:p w14:paraId="58D2BC10" w14:textId="78D23D9C" w:rsidR="002114FA" w:rsidRPr="00AF1D4E" w:rsidRDefault="002114FA" w:rsidP="006B5BBF">
            <w:pPr>
              <w:pStyle w:val="Bodytextwithparaspace"/>
            </w:pPr>
            <w:r w:rsidRPr="00A26B3B">
              <w:rPr>
                <w:i/>
              </w:rPr>
              <w:t>High growth since listing</w:t>
            </w:r>
            <w:r>
              <w:rPr>
                <w:i/>
              </w:rPr>
              <w:t xml:space="preserve"> </w:t>
            </w:r>
            <w:r>
              <w:t xml:space="preserve">– reference </w:t>
            </w:r>
            <w:r w:rsidRPr="00A26B3B">
              <w:fldChar w:fldCharType="begin"/>
            </w:r>
            <w:r w:rsidRPr="00A26B3B">
              <w:instrText xml:space="preserve"> REF _Ref38907184 \r \h  \* MERGEFORMAT </w:instrText>
            </w:r>
            <w:r w:rsidRPr="00A26B3B">
              <w:fldChar w:fldCharType="separate"/>
            </w:r>
            <w:r w:rsidR="00784DE2">
              <w:t>4.4.2</w:t>
            </w:r>
            <w:r w:rsidRPr="00A26B3B">
              <w:fldChar w:fldCharType="end"/>
            </w:r>
          </w:p>
          <w:p w14:paraId="27859B8A" w14:textId="77777777" w:rsidR="002114FA" w:rsidRDefault="002114FA" w:rsidP="006B5BBF">
            <w:pPr>
              <w:pStyle w:val="Bodytextwithparaspace"/>
            </w:pPr>
            <w:r w:rsidRPr="00707467">
              <w:t>There a</w:t>
            </w:r>
            <w:r>
              <w:t xml:space="preserve">re a number of items which have experienced significant and sustained growth in their usage since being listed. </w:t>
            </w:r>
          </w:p>
          <w:p w14:paraId="4BACBBEC" w14:textId="1530192B" w:rsidR="002114FA" w:rsidRPr="00A26B3B" w:rsidRDefault="002114FA" w:rsidP="00AF1D4E">
            <w:pPr>
              <w:pStyle w:val="Bodytextwithparaspace"/>
            </w:pPr>
          </w:p>
        </w:tc>
        <w:tc>
          <w:tcPr>
            <w:tcW w:w="1591" w:type="dxa"/>
          </w:tcPr>
          <w:p w14:paraId="1ABAD8DA" w14:textId="05ABC27C" w:rsidR="002114FA" w:rsidRDefault="002114FA" w:rsidP="006B5BBF">
            <w:pPr>
              <w:pStyle w:val="Bodytextwithparaspace"/>
              <w:rPr>
                <w:b/>
              </w:rPr>
            </w:pPr>
            <w:r w:rsidRPr="00A26B3B">
              <w:rPr>
                <w:b/>
              </w:rPr>
              <w:t xml:space="preserve">Top 10 items </w:t>
            </w:r>
          </w:p>
          <w:p w14:paraId="0D1DDD45" w14:textId="77777777" w:rsidR="002114FA" w:rsidRDefault="002114FA" w:rsidP="006B5BBF">
            <w:pPr>
              <w:pStyle w:val="Bodytextwithparaspace"/>
              <w:rPr>
                <w:rFonts w:cs="Calibri"/>
                <w:b/>
                <w:color w:val="000000"/>
              </w:rPr>
            </w:pPr>
            <w:r w:rsidRPr="00A26B3B">
              <w:rPr>
                <w:rFonts w:cs="Calibri"/>
                <w:b/>
                <w:color w:val="000000"/>
              </w:rPr>
              <w:t>03.08.04 Staples &amp; Tackers</w:t>
            </w:r>
          </w:p>
          <w:p w14:paraId="4DBE4AC6" w14:textId="77777777" w:rsidR="002114FA" w:rsidRDefault="002114FA" w:rsidP="006B5BBF">
            <w:pPr>
              <w:pStyle w:val="Bodytextwithparaspace"/>
              <w:rPr>
                <w:b/>
              </w:rPr>
            </w:pPr>
            <w:r w:rsidRPr="00A26B3B">
              <w:rPr>
                <w:b/>
              </w:rPr>
              <w:t>03.08.02 Internal Adhesives</w:t>
            </w:r>
          </w:p>
          <w:p w14:paraId="18477C4D" w14:textId="77777777" w:rsidR="002114FA" w:rsidRPr="00A26B3B" w:rsidRDefault="002114FA" w:rsidP="006B5BBF">
            <w:pPr>
              <w:pStyle w:val="Bodytextwithparaspace"/>
              <w:rPr>
                <w:b/>
              </w:rPr>
            </w:pPr>
            <w:r w:rsidRPr="00A26B3B">
              <w:rPr>
                <w:b/>
              </w:rPr>
              <w:t>03.02.03</w:t>
            </w:r>
            <w:r>
              <w:rPr>
                <w:b/>
              </w:rPr>
              <w:t xml:space="preserve"> Infusion pumps </w:t>
            </w:r>
            <w:r w:rsidRPr="00A26B3B">
              <w:t>(in particular 03.02.03.05)</w:t>
            </w:r>
            <w:r w:rsidRPr="005F4673">
              <w:rPr>
                <w:b/>
              </w:rPr>
              <w:t xml:space="preserve"> </w:t>
            </w:r>
            <w:r w:rsidRPr="00A26B3B">
              <w:rPr>
                <w:b/>
              </w:rPr>
              <w:t xml:space="preserve"> </w:t>
            </w:r>
          </w:p>
          <w:p w14:paraId="09785ECE" w14:textId="77777777" w:rsidR="002114FA" w:rsidRPr="00A6581E" w:rsidRDefault="002114FA" w:rsidP="006B5BBF">
            <w:pPr>
              <w:pStyle w:val="Bodytextwithparaspace"/>
            </w:pPr>
            <w:r w:rsidRPr="00A26B3B">
              <w:rPr>
                <w:b/>
              </w:rPr>
              <w:t>03.05.02 Powder</w:t>
            </w:r>
          </w:p>
          <w:p w14:paraId="69D9CD97" w14:textId="77777777" w:rsidR="002114FA" w:rsidRDefault="002114FA" w:rsidP="006B5BBF">
            <w:pPr>
              <w:pStyle w:val="Bodytextwithparaspace"/>
              <w:rPr>
                <w:b/>
              </w:rPr>
            </w:pPr>
            <w:r w:rsidRPr="00A26B3B">
              <w:rPr>
                <w:b/>
              </w:rPr>
              <w:t>03.05.05 Matrix</w:t>
            </w:r>
          </w:p>
          <w:p w14:paraId="27189080" w14:textId="77777777" w:rsidR="002114FA" w:rsidRPr="00A26B3B" w:rsidRDefault="002114FA" w:rsidP="00EC751F">
            <w:pPr>
              <w:pStyle w:val="Bodytextwithparaspace"/>
              <w:rPr>
                <w:b/>
                <w:highlight w:val="yellow"/>
              </w:rPr>
            </w:pPr>
          </w:p>
        </w:tc>
      </w:tr>
      <w:tr w:rsidR="002114FA" w:rsidRPr="00A26B3B" w14:paraId="43C801B2" w14:textId="77777777" w:rsidTr="00945B32">
        <w:trPr>
          <w:trHeight w:val="3057"/>
        </w:trPr>
        <w:tc>
          <w:tcPr>
            <w:tcW w:w="1173" w:type="dxa"/>
            <w:vMerge/>
            <w:shd w:val="clear" w:color="auto" w:fill="D2D2DA" w:themeFill="text1" w:themeFillTint="33"/>
          </w:tcPr>
          <w:p w14:paraId="7610D220" w14:textId="77777777" w:rsidR="002114FA" w:rsidRPr="001E1B90" w:rsidRDefault="002114FA" w:rsidP="006B5BBF">
            <w:pPr>
              <w:pStyle w:val="Bodytextwithparaspace"/>
            </w:pPr>
          </w:p>
        </w:tc>
        <w:tc>
          <w:tcPr>
            <w:tcW w:w="7017" w:type="dxa"/>
          </w:tcPr>
          <w:p w14:paraId="7E5A1D51" w14:textId="74B1C8D7" w:rsidR="002114FA" w:rsidRPr="00A26B3B" w:rsidRDefault="002114FA" w:rsidP="006B5BBF">
            <w:pPr>
              <w:pStyle w:val="Bodytextwithparaspace"/>
              <w:rPr>
                <w:b/>
              </w:rPr>
            </w:pPr>
            <w:r w:rsidRPr="00A26B3B">
              <w:rPr>
                <w:b/>
              </w:rPr>
              <w:t>Usage skewed towards more expensive options</w:t>
            </w:r>
            <w:r>
              <w:rPr>
                <w:b/>
              </w:rPr>
              <w:t xml:space="preserve"> </w:t>
            </w:r>
            <w:r w:rsidRPr="00AF1D4E">
              <w:t>- reference</w:t>
            </w:r>
            <w:r>
              <w:rPr>
                <w:b/>
              </w:rPr>
              <w:t xml:space="preserve"> </w:t>
            </w:r>
            <w:r>
              <w:fldChar w:fldCharType="begin"/>
            </w:r>
            <w:r>
              <w:instrText xml:space="preserve"> REF _Ref38907991 \r \h </w:instrText>
            </w:r>
            <w:r>
              <w:fldChar w:fldCharType="separate"/>
            </w:r>
            <w:r w:rsidR="00784DE2">
              <w:t>0</w:t>
            </w:r>
            <w:r>
              <w:fldChar w:fldCharType="end"/>
            </w:r>
            <w:r>
              <w:t xml:space="preserve"> (1)</w:t>
            </w:r>
          </w:p>
          <w:p w14:paraId="6223AAD4" w14:textId="7A4403C8" w:rsidR="002114FA" w:rsidRPr="00707467" w:rsidRDefault="002114FA" w:rsidP="006B5BBF">
            <w:pPr>
              <w:pStyle w:val="Bodytextwithparaspace"/>
            </w:pPr>
            <w:r w:rsidRPr="00707467">
              <w:t xml:space="preserve">There are numerous groups in which similar items differing by a characteristic (such as size) have different minimum benefit amounts. In some cases, the usage of these items </w:t>
            </w:r>
            <w:r w:rsidR="0031136B">
              <w:t>differed</w:t>
            </w:r>
            <w:r w:rsidRPr="00707467">
              <w:t xml:space="preserve"> significantly, and </w:t>
            </w:r>
            <w:r w:rsidR="0031136B">
              <w:t>was</w:t>
            </w:r>
            <w:r w:rsidRPr="00707467">
              <w:t xml:space="preserve"> skewed towards usage of the more expensive items, such as the larger versions of matrices, pliable patches, and</w:t>
            </w:r>
            <w:r w:rsidR="00784AC0">
              <w:t xml:space="preserve"> some internal adhesives</w:t>
            </w:r>
            <w:r w:rsidRPr="00707467">
              <w:t>. Additionally, within the larger &gt;75cm</w:t>
            </w:r>
            <w:r w:rsidRPr="00707467">
              <w:rPr>
                <w:vertAlign w:val="superscript"/>
              </w:rPr>
              <w:t>2</w:t>
            </w:r>
            <w:r w:rsidRPr="00707467">
              <w:t xml:space="preserve"> pliable patches, PL benefits paid for the more expensive micro-fibrous version </w:t>
            </w:r>
            <w:r w:rsidR="0031136B">
              <w:t>we</w:t>
            </w:r>
            <w:r w:rsidR="0031136B" w:rsidRPr="00707467">
              <w:t xml:space="preserve">re </w:t>
            </w:r>
            <w:r w:rsidRPr="00707467">
              <w:t>higher than benefits paid for the cheaper Standard version.</w:t>
            </w:r>
          </w:p>
          <w:p w14:paraId="7AC1247C" w14:textId="55941E10" w:rsidR="002114FA" w:rsidRPr="00AF1D4E" w:rsidRDefault="002114FA" w:rsidP="00E76C25">
            <w:pPr>
              <w:pStyle w:val="Bodytextwithparaspace"/>
            </w:pPr>
            <w:r w:rsidRPr="00707467">
              <w:t xml:space="preserve">It is </w:t>
            </w:r>
            <w:r>
              <w:t xml:space="preserve">likely that in many cases usage of the more expensive option is </w:t>
            </w:r>
            <w:r w:rsidR="001A5DB0">
              <w:t>more than sufficient to meet clinical needs and is therefore not the most efficient option from an overall healthcare costs perspective.</w:t>
            </w:r>
            <w:r w:rsidRPr="00707467">
              <w:t xml:space="preserve"> </w:t>
            </w:r>
          </w:p>
        </w:tc>
        <w:tc>
          <w:tcPr>
            <w:tcW w:w="1591" w:type="dxa"/>
          </w:tcPr>
          <w:p w14:paraId="5EA193AB" w14:textId="77777777" w:rsidR="002114FA" w:rsidRPr="00A26B3B" w:rsidRDefault="002114FA" w:rsidP="006B5BBF">
            <w:pPr>
              <w:pStyle w:val="Bodytextwithparaspace"/>
              <w:rPr>
                <w:b/>
              </w:rPr>
            </w:pPr>
            <w:r w:rsidRPr="00A26B3B">
              <w:rPr>
                <w:b/>
              </w:rPr>
              <w:t>03.05.05 Matrix</w:t>
            </w:r>
          </w:p>
          <w:p w14:paraId="77AAF33D" w14:textId="77777777" w:rsidR="002114FA" w:rsidRPr="00A26B3B" w:rsidRDefault="002114FA" w:rsidP="006B5BBF">
            <w:pPr>
              <w:pStyle w:val="Bodytextwithparaspace"/>
              <w:rPr>
                <w:b/>
              </w:rPr>
            </w:pPr>
            <w:r w:rsidRPr="00A26B3B">
              <w:rPr>
                <w:b/>
              </w:rPr>
              <w:t>03.05.04 Pliable Patches</w:t>
            </w:r>
          </w:p>
          <w:p w14:paraId="74426F7B" w14:textId="77777777" w:rsidR="002114FA" w:rsidRPr="003C4EF7" w:rsidRDefault="002114FA" w:rsidP="006B5BBF">
            <w:pPr>
              <w:pStyle w:val="Bodytextwithparaspace"/>
              <w:rPr>
                <w:b/>
              </w:rPr>
            </w:pPr>
            <w:r w:rsidRPr="003C4EF7">
              <w:rPr>
                <w:b/>
              </w:rPr>
              <w:t>03.08.02 Internal Adhesives</w:t>
            </w:r>
          </w:p>
          <w:p w14:paraId="33BBB97F" w14:textId="77777777" w:rsidR="002114FA" w:rsidRPr="00A26B3B" w:rsidRDefault="002114FA" w:rsidP="006B5BBF">
            <w:pPr>
              <w:pStyle w:val="Bodytextwithparaspace"/>
              <w:rPr>
                <w:b/>
                <w:highlight w:val="yellow"/>
              </w:rPr>
            </w:pPr>
          </w:p>
        </w:tc>
      </w:tr>
      <w:tr w:rsidR="0003493F" w:rsidRPr="00A26B3B" w14:paraId="7782FBF0" w14:textId="77777777" w:rsidTr="00945B32">
        <w:trPr>
          <w:trHeight w:val="525"/>
        </w:trPr>
        <w:tc>
          <w:tcPr>
            <w:tcW w:w="1173" w:type="dxa"/>
            <w:vMerge/>
            <w:shd w:val="clear" w:color="auto" w:fill="D2D2DA" w:themeFill="text1" w:themeFillTint="33"/>
          </w:tcPr>
          <w:p w14:paraId="47394B12" w14:textId="77777777" w:rsidR="0003493F" w:rsidRPr="001E1B90" w:rsidRDefault="0003493F" w:rsidP="006B5BBF">
            <w:pPr>
              <w:pStyle w:val="Bodytextwithparaspace"/>
            </w:pPr>
          </w:p>
        </w:tc>
        <w:tc>
          <w:tcPr>
            <w:tcW w:w="7017" w:type="dxa"/>
          </w:tcPr>
          <w:p w14:paraId="440C5413" w14:textId="3C554D5E" w:rsidR="0003493F" w:rsidRPr="00DC636B" w:rsidRDefault="0003493F" w:rsidP="0003493F">
            <w:pPr>
              <w:pStyle w:val="Bodytextwithparaspace"/>
            </w:pPr>
            <w:r w:rsidRPr="002E0D4C">
              <w:rPr>
                <w:b/>
              </w:rPr>
              <w:t xml:space="preserve">Usage skewed to items that are listed on PL over comparable items not </w:t>
            </w:r>
            <w:r w:rsidRPr="00DC2ECF">
              <w:rPr>
                <w:b/>
              </w:rPr>
              <w:t xml:space="preserve">on PL </w:t>
            </w:r>
            <w:r w:rsidRPr="00DC2ECF">
              <w:t xml:space="preserve">– reference from </w:t>
            </w:r>
            <w:r w:rsidRPr="00DC2ECF">
              <w:fldChar w:fldCharType="begin"/>
            </w:r>
            <w:r w:rsidRPr="00447D19">
              <w:instrText xml:space="preserve"> REF _Ref39048041 \r \h </w:instrText>
            </w:r>
            <w:r w:rsidR="00DC2ECF">
              <w:instrText xml:space="preserve"> \* MERGEFORMAT </w:instrText>
            </w:r>
            <w:r w:rsidRPr="00DC2ECF">
              <w:fldChar w:fldCharType="separate"/>
            </w:r>
            <w:r w:rsidR="00784DE2">
              <w:t>4.3.2</w:t>
            </w:r>
            <w:r w:rsidRPr="00DC2ECF">
              <w:fldChar w:fldCharType="end"/>
            </w:r>
            <w:r w:rsidRPr="00DC2ECF">
              <w:t xml:space="preserve"> (3) and </w:t>
            </w:r>
            <w:r w:rsidRPr="00DC2ECF">
              <w:fldChar w:fldCharType="begin"/>
            </w:r>
            <w:r w:rsidRPr="00447D19">
              <w:instrText xml:space="preserve"> REF _Ref38907184 \r \h </w:instrText>
            </w:r>
            <w:r w:rsidR="00DC2ECF">
              <w:instrText xml:space="preserve"> \* MERGEFORMAT </w:instrText>
            </w:r>
            <w:r w:rsidRPr="00DC2ECF">
              <w:fldChar w:fldCharType="separate"/>
            </w:r>
            <w:r w:rsidR="00784DE2">
              <w:t>4.4.2</w:t>
            </w:r>
            <w:r w:rsidRPr="00DC2ECF">
              <w:fldChar w:fldCharType="end"/>
            </w:r>
          </w:p>
          <w:p w14:paraId="7C01CC20" w14:textId="2D2D244B" w:rsidR="0003493F" w:rsidRPr="00DC2ECF" w:rsidRDefault="0003493F" w:rsidP="00EC26EA">
            <w:pPr>
              <w:pStyle w:val="Bodytextwithparaspace"/>
              <w:rPr>
                <w:b/>
              </w:rPr>
            </w:pPr>
            <w:r w:rsidRPr="00DC636B">
              <w:t xml:space="preserve">Similarly to the above issue, there </w:t>
            </w:r>
            <w:r w:rsidR="00DA7E13">
              <w:t xml:space="preserve">have been </w:t>
            </w:r>
            <w:r w:rsidRPr="00DC636B">
              <w:t xml:space="preserve">a number of situations where there </w:t>
            </w:r>
            <w:r w:rsidR="00DA7E13">
              <w:t>wa</w:t>
            </w:r>
            <w:r w:rsidR="00DA7E13" w:rsidRPr="00DC636B">
              <w:t xml:space="preserve">s </w:t>
            </w:r>
            <w:r w:rsidRPr="00DC636B">
              <w:t xml:space="preserve">relatively high usage and/or high growth in usage of items on the PL where other, cheaper but clinically similar, products </w:t>
            </w:r>
            <w:r w:rsidR="00DA7E13">
              <w:t>we</w:t>
            </w:r>
            <w:r w:rsidR="00DA7E13" w:rsidRPr="00DC636B">
              <w:t xml:space="preserve">re </w:t>
            </w:r>
            <w:r w:rsidRPr="00DC636B">
              <w:t xml:space="preserve">available that are not on the PL. </w:t>
            </w:r>
            <w:r w:rsidR="00DC2ECF" w:rsidRPr="00DC636B">
              <w:t xml:space="preserve">Examples of non-PL listed items that could </w:t>
            </w:r>
            <w:r w:rsidR="00DA7E13">
              <w:t xml:space="preserve">have </w:t>
            </w:r>
            <w:r w:rsidR="00DC2ECF" w:rsidRPr="00DC636B">
              <w:t>be</w:t>
            </w:r>
            <w:r w:rsidR="00DA7E13">
              <w:t>en</w:t>
            </w:r>
            <w:r w:rsidR="00DC2ECF" w:rsidRPr="00DC636B">
              <w:t xml:space="preserve"> used in place of PL listed items include</w:t>
            </w:r>
            <w:r w:rsidR="00EC26EA">
              <w:t xml:space="preserve">: </w:t>
            </w:r>
            <w:r w:rsidR="000671E8">
              <w:t>s</w:t>
            </w:r>
            <w:r w:rsidR="000671E8" w:rsidRPr="00DC636B">
              <w:t>utures</w:t>
            </w:r>
            <w:r w:rsidR="00EC26EA">
              <w:t>;</w:t>
            </w:r>
            <w:r w:rsidR="00BB3B66">
              <w:t xml:space="preserve"> and</w:t>
            </w:r>
            <w:r w:rsidR="00EC26EA">
              <w:t xml:space="preserve"> </w:t>
            </w:r>
            <w:r w:rsidR="000671E8">
              <w:t>o</w:t>
            </w:r>
            <w:r w:rsidR="00DB2C35">
              <w:t>ther</w:t>
            </w:r>
            <w:r w:rsidRPr="00DC636B">
              <w:t xml:space="preserve"> products that are similar or could serve as substitutes to items in the ’03.05.05 – Matrix’ group</w:t>
            </w:r>
            <w:r w:rsidR="00DC2ECF" w:rsidRPr="00DC636B">
              <w:t>.</w:t>
            </w:r>
          </w:p>
        </w:tc>
        <w:tc>
          <w:tcPr>
            <w:tcW w:w="1591" w:type="dxa"/>
          </w:tcPr>
          <w:p w14:paraId="5ACA21E5" w14:textId="17833705" w:rsidR="0003493F" w:rsidRPr="00DC2ECF" w:rsidRDefault="0003493F" w:rsidP="0003493F">
            <w:pPr>
              <w:pStyle w:val="Bodytextwithparaspace"/>
              <w:rPr>
                <w:rFonts w:cs="Calibri"/>
                <w:b/>
                <w:color w:val="000000"/>
              </w:rPr>
            </w:pPr>
            <w:r w:rsidRPr="00DC636B">
              <w:rPr>
                <w:b/>
              </w:rPr>
              <w:t>03.05.05 – Matrix</w:t>
            </w:r>
          </w:p>
          <w:p w14:paraId="0A2B7708" w14:textId="4CA93905" w:rsidR="0003493F" w:rsidRPr="00DC636B" w:rsidRDefault="0003493F" w:rsidP="0003493F">
            <w:pPr>
              <w:pStyle w:val="Bodytextwithparaspace"/>
              <w:rPr>
                <w:b/>
              </w:rPr>
            </w:pPr>
            <w:r w:rsidRPr="002207B3">
              <w:rPr>
                <w:b/>
              </w:rPr>
              <w:t xml:space="preserve">03.08.02 Internal </w:t>
            </w:r>
            <w:r w:rsidRPr="00EA0F5A">
              <w:rPr>
                <w:b/>
              </w:rPr>
              <w:t>Adhesives</w:t>
            </w:r>
          </w:p>
          <w:p w14:paraId="6C00D89D" w14:textId="5038450E" w:rsidR="0003493F" w:rsidRPr="00EC26EA" w:rsidRDefault="0003493F" w:rsidP="00DC2ECF">
            <w:pPr>
              <w:pStyle w:val="Bodytextwithparaspace"/>
              <w:rPr>
                <w:rFonts w:cs="Calibri"/>
                <w:b/>
                <w:color w:val="000000"/>
              </w:rPr>
            </w:pPr>
            <w:r w:rsidRPr="00DC2ECF">
              <w:rPr>
                <w:rFonts w:cs="Calibri"/>
                <w:b/>
                <w:color w:val="000000"/>
              </w:rPr>
              <w:t>03.08.04 Staples &amp; Tackers</w:t>
            </w:r>
          </w:p>
        </w:tc>
      </w:tr>
      <w:tr w:rsidR="002114FA" w:rsidRPr="00A26B3B" w14:paraId="7072A39E" w14:textId="77777777" w:rsidTr="00945B32">
        <w:tc>
          <w:tcPr>
            <w:tcW w:w="1173" w:type="dxa"/>
            <w:vMerge/>
            <w:shd w:val="clear" w:color="auto" w:fill="D2D2DA" w:themeFill="text1" w:themeFillTint="33"/>
          </w:tcPr>
          <w:p w14:paraId="6AF5EB38" w14:textId="77777777" w:rsidR="002114FA" w:rsidRPr="001E1B90" w:rsidRDefault="002114FA" w:rsidP="006B5BBF">
            <w:pPr>
              <w:pStyle w:val="Bodytextwithparaspace"/>
            </w:pPr>
          </w:p>
        </w:tc>
        <w:tc>
          <w:tcPr>
            <w:tcW w:w="7017" w:type="dxa"/>
          </w:tcPr>
          <w:p w14:paraId="774DB036" w14:textId="3E9E6B36" w:rsidR="002114FA" w:rsidRPr="00AF1D4E" w:rsidRDefault="002114FA" w:rsidP="006B5BBF">
            <w:pPr>
              <w:pStyle w:val="Bodytextwithparaspace"/>
            </w:pPr>
            <w:r w:rsidRPr="00A26B3B">
              <w:rPr>
                <w:b/>
              </w:rPr>
              <w:t>Use of accessories with infusion pumps</w:t>
            </w:r>
            <w:r>
              <w:rPr>
                <w:b/>
              </w:rPr>
              <w:t xml:space="preserve"> </w:t>
            </w:r>
            <w:r>
              <w:t xml:space="preserve">– reference </w:t>
            </w:r>
            <w:r>
              <w:fldChar w:fldCharType="begin"/>
            </w:r>
            <w:r>
              <w:instrText xml:space="preserve"> REF _Ref38907991 \r \h </w:instrText>
            </w:r>
            <w:r>
              <w:fldChar w:fldCharType="separate"/>
            </w:r>
            <w:r w:rsidR="00784DE2">
              <w:t>0</w:t>
            </w:r>
            <w:r>
              <w:fldChar w:fldCharType="end"/>
            </w:r>
            <w:r>
              <w:t xml:space="preserve"> (2)</w:t>
            </w:r>
          </w:p>
          <w:p w14:paraId="7A6E04F8" w14:textId="33EA4876" w:rsidR="002114FA" w:rsidRDefault="002114FA" w:rsidP="006B5BBF">
            <w:pPr>
              <w:pStyle w:val="Bodytextwithparaspace"/>
            </w:pPr>
            <w:r>
              <w:t xml:space="preserve">There </w:t>
            </w:r>
            <w:r w:rsidR="00DA7E13">
              <w:t xml:space="preserve">have been </w:t>
            </w:r>
            <w:r>
              <w:t xml:space="preserve">a number of examples where the use of an infusion pump accessory </w:t>
            </w:r>
            <w:r w:rsidR="00DA7E13">
              <w:t xml:space="preserve">did </w:t>
            </w:r>
            <w:r>
              <w:t>not align with the use of the pump itself. This may be indicative of:</w:t>
            </w:r>
          </w:p>
          <w:p w14:paraId="69C199F3" w14:textId="77777777" w:rsidR="002114FA" w:rsidRDefault="002114FA" w:rsidP="00463B2D">
            <w:pPr>
              <w:pStyle w:val="Bodytextwithparaspace"/>
              <w:numPr>
                <w:ilvl w:val="0"/>
                <w:numId w:val="10"/>
              </w:numPr>
            </w:pPr>
            <w:r>
              <w:t>more accessories being used than clinically needed;</w:t>
            </w:r>
          </w:p>
          <w:p w14:paraId="433BE2DB" w14:textId="77777777" w:rsidR="002114FA" w:rsidRDefault="002114FA" w:rsidP="00463B2D">
            <w:pPr>
              <w:pStyle w:val="Bodytextwithparaspace"/>
              <w:numPr>
                <w:ilvl w:val="0"/>
                <w:numId w:val="10"/>
              </w:numPr>
            </w:pPr>
            <w:r>
              <w:t>accessories being used for purposes not specified by their listing; or</w:t>
            </w:r>
          </w:p>
          <w:p w14:paraId="6B7AD4C1" w14:textId="77777777" w:rsidR="002114FA" w:rsidRPr="001C7584" w:rsidRDefault="002114FA" w:rsidP="00463B2D">
            <w:pPr>
              <w:pStyle w:val="Bodytextwithparaspace"/>
              <w:numPr>
                <w:ilvl w:val="0"/>
                <w:numId w:val="10"/>
              </w:numPr>
            </w:pPr>
            <w:r>
              <w:t>the pump being reused after their initial purchase from the PL.</w:t>
            </w:r>
          </w:p>
        </w:tc>
        <w:tc>
          <w:tcPr>
            <w:tcW w:w="1591" w:type="dxa"/>
          </w:tcPr>
          <w:p w14:paraId="6240F137" w14:textId="77777777" w:rsidR="002114FA" w:rsidRPr="00A26B3B" w:rsidRDefault="002114FA" w:rsidP="006B5BBF">
            <w:pPr>
              <w:pStyle w:val="Bodytextwithparaspace"/>
              <w:rPr>
                <w:b/>
                <w:highlight w:val="yellow"/>
              </w:rPr>
            </w:pPr>
            <w:r w:rsidRPr="00A26B3B">
              <w:rPr>
                <w:b/>
              </w:rPr>
              <w:t>03.02.05 Infusion Pump Accessories</w:t>
            </w:r>
          </w:p>
        </w:tc>
      </w:tr>
      <w:tr w:rsidR="002114FA" w:rsidRPr="00EC3565" w14:paraId="5B9CBA2F" w14:textId="77777777" w:rsidTr="00945B32">
        <w:tc>
          <w:tcPr>
            <w:tcW w:w="1173" w:type="dxa"/>
            <w:vMerge/>
            <w:shd w:val="clear" w:color="auto" w:fill="D2D2DA" w:themeFill="text1" w:themeFillTint="33"/>
          </w:tcPr>
          <w:p w14:paraId="78FBE007" w14:textId="77777777" w:rsidR="002114FA" w:rsidRPr="001E1B90" w:rsidRDefault="002114FA" w:rsidP="006B5BBF">
            <w:pPr>
              <w:pStyle w:val="Bodytextwithparaspace"/>
            </w:pPr>
          </w:p>
        </w:tc>
        <w:tc>
          <w:tcPr>
            <w:tcW w:w="7017" w:type="dxa"/>
          </w:tcPr>
          <w:p w14:paraId="71CE61A7" w14:textId="03C0F495" w:rsidR="002114FA" w:rsidRPr="00AF1D4E" w:rsidRDefault="002114FA" w:rsidP="006B5BBF">
            <w:pPr>
              <w:pStyle w:val="Bodytextwithparaspace"/>
            </w:pPr>
            <w:r>
              <w:rPr>
                <w:b/>
              </w:rPr>
              <w:t xml:space="preserve">Differences in usage between hospitals </w:t>
            </w:r>
            <w:r>
              <w:t xml:space="preserve">– reference </w:t>
            </w:r>
            <w:r>
              <w:fldChar w:fldCharType="begin"/>
            </w:r>
            <w:r>
              <w:instrText xml:space="preserve"> REF _Ref39070330 \r \h </w:instrText>
            </w:r>
            <w:r>
              <w:fldChar w:fldCharType="separate"/>
            </w:r>
            <w:r w:rsidR="00784DE2">
              <w:t>4.4.5</w:t>
            </w:r>
            <w:r>
              <w:fldChar w:fldCharType="end"/>
            </w:r>
          </w:p>
          <w:p w14:paraId="15854047" w14:textId="1CD307C0" w:rsidR="002114FA" w:rsidRPr="00707467" w:rsidRDefault="002114FA" w:rsidP="006B5BBF">
            <w:pPr>
              <w:pStyle w:val="Bodytextwithparaspace"/>
            </w:pPr>
            <w:r>
              <w:t xml:space="preserve">As discussed in Section </w:t>
            </w:r>
            <w:r>
              <w:fldChar w:fldCharType="begin"/>
            </w:r>
            <w:r>
              <w:instrText xml:space="preserve"> REF _Ref39070330 \r \h </w:instrText>
            </w:r>
            <w:r>
              <w:fldChar w:fldCharType="separate"/>
            </w:r>
            <w:r w:rsidR="00784DE2">
              <w:t>4.4.5</w:t>
            </w:r>
            <w:r>
              <w:fldChar w:fldCharType="end"/>
            </w:r>
            <w:r>
              <w:t>, there is evidence of</w:t>
            </w:r>
            <w:r w:rsidRPr="00707467">
              <w:t xml:space="preserve"> significant difference</w:t>
            </w:r>
            <w:r>
              <w:t>s</w:t>
            </w:r>
            <w:r w:rsidRPr="00707467">
              <w:t xml:space="preserve"> in growth and usage of </w:t>
            </w:r>
            <w:r>
              <w:t>some i</w:t>
            </w:r>
            <w:r w:rsidRPr="00707467">
              <w:t xml:space="preserve">tems between hospital groups. Whilst some of this </w:t>
            </w:r>
            <w:r w:rsidR="00DA7E13">
              <w:t>wa</w:t>
            </w:r>
            <w:r w:rsidR="00DA7E13" w:rsidRPr="00707467">
              <w:t xml:space="preserve">s </w:t>
            </w:r>
            <w:r w:rsidRPr="00707467">
              <w:t xml:space="preserve">undoubtedly driven by differences in procedures and case mix between hospitals, it also suggests that hospital contracting arrangements and hospital and clinician preferences </w:t>
            </w:r>
            <w:r w:rsidR="00E923C3">
              <w:t xml:space="preserve">may </w:t>
            </w:r>
            <w:r w:rsidR="00DA7E13">
              <w:t xml:space="preserve">have </w:t>
            </w:r>
            <w:r w:rsidR="00E923C3">
              <w:t>be</w:t>
            </w:r>
            <w:r w:rsidR="00DA7E13">
              <w:t>en</w:t>
            </w:r>
            <w:r w:rsidR="00E923C3">
              <w:t xml:space="preserve"> having</w:t>
            </w:r>
            <w:r w:rsidRPr="00707467">
              <w:t xml:space="preserve"> an impact on usage of these items.</w:t>
            </w:r>
          </w:p>
          <w:p w14:paraId="33FF99F8" w14:textId="77777777" w:rsidR="002114FA" w:rsidRPr="009C1EE0" w:rsidRDefault="002114FA" w:rsidP="006B5BBF">
            <w:pPr>
              <w:pStyle w:val="Bodytextwithparaspace"/>
              <w:rPr>
                <w:b/>
              </w:rPr>
            </w:pPr>
          </w:p>
        </w:tc>
        <w:tc>
          <w:tcPr>
            <w:tcW w:w="1591" w:type="dxa"/>
          </w:tcPr>
          <w:p w14:paraId="6FC27F14" w14:textId="77777777" w:rsidR="002114FA" w:rsidRPr="005F4673" w:rsidRDefault="002114FA" w:rsidP="006B5BBF">
            <w:pPr>
              <w:pStyle w:val="Bodytextwithparaspace"/>
              <w:rPr>
                <w:b/>
              </w:rPr>
            </w:pPr>
            <w:r w:rsidRPr="005F4673">
              <w:rPr>
                <w:b/>
              </w:rPr>
              <w:t>03.02 Drug Delivery Devices</w:t>
            </w:r>
          </w:p>
          <w:p w14:paraId="1392271E" w14:textId="77777777" w:rsidR="002114FA" w:rsidRPr="005F4673" w:rsidRDefault="002114FA" w:rsidP="006B5BBF">
            <w:pPr>
              <w:pStyle w:val="Bodytextwithparaspace"/>
              <w:rPr>
                <w:b/>
              </w:rPr>
            </w:pPr>
            <w:r w:rsidRPr="005F4673">
              <w:rPr>
                <w:b/>
              </w:rPr>
              <w:t>03.05 Haemostatic Devices</w:t>
            </w:r>
          </w:p>
          <w:p w14:paraId="68F35F52" w14:textId="77777777" w:rsidR="002114FA" w:rsidRPr="00EC3565" w:rsidRDefault="002114FA" w:rsidP="006B5BBF">
            <w:pPr>
              <w:pStyle w:val="Bodytextwithparaspace"/>
              <w:rPr>
                <w:highlight w:val="yellow"/>
              </w:rPr>
            </w:pPr>
            <w:r w:rsidRPr="005F4673">
              <w:rPr>
                <w:b/>
              </w:rPr>
              <w:t>03.08 Closure Devices</w:t>
            </w:r>
          </w:p>
        </w:tc>
      </w:tr>
      <w:tr w:rsidR="001C7584" w14:paraId="6A53E975" w14:textId="77777777" w:rsidTr="00945B32">
        <w:tc>
          <w:tcPr>
            <w:tcW w:w="1173" w:type="dxa"/>
            <w:vMerge w:val="restart"/>
            <w:shd w:val="clear" w:color="auto" w:fill="D2D2DA" w:themeFill="text1" w:themeFillTint="33"/>
          </w:tcPr>
          <w:p w14:paraId="55B3B46A" w14:textId="268F5D88" w:rsidR="001C7584" w:rsidRPr="00A26B3B" w:rsidRDefault="001C7584" w:rsidP="00FA6F76">
            <w:pPr>
              <w:pStyle w:val="Bodytextwithparaspace"/>
            </w:pPr>
            <w:r>
              <w:rPr>
                <w:b/>
              </w:rPr>
              <w:t>Benefit amount</w:t>
            </w:r>
          </w:p>
        </w:tc>
        <w:tc>
          <w:tcPr>
            <w:tcW w:w="7017" w:type="dxa"/>
          </w:tcPr>
          <w:p w14:paraId="6A1D1ACD" w14:textId="2E52285A" w:rsidR="001C7584" w:rsidRPr="00EA0F5A" w:rsidRDefault="00DC2ECF" w:rsidP="006B5BBF">
            <w:pPr>
              <w:pStyle w:val="Bodytextwithparaspace"/>
              <w:rPr>
                <w:b/>
              </w:rPr>
            </w:pPr>
            <w:r w:rsidRPr="00EA0F5A">
              <w:rPr>
                <w:b/>
              </w:rPr>
              <w:t>Benefit amount issues</w:t>
            </w:r>
          </w:p>
          <w:p w14:paraId="799A1192" w14:textId="49B582B2" w:rsidR="001C7584" w:rsidRPr="002207B3" w:rsidRDefault="00DC2ECF" w:rsidP="001C7584">
            <w:pPr>
              <w:pStyle w:val="Bodytextwithparaspace"/>
            </w:pPr>
            <w:r w:rsidRPr="000A4B75">
              <w:rPr>
                <w:i/>
              </w:rPr>
              <w:t>Benefit amount increases not leading to reduced usage</w:t>
            </w:r>
            <w:r w:rsidR="001C7584" w:rsidRPr="00CB6B17">
              <w:rPr>
                <w:i/>
              </w:rPr>
              <w:t xml:space="preserve"> </w:t>
            </w:r>
            <w:r w:rsidR="001C7584" w:rsidRPr="00753BC9">
              <w:t xml:space="preserve">– reference </w:t>
            </w:r>
            <w:r w:rsidR="001C7584" w:rsidRPr="00EA0F5A">
              <w:fldChar w:fldCharType="begin"/>
            </w:r>
            <w:r w:rsidR="001C7584" w:rsidRPr="00447D19">
              <w:instrText xml:space="preserve"> REF _Ref39505624 \r \h  \* MERGEFORMAT </w:instrText>
            </w:r>
            <w:r w:rsidR="001C7584" w:rsidRPr="00EA0F5A">
              <w:fldChar w:fldCharType="separate"/>
            </w:r>
            <w:r w:rsidR="00784DE2">
              <w:t>4.5.2</w:t>
            </w:r>
            <w:r w:rsidR="001C7584" w:rsidRPr="00EA0F5A">
              <w:fldChar w:fldCharType="end"/>
            </w:r>
          </w:p>
          <w:p w14:paraId="120C2062" w14:textId="2E1DDA53" w:rsidR="00DC2ECF" w:rsidRPr="00753BC9" w:rsidRDefault="00DC2ECF" w:rsidP="006B5BBF">
            <w:pPr>
              <w:pStyle w:val="Bodytextwithparaspace"/>
            </w:pPr>
            <w:r w:rsidRPr="00EA0F5A">
              <w:t xml:space="preserve">The examples in this section </w:t>
            </w:r>
            <w:r w:rsidR="00CA50A0">
              <w:t>provide</w:t>
            </w:r>
            <w:r w:rsidR="00CA50A0" w:rsidRPr="00EA0F5A">
              <w:t xml:space="preserve"> </w:t>
            </w:r>
            <w:r w:rsidRPr="00EA0F5A">
              <w:t>clear evidence</w:t>
            </w:r>
            <w:r w:rsidRPr="000A4B75">
              <w:t xml:space="preserve"> of significant increases in benefit amounts for items </w:t>
            </w:r>
            <w:r w:rsidRPr="00CB6B17">
              <w:t xml:space="preserve">in long-standing use that </w:t>
            </w:r>
            <w:r w:rsidRPr="00753BC9">
              <w:t>have not changed. In each case, usage increased following the increase in benefit amount.</w:t>
            </w:r>
          </w:p>
          <w:p w14:paraId="1F4424ED" w14:textId="36CE302A" w:rsidR="001C7584" w:rsidRPr="002207B3" w:rsidRDefault="001C7584" w:rsidP="006B5BBF">
            <w:pPr>
              <w:pStyle w:val="Bodytextwithparaspace"/>
            </w:pPr>
            <w:r w:rsidRPr="00447D19">
              <w:rPr>
                <w:i/>
              </w:rPr>
              <w:t xml:space="preserve">Benefit amount relativity anomalies </w:t>
            </w:r>
            <w:r w:rsidRPr="00447D19">
              <w:t xml:space="preserve">– reference </w:t>
            </w:r>
            <w:r w:rsidRPr="00EA0F5A">
              <w:fldChar w:fldCharType="begin"/>
            </w:r>
            <w:r w:rsidRPr="00447D19">
              <w:instrText xml:space="preserve"> REF _Ref39073392 \r \h  \* MERGEFORMAT </w:instrText>
            </w:r>
            <w:r w:rsidRPr="00EA0F5A">
              <w:fldChar w:fldCharType="separate"/>
            </w:r>
            <w:r w:rsidR="00784DE2">
              <w:t>4.5.3</w:t>
            </w:r>
            <w:r w:rsidRPr="00EA0F5A">
              <w:fldChar w:fldCharType="end"/>
            </w:r>
          </w:p>
          <w:p w14:paraId="4CE826C4" w14:textId="5669F932" w:rsidR="001C7584" w:rsidRPr="000A4B75" w:rsidRDefault="001968AF" w:rsidP="00EA0F5A">
            <w:pPr>
              <w:pStyle w:val="Bodytextwithparaspace"/>
            </w:pPr>
            <w:r w:rsidRPr="00EA0F5A">
              <w:t xml:space="preserve">There </w:t>
            </w:r>
            <w:r w:rsidR="00DA7E13">
              <w:t>have been</w:t>
            </w:r>
            <w:r w:rsidR="00DA7E13" w:rsidRPr="00EA0F5A">
              <w:t xml:space="preserve"> </w:t>
            </w:r>
            <w:r w:rsidRPr="00EA0F5A">
              <w:t xml:space="preserve">a number of cases where the higher cost products </w:t>
            </w:r>
            <w:r w:rsidR="00DA7E13">
              <w:t>were</w:t>
            </w:r>
            <w:r w:rsidRPr="00EA0F5A">
              <w:t xml:space="preserve"> used more extensively than the lower cost alternatives, potentially increasing the total benefits for the PL.</w:t>
            </w:r>
            <w:r w:rsidRPr="000A4B75">
              <w:t xml:space="preserve"> In many of these cases</w:t>
            </w:r>
            <w:r w:rsidRPr="00CB6B17">
              <w:t>,</w:t>
            </w:r>
            <w:r w:rsidRPr="00753BC9">
              <w:t xml:space="preserve"> the pricing relativities between products appear</w:t>
            </w:r>
            <w:r w:rsidR="00DA7E13">
              <w:t>ed</w:t>
            </w:r>
            <w:r w:rsidRPr="00753BC9">
              <w:t xml:space="preserve"> at odds with </w:t>
            </w:r>
            <w:r w:rsidRPr="00447D19">
              <w:t>differences in their clinical functionality.</w:t>
            </w:r>
            <w:r w:rsidR="00C65E47" w:rsidRPr="00DC636B">
              <w:t xml:space="preserve"> A</w:t>
            </w:r>
            <w:r w:rsidRPr="002207B3">
              <w:t>s noted in</w:t>
            </w:r>
            <w:r w:rsidR="00C65E47" w:rsidRPr="00DC636B">
              <w:t xml:space="preserve"> </w:t>
            </w:r>
            <w:r w:rsidR="002016C7" w:rsidRPr="00DC636B">
              <w:t>Finding</w:t>
            </w:r>
            <w:r w:rsidRPr="002207B3">
              <w:t xml:space="preserve"> </w:t>
            </w:r>
            <w:r w:rsidRPr="00EA0F5A">
              <w:fldChar w:fldCharType="begin"/>
            </w:r>
            <w:r w:rsidRPr="00447D19">
              <w:instrText xml:space="preserve"> REF _Ref38907991 \n \h  \* MERGEFORMAT </w:instrText>
            </w:r>
            <w:r w:rsidRPr="00EA0F5A">
              <w:fldChar w:fldCharType="separate"/>
            </w:r>
            <w:r w:rsidR="00784DE2">
              <w:t>0</w:t>
            </w:r>
            <w:r w:rsidRPr="00EA0F5A">
              <w:fldChar w:fldCharType="end"/>
            </w:r>
            <w:r w:rsidR="002016C7" w:rsidRPr="00DC636B">
              <w:t xml:space="preserve"> (1)</w:t>
            </w:r>
            <w:r w:rsidRPr="002207B3">
              <w:t xml:space="preserve">, it is difficult to determine whether the </w:t>
            </w:r>
            <w:r w:rsidRPr="00EA0F5A">
              <w:t>larger/more expensive versions of these items are warranted by clinical need or other efficiencies to drive better outcomes.</w:t>
            </w:r>
          </w:p>
        </w:tc>
        <w:tc>
          <w:tcPr>
            <w:tcW w:w="1591" w:type="dxa"/>
          </w:tcPr>
          <w:p w14:paraId="01240A45" w14:textId="77777777" w:rsidR="001C7584" w:rsidRPr="00447D19" w:rsidRDefault="001C7584" w:rsidP="006B5BBF">
            <w:pPr>
              <w:pStyle w:val="Bodytextwithparaspace"/>
            </w:pPr>
            <w:r w:rsidRPr="00CB6B17">
              <w:rPr>
                <w:b/>
              </w:rPr>
              <w:t>0</w:t>
            </w:r>
            <w:r w:rsidRPr="00753BC9">
              <w:rPr>
                <w:b/>
              </w:rPr>
              <w:t>3.08.02 Internal Adhesives</w:t>
            </w:r>
            <w:r w:rsidRPr="00447D19">
              <w:t xml:space="preserve"> (adhesive accessories and adhesives ≤2ml)</w:t>
            </w:r>
          </w:p>
          <w:p w14:paraId="5259FCCF" w14:textId="77777777" w:rsidR="001C7584" w:rsidRPr="00447D19" w:rsidRDefault="001C7584" w:rsidP="006B5BBF">
            <w:pPr>
              <w:pStyle w:val="Heading5"/>
              <w:rPr>
                <w:sz w:val="20"/>
              </w:rPr>
            </w:pPr>
            <w:r w:rsidRPr="00447D19">
              <w:rPr>
                <w:sz w:val="20"/>
              </w:rPr>
              <w:t>03.02.02.01 Infusion Pumps, Balloon Based</w:t>
            </w:r>
          </w:p>
          <w:p w14:paraId="1B2F74C3" w14:textId="35773CF0" w:rsidR="001C7584" w:rsidRPr="00447D19" w:rsidRDefault="001C7584" w:rsidP="006B5BBF">
            <w:pPr>
              <w:pStyle w:val="Bodytextwithparaspace"/>
            </w:pPr>
            <w:r w:rsidRPr="00447D19">
              <w:rPr>
                <w:b/>
              </w:rPr>
              <w:t>03.05.04 Pliable Patches</w:t>
            </w:r>
          </w:p>
          <w:p w14:paraId="1FDFDDFD" w14:textId="7EC5BDB7" w:rsidR="00E76C25" w:rsidRPr="00DC636B" w:rsidRDefault="001C7584" w:rsidP="006B5BBF">
            <w:pPr>
              <w:pStyle w:val="Bodytextwithparaspace"/>
              <w:rPr>
                <w:b/>
              </w:rPr>
            </w:pPr>
            <w:r w:rsidRPr="00447D19">
              <w:rPr>
                <w:b/>
              </w:rPr>
              <w:t>03.05.05 Matrix</w:t>
            </w:r>
          </w:p>
        </w:tc>
      </w:tr>
      <w:tr w:rsidR="001C7584" w14:paraId="3CE3A9D2" w14:textId="77777777" w:rsidTr="00945B32">
        <w:tc>
          <w:tcPr>
            <w:tcW w:w="1173" w:type="dxa"/>
            <w:vMerge/>
            <w:shd w:val="clear" w:color="auto" w:fill="D2D2DA" w:themeFill="text1" w:themeFillTint="33"/>
          </w:tcPr>
          <w:p w14:paraId="30301056" w14:textId="77777777" w:rsidR="001C7584" w:rsidRPr="00EC3565" w:rsidRDefault="001C7584" w:rsidP="006B5BBF">
            <w:pPr>
              <w:pStyle w:val="Bodytextwithparaspace"/>
              <w:rPr>
                <w:highlight w:val="yellow"/>
              </w:rPr>
            </w:pPr>
          </w:p>
        </w:tc>
        <w:tc>
          <w:tcPr>
            <w:tcW w:w="7017" w:type="dxa"/>
          </w:tcPr>
          <w:p w14:paraId="3EEF7D1F" w14:textId="57DD1F3E" w:rsidR="001C7584" w:rsidRPr="002207B3" w:rsidRDefault="001C7584" w:rsidP="006B5BBF">
            <w:pPr>
              <w:pStyle w:val="Bodytextwithparaspace"/>
            </w:pPr>
            <w:r w:rsidRPr="002207B3">
              <w:rPr>
                <w:b/>
              </w:rPr>
              <w:t xml:space="preserve">Comparison to the public system </w:t>
            </w:r>
            <w:r w:rsidRPr="00EA0F5A">
              <w:t xml:space="preserve">– reference </w:t>
            </w:r>
            <w:r w:rsidRPr="00EA0F5A">
              <w:fldChar w:fldCharType="begin"/>
            </w:r>
            <w:r w:rsidRPr="00447D19">
              <w:instrText xml:space="preserve"> REF _Ref39074132 \r \h  \* MERGEFORMAT </w:instrText>
            </w:r>
            <w:r w:rsidRPr="00EA0F5A">
              <w:fldChar w:fldCharType="separate"/>
            </w:r>
            <w:r w:rsidR="00784DE2">
              <w:t>4.5.4</w:t>
            </w:r>
            <w:r w:rsidRPr="00EA0F5A">
              <w:fldChar w:fldCharType="end"/>
            </w:r>
          </w:p>
          <w:p w14:paraId="049FEBDA" w14:textId="1C9EA2B0" w:rsidR="001C7584" w:rsidRPr="000A4B75" w:rsidRDefault="001C7584" w:rsidP="006B5BBF">
            <w:pPr>
              <w:pStyle w:val="Bodytextwithparaspace"/>
              <w:rPr>
                <w:b/>
              </w:rPr>
            </w:pPr>
            <w:r w:rsidRPr="00EA0F5A">
              <w:t xml:space="preserve">Overall, the analysis in Section </w:t>
            </w:r>
            <w:r w:rsidRPr="00EA0F5A">
              <w:fldChar w:fldCharType="begin"/>
            </w:r>
            <w:r w:rsidRPr="00447D19">
              <w:instrText xml:space="preserve"> REF _Ref39074132 \r \h </w:instrText>
            </w:r>
            <w:r w:rsidR="002016C7">
              <w:instrText xml:space="preserve"> \* MERGEFORMAT </w:instrText>
            </w:r>
            <w:r w:rsidRPr="00EA0F5A">
              <w:fldChar w:fldCharType="separate"/>
            </w:r>
            <w:r w:rsidR="00784DE2">
              <w:t>4.5.4</w:t>
            </w:r>
            <w:r w:rsidRPr="00EA0F5A">
              <w:fldChar w:fldCharType="end"/>
            </w:r>
            <w:r w:rsidRPr="002207B3">
              <w:t xml:space="preserve"> does not suggest that GM items on the PL have significantly higher benefit prices than in the public system. For low volume products, the analysis found that the PL can provide a discount compared to the public sector. Conversely, for hig</w:t>
            </w:r>
            <w:r w:rsidRPr="00EA0F5A">
              <w:t>h volume products, like many GM items, the public sector can offer lower prices. However, as the public health system relies heavily on the PL when setting prices, this analysis does not necessarily suggest that the PL is reflective of a true ‘market price</w:t>
            </w:r>
            <w:r w:rsidRPr="000A4B75">
              <w:t>’.</w:t>
            </w:r>
          </w:p>
        </w:tc>
        <w:tc>
          <w:tcPr>
            <w:tcW w:w="1591" w:type="dxa"/>
          </w:tcPr>
          <w:p w14:paraId="0627B8A8" w14:textId="77777777" w:rsidR="001C7584" w:rsidRPr="00DC636B" w:rsidRDefault="001C7584" w:rsidP="006B5BBF">
            <w:pPr>
              <w:pStyle w:val="Bodytextwithparaspace"/>
              <w:rPr>
                <w:b/>
              </w:rPr>
            </w:pPr>
            <w:r w:rsidRPr="00CB6B17">
              <w:rPr>
                <w:b/>
              </w:rPr>
              <w:t>All ‘High’ priority GM items</w:t>
            </w:r>
          </w:p>
        </w:tc>
      </w:tr>
    </w:tbl>
    <w:p w14:paraId="04F6BE40" w14:textId="77777777" w:rsidR="00DB7650" w:rsidRDefault="00DB7650" w:rsidP="00DB7650">
      <w:pPr>
        <w:pStyle w:val="Bodytextwithparaspace"/>
      </w:pPr>
    </w:p>
    <w:p w14:paraId="76272A5F" w14:textId="37D612BC" w:rsidR="007010D9" w:rsidRDefault="00621D93" w:rsidP="00EC26EA">
      <w:pPr>
        <w:pStyle w:val="EYHeading3"/>
      </w:pPr>
      <w:r>
        <w:br w:type="page"/>
      </w:r>
      <w:r w:rsidR="007010D9">
        <w:t>Causes</w:t>
      </w:r>
    </w:p>
    <w:tbl>
      <w:tblPr>
        <w:tblStyle w:val="TableGrid"/>
        <w:tblW w:w="9781" w:type="dxa"/>
        <w:tblLook w:val="04A0" w:firstRow="1" w:lastRow="0" w:firstColumn="1" w:lastColumn="0" w:noHBand="0" w:noVBand="1"/>
        <w:tblCaption w:val="Causes"/>
        <w:tblDescription w:val="This table describes the identified causes of problems"/>
      </w:tblPr>
      <w:tblGrid>
        <w:gridCol w:w="1267"/>
        <w:gridCol w:w="6924"/>
        <w:gridCol w:w="1590"/>
      </w:tblGrid>
      <w:tr w:rsidR="00605D9C" w:rsidRPr="00EC3565" w14:paraId="396EDC62" w14:textId="77777777" w:rsidTr="00945B32">
        <w:trPr>
          <w:tblHeader/>
        </w:trPr>
        <w:tc>
          <w:tcPr>
            <w:tcW w:w="1267" w:type="dxa"/>
            <w:shd w:val="clear" w:color="auto" w:fill="FFE600" w:themeFill="text2"/>
          </w:tcPr>
          <w:p w14:paraId="298ECE9D" w14:textId="11898D08" w:rsidR="00605D9C" w:rsidRPr="00A26B3B" w:rsidRDefault="007010D9" w:rsidP="00CC05C7">
            <w:pPr>
              <w:pStyle w:val="Bodytextwithparaspace"/>
              <w:rPr>
                <w:b/>
                <w:highlight w:val="yellow"/>
              </w:rPr>
            </w:pPr>
            <w:r>
              <w:rPr>
                <w:b/>
              </w:rPr>
              <w:t>C</w:t>
            </w:r>
            <w:r w:rsidR="002016C7">
              <w:rPr>
                <w:b/>
              </w:rPr>
              <w:t>ause</w:t>
            </w:r>
            <w:r w:rsidR="00605D9C">
              <w:rPr>
                <w:b/>
              </w:rPr>
              <w:t xml:space="preserve"> type</w:t>
            </w:r>
          </w:p>
        </w:tc>
        <w:tc>
          <w:tcPr>
            <w:tcW w:w="6924" w:type="dxa"/>
            <w:shd w:val="clear" w:color="auto" w:fill="FFE600" w:themeFill="text2"/>
          </w:tcPr>
          <w:p w14:paraId="66992C28" w14:textId="77777777" w:rsidR="00605D9C" w:rsidRPr="00EC3565" w:rsidRDefault="00605D9C" w:rsidP="00CC05C7">
            <w:pPr>
              <w:pStyle w:val="Bodytextwithparaspace"/>
              <w:rPr>
                <w:highlight w:val="yellow"/>
              </w:rPr>
            </w:pPr>
            <w:r w:rsidRPr="005F4673">
              <w:rPr>
                <w:b/>
              </w:rPr>
              <w:t>Finding</w:t>
            </w:r>
          </w:p>
        </w:tc>
        <w:tc>
          <w:tcPr>
            <w:tcW w:w="1590" w:type="dxa"/>
            <w:shd w:val="clear" w:color="auto" w:fill="FFE600" w:themeFill="text2"/>
          </w:tcPr>
          <w:p w14:paraId="1D3FF38B" w14:textId="5FFA7B27" w:rsidR="00605D9C" w:rsidRPr="00EC3565" w:rsidRDefault="00605D9C" w:rsidP="00EC26EA">
            <w:pPr>
              <w:pStyle w:val="Bodytextwithparaspace"/>
              <w:spacing w:after="0"/>
              <w:rPr>
                <w:highlight w:val="yellow"/>
              </w:rPr>
            </w:pPr>
            <w:r w:rsidRPr="005F4673">
              <w:rPr>
                <w:b/>
              </w:rPr>
              <w:t xml:space="preserve">Relevant </w:t>
            </w:r>
            <w:r w:rsidR="002016C7">
              <w:rPr>
                <w:b/>
              </w:rPr>
              <w:t>effects/issues</w:t>
            </w:r>
          </w:p>
        </w:tc>
      </w:tr>
      <w:tr w:rsidR="00692C64" w14:paraId="482E84E9" w14:textId="77777777" w:rsidTr="00945B32">
        <w:tc>
          <w:tcPr>
            <w:tcW w:w="1267" w:type="dxa"/>
            <w:vMerge w:val="restart"/>
            <w:shd w:val="clear" w:color="auto" w:fill="D2D2DA" w:themeFill="text1" w:themeFillTint="33"/>
          </w:tcPr>
          <w:p w14:paraId="10C2596A" w14:textId="7981AD43" w:rsidR="00692C64" w:rsidRPr="00DC636B" w:rsidRDefault="00692C64" w:rsidP="00CC05C7">
            <w:pPr>
              <w:pStyle w:val="Bodytextwithparaspace"/>
              <w:rPr>
                <w:b/>
              </w:rPr>
            </w:pPr>
            <w:r w:rsidRPr="00DC636B">
              <w:rPr>
                <w:b/>
              </w:rPr>
              <w:t>Listing process</w:t>
            </w:r>
            <w:r>
              <w:rPr>
                <w:b/>
              </w:rPr>
              <w:t>es</w:t>
            </w:r>
          </w:p>
        </w:tc>
        <w:tc>
          <w:tcPr>
            <w:tcW w:w="6924" w:type="dxa"/>
          </w:tcPr>
          <w:p w14:paraId="6EE72F9F" w14:textId="1C3DE360" w:rsidR="00692C64" w:rsidRPr="00DC636B" w:rsidRDefault="00692C64" w:rsidP="00CC05C7">
            <w:pPr>
              <w:pStyle w:val="Bodytextwithparaspace"/>
              <w:rPr>
                <w:b/>
              </w:rPr>
            </w:pPr>
            <w:r>
              <w:rPr>
                <w:b/>
              </w:rPr>
              <w:t>Lack of a robust assessment process</w:t>
            </w:r>
            <w:r>
              <w:t xml:space="preserve"> </w:t>
            </w:r>
            <w:r>
              <w:rPr>
                <w:b/>
              </w:rPr>
              <w:t>for inclusion on the PL</w:t>
            </w:r>
          </w:p>
          <w:p w14:paraId="0AECF733" w14:textId="3AF419E9" w:rsidR="00692C64" w:rsidRPr="00DC636B" w:rsidRDefault="00692C64" w:rsidP="00CC05C7">
            <w:pPr>
              <w:pStyle w:val="Bodytextwithparaspace"/>
            </w:pPr>
            <w:r w:rsidRPr="00DC636B">
              <w:t xml:space="preserve">That items have been listed on the PL but do not meet the criteria strongly suggests that there are issues with the </w:t>
            </w:r>
            <w:r w:rsidR="00281E82">
              <w:t>inclusion assessment</w:t>
            </w:r>
            <w:r w:rsidRPr="00DC636B">
              <w:t xml:space="preserve"> process. As noted in Section </w:t>
            </w:r>
            <w:r w:rsidRPr="00DC636B">
              <w:fldChar w:fldCharType="begin"/>
            </w:r>
            <w:r w:rsidRPr="00DC636B">
              <w:instrText xml:space="preserve"> REF _Ref41296027 \r \h </w:instrText>
            </w:r>
            <w:r>
              <w:instrText xml:space="preserve"> \* MERGEFORMAT </w:instrText>
            </w:r>
            <w:r w:rsidRPr="00DC636B">
              <w:fldChar w:fldCharType="separate"/>
            </w:r>
            <w:r w:rsidR="00784DE2">
              <w:t>4.3.2.6</w:t>
            </w:r>
            <w:r w:rsidRPr="00DC636B">
              <w:fldChar w:fldCharType="end"/>
            </w:r>
            <w:r w:rsidRPr="00DC636B">
              <w:t xml:space="preserve">, </w:t>
            </w:r>
            <w:r w:rsidRPr="005D2B45">
              <w:t>the application assessment is often performed by individual clinicians with a focus on the absolute clinical benefits of the product – rather than a robust assessment of the extent to which the product meets the criteria and whether more appropriate funding mechanisms might exist.</w:t>
            </w:r>
          </w:p>
        </w:tc>
        <w:tc>
          <w:tcPr>
            <w:tcW w:w="1590" w:type="dxa"/>
          </w:tcPr>
          <w:p w14:paraId="3FD42224" w14:textId="39945CE2" w:rsidR="00692C64" w:rsidRPr="00A26B3B" w:rsidRDefault="00692C64" w:rsidP="00CC05C7">
            <w:pPr>
              <w:pStyle w:val="Bodytextwithparaspace"/>
              <w:rPr>
                <w:b/>
                <w:highlight w:val="yellow"/>
              </w:rPr>
            </w:pPr>
            <w:r>
              <w:fldChar w:fldCharType="begin"/>
            </w:r>
            <w:r>
              <w:instrText xml:space="preserve"> REF _Ref39048041 \r \h </w:instrText>
            </w:r>
            <w:r>
              <w:fldChar w:fldCharType="separate"/>
            </w:r>
            <w:r w:rsidR="00784DE2">
              <w:t>4.3.2</w:t>
            </w:r>
            <w:r>
              <w:fldChar w:fldCharType="end"/>
            </w:r>
            <w:r>
              <w:t xml:space="preserve"> (1)</w:t>
            </w:r>
          </w:p>
        </w:tc>
      </w:tr>
      <w:tr w:rsidR="00692C64" w14:paraId="120AF3FE" w14:textId="77777777" w:rsidTr="00945B32">
        <w:tc>
          <w:tcPr>
            <w:tcW w:w="1267" w:type="dxa"/>
            <w:vMerge/>
            <w:shd w:val="clear" w:color="auto" w:fill="D2D2DA" w:themeFill="text1" w:themeFillTint="33"/>
          </w:tcPr>
          <w:p w14:paraId="155B5AD9" w14:textId="77777777" w:rsidR="00692C64" w:rsidRPr="00DC636B" w:rsidRDefault="00692C64" w:rsidP="00CC05C7">
            <w:pPr>
              <w:pStyle w:val="Bodytextwithparaspace"/>
              <w:rPr>
                <w:b/>
              </w:rPr>
            </w:pPr>
          </w:p>
        </w:tc>
        <w:tc>
          <w:tcPr>
            <w:tcW w:w="6924" w:type="dxa"/>
            <w:shd w:val="clear" w:color="auto" w:fill="auto"/>
          </w:tcPr>
          <w:p w14:paraId="79881BE9" w14:textId="138E52DE" w:rsidR="00692C64" w:rsidRPr="00DC636B" w:rsidRDefault="00692C64" w:rsidP="00CC05C7">
            <w:pPr>
              <w:pStyle w:val="Bodytextwithparaspace"/>
              <w:rPr>
                <w:b/>
              </w:rPr>
            </w:pPr>
            <w:r w:rsidRPr="002207B3">
              <w:rPr>
                <w:b/>
              </w:rPr>
              <w:t>Ease of c</w:t>
            </w:r>
            <w:r w:rsidRPr="00EA0F5A">
              <w:rPr>
                <w:b/>
              </w:rPr>
              <w:t>hanging classifications</w:t>
            </w:r>
          </w:p>
          <w:p w14:paraId="6CB8E79C" w14:textId="7FD14187" w:rsidR="00692C64" w:rsidRPr="002207B3" w:rsidRDefault="00692C64" w:rsidP="00CC05C7">
            <w:pPr>
              <w:pStyle w:val="Bodytextwithparaspace"/>
              <w:rPr>
                <w:b/>
              </w:rPr>
            </w:pPr>
            <w:r w:rsidRPr="002207B3">
              <w:t>The classification and listing processes have sufficien</w:t>
            </w:r>
            <w:r w:rsidRPr="00EA0F5A">
              <w:t>t room for interpretation to enable items to be</w:t>
            </w:r>
            <w:r w:rsidRPr="00DC636B">
              <w:t xml:space="preserve"> easily</w:t>
            </w:r>
            <w:r w:rsidRPr="002207B3">
              <w:t xml:space="preserve"> moved from one suffix to another, </w:t>
            </w:r>
            <w:r w:rsidR="00367130">
              <w:t xml:space="preserve">sometimes along with </w:t>
            </w:r>
            <w:r w:rsidRPr="002207B3">
              <w:t xml:space="preserve">significant increases in benefit amounts. It </w:t>
            </w:r>
            <w:r w:rsidRPr="00DC636B">
              <w:t xml:space="preserve">should be </w:t>
            </w:r>
            <w:r w:rsidR="00DA7E13">
              <w:t>relatively unusual to see</w:t>
            </w:r>
            <w:r w:rsidRPr="002207B3">
              <w:t xml:space="preserve"> </w:t>
            </w:r>
            <w:r w:rsidRPr="00DC636B">
              <w:t xml:space="preserve">a significant increase in the benefit amount </w:t>
            </w:r>
            <w:r w:rsidRPr="002207B3">
              <w:t>for an item of long-standing use when there has been no change to th</w:t>
            </w:r>
            <w:r w:rsidRPr="00DC636B">
              <w:t>e item itself.</w:t>
            </w:r>
          </w:p>
        </w:tc>
        <w:tc>
          <w:tcPr>
            <w:tcW w:w="1590" w:type="dxa"/>
          </w:tcPr>
          <w:p w14:paraId="0C9A2F08" w14:textId="4B798932" w:rsidR="00692C64" w:rsidRPr="00A26B3B" w:rsidRDefault="00692C64" w:rsidP="00CC05C7">
            <w:pPr>
              <w:pStyle w:val="Bodytextwithparaspace"/>
              <w:rPr>
                <w:b/>
                <w:highlight w:val="yellow"/>
              </w:rPr>
            </w:pPr>
            <w:r w:rsidRPr="002E0D4C">
              <w:fldChar w:fldCharType="begin"/>
            </w:r>
            <w:r w:rsidRPr="002E0D4C">
              <w:instrText xml:space="preserve"> REF _Ref39505624 \r \h  \* MERGEFORMAT </w:instrText>
            </w:r>
            <w:r w:rsidRPr="002E0D4C">
              <w:fldChar w:fldCharType="separate"/>
            </w:r>
            <w:r w:rsidR="00784DE2">
              <w:t>4.5.2</w:t>
            </w:r>
            <w:r w:rsidRPr="002E0D4C">
              <w:fldChar w:fldCharType="end"/>
            </w:r>
          </w:p>
        </w:tc>
      </w:tr>
      <w:tr w:rsidR="00692C64" w14:paraId="12E6D04F" w14:textId="77777777" w:rsidTr="00945B32">
        <w:tc>
          <w:tcPr>
            <w:tcW w:w="1267" w:type="dxa"/>
            <w:vMerge/>
            <w:shd w:val="clear" w:color="auto" w:fill="D2D2DA" w:themeFill="text1" w:themeFillTint="33"/>
          </w:tcPr>
          <w:p w14:paraId="7E28238D" w14:textId="77777777" w:rsidR="00692C64" w:rsidRPr="00447D19" w:rsidRDefault="00692C64" w:rsidP="00CC05C7">
            <w:pPr>
              <w:pStyle w:val="Bodytextwithparaspace"/>
              <w:rPr>
                <w:b/>
              </w:rPr>
            </w:pPr>
          </w:p>
        </w:tc>
        <w:tc>
          <w:tcPr>
            <w:tcW w:w="6924" w:type="dxa"/>
            <w:shd w:val="clear" w:color="auto" w:fill="auto"/>
          </w:tcPr>
          <w:p w14:paraId="60655937" w14:textId="77777777" w:rsidR="00692C64" w:rsidRPr="00DC636B" w:rsidRDefault="00692C64" w:rsidP="00CC05C7">
            <w:pPr>
              <w:pStyle w:val="Bodytextwithparaspace"/>
              <w:rPr>
                <w:b/>
              </w:rPr>
            </w:pPr>
            <w:r w:rsidRPr="00DC636B">
              <w:rPr>
                <w:b/>
              </w:rPr>
              <w:t>Lack of rigorous monitoring and enforcement</w:t>
            </w:r>
          </w:p>
          <w:p w14:paraId="64E8D38D" w14:textId="5CC9D1E7" w:rsidR="00692C64" w:rsidRPr="00DC636B" w:rsidRDefault="00692C64" w:rsidP="00CC05C7">
            <w:pPr>
              <w:pStyle w:val="Bodytextwithparaspace"/>
            </w:pPr>
            <w:r w:rsidRPr="002207B3">
              <w:t>Th</w:t>
            </w:r>
            <w:r w:rsidRPr="00EA0F5A">
              <w:t xml:space="preserve">e potential issues around inappropriate </w:t>
            </w:r>
            <w:r w:rsidRPr="000A4B75">
              <w:t>usage of</w:t>
            </w:r>
            <w:r w:rsidRPr="00CB6B17">
              <w:t xml:space="preserve"> infusion pump accessories would </w:t>
            </w:r>
            <w:r w:rsidRPr="00753BC9">
              <w:t>be a symptom</w:t>
            </w:r>
            <w:r w:rsidRPr="00447D19">
              <w:t xml:space="preserve"> of a broader issue relating to the lack of transparency (to the Department and to funders – private health insurers) around the circumstances of their use and the limited ability for usage that contravenes the Prostheses List Guidelines to be prevented or penalised. </w:t>
            </w:r>
          </w:p>
        </w:tc>
        <w:tc>
          <w:tcPr>
            <w:tcW w:w="1590" w:type="dxa"/>
          </w:tcPr>
          <w:p w14:paraId="5308C7D3" w14:textId="2CB602A5" w:rsidR="00692C64" w:rsidRPr="002E0D4C" w:rsidRDefault="00692C64" w:rsidP="00CC05C7">
            <w:pPr>
              <w:pStyle w:val="Bodytextwithparaspace"/>
            </w:pPr>
            <w:r>
              <w:fldChar w:fldCharType="begin"/>
            </w:r>
            <w:r>
              <w:instrText xml:space="preserve"> REF _Ref38907991 \r \h </w:instrText>
            </w:r>
            <w:r>
              <w:fldChar w:fldCharType="separate"/>
            </w:r>
            <w:r w:rsidR="00784DE2">
              <w:t>0</w:t>
            </w:r>
            <w:r>
              <w:fldChar w:fldCharType="end"/>
            </w:r>
            <w:r>
              <w:t xml:space="preserve"> (2)</w:t>
            </w:r>
          </w:p>
        </w:tc>
      </w:tr>
      <w:tr w:rsidR="00605D9C" w14:paraId="07385825" w14:textId="77777777" w:rsidTr="00945B32">
        <w:tc>
          <w:tcPr>
            <w:tcW w:w="1267" w:type="dxa"/>
            <w:shd w:val="clear" w:color="auto" w:fill="D2D2DA" w:themeFill="text1" w:themeFillTint="33"/>
          </w:tcPr>
          <w:p w14:paraId="6F27322B" w14:textId="2CD24DAD" w:rsidR="00605D9C" w:rsidRPr="00DC636B" w:rsidRDefault="00605D9C" w:rsidP="00CC05C7">
            <w:pPr>
              <w:pStyle w:val="Bodytextwithparaspace"/>
              <w:rPr>
                <w:b/>
                <w:highlight w:val="yellow"/>
              </w:rPr>
            </w:pPr>
            <w:r w:rsidRPr="00DC636B">
              <w:rPr>
                <w:b/>
              </w:rPr>
              <w:t>Listing criteria</w:t>
            </w:r>
          </w:p>
        </w:tc>
        <w:tc>
          <w:tcPr>
            <w:tcW w:w="6924" w:type="dxa"/>
          </w:tcPr>
          <w:p w14:paraId="28772FC6" w14:textId="1E6BF6A0" w:rsidR="005D2B45" w:rsidRPr="005D2B45" w:rsidRDefault="005D2B45" w:rsidP="005D2B45">
            <w:pPr>
              <w:pStyle w:val="Bodytextwithparaspace"/>
            </w:pPr>
            <w:r>
              <w:rPr>
                <w:b/>
              </w:rPr>
              <w:t>Lack of clarity in listing criteria</w:t>
            </w:r>
            <w:r>
              <w:t xml:space="preserve"> </w:t>
            </w:r>
          </w:p>
          <w:p w14:paraId="6ADAB497" w14:textId="63C21A48" w:rsidR="005D2B45" w:rsidRPr="00DC636B" w:rsidRDefault="005D2B45" w:rsidP="005D2B45">
            <w:pPr>
              <w:pStyle w:val="Bodytextwithparaspace"/>
            </w:pPr>
            <w:r w:rsidRPr="00DC636B">
              <w:t>There are a number of grey areas around the boundary for inclusion under criterion 4a. Specific issues arise from:</w:t>
            </w:r>
          </w:p>
          <w:p w14:paraId="634EE895" w14:textId="77777777" w:rsidR="005D2B45" w:rsidRPr="00DC636B" w:rsidRDefault="005D2B45" w:rsidP="00463B2D">
            <w:pPr>
              <w:pStyle w:val="Bodytextwithparaspace"/>
              <w:numPr>
                <w:ilvl w:val="1"/>
                <w:numId w:val="11"/>
              </w:numPr>
              <w:ind w:left="709"/>
            </w:pPr>
            <w:r w:rsidRPr="00DC636B">
              <w:t>The lack of a clear definition for a ‘prosthetic’ item;</w:t>
            </w:r>
          </w:p>
          <w:p w14:paraId="653D9356" w14:textId="77777777" w:rsidR="005D2B45" w:rsidRPr="00DC636B" w:rsidRDefault="005D2B45" w:rsidP="00463B2D">
            <w:pPr>
              <w:pStyle w:val="Bodytextwithparaspace"/>
              <w:numPr>
                <w:ilvl w:val="1"/>
                <w:numId w:val="11"/>
              </w:numPr>
              <w:ind w:left="709"/>
            </w:pPr>
            <w:r w:rsidRPr="00DC636B">
              <w:t>Ambiguity in the term ‘implantable’ – in particular, whether this should be long-term/permanent; and</w:t>
            </w:r>
          </w:p>
          <w:p w14:paraId="064A4A13" w14:textId="77777777" w:rsidR="005D2B45" w:rsidRPr="00DC636B" w:rsidRDefault="005D2B45" w:rsidP="00463B2D">
            <w:pPr>
              <w:pStyle w:val="Bodytextwithparaspace"/>
              <w:numPr>
                <w:ilvl w:val="1"/>
                <w:numId w:val="11"/>
              </w:numPr>
              <w:ind w:left="709"/>
            </w:pPr>
            <w:r w:rsidRPr="00DC636B">
              <w:t>Ambiguity in the terms ‘pathological process’ and ‘physiological process’ – for example, whether these include processes such as bleeding which can result from the surgery itself but are not the main reason for the surgery in the first place.</w:t>
            </w:r>
          </w:p>
          <w:p w14:paraId="6B0869BB" w14:textId="77777777" w:rsidR="005D2B45" w:rsidRPr="00DC636B" w:rsidRDefault="005D2B45" w:rsidP="005D2B45">
            <w:pPr>
              <w:pStyle w:val="Bodytextwithparaspace"/>
            </w:pPr>
            <w:r w:rsidRPr="00DC636B">
              <w:t xml:space="preserve">Similarly, criteria 4b and 4c are open to interpretation since they do not require an explicit link to implantable devices to be specified, nor the extent to which it aids or continues to be critical to the implantable device. </w:t>
            </w:r>
          </w:p>
          <w:p w14:paraId="3CCD18EE" w14:textId="19CBD015" w:rsidR="005D2B45" w:rsidRPr="00DC636B" w:rsidRDefault="005D2B45" w:rsidP="005D2B45">
            <w:pPr>
              <w:pStyle w:val="Bodytextwithparaspace"/>
            </w:pPr>
            <w:r w:rsidRPr="00DC636B">
              <w:t>This highlights again the broad applicability of the listing criteria in their current form and the confusion around what constitutes a ‘</w:t>
            </w:r>
            <w:r w:rsidR="00DA7E13" w:rsidRPr="00DC636B">
              <w:t>prosthe</w:t>
            </w:r>
            <w:r w:rsidR="00DA7E13">
              <w:t>tic</w:t>
            </w:r>
            <w:r w:rsidR="00DA7E13" w:rsidRPr="00DC636B">
              <w:t>’</w:t>
            </w:r>
            <w:r w:rsidR="00DA7E13">
              <w:t xml:space="preserve"> item</w:t>
            </w:r>
            <w:r w:rsidRPr="00DC636B">
              <w:t>. This can result in significant scope for inclusion of products that may or may have been intended to be covered by the specific funding mechanism of the PL.</w:t>
            </w:r>
          </w:p>
          <w:p w14:paraId="52E7568C" w14:textId="37031B6D" w:rsidR="00605D9C" w:rsidRPr="00DC636B" w:rsidRDefault="005838B3" w:rsidP="00CC05C7">
            <w:pPr>
              <w:pStyle w:val="Bodytextwithparaspace"/>
            </w:pPr>
            <w:r w:rsidRPr="002207B3">
              <w:t xml:space="preserve">Choosing a fairly broad definition </w:t>
            </w:r>
            <w:r w:rsidR="00E40378" w:rsidRPr="00DC636B">
              <w:t xml:space="preserve">for a </w:t>
            </w:r>
            <w:r w:rsidR="00DA7E13" w:rsidRPr="00DC636B">
              <w:t>prosthe</w:t>
            </w:r>
            <w:r w:rsidR="00DA7E13">
              <w:t>tic item</w:t>
            </w:r>
            <w:r w:rsidR="00692C64" w:rsidRPr="00DC636B">
              <w:t>, as has been done in the listing criteria, only makes it more difficult to precisely define boundaries.</w:t>
            </w:r>
          </w:p>
        </w:tc>
        <w:tc>
          <w:tcPr>
            <w:tcW w:w="1590" w:type="dxa"/>
          </w:tcPr>
          <w:p w14:paraId="09A868C4" w14:textId="028C3446" w:rsidR="002016C7" w:rsidRPr="005D2B45" w:rsidRDefault="002016C7" w:rsidP="002016C7">
            <w:pPr>
              <w:pStyle w:val="Bodytextwithparaspace"/>
            </w:pPr>
            <w:r>
              <w:fldChar w:fldCharType="begin"/>
            </w:r>
            <w:r>
              <w:instrText xml:space="preserve"> REF _Ref39048041 \r \h </w:instrText>
            </w:r>
            <w:r w:rsidR="00194AD6">
              <w:instrText xml:space="preserve"> \* MERGEFORMAT </w:instrText>
            </w:r>
            <w:r>
              <w:fldChar w:fldCharType="separate"/>
            </w:r>
            <w:r w:rsidR="00784DE2">
              <w:t>4.3.2</w:t>
            </w:r>
            <w:r>
              <w:fldChar w:fldCharType="end"/>
            </w:r>
            <w:r>
              <w:t xml:space="preserve"> (2)</w:t>
            </w:r>
          </w:p>
          <w:p w14:paraId="0FF00D3B" w14:textId="6B812ADB" w:rsidR="00605D9C" w:rsidRPr="00A26B3B" w:rsidRDefault="00605D9C" w:rsidP="00CC05C7">
            <w:pPr>
              <w:pStyle w:val="Bodytextwithparaspace"/>
              <w:rPr>
                <w:b/>
                <w:highlight w:val="yellow"/>
              </w:rPr>
            </w:pPr>
          </w:p>
        </w:tc>
      </w:tr>
      <w:tr w:rsidR="00847925" w14:paraId="6647999C" w14:textId="77777777" w:rsidTr="00945B32">
        <w:tc>
          <w:tcPr>
            <w:tcW w:w="1267" w:type="dxa"/>
            <w:vMerge w:val="restart"/>
            <w:shd w:val="clear" w:color="auto" w:fill="D2D2DA" w:themeFill="text1" w:themeFillTint="33"/>
          </w:tcPr>
          <w:p w14:paraId="3A9D42C9" w14:textId="6357DF69" w:rsidR="00847925" w:rsidRPr="001A5DB0" w:rsidRDefault="00847925" w:rsidP="00CC05C7">
            <w:pPr>
              <w:pStyle w:val="Bodytextwithparaspace"/>
              <w:rPr>
                <w:b/>
                <w:highlight w:val="yellow"/>
              </w:rPr>
            </w:pPr>
            <w:r w:rsidRPr="00DC636B">
              <w:rPr>
                <w:b/>
              </w:rPr>
              <w:t>PL as a funding mechanism</w:t>
            </w:r>
          </w:p>
        </w:tc>
        <w:tc>
          <w:tcPr>
            <w:tcW w:w="6924" w:type="dxa"/>
          </w:tcPr>
          <w:p w14:paraId="050BE26F" w14:textId="724B760E" w:rsidR="00847925" w:rsidRDefault="00847925" w:rsidP="005D2B45">
            <w:pPr>
              <w:pStyle w:val="Bodytextwithparaspace"/>
              <w:rPr>
                <w:b/>
              </w:rPr>
            </w:pPr>
            <w:r>
              <w:rPr>
                <w:b/>
              </w:rPr>
              <w:t>Inefficiencies from guaranteed itemised funding</w:t>
            </w:r>
          </w:p>
          <w:p w14:paraId="009F553B" w14:textId="52A26D7D" w:rsidR="00847925" w:rsidRDefault="00847925" w:rsidP="00753BC9">
            <w:pPr>
              <w:pStyle w:val="Bodytextwithparaspace"/>
            </w:pPr>
            <w:r>
              <w:t>The above problems with the PL would not necessarily cause issues if they did not lead to inefficient healthcare costs</w:t>
            </w:r>
            <w:r w:rsidRPr="00CC05C7">
              <w:t>. However</w:t>
            </w:r>
            <w:r>
              <w:t xml:space="preserve">, </w:t>
            </w:r>
            <w:r w:rsidR="003537A8">
              <w:t>the funding mechanism has implications for the commercial interests of key stakeholders including manufacturers, private hospitals and private health insurers. Higher usage and benefit amounts favour manufacturers over other stakeholders</w:t>
            </w:r>
            <w:r>
              <w:t>. Evidence for this includes:</w:t>
            </w:r>
          </w:p>
          <w:p w14:paraId="7B955AF9" w14:textId="328DF5F3" w:rsidR="00847925" w:rsidRDefault="00847925" w:rsidP="0028399C">
            <w:pPr>
              <w:pStyle w:val="Bodytextwithparaspace"/>
              <w:numPr>
                <w:ilvl w:val="1"/>
                <w:numId w:val="11"/>
              </w:numPr>
              <w:ind w:left="709"/>
            </w:pPr>
            <w:r>
              <w:t xml:space="preserve">High levels of usage – including increased usage since listing (discussed in Section </w:t>
            </w:r>
            <w:r>
              <w:fldChar w:fldCharType="begin"/>
            </w:r>
            <w:r>
              <w:instrText xml:space="preserve"> REF _Ref39602441 \r \h  \* MERGEFORMAT </w:instrText>
            </w:r>
            <w:r>
              <w:fldChar w:fldCharType="separate"/>
            </w:r>
            <w:r w:rsidR="00784DE2">
              <w:t>4.4</w:t>
            </w:r>
            <w:r>
              <w:fldChar w:fldCharType="end"/>
            </w:r>
            <w:r>
              <w:t>);</w:t>
            </w:r>
          </w:p>
          <w:p w14:paraId="7DEBA16F" w14:textId="122112B8" w:rsidR="00847925" w:rsidRDefault="00847925" w:rsidP="0028399C">
            <w:pPr>
              <w:pStyle w:val="Bodytextwithparaspace"/>
              <w:numPr>
                <w:ilvl w:val="1"/>
                <w:numId w:val="11"/>
              </w:numPr>
              <w:ind w:left="709"/>
            </w:pPr>
            <w:r>
              <w:t xml:space="preserve">Cases where benefit amounts have increased significantly with no reduction in usage (discussed in Section </w:t>
            </w:r>
            <w:r>
              <w:fldChar w:fldCharType="begin"/>
            </w:r>
            <w:r>
              <w:instrText xml:space="preserve"> REF _Ref39602485 \r \h  \* MERGEFORMAT </w:instrText>
            </w:r>
            <w:r>
              <w:fldChar w:fldCharType="separate"/>
            </w:r>
            <w:r w:rsidR="00784DE2">
              <w:t>4.5</w:t>
            </w:r>
            <w:r>
              <w:fldChar w:fldCharType="end"/>
            </w:r>
            <w:r>
              <w:t>);</w:t>
            </w:r>
          </w:p>
          <w:p w14:paraId="2BCFF88C" w14:textId="0645F824" w:rsidR="00847925" w:rsidRDefault="00847925" w:rsidP="00463B2D">
            <w:pPr>
              <w:pStyle w:val="Bodytextwithparaspace"/>
              <w:numPr>
                <w:ilvl w:val="1"/>
                <w:numId w:val="11"/>
              </w:numPr>
              <w:ind w:left="709"/>
            </w:pPr>
            <w:r>
              <w:t>That more expensive products can sell more easily than cheaper products</w:t>
            </w:r>
            <w:r w:rsidR="000E26E3">
              <w:t xml:space="preserve"> (see Section </w:t>
            </w:r>
            <w:r w:rsidR="000E26E3">
              <w:fldChar w:fldCharType="begin"/>
            </w:r>
            <w:r w:rsidR="000E26E3">
              <w:instrText xml:space="preserve"> REF _Ref38907991 \r \h </w:instrText>
            </w:r>
            <w:r w:rsidR="000E26E3">
              <w:fldChar w:fldCharType="separate"/>
            </w:r>
            <w:r w:rsidR="00784DE2">
              <w:t>0</w:t>
            </w:r>
            <w:r w:rsidR="000E26E3">
              <w:fldChar w:fldCharType="end"/>
            </w:r>
            <w:r w:rsidR="000E26E3">
              <w:t>)</w:t>
            </w:r>
            <w:r>
              <w:t>; and</w:t>
            </w:r>
          </w:p>
          <w:p w14:paraId="3E17FC73" w14:textId="105C04C0" w:rsidR="00847925" w:rsidRPr="00DC636B" w:rsidRDefault="00847925" w:rsidP="00463B2D">
            <w:pPr>
              <w:pStyle w:val="Bodytextwithparaspace"/>
              <w:numPr>
                <w:ilvl w:val="1"/>
                <w:numId w:val="11"/>
              </w:numPr>
              <w:ind w:left="709"/>
            </w:pPr>
            <w:r>
              <w:t>An example where a manufacturer sought the removal of a competitor’s product from the PL as its listing was giving the competitor a commercial advantage.</w:t>
            </w:r>
          </w:p>
        </w:tc>
        <w:tc>
          <w:tcPr>
            <w:tcW w:w="1590" w:type="dxa"/>
          </w:tcPr>
          <w:p w14:paraId="78691B24" w14:textId="77777777" w:rsidR="00847925" w:rsidRPr="00DC636B" w:rsidRDefault="00847925" w:rsidP="00CC05C7">
            <w:pPr>
              <w:pStyle w:val="Bodytextwithparaspace"/>
              <w:rPr>
                <w:b/>
              </w:rPr>
            </w:pPr>
            <w:r w:rsidRPr="00DC636B">
              <w:rPr>
                <w:b/>
              </w:rPr>
              <w:t>Usage and Benefit amount issues</w:t>
            </w:r>
          </w:p>
          <w:p w14:paraId="393CA30A" w14:textId="66E4F3C8" w:rsidR="00847925" w:rsidRPr="00A26B3B" w:rsidRDefault="00847925" w:rsidP="00CC05C7">
            <w:pPr>
              <w:pStyle w:val="Bodytextwithparaspace"/>
              <w:rPr>
                <w:b/>
                <w:highlight w:val="yellow"/>
              </w:rPr>
            </w:pPr>
            <w:r w:rsidRPr="00DC636B">
              <w:rPr>
                <w:b/>
              </w:rPr>
              <w:t>4.3.2 (3)</w:t>
            </w:r>
          </w:p>
        </w:tc>
      </w:tr>
      <w:tr w:rsidR="00847925" w14:paraId="4FF8D6CE" w14:textId="77777777" w:rsidTr="00945B32">
        <w:tc>
          <w:tcPr>
            <w:tcW w:w="1267" w:type="dxa"/>
            <w:vMerge/>
            <w:shd w:val="clear" w:color="auto" w:fill="D2D2DA" w:themeFill="text1" w:themeFillTint="33"/>
          </w:tcPr>
          <w:p w14:paraId="68987568" w14:textId="078A3762" w:rsidR="00847925" w:rsidRDefault="00847925" w:rsidP="00CC05C7">
            <w:pPr>
              <w:pStyle w:val="Bodytextwithparaspace"/>
              <w:rPr>
                <w:b/>
                <w:highlight w:val="yellow"/>
              </w:rPr>
            </w:pPr>
          </w:p>
        </w:tc>
        <w:tc>
          <w:tcPr>
            <w:tcW w:w="6924" w:type="dxa"/>
          </w:tcPr>
          <w:p w14:paraId="5995AFED" w14:textId="46BB0AD6" w:rsidR="00847925" w:rsidRDefault="00847925" w:rsidP="005D2B45">
            <w:pPr>
              <w:pStyle w:val="Bodytextwithparaspace"/>
            </w:pPr>
            <w:r>
              <w:rPr>
                <w:b/>
              </w:rPr>
              <w:t>Root causes of inefficiencies</w:t>
            </w:r>
          </w:p>
          <w:p w14:paraId="18879B8D" w14:textId="247DAFF1" w:rsidR="003105C6" w:rsidRDefault="00847925" w:rsidP="00847925">
            <w:pPr>
              <w:pStyle w:val="Bodytextwithparaspace"/>
            </w:pPr>
            <w:r>
              <w:t xml:space="preserve">There is a clear separation between the guaranteed funder of GM items (insurers), the chooser of the items (clinicians) and the provider of the items (private hospitals). This means that the value of the items is not a direct consideration </w:t>
            </w:r>
            <w:r w:rsidR="003105C6">
              <w:t xml:space="preserve">when selecting which (and how many) GM items should be used in a procedure – i.e. there is </w:t>
            </w:r>
            <w:r w:rsidR="00CD085A">
              <w:t>no dis</w:t>
            </w:r>
            <w:r w:rsidR="003105C6">
              <w:t xml:space="preserve">incentive to </w:t>
            </w:r>
            <w:r w:rsidR="00FF6A2D">
              <w:t>the clinician</w:t>
            </w:r>
            <w:r w:rsidR="00CD085A">
              <w:t xml:space="preserve"> to </w:t>
            </w:r>
            <w:r w:rsidR="003105C6">
              <w:t>use more items of higher cost, even if the clinical benefit of doing so is negligible.</w:t>
            </w:r>
          </w:p>
          <w:p w14:paraId="52AC3F4A" w14:textId="63E82065" w:rsidR="00847925" w:rsidRDefault="003105C6" w:rsidP="00DC636B">
            <w:pPr>
              <w:pStyle w:val="Bodytextwithparaspace"/>
            </w:pPr>
            <w:r>
              <w:t>Whilst this can be argued for all items on the PL, it is particularly true for GM items because:</w:t>
            </w:r>
          </w:p>
          <w:p w14:paraId="69D0BCCE" w14:textId="758BF56C" w:rsidR="003105C6" w:rsidRDefault="000671E8" w:rsidP="00463B2D">
            <w:pPr>
              <w:pStyle w:val="Bodytextwithparaspace"/>
              <w:numPr>
                <w:ilvl w:val="1"/>
                <w:numId w:val="11"/>
              </w:numPr>
              <w:ind w:left="709"/>
            </w:pPr>
            <w:r>
              <w:t>T</w:t>
            </w:r>
            <w:r w:rsidR="00BB4A07">
              <w:t xml:space="preserve">hey </w:t>
            </w:r>
            <w:r w:rsidR="00847925">
              <w:t>are available at a range of price points (</w:t>
            </w:r>
            <w:r w:rsidR="00334A1B">
              <w:t xml:space="preserve">due to, </w:t>
            </w:r>
            <w:r w:rsidR="00847925">
              <w:t xml:space="preserve">for example, </w:t>
            </w:r>
            <w:r w:rsidR="00334A1B">
              <w:t xml:space="preserve">varying </w:t>
            </w:r>
            <w:r w:rsidR="00847925">
              <w:t>sizes or additional features);</w:t>
            </w:r>
          </w:p>
          <w:p w14:paraId="3504CB68" w14:textId="6B913873" w:rsidR="00847925" w:rsidRDefault="000671E8" w:rsidP="00463B2D">
            <w:pPr>
              <w:pStyle w:val="Bodytextwithparaspace"/>
              <w:numPr>
                <w:ilvl w:val="1"/>
                <w:numId w:val="11"/>
              </w:numPr>
              <w:ind w:left="709"/>
            </w:pPr>
            <w:r>
              <w:t>T</w:t>
            </w:r>
            <w:r w:rsidR="00BB4A07">
              <w:t xml:space="preserve">hey </w:t>
            </w:r>
            <w:r w:rsidR="003105C6">
              <w:t xml:space="preserve">are often of low cost and so the marginal impact of </w:t>
            </w:r>
            <w:r w:rsidR="00334A1B">
              <w:t>a</w:t>
            </w:r>
            <w:r w:rsidR="003105C6">
              <w:t xml:space="preserve">dditional use is </w:t>
            </w:r>
            <w:r w:rsidR="00FF6A2D">
              <w:t>minimal</w:t>
            </w:r>
            <w:r w:rsidR="003105C6">
              <w:t xml:space="preserve">; </w:t>
            </w:r>
            <w:r w:rsidR="00847925">
              <w:t>and/or</w:t>
            </w:r>
          </w:p>
          <w:p w14:paraId="3BDD0BF8" w14:textId="590EC311" w:rsidR="00847925" w:rsidRPr="00DC636B" w:rsidRDefault="000671E8" w:rsidP="00463B2D">
            <w:pPr>
              <w:pStyle w:val="Bodytextwithparaspace"/>
              <w:numPr>
                <w:ilvl w:val="1"/>
                <w:numId w:val="11"/>
              </w:numPr>
              <w:ind w:left="709"/>
            </w:pPr>
            <w:r>
              <w:t>M</w:t>
            </w:r>
            <w:r w:rsidR="00BB4A07">
              <w:t xml:space="preserve">ultiple quantities of the item </w:t>
            </w:r>
            <w:r w:rsidR="00847925" w:rsidDel="006446CC">
              <w:t>can be used</w:t>
            </w:r>
            <w:r w:rsidR="00847925">
              <w:t xml:space="preserve"> in a single procedure</w:t>
            </w:r>
            <w:r w:rsidR="0026311A">
              <w:t xml:space="preserve"> and so there is no natural upper limit to how many could be used (as opposed to, say, a prosthetic hip)</w:t>
            </w:r>
            <w:r w:rsidR="003105C6">
              <w:t>.</w:t>
            </w:r>
          </w:p>
        </w:tc>
        <w:tc>
          <w:tcPr>
            <w:tcW w:w="1590" w:type="dxa"/>
          </w:tcPr>
          <w:p w14:paraId="2A21063B" w14:textId="77777777" w:rsidR="00847925" w:rsidRPr="00A26B3B" w:rsidRDefault="00847925" w:rsidP="00CC05C7">
            <w:pPr>
              <w:pStyle w:val="Bodytextwithparaspace"/>
              <w:rPr>
                <w:b/>
                <w:highlight w:val="yellow"/>
              </w:rPr>
            </w:pPr>
          </w:p>
        </w:tc>
      </w:tr>
    </w:tbl>
    <w:p w14:paraId="554AE544" w14:textId="7B450879" w:rsidR="00DB7650" w:rsidRDefault="004C74E4" w:rsidP="000671F1">
      <w:pPr>
        <w:pStyle w:val="EYHeading2"/>
      </w:pPr>
      <w:bookmarkStart w:id="317" w:name="_Toc42006227"/>
      <w:bookmarkStart w:id="318" w:name="_Toc42006228"/>
      <w:bookmarkStart w:id="319" w:name="_Toc42006229"/>
      <w:bookmarkStart w:id="320" w:name="_Toc42006230"/>
      <w:bookmarkStart w:id="321" w:name="_Toc42006231"/>
      <w:bookmarkStart w:id="322" w:name="_Toc42006232"/>
      <w:bookmarkStart w:id="323" w:name="_Toc42006233"/>
      <w:bookmarkStart w:id="324" w:name="_Toc42006234"/>
      <w:bookmarkStart w:id="325" w:name="_Toc42006235"/>
      <w:bookmarkStart w:id="326" w:name="_Toc42006236"/>
      <w:bookmarkStart w:id="327" w:name="_Toc42006237"/>
      <w:bookmarkStart w:id="328" w:name="_Toc59015980"/>
      <w:bookmarkEnd w:id="317"/>
      <w:bookmarkEnd w:id="318"/>
      <w:bookmarkEnd w:id="319"/>
      <w:bookmarkEnd w:id="320"/>
      <w:bookmarkEnd w:id="321"/>
      <w:bookmarkEnd w:id="322"/>
      <w:bookmarkEnd w:id="323"/>
      <w:bookmarkEnd w:id="324"/>
      <w:bookmarkEnd w:id="325"/>
      <w:bookmarkEnd w:id="326"/>
      <w:bookmarkEnd w:id="327"/>
      <w:r>
        <w:t>Next steps</w:t>
      </w:r>
      <w:bookmarkEnd w:id="328"/>
    </w:p>
    <w:p w14:paraId="2847104B" w14:textId="3A83A955" w:rsidR="005838B3" w:rsidRDefault="00F01CB1" w:rsidP="005838B3">
      <w:pPr>
        <w:pStyle w:val="Bodytextwithparaspace"/>
      </w:pPr>
      <w:r>
        <w:t xml:space="preserve">The findings in Section </w:t>
      </w:r>
      <w:r>
        <w:fldChar w:fldCharType="begin"/>
      </w:r>
      <w:r>
        <w:instrText xml:space="preserve"> REF _Ref41304858 \r \h </w:instrText>
      </w:r>
      <w:r>
        <w:fldChar w:fldCharType="separate"/>
      </w:r>
      <w:r w:rsidR="00784DE2">
        <w:t>6.1</w:t>
      </w:r>
      <w:r>
        <w:fldChar w:fldCharType="end"/>
      </w:r>
      <w:r>
        <w:t xml:space="preserve"> show that there </w:t>
      </w:r>
      <w:r w:rsidR="006142F8">
        <w:t xml:space="preserve">are </w:t>
      </w:r>
      <w:r>
        <w:t>a number of fundamental problems with using the PL to fund general use items currently listed in the following parts of the PL:</w:t>
      </w:r>
    </w:p>
    <w:p w14:paraId="6332B121" w14:textId="3F81A708" w:rsidR="00F01CB1" w:rsidRPr="00781162" w:rsidRDefault="00F01CB1" w:rsidP="00463B2D">
      <w:pPr>
        <w:pStyle w:val="Bodytextwithparaspace"/>
        <w:numPr>
          <w:ilvl w:val="1"/>
          <w:numId w:val="11"/>
        </w:numPr>
        <w:ind w:left="709"/>
      </w:pPr>
      <w:r w:rsidRPr="00781162">
        <w:t>03.02 Drug Delivery Devices</w:t>
      </w:r>
      <w:r w:rsidR="006F348E">
        <w:t>;</w:t>
      </w:r>
    </w:p>
    <w:p w14:paraId="2AC22C4F" w14:textId="6BF1B3C6" w:rsidR="00F01CB1" w:rsidRPr="00781162" w:rsidRDefault="00F01CB1" w:rsidP="00463B2D">
      <w:pPr>
        <w:pStyle w:val="Bodytextwithparaspace"/>
        <w:numPr>
          <w:ilvl w:val="1"/>
          <w:numId w:val="11"/>
        </w:numPr>
        <w:ind w:left="709"/>
      </w:pPr>
      <w:r w:rsidRPr="00781162">
        <w:t>03.05 Haemostatic Devices</w:t>
      </w:r>
      <w:r w:rsidR="006F348E">
        <w:t>;</w:t>
      </w:r>
    </w:p>
    <w:p w14:paraId="762AAD0F" w14:textId="77777777" w:rsidR="00F01CB1" w:rsidRPr="00781162" w:rsidRDefault="00F01CB1" w:rsidP="00463B2D">
      <w:pPr>
        <w:pStyle w:val="Bodytextwithparaspace"/>
        <w:numPr>
          <w:ilvl w:val="1"/>
          <w:numId w:val="11"/>
        </w:numPr>
        <w:ind w:left="709"/>
      </w:pPr>
      <w:r w:rsidRPr="00781162">
        <w:t xml:space="preserve">03.08 Closure Devices, </w:t>
      </w:r>
      <w:r w:rsidRPr="00DD1D88">
        <w:t>specifically</w:t>
      </w:r>
      <w:r w:rsidRPr="00781162">
        <w:t>:</w:t>
      </w:r>
    </w:p>
    <w:p w14:paraId="5E3E1AE6" w14:textId="328A92EA" w:rsidR="00F01CB1" w:rsidRPr="00781162" w:rsidRDefault="00F01CB1" w:rsidP="00463B2D">
      <w:pPr>
        <w:pStyle w:val="Bodytextwithparaspace"/>
        <w:numPr>
          <w:ilvl w:val="1"/>
          <w:numId w:val="18"/>
        </w:numPr>
      </w:pPr>
      <w:r w:rsidRPr="00781162">
        <w:t>03.08.01 Adhesion Barriers</w:t>
      </w:r>
      <w:r w:rsidR="006F348E">
        <w:t>;</w:t>
      </w:r>
    </w:p>
    <w:p w14:paraId="0F9ACC8A" w14:textId="0932E8B6" w:rsidR="00F01CB1" w:rsidRPr="00781162" w:rsidRDefault="00F01CB1" w:rsidP="00463B2D">
      <w:pPr>
        <w:pStyle w:val="Bodytextwithparaspace"/>
        <w:numPr>
          <w:ilvl w:val="1"/>
          <w:numId w:val="18"/>
        </w:numPr>
      </w:pPr>
      <w:r w:rsidRPr="00781162">
        <w:t>03.08.02 Internal Adhesives</w:t>
      </w:r>
      <w:r w:rsidR="006F348E">
        <w:t>;</w:t>
      </w:r>
    </w:p>
    <w:p w14:paraId="40A57B96" w14:textId="01164F75" w:rsidR="00F01CB1" w:rsidRPr="00781162" w:rsidRDefault="00F01CB1" w:rsidP="00463B2D">
      <w:pPr>
        <w:pStyle w:val="Bodytextwithparaspace"/>
        <w:numPr>
          <w:ilvl w:val="1"/>
          <w:numId w:val="18"/>
        </w:numPr>
      </w:pPr>
      <w:r w:rsidRPr="00781162">
        <w:t>03.08.03 Ligating Devices</w:t>
      </w:r>
      <w:r w:rsidR="006F348E">
        <w:t>;</w:t>
      </w:r>
    </w:p>
    <w:p w14:paraId="2782FED6" w14:textId="4FF2FDF7" w:rsidR="00F01CB1" w:rsidRPr="00781162" w:rsidRDefault="00F01CB1" w:rsidP="00463B2D">
      <w:pPr>
        <w:pStyle w:val="Bodytextwithparaspace"/>
        <w:numPr>
          <w:ilvl w:val="1"/>
          <w:numId w:val="18"/>
        </w:numPr>
      </w:pPr>
      <w:r w:rsidRPr="00781162">
        <w:t>03.08.04 Staples &amp; Tacker</w:t>
      </w:r>
      <w:r w:rsidR="00DE1DC6">
        <w:t>s</w:t>
      </w:r>
      <w:r w:rsidR="006F348E">
        <w:t>;</w:t>
      </w:r>
    </w:p>
    <w:p w14:paraId="67772D4F" w14:textId="7ADDBBB0" w:rsidR="00F01CB1" w:rsidRPr="00781162" w:rsidRDefault="00F01CB1" w:rsidP="00463B2D">
      <w:pPr>
        <w:pStyle w:val="Bodytextwithparaspace"/>
        <w:numPr>
          <w:ilvl w:val="1"/>
          <w:numId w:val="18"/>
        </w:numPr>
      </w:pPr>
      <w:r w:rsidRPr="00781162">
        <w:t>03.08.05 Polypropylene/Polyester Mesh</w:t>
      </w:r>
      <w:r w:rsidR="006F348E">
        <w:t>; and</w:t>
      </w:r>
    </w:p>
    <w:p w14:paraId="62121A2C" w14:textId="27763C1C" w:rsidR="00F01CB1" w:rsidRDefault="00F01CB1" w:rsidP="00463B2D">
      <w:pPr>
        <w:pStyle w:val="Bodytextwithparaspace"/>
        <w:numPr>
          <w:ilvl w:val="1"/>
          <w:numId w:val="18"/>
        </w:numPr>
      </w:pPr>
      <w:r w:rsidRPr="00781162">
        <w:t>03.08.11 Dynamic Wound Closure Devices</w:t>
      </w:r>
      <w:r w:rsidR="006F348E">
        <w:t>.</w:t>
      </w:r>
    </w:p>
    <w:p w14:paraId="030B29CE" w14:textId="265E4D5A" w:rsidR="0091590E" w:rsidRDefault="0091590E" w:rsidP="0091590E">
      <w:pPr>
        <w:pStyle w:val="Bodytextwithparaspace"/>
      </w:pPr>
      <w:r>
        <w:t xml:space="preserve">The recommendations </w:t>
      </w:r>
      <w:r w:rsidR="00E7025E">
        <w:t>below</w:t>
      </w:r>
      <w:r>
        <w:t xml:space="preserve"> focus on directly addressing these problems. However, it is possible that broader changes to the way that the overall PL works might either indirectly address these problems or make the</w:t>
      </w:r>
      <w:r w:rsidR="000E26E3">
        <w:t>se receommendations</w:t>
      </w:r>
      <w:r>
        <w:t xml:space="preserve"> ineffective. As such, it is important that these recommendations should be considered in the context of any potential other changes to the PL.</w:t>
      </w:r>
    </w:p>
    <w:p w14:paraId="2B1A1D78" w14:textId="43975D41" w:rsidR="00E7025E" w:rsidRDefault="00E7025E" w:rsidP="00DC636B">
      <w:pPr>
        <w:pStyle w:val="Bodytextwithparaspace"/>
        <w:spacing w:before="240"/>
      </w:pPr>
      <w:r>
        <w:t>It is also worth noting that, while these recommendations only apply to the above items, t</w:t>
      </w:r>
      <w:r w:rsidRPr="005F4673">
        <w:t>here may be other non-GM categories with similar issues</w:t>
      </w:r>
      <w:r>
        <w:t>. As such, the overall consistency of the PL should be considered prior to any recommendations being implemented.</w:t>
      </w:r>
    </w:p>
    <w:p w14:paraId="132B31C0" w14:textId="541ED11F" w:rsidR="00DC43EE" w:rsidRDefault="00DC43EE" w:rsidP="00DC636B">
      <w:pPr>
        <w:pStyle w:val="EYHeading3"/>
      </w:pPr>
      <w:bookmarkStart w:id="329" w:name="_Ref41309854"/>
      <w:bookmarkStart w:id="330" w:name="_Ref41658250"/>
      <w:r>
        <w:t>Recommendation</w:t>
      </w:r>
      <w:bookmarkEnd w:id="329"/>
      <w:r w:rsidR="004C74E4">
        <w:t>s</w:t>
      </w:r>
      <w:bookmarkEnd w:id="330"/>
    </w:p>
    <w:tbl>
      <w:tblPr>
        <w:tblStyle w:val="TableGrid"/>
        <w:tblW w:w="0" w:type="auto"/>
        <w:tblLook w:val="04A0" w:firstRow="1" w:lastRow="0" w:firstColumn="1" w:lastColumn="0" w:noHBand="0" w:noVBand="1"/>
        <w:tblCaption w:val="Recommendations: Recommendation 1"/>
        <w:tblDescription w:val="Recommendation 1: remove the ‘High’ priority GM items from the PL&#10;The following groups of items should be transitioned away from the PL and instead funded through case based or bundled fee arrangements:&#10;● 03.02 Drug Delivery Devices;&#10;● 03.05 Haemostatic Devices;&#10;● 03.08 Closure Devices, specifically:&#10;● 03.08.01 Adhesion Barriers;&#10;● 03.08.02 Internal Adhesives;&#10;● 03.08.03 Ligating Devices;&#10;● 03.08.04 Staples &amp; Tackers;&#10;● 03.08.05 Polypropylene/Polyester Mesh; and&#10;● 03.08.11 Dynamic Wound Closure Devices.&#10;"/>
      </w:tblPr>
      <w:tblGrid>
        <w:gridCol w:w="9019"/>
      </w:tblGrid>
      <w:tr w:rsidR="004D16B7" w14:paraId="3E12517C" w14:textId="77777777" w:rsidTr="00DC636B">
        <w:tc>
          <w:tcPr>
            <w:tcW w:w="9019" w:type="dxa"/>
            <w:shd w:val="clear" w:color="auto" w:fill="FFE600"/>
          </w:tcPr>
          <w:p w14:paraId="1CD57857" w14:textId="23B5CB23" w:rsidR="004D16B7" w:rsidRDefault="004D16B7" w:rsidP="004D16B7">
            <w:pPr>
              <w:pStyle w:val="Bodytextwithparaspace"/>
              <w:rPr>
                <w:b/>
              </w:rPr>
            </w:pPr>
            <w:r>
              <w:rPr>
                <w:b/>
              </w:rPr>
              <w:t>Recommendation 1</w:t>
            </w:r>
            <w:r w:rsidR="004C74E4">
              <w:rPr>
                <w:b/>
              </w:rPr>
              <w:t>: remove</w:t>
            </w:r>
            <w:r w:rsidR="00C77E15">
              <w:rPr>
                <w:b/>
              </w:rPr>
              <w:t xml:space="preserve"> the ‘High’ priority GM</w:t>
            </w:r>
            <w:r w:rsidR="004C74E4">
              <w:rPr>
                <w:b/>
              </w:rPr>
              <w:t xml:space="preserve"> items from the PL</w:t>
            </w:r>
          </w:p>
          <w:p w14:paraId="0DEF2286" w14:textId="77777777" w:rsidR="0026311A" w:rsidRDefault="0026311A" w:rsidP="0026311A">
            <w:pPr>
              <w:pStyle w:val="Bodytextwithparaspace"/>
            </w:pPr>
            <w:r>
              <w:t>The following groups of items should be transitioned away from the PL and instead funded through case based or bundled fee arrangements:</w:t>
            </w:r>
          </w:p>
          <w:p w14:paraId="2A0C2C0C" w14:textId="77777777" w:rsidR="0026311A" w:rsidRPr="00781162" w:rsidRDefault="0026311A" w:rsidP="0026311A">
            <w:pPr>
              <w:pStyle w:val="BulletedText1"/>
            </w:pPr>
            <w:r w:rsidRPr="00781162">
              <w:t>03.02 Drug Delivery Devices</w:t>
            </w:r>
            <w:r>
              <w:t>;</w:t>
            </w:r>
          </w:p>
          <w:p w14:paraId="30029922" w14:textId="77777777" w:rsidR="0026311A" w:rsidRPr="00781162" w:rsidRDefault="0026311A" w:rsidP="0026311A">
            <w:pPr>
              <w:pStyle w:val="BulletedText1"/>
            </w:pPr>
            <w:r w:rsidRPr="00781162">
              <w:t>03.05 Haemostatic Devices</w:t>
            </w:r>
            <w:r>
              <w:t>;</w:t>
            </w:r>
          </w:p>
          <w:p w14:paraId="6EB97FD8" w14:textId="77777777" w:rsidR="0026311A" w:rsidRPr="00781162" w:rsidRDefault="0026311A" w:rsidP="0026311A">
            <w:pPr>
              <w:pStyle w:val="BulletedText1"/>
            </w:pPr>
            <w:r w:rsidRPr="00781162">
              <w:t xml:space="preserve">03.08 Closure Devices, </w:t>
            </w:r>
            <w:r w:rsidRPr="00DD1D88">
              <w:t>specifically</w:t>
            </w:r>
            <w:r w:rsidRPr="00781162">
              <w:t>:</w:t>
            </w:r>
          </w:p>
          <w:p w14:paraId="5D6A8125" w14:textId="77777777" w:rsidR="0026311A" w:rsidRPr="00781162" w:rsidRDefault="0026311A" w:rsidP="0026311A">
            <w:pPr>
              <w:pStyle w:val="BulletedText3"/>
            </w:pPr>
            <w:r w:rsidRPr="00781162">
              <w:t>03.08.01 Adhesion Barriers</w:t>
            </w:r>
            <w:r>
              <w:t>;</w:t>
            </w:r>
          </w:p>
          <w:p w14:paraId="59E9560F" w14:textId="77777777" w:rsidR="0026311A" w:rsidRPr="00781162" w:rsidRDefault="0026311A" w:rsidP="0026311A">
            <w:pPr>
              <w:pStyle w:val="BulletedText3"/>
            </w:pPr>
            <w:r w:rsidRPr="00781162">
              <w:t>03.08.02 Internal Adhesives</w:t>
            </w:r>
            <w:r>
              <w:t>;</w:t>
            </w:r>
          </w:p>
          <w:p w14:paraId="679773AF" w14:textId="77777777" w:rsidR="0026311A" w:rsidRPr="00781162" w:rsidRDefault="0026311A" w:rsidP="0026311A">
            <w:pPr>
              <w:pStyle w:val="BulletedText3"/>
            </w:pPr>
            <w:r w:rsidRPr="00781162">
              <w:t>03.08.03 Ligating Devices</w:t>
            </w:r>
            <w:r>
              <w:t>;</w:t>
            </w:r>
          </w:p>
          <w:p w14:paraId="383DF28A" w14:textId="77777777" w:rsidR="0026311A" w:rsidRPr="00781162" w:rsidRDefault="0026311A" w:rsidP="0026311A">
            <w:pPr>
              <w:pStyle w:val="BulletedText3"/>
            </w:pPr>
            <w:r w:rsidRPr="00781162">
              <w:t>03.08.04 Staples &amp; Tacker</w:t>
            </w:r>
            <w:r>
              <w:t>s;</w:t>
            </w:r>
          </w:p>
          <w:p w14:paraId="3298D5D6" w14:textId="77777777" w:rsidR="0026311A" w:rsidRDefault="0026311A" w:rsidP="0026311A">
            <w:pPr>
              <w:pStyle w:val="BulletedText3"/>
            </w:pPr>
            <w:r w:rsidRPr="00781162">
              <w:t>03.08.05 Polypropylene/Polyester Mesh</w:t>
            </w:r>
            <w:r>
              <w:t>; and</w:t>
            </w:r>
          </w:p>
          <w:p w14:paraId="3D63F09B" w14:textId="05482169" w:rsidR="004D16B7" w:rsidRPr="00DC636B" w:rsidRDefault="0026311A" w:rsidP="00463B2D">
            <w:pPr>
              <w:pStyle w:val="BulletedText3"/>
            </w:pPr>
            <w:r w:rsidRPr="00781162">
              <w:t>03.08.11 Dynamic Wound Closure Devices</w:t>
            </w:r>
            <w:r>
              <w:t>.</w:t>
            </w:r>
          </w:p>
        </w:tc>
      </w:tr>
    </w:tbl>
    <w:p w14:paraId="67C2A21D" w14:textId="79BA6C16" w:rsidR="00E30473" w:rsidRDefault="00C80BDC" w:rsidP="00DC636B">
      <w:pPr>
        <w:pStyle w:val="Bodytextwithparaspace"/>
        <w:spacing w:before="240"/>
      </w:pPr>
      <w:r>
        <w:t xml:space="preserve">As described in Section </w:t>
      </w:r>
      <w:r w:rsidR="00FC7647">
        <w:t>4.6.1</w:t>
      </w:r>
      <w:r w:rsidR="00F6454B">
        <w:t>,</w:t>
      </w:r>
      <w:r>
        <w:t xml:space="preserve"> the main alternative to funding these items through the PL would be for them to be included within </w:t>
      </w:r>
      <w:bookmarkStart w:id="331" w:name="_Hlk43374256"/>
      <w:r w:rsidR="00801C91">
        <w:t xml:space="preserve">case based or bundled payments, such as DRG based payments or </w:t>
      </w:r>
      <w:bookmarkEnd w:id="331"/>
      <w:r w:rsidR="00801C91">
        <w:t>banded theatre fees relating to the nature of the procedure being performed under the National Procedure Banding schedule</w:t>
      </w:r>
      <w:r w:rsidR="00801C91" w:rsidDel="00801C91">
        <w:t xml:space="preserve"> </w:t>
      </w:r>
      <w:r w:rsidR="00035169">
        <w:t xml:space="preserve">. The precise mechanism by which insurers </w:t>
      </w:r>
      <w:r w:rsidR="00801C91">
        <w:t>reimburse</w:t>
      </w:r>
      <w:r w:rsidR="00035169">
        <w:t xml:space="preserve"> these fees would depend on the </w:t>
      </w:r>
      <w:r w:rsidR="00E30473">
        <w:t>arrangements between insurers and hospitals.</w:t>
      </w:r>
      <w:r w:rsidR="00B37B51">
        <w:t xml:space="preserve"> Clearly, the specifications and associated prices relating to the </w:t>
      </w:r>
      <w:r w:rsidR="00801C91">
        <w:t>case based or bundled payments</w:t>
      </w:r>
      <w:r w:rsidR="00B37B51">
        <w:t xml:space="preserve"> would need to be reviewed and updated to reflect their increased scope. This is discussed further in the transition considerations in Section </w:t>
      </w:r>
      <w:r w:rsidR="00B37B51">
        <w:fldChar w:fldCharType="begin"/>
      </w:r>
      <w:r w:rsidR="00B37B51">
        <w:instrText xml:space="preserve"> REF _Ref41558442 \r \h </w:instrText>
      </w:r>
      <w:r w:rsidR="00B37B51">
        <w:fldChar w:fldCharType="separate"/>
      </w:r>
      <w:r w:rsidR="00784DE2">
        <w:t>6.2.2</w:t>
      </w:r>
      <w:r w:rsidR="00B37B51">
        <w:fldChar w:fldCharType="end"/>
      </w:r>
      <w:r w:rsidR="00B37B51">
        <w:t xml:space="preserve"> below.</w:t>
      </w:r>
    </w:p>
    <w:p w14:paraId="14848ECD" w14:textId="426DC296" w:rsidR="006C37D3" w:rsidRDefault="006C37D3" w:rsidP="00DC636B">
      <w:pPr>
        <w:pStyle w:val="Bodytextwithparaspace"/>
        <w:spacing w:before="240"/>
      </w:pPr>
      <w:r>
        <w:t xml:space="preserve">It would need to be considered whether items that can be funded through Eclipse should be included in the increased scope of </w:t>
      </w:r>
      <w:r w:rsidR="00801C91">
        <w:t>case based or bundled payments</w:t>
      </w:r>
      <w:r>
        <w:t>.</w:t>
      </w:r>
    </w:p>
    <w:p w14:paraId="73FFAF87" w14:textId="13C5EA1E" w:rsidR="00E30473" w:rsidRDefault="00E30473" w:rsidP="00E30473">
      <w:pPr>
        <w:pStyle w:val="Bodytextwithparaspace"/>
      </w:pPr>
      <w:r>
        <w:t>The recommendation that this alternative funding mechanism be used for these items is made for reasons of efficiency, consistency and feasibility.</w:t>
      </w:r>
    </w:p>
    <w:p w14:paraId="2AB349BB" w14:textId="20ED5FBF" w:rsidR="004C74E4" w:rsidRDefault="004C74E4" w:rsidP="00E30473">
      <w:pPr>
        <w:pStyle w:val="Bodytextwithparaspace"/>
      </w:pPr>
      <w:r>
        <w:t xml:space="preserve">There is no suggestion that any of these items do not serve a clinical purpose in providing for optimal patient </w:t>
      </w:r>
      <w:r w:rsidRPr="00707467">
        <w:t>outcomes.</w:t>
      </w:r>
      <w:r>
        <w:t xml:space="preserve"> As such, the transition considerations discussed in Section </w:t>
      </w:r>
      <w:r>
        <w:fldChar w:fldCharType="begin"/>
      </w:r>
      <w:r>
        <w:instrText xml:space="preserve"> REF _Ref41558442 \r \h </w:instrText>
      </w:r>
      <w:r>
        <w:fldChar w:fldCharType="separate"/>
      </w:r>
      <w:r w:rsidR="00784DE2">
        <w:t>6.2.2</w:t>
      </w:r>
      <w:r>
        <w:fldChar w:fldCharType="end"/>
      </w:r>
      <w:r>
        <w:t xml:space="preserve"> should be considered in order to avoid unintended consequences.</w:t>
      </w:r>
    </w:p>
    <w:p w14:paraId="50E18830" w14:textId="1D05B75B" w:rsidR="00E30473" w:rsidRDefault="00E30473" w:rsidP="00E30473">
      <w:pPr>
        <w:pStyle w:val="Bodytextwithparaspace"/>
        <w:rPr>
          <w:b/>
          <w:i/>
        </w:rPr>
      </w:pPr>
      <w:r>
        <w:rPr>
          <w:b/>
          <w:i/>
        </w:rPr>
        <w:t>Efficiency</w:t>
      </w:r>
    </w:p>
    <w:p w14:paraId="7F57D341" w14:textId="23612978" w:rsidR="00E30473" w:rsidRDefault="00E30473" w:rsidP="00E30473">
      <w:pPr>
        <w:pStyle w:val="Bodytextwithparaspace"/>
      </w:pPr>
      <w:r>
        <w:t>Theatre fees are intended to cover</w:t>
      </w:r>
      <w:r w:rsidRPr="00E30473">
        <w:t xml:space="preserve"> </w:t>
      </w:r>
      <w:r>
        <w:t>consumables, disposable instruments and a contribution towards building and equipment costs. Including these items within such a group of costs and setting a</w:t>
      </w:r>
      <w:r w:rsidR="00B37B51">
        <w:t>n overall single</w:t>
      </w:r>
      <w:r>
        <w:t xml:space="preserve"> price for the group of costs that is related to the overall procedure is </w:t>
      </w:r>
      <w:r w:rsidR="00B37B51">
        <w:t xml:space="preserve">conceptually similar to </w:t>
      </w:r>
      <w:r>
        <w:t>Activity-based Funding</w:t>
      </w:r>
      <w:r w:rsidR="00F81EB7">
        <w:t xml:space="preserve"> (ABF)</w:t>
      </w:r>
      <w:r w:rsidR="00B37B51">
        <w:t xml:space="preserve"> for public hospital services</w:t>
      </w:r>
      <w:r>
        <w:t>.</w:t>
      </w:r>
    </w:p>
    <w:p w14:paraId="6493D172" w14:textId="77777777" w:rsidR="00AB20F8" w:rsidRDefault="00AB20F8" w:rsidP="00AB20F8">
      <w:pPr>
        <w:pStyle w:val="Bodytextwithparaspace"/>
      </w:pPr>
      <w:r>
        <w:t>The efficiency benefits that ABF enables in the public hospital setting are well documented and arise because of the resulting cost-risk sharing between the hospitals, clinicians and funders. The Independent Hospital Pricing Authority (IHPA) has found that ABF “provides a powerful incentive for hospitals to perform as efficiently as possible”</w:t>
      </w:r>
      <w:r>
        <w:rPr>
          <w:rStyle w:val="FootnoteReference"/>
        </w:rPr>
        <w:footnoteReference w:id="10"/>
      </w:r>
      <w:r>
        <w:t xml:space="preserve"> and has been successfully driving improved efficiency by transitioning towards ABF for public hospitals. This was based on earlier findings of the National Health and Hospitals Reform Commission (NHHRC) relating to both public and private hospitals, which recommended “the use of ‘activity-based funding’ for both public and private hospitals using casemix classifications”.</w:t>
      </w:r>
      <w:r>
        <w:rPr>
          <w:rStyle w:val="FootnoteReference"/>
        </w:rPr>
        <w:footnoteReference w:id="11"/>
      </w:r>
    </w:p>
    <w:p w14:paraId="15D6E4A6" w14:textId="77777777" w:rsidR="00AB20F8" w:rsidRDefault="00AB20F8" w:rsidP="00AB20F8">
      <w:pPr>
        <w:pStyle w:val="Bodytextwithparaspace"/>
      </w:pPr>
      <w:r>
        <w:t>In the private hospital setting, there are similar case mix funding arrangements between hospitals and insurers. However, it is important to acknowledge that, in this setting, the cost-risk sharing dynamics are less immediate because the hospitals have limited control over clinicians’ choices in the operating theatre, and hospitals and clinicians do not have the same financial incentives driven by a shared profit bottom line. For efficiency benefits to be realised, hospitals would need to proactively engage with their clinicians regarding procurement and usage of the items.</w:t>
      </w:r>
    </w:p>
    <w:p w14:paraId="1AF1B6BA" w14:textId="7F827976" w:rsidR="00A14646" w:rsidRDefault="00A14646" w:rsidP="00E30473">
      <w:pPr>
        <w:pStyle w:val="Bodytextwithparaspace"/>
      </w:pPr>
      <w:r>
        <w:t xml:space="preserve">Clinicians’ choices of which general items should be used in surgery are </w:t>
      </w:r>
      <w:r w:rsidR="00714A67">
        <w:t xml:space="preserve">typically </w:t>
      </w:r>
      <w:r>
        <w:t>driven by:</w:t>
      </w:r>
    </w:p>
    <w:p w14:paraId="27E4A5EC" w14:textId="141F15DD" w:rsidR="00A14646" w:rsidRDefault="00A14646" w:rsidP="00463B2D">
      <w:pPr>
        <w:pStyle w:val="Bodytextwithparaspace"/>
        <w:numPr>
          <w:ilvl w:val="1"/>
          <w:numId w:val="11"/>
        </w:numPr>
        <w:ind w:left="709"/>
      </w:pPr>
      <w:r w:rsidRPr="00463B2D">
        <w:rPr>
          <w:b/>
          <w:bCs/>
        </w:rPr>
        <w:t>Quality</w:t>
      </w:r>
      <w:r w:rsidR="000671E8">
        <w:rPr>
          <w:b/>
          <w:bCs/>
        </w:rPr>
        <w:t>:</w:t>
      </w:r>
      <w:r>
        <w:t xml:space="preserve"> product specification and efficacy based on output data literature evidence;</w:t>
      </w:r>
    </w:p>
    <w:p w14:paraId="42929067" w14:textId="07968413" w:rsidR="00A14646" w:rsidRDefault="00A14646" w:rsidP="00463B2D">
      <w:pPr>
        <w:pStyle w:val="Bodytextwithparaspace"/>
        <w:numPr>
          <w:ilvl w:val="1"/>
          <w:numId w:val="11"/>
        </w:numPr>
        <w:ind w:left="709"/>
      </w:pPr>
      <w:r w:rsidRPr="00463B2D">
        <w:rPr>
          <w:b/>
          <w:bCs/>
        </w:rPr>
        <w:t>Service</w:t>
      </w:r>
      <w:r w:rsidR="000671E8">
        <w:rPr>
          <w:b/>
          <w:bCs/>
        </w:rPr>
        <w:t>:</w:t>
      </w:r>
      <w:r>
        <w:t xml:space="preserve"> support offered by supplier representatives and the security of the supply;</w:t>
      </w:r>
    </w:p>
    <w:p w14:paraId="002B42A3" w14:textId="345576A3" w:rsidR="00A14646" w:rsidRDefault="00A14646" w:rsidP="00463B2D">
      <w:pPr>
        <w:pStyle w:val="Bodytextwithparaspace"/>
        <w:numPr>
          <w:ilvl w:val="1"/>
          <w:numId w:val="11"/>
        </w:numPr>
        <w:ind w:left="709"/>
      </w:pPr>
      <w:r w:rsidRPr="00463B2D">
        <w:rPr>
          <w:b/>
          <w:bCs/>
        </w:rPr>
        <w:t>Training</w:t>
      </w:r>
      <w:r w:rsidR="000671E8">
        <w:rPr>
          <w:b/>
          <w:bCs/>
        </w:rPr>
        <w:t>:</w:t>
      </w:r>
      <w:r>
        <w:t xml:space="preserve"> educational materials and/or training courses provided; and</w:t>
      </w:r>
    </w:p>
    <w:p w14:paraId="087263DB" w14:textId="4DB52BB9" w:rsidR="00A14646" w:rsidRDefault="00A14646" w:rsidP="00463B2D">
      <w:pPr>
        <w:pStyle w:val="Bodytextwithparaspace"/>
        <w:numPr>
          <w:ilvl w:val="1"/>
          <w:numId w:val="11"/>
        </w:numPr>
        <w:ind w:left="709"/>
      </w:pPr>
      <w:r w:rsidRPr="00463B2D">
        <w:rPr>
          <w:b/>
          <w:bCs/>
        </w:rPr>
        <w:t>Familiarisation</w:t>
      </w:r>
      <w:r w:rsidR="000671E8">
        <w:rPr>
          <w:b/>
          <w:bCs/>
        </w:rPr>
        <w:t>:</w:t>
      </w:r>
      <w:r>
        <w:t xml:space="preserve"> knowledge of the product based on experience or marketing.</w:t>
      </w:r>
    </w:p>
    <w:p w14:paraId="41B1F734" w14:textId="618096C4" w:rsidR="00346E56" w:rsidRDefault="00A14646" w:rsidP="00A14646">
      <w:pPr>
        <w:pStyle w:val="Bodytextwithparaspace"/>
      </w:pPr>
      <w:r>
        <w:t xml:space="preserve">Funding general items through </w:t>
      </w:r>
      <w:r w:rsidR="00801C91">
        <w:t>case based or bundled payments</w:t>
      </w:r>
      <w:r>
        <w:t xml:space="preserve"> would incentivise the hospitals to consider the cost of these items, as well as the above four points, </w:t>
      </w:r>
      <w:r w:rsidR="00346E56">
        <w:t xml:space="preserve">in deciding which items it should stock. The hospital would therefore </w:t>
      </w:r>
      <w:r w:rsidR="00714A67">
        <w:t xml:space="preserve">want </w:t>
      </w:r>
      <w:r w:rsidR="00346E56">
        <w:t xml:space="preserve">clinicians’ choices in surgery </w:t>
      </w:r>
      <w:r w:rsidR="00714A67">
        <w:t>to be</w:t>
      </w:r>
      <w:r w:rsidR="00346E56">
        <w:t xml:space="preserve"> based on an aligned set of five (i.e. including cost) considerations.</w:t>
      </w:r>
    </w:p>
    <w:p w14:paraId="0B62F760" w14:textId="5279B2AC" w:rsidR="00346E56" w:rsidRDefault="00346E56" w:rsidP="00A14646">
      <w:pPr>
        <w:pStyle w:val="Bodytextwithparaspace"/>
      </w:pPr>
      <w:r>
        <w:t>The hospital could</w:t>
      </w:r>
      <w:r w:rsidR="00714A67">
        <w:t xml:space="preserve"> go some way to</w:t>
      </w:r>
      <w:r>
        <w:t xml:space="preserve"> achiev</w:t>
      </w:r>
      <w:r w:rsidR="00714A67">
        <w:t>ing</w:t>
      </w:r>
      <w:r>
        <w:t xml:space="preserve"> this through a range of measures, including:</w:t>
      </w:r>
    </w:p>
    <w:p w14:paraId="6FB14B54" w14:textId="3A5B3040" w:rsidR="00346E56" w:rsidRDefault="000671E8" w:rsidP="00463B2D">
      <w:pPr>
        <w:pStyle w:val="Bodytextwithparaspace"/>
        <w:numPr>
          <w:ilvl w:val="1"/>
          <w:numId w:val="11"/>
        </w:numPr>
        <w:ind w:left="709"/>
      </w:pPr>
      <w:r>
        <w:t xml:space="preserve">Ensuring </w:t>
      </w:r>
      <w:r w:rsidR="00346E56">
        <w:t>a transparent procurement process that directly involves its clinicians in the decisions made;</w:t>
      </w:r>
    </w:p>
    <w:p w14:paraId="4697ACE1" w14:textId="5756CB22" w:rsidR="00346E56" w:rsidRDefault="000671E8" w:rsidP="00463B2D">
      <w:pPr>
        <w:pStyle w:val="Bodytextwithparaspace"/>
        <w:numPr>
          <w:ilvl w:val="1"/>
          <w:numId w:val="11"/>
        </w:numPr>
        <w:ind w:left="709"/>
      </w:pPr>
      <w:r>
        <w:t xml:space="preserve">Collecting </w:t>
      </w:r>
      <w:r w:rsidR="00346E56">
        <w:t>and disseminating evidence on the clinical value and cost effectiveness of the items purchased;</w:t>
      </w:r>
    </w:p>
    <w:p w14:paraId="7601FDE2" w14:textId="37BBC6EC" w:rsidR="00346E56" w:rsidRDefault="000671E8" w:rsidP="00463B2D">
      <w:pPr>
        <w:pStyle w:val="Bodytextwithparaspace"/>
        <w:numPr>
          <w:ilvl w:val="1"/>
          <w:numId w:val="11"/>
        </w:numPr>
        <w:ind w:left="709"/>
      </w:pPr>
      <w:r>
        <w:t xml:space="preserve">Monitoring </w:t>
      </w:r>
      <w:r w:rsidR="00346E56">
        <w:t>usage, particularly of higher-cost items, and reassessing/intervening if usage is significantly higher than expected; and</w:t>
      </w:r>
    </w:p>
    <w:p w14:paraId="74C3BD76" w14:textId="39CB10F8" w:rsidR="00346E56" w:rsidRDefault="000671E8" w:rsidP="00463B2D">
      <w:pPr>
        <w:pStyle w:val="Bodytextwithparaspace"/>
        <w:numPr>
          <w:ilvl w:val="1"/>
          <w:numId w:val="11"/>
        </w:numPr>
        <w:ind w:left="709"/>
      </w:pPr>
      <w:r>
        <w:t xml:space="preserve">Developing </w:t>
      </w:r>
      <w:r w:rsidR="00346E56">
        <w:t>processes that send a signal to clinicians to consider cost effectiveness – for example, enhanced approval processes prior to the usage of higher-cost items.</w:t>
      </w:r>
    </w:p>
    <w:p w14:paraId="3000679F" w14:textId="3E56CDA4" w:rsidR="00F81EB7" w:rsidRDefault="004C74E4">
      <w:pPr>
        <w:pStyle w:val="Bodytextwithparaspace"/>
      </w:pPr>
      <w:r>
        <w:t xml:space="preserve">As well as </w:t>
      </w:r>
      <w:r w:rsidR="00726925">
        <w:t>cost-</w:t>
      </w:r>
      <w:r>
        <w:t>risk</w:t>
      </w:r>
      <w:r w:rsidR="00726925">
        <w:t xml:space="preserve"> </w:t>
      </w:r>
      <w:r>
        <w:t xml:space="preserve">sharing </w:t>
      </w:r>
      <w:r w:rsidR="003643B1">
        <w:t>incentivising efficiency</w:t>
      </w:r>
      <w:r>
        <w:t xml:space="preserve">, there is reduced administrative burden </w:t>
      </w:r>
      <w:r w:rsidR="00714A67">
        <w:t xml:space="preserve">to hospitals </w:t>
      </w:r>
      <w:r>
        <w:t xml:space="preserve">of reviewing </w:t>
      </w:r>
      <w:r w:rsidR="00DF0758">
        <w:t>a group of</w:t>
      </w:r>
      <w:r>
        <w:t xml:space="preserve"> fees in aggregate rather than needing to regularly reassess the individual price points for all of the constituent costs.</w:t>
      </w:r>
    </w:p>
    <w:p w14:paraId="59A8F018" w14:textId="473F7043" w:rsidR="00E30473" w:rsidRPr="00DC636B" w:rsidRDefault="00E30473" w:rsidP="00E30473">
      <w:pPr>
        <w:pStyle w:val="Bodytextwithparaspace"/>
        <w:rPr>
          <w:b/>
          <w:i/>
        </w:rPr>
      </w:pPr>
      <w:r>
        <w:rPr>
          <w:b/>
          <w:i/>
        </w:rPr>
        <w:t>Consistency</w:t>
      </w:r>
    </w:p>
    <w:p w14:paraId="2800E792" w14:textId="67AB3462" w:rsidR="00E30473" w:rsidRDefault="00E30473" w:rsidP="00E30473">
      <w:pPr>
        <w:pStyle w:val="Bodytextwithparaspace"/>
      </w:pPr>
      <w:r>
        <w:t xml:space="preserve">Most, if not all, of the items in this review can be considered disposable and/or consumable, and so it would be more consistent for these items to be </w:t>
      </w:r>
      <w:r w:rsidR="00CC760C">
        <w:t>treated similar to</w:t>
      </w:r>
      <w:r w:rsidR="003643B1">
        <w:t xml:space="preserve"> other disposable and consumable items</w:t>
      </w:r>
      <w:r>
        <w:t>.</w:t>
      </w:r>
    </w:p>
    <w:p w14:paraId="5FBD7FFE" w14:textId="01FD48CA" w:rsidR="00AB20F8" w:rsidRDefault="00AB20F8" w:rsidP="00AB20F8">
      <w:pPr>
        <w:pStyle w:val="Bodytextwithparaspace"/>
      </w:pPr>
      <w:r>
        <w:t>In addition, this approach would be consistent with the approach of other private funders such as Workers Compensation schemes, Compulsory Third Party insurers and the Department of Veteran Affairs where consumable and disposable items are typically included within</w:t>
      </w:r>
      <w:r w:rsidR="00800BE4">
        <w:t xml:space="preserve"> case based payments or bundled</w:t>
      </w:r>
      <w:r>
        <w:t xml:space="preserve"> theatre fees, with additional fees for high cost items only in exceptional circumstances.</w:t>
      </w:r>
      <w:r>
        <w:rPr>
          <w:rStyle w:val="FootnoteReference"/>
        </w:rPr>
        <w:footnoteReference w:id="12"/>
      </w:r>
    </w:p>
    <w:p w14:paraId="5FEA1DB6" w14:textId="1BD8946D" w:rsidR="00E30473" w:rsidRPr="00DC636B" w:rsidRDefault="00E30473" w:rsidP="00945B32">
      <w:pPr>
        <w:pStyle w:val="Bodytextwithparaspace"/>
        <w:keepNext/>
        <w:rPr>
          <w:b/>
          <w:i/>
        </w:rPr>
      </w:pPr>
      <w:r>
        <w:rPr>
          <w:b/>
          <w:i/>
        </w:rPr>
        <w:t>Feasibility</w:t>
      </w:r>
    </w:p>
    <w:p w14:paraId="23D8C2E1" w14:textId="6689ADEA" w:rsidR="00CC760C" w:rsidRDefault="00CC760C" w:rsidP="00C80BDC">
      <w:pPr>
        <w:pStyle w:val="Bodytextwithparaspace"/>
      </w:pPr>
      <w:r>
        <w:t>For the lower cost items where a range of alternative products might be able to perform similar clinical roles, the change in funding mechanism should not impact the volume and range of items stocked by hospitals and should therefore have limited impact on clinicians’ choices – apart from potentially to improve cost effectiveness as discussed under ‘efficiency’ above.</w:t>
      </w:r>
    </w:p>
    <w:p w14:paraId="7E3E8686" w14:textId="175ABFE4" w:rsidR="00C80BDC" w:rsidRPr="00345D1B" w:rsidRDefault="00EC751F" w:rsidP="00463B2D">
      <w:pPr>
        <w:pStyle w:val="Bodytextwithparaspace"/>
      </w:pPr>
      <w:r>
        <w:t>Several items</w:t>
      </w:r>
      <w:r w:rsidR="00C80BDC">
        <w:t xml:space="preserve"> that have shown sudden increased usage since listing (see Section </w:t>
      </w:r>
      <w:r w:rsidR="00C80BDC">
        <w:fldChar w:fldCharType="begin"/>
      </w:r>
      <w:r w:rsidR="00C80BDC">
        <w:instrText xml:space="preserve"> REF _Ref38907184 \r \h </w:instrText>
      </w:r>
      <w:r w:rsidR="00C80BDC">
        <w:fldChar w:fldCharType="separate"/>
      </w:r>
      <w:r w:rsidR="00784DE2">
        <w:t>4.4.2</w:t>
      </w:r>
      <w:r w:rsidR="00C80BDC">
        <w:fldChar w:fldCharType="end"/>
      </w:r>
      <w:r w:rsidR="00C80BDC">
        <w:t>)</w:t>
      </w:r>
      <w:r w:rsidR="000D54CC">
        <w:t xml:space="preserve">, have previously been funded </w:t>
      </w:r>
      <w:r w:rsidR="00CC760C">
        <w:t xml:space="preserve">through </w:t>
      </w:r>
      <w:r w:rsidR="00801C91">
        <w:t>case based or bundled payments</w:t>
      </w:r>
      <w:r>
        <w:t>.</w:t>
      </w:r>
    </w:p>
    <w:p w14:paraId="3862F781" w14:textId="3B8CFE85" w:rsidR="00C91E43" w:rsidRDefault="004C74E4" w:rsidP="00DC636B">
      <w:pPr>
        <w:pStyle w:val="Bodytextwithparaspace"/>
      </w:pPr>
      <w:r>
        <w:t>This demonstrates that funding these items in this way is a feasible option.</w:t>
      </w:r>
    </w:p>
    <w:tbl>
      <w:tblPr>
        <w:tblStyle w:val="TableGrid"/>
        <w:tblW w:w="0" w:type="auto"/>
        <w:tblLook w:val="04A0" w:firstRow="1" w:lastRow="0" w:firstColumn="1" w:lastColumn="0" w:noHBand="0" w:noVBand="1"/>
        <w:tblCaption w:val="Recommendations: Recommendation 2"/>
        <w:tblDescription w:val="Recommendation 2: tighten listing criteria&#10;Amend the listing criteria in the Prostheses List Guidelines to include an overall intention for the PL and to remove any ambiguities.&#10;"/>
      </w:tblPr>
      <w:tblGrid>
        <w:gridCol w:w="9019"/>
      </w:tblGrid>
      <w:tr w:rsidR="00226B44" w14:paraId="5F8D62F5" w14:textId="77777777" w:rsidTr="009C3BEC">
        <w:trPr>
          <w:tblHeader/>
        </w:trPr>
        <w:tc>
          <w:tcPr>
            <w:tcW w:w="9019" w:type="dxa"/>
            <w:shd w:val="clear" w:color="auto" w:fill="FFE600"/>
          </w:tcPr>
          <w:p w14:paraId="76551A70" w14:textId="0EC8BDDC" w:rsidR="00226B44" w:rsidRDefault="00226B44" w:rsidP="00225131">
            <w:pPr>
              <w:pStyle w:val="Bodytextwithparaspace"/>
              <w:rPr>
                <w:b/>
              </w:rPr>
            </w:pPr>
            <w:r>
              <w:rPr>
                <w:b/>
              </w:rPr>
              <w:t>Recommendation 2</w:t>
            </w:r>
            <w:r w:rsidR="004C74E4">
              <w:rPr>
                <w:b/>
              </w:rPr>
              <w:t>: tighten listing criteria</w:t>
            </w:r>
          </w:p>
          <w:p w14:paraId="499E78CE" w14:textId="414FC577" w:rsidR="00226B44" w:rsidRPr="00226B44" w:rsidRDefault="00226B44" w:rsidP="00225131">
            <w:pPr>
              <w:pStyle w:val="Bodytextwithparaspace"/>
            </w:pPr>
            <w:r>
              <w:t>Amend</w:t>
            </w:r>
            <w:r w:rsidR="004C74E4">
              <w:t xml:space="preserve"> the</w:t>
            </w:r>
            <w:r>
              <w:t xml:space="preserve"> listing criteria </w:t>
            </w:r>
            <w:r w:rsidR="004C74E4">
              <w:t xml:space="preserve">in the Prostheses List Guidelines </w:t>
            </w:r>
            <w:r>
              <w:t xml:space="preserve">to include an overall </w:t>
            </w:r>
            <w:r w:rsidR="009441F3">
              <w:t>intention</w:t>
            </w:r>
            <w:r>
              <w:t xml:space="preserve"> for the PL and to remove any ambiguities.</w:t>
            </w:r>
          </w:p>
        </w:tc>
      </w:tr>
    </w:tbl>
    <w:p w14:paraId="28366765" w14:textId="5BB6752A" w:rsidR="00F0317C" w:rsidRDefault="009441F3" w:rsidP="00DC636B">
      <w:pPr>
        <w:pStyle w:val="Bodytextwithparaspace"/>
        <w:spacing w:before="240"/>
      </w:pPr>
      <w:r w:rsidRPr="00DC636B">
        <w:t xml:space="preserve">As well as being the means to achieve Recommendation 1, this will limit the potential for future ‘creep’ in the nature of the items included on the PL. By including an overall intention for the PL, it will be more apparent when items on the PL are inconsistent with this intention. </w:t>
      </w:r>
      <w:r w:rsidR="00F0317C">
        <w:t xml:space="preserve">This should describe how the PL is intended to enable patients to have access to safe, clinically effective and cost effective prosthetic items through guaranteeing appropriate funding levels towards those prosthetic items that are critical and specific to meeting certain patients’ needs – with these latter circumstances expanded on depending on the Department’s views. For example, it </w:t>
      </w:r>
      <w:r w:rsidR="00FE507F">
        <w:t>might elaborate to say</w:t>
      </w:r>
      <w:r w:rsidR="00F0317C">
        <w:t xml:space="preserve"> that it is intended to support patients where the implantation of a long-term prosthetic item would be the most important </w:t>
      </w:r>
      <w:r w:rsidR="00FE507F">
        <w:t>surgical option available</w:t>
      </w:r>
      <w:r w:rsidR="00F0317C">
        <w:t xml:space="preserve"> that would improve their health outcomes.</w:t>
      </w:r>
    </w:p>
    <w:p w14:paraId="613E9CCE" w14:textId="453C6BAF" w:rsidR="00226B44" w:rsidRDefault="009441F3" w:rsidP="00DC636B">
      <w:pPr>
        <w:pStyle w:val="Bodytextwithparaspace"/>
        <w:spacing w:before="240"/>
      </w:pPr>
      <w:r w:rsidRPr="00DC636B">
        <w:t xml:space="preserve">In addition, adding additional details and definitions to clarify the specific ambiguity issues identified described in Finding </w:t>
      </w:r>
      <w:r w:rsidRPr="00DC636B">
        <w:fldChar w:fldCharType="begin"/>
      </w:r>
      <w:r w:rsidRPr="00DC636B">
        <w:instrText xml:space="preserve"> REF _Ref39048041 \r \h </w:instrText>
      </w:r>
      <w:r>
        <w:instrText xml:space="preserve"> \* MERGEFORMAT </w:instrText>
      </w:r>
      <w:r w:rsidRPr="00DC636B">
        <w:fldChar w:fldCharType="separate"/>
      </w:r>
      <w:r w:rsidR="00784DE2">
        <w:t>4.3.2</w:t>
      </w:r>
      <w:r w:rsidRPr="00DC636B">
        <w:fldChar w:fldCharType="end"/>
      </w:r>
      <w:r w:rsidRPr="00DC636B">
        <w:t xml:space="preserve"> (2) will enable a more objective assessment of an item’s eligibility (or otherwise) for inclusion. </w:t>
      </w:r>
    </w:p>
    <w:tbl>
      <w:tblPr>
        <w:tblStyle w:val="TableGrid"/>
        <w:tblW w:w="0" w:type="auto"/>
        <w:tblLook w:val="04A0" w:firstRow="1" w:lastRow="0" w:firstColumn="1" w:lastColumn="0" w:noHBand="0" w:noVBand="1"/>
        <w:tblCaption w:val="Recommendations: Recommendation 3"/>
        <w:tblDescription w:val="Recommendation 3: improve listing processes&#10;Improve robustness of listing processes, including: assessments for inclusion; assessments for reclassification; monitoring of appropriateness of usage; and regular assessments of clinical value.&#10;"/>
      </w:tblPr>
      <w:tblGrid>
        <w:gridCol w:w="9019"/>
      </w:tblGrid>
      <w:tr w:rsidR="00226B44" w14:paraId="7C978530" w14:textId="77777777" w:rsidTr="009C3BEC">
        <w:trPr>
          <w:tblHeader/>
        </w:trPr>
        <w:tc>
          <w:tcPr>
            <w:tcW w:w="9019" w:type="dxa"/>
            <w:shd w:val="clear" w:color="auto" w:fill="FFE600"/>
          </w:tcPr>
          <w:p w14:paraId="7F7BD81A" w14:textId="65815A23" w:rsidR="00226B44" w:rsidRDefault="00226B44" w:rsidP="00226B44">
            <w:pPr>
              <w:pStyle w:val="Bodytextwithparaspace"/>
              <w:rPr>
                <w:b/>
              </w:rPr>
            </w:pPr>
            <w:r>
              <w:rPr>
                <w:b/>
              </w:rPr>
              <w:t>Recommendation 3</w:t>
            </w:r>
            <w:r w:rsidR="004C74E4">
              <w:rPr>
                <w:b/>
              </w:rPr>
              <w:t xml:space="preserve">: improve </w:t>
            </w:r>
            <w:r w:rsidR="009441F3">
              <w:rPr>
                <w:b/>
              </w:rPr>
              <w:t xml:space="preserve">listing </w:t>
            </w:r>
            <w:r w:rsidR="004C74E4">
              <w:rPr>
                <w:b/>
              </w:rPr>
              <w:t>processes</w:t>
            </w:r>
          </w:p>
          <w:p w14:paraId="227EFC08" w14:textId="77E3CCEE" w:rsidR="00226B44" w:rsidRPr="00DC636B" w:rsidRDefault="00226B44" w:rsidP="00226B44">
            <w:pPr>
              <w:pStyle w:val="Bodytextwithparaspace"/>
            </w:pPr>
            <w:r>
              <w:t xml:space="preserve">Improve </w:t>
            </w:r>
            <w:r w:rsidR="0009028B">
              <w:t>robustness of listing processes, including</w:t>
            </w:r>
            <w:r w:rsidR="00B87D96">
              <w:t>:</w:t>
            </w:r>
            <w:r w:rsidR="0009028B">
              <w:t xml:space="preserve"> assessment</w:t>
            </w:r>
            <w:r w:rsidR="0091590E">
              <w:t>s</w:t>
            </w:r>
            <w:r w:rsidR="0009028B">
              <w:t xml:space="preserve"> for inclusion</w:t>
            </w:r>
            <w:r w:rsidR="0091590E">
              <w:t>; assessments for reclassification; monitoring of appropriateness of usage</w:t>
            </w:r>
            <w:r w:rsidR="00E7025E">
              <w:t>; and regular assessments of clinical value</w:t>
            </w:r>
            <w:r w:rsidR="0091590E">
              <w:t>.</w:t>
            </w:r>
          </w:p>
        </w:tc>
      </w:tr>
    </w:tbl>
    <w:p w14:paraId="52635180" w14:textId="77777777" w:rsidR="0091590E" w:rsidRDefault="0091590E" w:rsidP="00DC636B">
      <w:pPr>
        <w:pStyle w:val="Bodytextwithparaspace"/>
        <w:spacing w:before="240" w:after="0"/>
      </w:pPr>
      <w:r>
        <w:t>Ideally the assessment processes for inclusion and reclassification on the list would include a comprehensive assessment that considers:</w:t>
      </w:r>
    </w:p>
    <w:p w14:paraId="081B4671" w14:textId="06281ACF" w:rsidR="00FE507F" w:rsidRPr="0091590E" w:rsidRDefault="000671E8" w:rsidP="00463B2D">
      <w:pPr>
        <w:pStyle w:val="Bodytextwithparaspace"/>
        <w:numPr>
          <w:ilvl w:val="1"/>
          <w:numId w:val="11"/>
        </w:numPr>
        <w:spacing w:before="240"/>
        <w:ind w:left="709"/>
      </w:pPr>
      <w:r>
        <w:t>W</w:t>
      </w:r>
      <w:r w:rsidRPr="0091590E">
        <w:t xml:space="preserve">hether </w:t>
      </w:r>
      <w:r w:rsidR="00FE507F" w:rsidRPr="0091590E">
        <w:t>it meets the (more objective) listing criteria;</w:t>
      </w:r>
    </w:p>
    <w:p w14:paraId="196A060A" w14:textId="4B993D2F" w:rsidR="00FE507F" w:rsidRDefault="000671E8" w:rsidP="00463B2D">
      <w:pPr>
        <w:pStyle w:val="Bodytextwithparaspace"/>
        <w:numPr>
          <w:ilvl w:val="1"/>
          <w:numId w:val="11"/>
        </w:numPr>
        <w:ind w:left="709"/>
      </w:pPr>
      <w:r>
        <w:t xml:space="preserve">Transparent </w:t>
      </w:r>
      <w:r w:rsidR="00FE507F">
        <w:t>tendering processes – i.e. opening up the process so that other manufacturers can simultaneously propose benefit amounts for their own similar products;</w:t>
      </w:r>
    </w:p>
    <w:p w14:paraId="13766ED3" w14:textId="50CD0093" w:rsidR="00FE507F" w:rsidRPr="009764C6" w:rsidRDefault="000671E8" w:rsidP="00463B2D">
      <w:pPr>
        <w:pStyle w:val="Bodytextwithparaspace"/>
        <w:numPr>
          <w:ilvl w:val="1"/>
          <w:numId w:val="11"/>
        </w:numPr>
        <w:ind w:left="709"/>
      </w:pPr>
      <w:r>
        <w:t>T</w:t>
      </w:r>
      <w:r w:rsidRPr="0091590E">
        <w:t xml:space="preserve">he </w:t>
      </w:r>
      <w:r w:rsidR="00FE507F" w:rsidRPr="0091590E">
        <w:t>clinical value of the product relative to its proposed benefit amount and the benefit amounts of similar products (i</w:t>
      </w:r>
      <w:r w:rsidR="00FE507F" w:rsidRPr="009764C6">
        <w:t>ncluding</w:t>
      </w:r>
      <w:r w:rsidR="00FE507F">
        <w:t xml:space="preserve"> other products included in the tendering process as noted above, and also other</w:t>
      </w:r>
      <w:r w:rsidR="00FE507F" w:rsidRPr="009764C6">
        <w:t xml:space="preserve"> products that are on the PL and not on the PL); and</w:t>
      </w:r>
    </w:p>
    <w:p w14:paraId="4186492D" w14:textId="639BF2B3" w:rsidR="00FE507F" w:rsidRPr="009764C6" w:rsidRDefault="000671E8" w:rsidP="00463B2D">
      <w:pPr>
        <w:pStyle w:val="Bodytextwithparaspace"/>
        <w:numPr>
          <w:ilvl w:val="1"/>
          <w:numId w:val="11"/>
        </w:numPr>
        <w:ind w:left="709"/>
      </w:pPr>
      <w:r>
        <w:t>W</w:t>
      </w:r>
      <w:r w:rsidRPr="009764C6">
        <w:t xml:space="preserve">hether </w:t>
      </w:r>
      <w:r w:rsidR="00FE507F" w:rsidRPr="009764C6">
        <w:t>more efficient funding mechanisms might exist.</w:t>
      </w:r>
    </w:p>
    <w:p w14:paraId="11674B03" w14:textId="7F001A5F" w:rsidR="00226B44" w:rsidRPr="00DC636B" w:rsidRDefault="009764C6">
      <w:pPr>
        <w:pStyle w:val="Bodytextwithparaspace"/>
      </w:pPr>
      <w:r w:rsidRPr="00DC636B">
        <w:t>Ideally these assessments would be performed by an independent panel comprising members with a range of clinical and health economics backgrounds.</w:t>
      </w:r>
    </w:p>
    <w:p w14:paraId="5E5C7D1E" w14:textId="6C83FA7C" w:rsidR="009441F3" w:rsidRPr="00DC636B" w:rsidRDefault="009764C6" w:rsidP="00226B44">
      <w:pPr>
        <w:pStyle w:val="Bodytextwithparaspace"/>
      </w:pPr>
      <w:r w:rsidRPr="00DC636B">
        <w:t>In addition, regular and formal monitoring of usage and compliance with the criteria should be performed and reported to the panel.</w:t>
      </w:r>
      <w:r w:rsidR="00E7025E">
        <w:t xml:space="preserve"> The panel should also have a framework in place for reviewing and assessing the clinical value of items on the PL.</w:t>
      </w:r>
    </w:p>
    <w:p w14:paraId="02337C8F" w14:textId="38C55464" w:rsidR="00F01CB1" w:rsidRDefault="00226B44" w:rsidP="00F01CB1">
      <w:pPr>
        <w:pStyle w:val="EYHeading3"/>
      </w:pPr>
      <w:bookmarkStart w:id="332" w:name="_Ref41558442"/>
      <w:bookmarkStart w:id="333" w:name="_Ref39650005"/>
      <w:r>
        <w:t>Transition considerations</w:t>
      </w:r>
      <w:bookmarkEnd w:id="332"/>
    </w:p>
    <w:p w14:paraId="33281CEC" w14:textId="3780E7C7" w:rsidR="009764C6" w:rsidRDefault="009764C6" w:rsidP="009764C6">
      <w:pPr>
        <w:pStyle w:val="Bodytextwithoutparaspace"/>
      </w:pPr>
      <w:r>
        <w:t xml:space="preserve">As noted above, there is no suggestion that any of these items do not serve a clinical purpose in providing for optimal patient </w:t>
      </w:r>
      <w:r w:rsidRPr="00707467">
        <w:t>outcomes.</w:t>
      </w:r>
      <w:r>
        <w:t xml:space="preserve"> As such, it would be an adverse outcome if removal from the PL led to </w:t>
      </w:r>
      <w:r w:rsidR="005E49FF">
        <w:t>an increased cost burden for clinically essential items and/or a</w:t>
      </w:r>
      <w:r>
        <w:t xml:space="preserve"> reduction in usage to the extent that clinical outcomes for patients were compromised.</w:t>
      </w:r>
    </w:p>
    <w:p w14:paraId="00A55ACD" w14:textId="28450BFB" w:rsidR="00226B44" w:rsidRDefault="00226B44" w:rsidP="00DC636B">
      <w:pPr>
        <w:pStyle w:val="Bodytextwithparaspace"/>
        <w:spacing w:before="240"/>
      </w:pPr>
      <w:r>
        <w:t>A range of implementation issues should be considered in order to avoid unintended consequences from the removal of any items</w:t>
      </w:r>
      <w:r w:rsidR="009764C6">
        <w:t>.</w:t>
      </w:r>
    </w:p>
    <w:p w14:paraId="13DD4AC6" w14:textId="1FBEB8AE" w:rsidR="00984F18" w:rsidRDefault="00226B44" w:rsidP="00984F18">
      <w:pPr>
        <w:pStyle w:val="Bodytextwithparaspace"/>
      </w:pPr>
      <w:r>
        <w:t xml:space="preserve">Most importantly, </w:t>
      </w:r>
      <w:r w:rsidR="008E7352">
        <w:t xml:space="preserve">the </w:t>
      </w:r>
      <w:r w:rsidR="009764C6">
        <w:t xml:space="preserve">processes and </w:t>
      </w:r>
      <w:r w:rsidR="008E7352">
        <w:t xml:space="preserve">contractual mechanisms for including these items within </w:t>
      </w:r>
      <w:r w:rsidR="00801C91">
        <w:t>case based or bundled payments</w:t>
      </w:r>
      <w:r w:rsidR="008E7352">
        <w:t xml:space="preserve"> will need to be developed and tested so that there are no short-term adverse impacts on clinical outcomes and the cost of services</w:t>
      </w:r>
      <w:r w:rsidR="009764C6">
        <w:t>.</w:t>
      </w:r>
      <w:r w:rsidR="00984F18">
        <w:t xml:space="preserve"> In particular, hospitals and clinicians will need to properly develop, test and implement procurement and usage monitoring processes and, given the clinical importance and volume of usage of these items, appropriate transition time should be allowed for this.</w:t>
      </w:r>
    </w:p>
    <w:p w14:paraId="17E39220" w14:textId="00623231" w:rsidR="00FC7D79" w:rsidRDefault="009764C6" w:rsidP="009764C6">
      <w:pPr>
        <w:pStyle w:val="Bodytextwithparaspace"/>
      </w:pPr>
      <w:r>
        <w:t>Most of the relevant items are relatively low cost</w:t>
      </w:r>
      <w:r w:rsidR="00FC7D79">
        <w:t xml:space="preserve">. </w:t>
      </w:r>
      <w:bookmarkStart w:id="334" w:name="_Hlk41982048"/>
      <w:r w:rsidR="00FC7D79">
        <w:t>For example,</w:t>
      </w:r>
      <w:r w:rsidR="00993137">
        <w:t xml:space="preserve"> the top 10 items used</w:t>
      </w:r>
      <w:r w:rsidR="00540C60">
        <w:t xml:space="preserve"> in FY19 had a weighted average prostheses list benefit of </w:t>
      </w:r>
      <w:r w:rsidR="00E53CB6">
        <w:t>$166</w:t>
      </w:r>
      <w:r w:rsidR="00763D8C">
        <w:t>.</w:t>
      </w:r>
      <w:r w:rsidR="001E0A3B">
        <w:t xml:space="preserve"> </w:t>
      </w:r>
      <w:r w:rsidR="00EB6DB2">
        <w:t>Additionally, o</w:t>
      </w:r>
      <w:r w:rsidR="001E0A3B">
        <w:t xml:space="preserve">f these top 10 items, </w:t>
      </w:r>
      <w:r w:rsidR="00C30D90">
        <w:t xml:space="preserve">5 </w:t>
      </w:r>
      <w:r w:rsidR="008A6B4B">
        <w:t>had a benefit below $50</w:t>
      </w:r>
      <w:r w:rsidR="00763033">
        <w:t>, with these</w:t>
      </w:r>
      <w:r w:rsidR="00EB6DB2">
        <w:t xml:space="preserve"> 5 items </w:t>
      </w:r>
      <w:r w:rsidR="00C30D90">
        <w:t>account</w:t>
      </w:r>
      <w:r w:rsidR="00763033">
        <w:t>ing</w:t>
      </w:r>
      <w:r w:rsidR="00C30D90">
        <w:t xml:space="preserve"> for</w:t>
      </w:r>
      <w:r w:rsidR="00E53CB6">
        <w:t xml:space="preserve"> </w:t>
      </w:r>
      <w:r w:rsidR="0012281C">
        <w:t xml:space="preserve">43% of </w:t>
      </w:r>
      <w:r w:rsidR="00C30D90">
        <w:t xml:space="preserve">the top 10 item usage </w:t>
      </w:r>
      <w:r w:rsidR="00B02BB4">
        <w:t>in FY19</w:t>
      </w:r>
      <w:r w:rsidR="006F47D4">
        <w:t>.</w:t>
      </w:r>
      <w:r>
        <w:t xml:space="preserve"> </w:t>
      </w:r>
      <w:bookmarkEnd w:id="334"/>
      <w:r w:rsidR="00FC7D79">
        <w:t xml:space="preserve">For the lower cost items, their inclusion in the </w:t>
      </w:r>
      <w:r w:rsidR="00801C91">
        <w:t xml:space="preserve">case based or bundled </w:t>
      </w:r>
      <w:r w:rsidR="00FC7D79">
        <w:t xml:space="preserve">fee would represent a marginal increase in the total cost that </w:t>
      </w:r>
      <w:r w:rsidR="00984F18">
        <w:t xml:space="preserve">might </w:t>
      </w:r>
      <w:r w:rsidR="00FC7D79">
        <w:t xml:space="preserve">be difficult to distinguish from other cost fluctuations for other items already covered by </w:t>
      </w:r>
      <w:r w:rsidR="00800BE4">
        <w:t xml:space="preserve">case based payments or the </w:t>
      </w:r>
      <w:r w:rsidR="00FC7D79">
        <w:t>theatre fee.</w:t>
      </w:r>
    </w:p>
    <w:p w14:paraId="62992357" w14:textId="0BD81159" w:rsidR="00226B44" w:rsidRPr="005F4673" w:rsidRDefault="00FC7D79" w:rsidP="00DC636B">
      <w:pPr>
        <w:pStyle w:val="Bodytextwithparaspace"/>
      </w:pPr>
      <w:r>
        <w:t>However, there are some higher cost items. For example,</w:t>
      </w:r>
      <w:r w:rsidR="002E23D9">
        <w:t xml:space="preserve"> from</w:t>
      </w:r>
      <w:r w:rsidR="00A21EC6">
        <w:t xml:space="preserve"> the top 10</w:t>
      </w:r>
      <w:r w:rsidR="00712A13">
        <w:t xml:space="preserve"> PL benefit</w:t>
      </w:r>
      <w:r w:rsidR="00A21EC6">
        <w:t xml:space="preserve"> growth items between FY14 and FY19</w:t>
      </w:r>
      <w:r w:rsidR="00BD1B29">
        <w:t>,</w:t>
      </w:r>
      <w:r w:rsidR="00A21EC6">
        <w:t xml:space="preserve"> </w:t>
      </w:r>
      <w:r w:rsidR="000039F1">
        <w:t xml:space="preserve">one </w:t>
      </w:r>
      <w:r w:rsidR="00C9585A">
        <w:t>had a benefit</w:t>
      </w:r>
      <w:r w:rsidR="00416511">
        <w:t xml:space="preserve"> amount</w:t>
      </w:r>
      <w:r w:rsidR="00C9585A">
        <w:t xml:space="preserve"> of </w:t>
      </w:r>
      <w:r w:rsidR="00BD1B29">
        <w:t>more than $1,000</w:t>
      </w:r>
      <w:r w:rsidR="00C9585A">
        <w:t xml:space="preserve"> in FY19. </w:t>
      </w:r>
      <w:r w:rsidR="00E7025E" w:rsidRPr="00DC636B">
        <w:t xml:space="preserve">More detailed analysis of the impact of including these items within the </w:t>
      </w:r>
      <w:r w:rsidR="00801C91">
        <w:t>case based or bundled fee</w:t>
      </w:r>
      <w:r w:rsidR="00E7025E" w:rsidRPr="00DC636B">
        <w:t xml:space="preserve"> should be performed to determine if</w:t>
      </w:r>
      <w:r w:rsidR="00E7025E">
        <w:t>, and the extent to which,</w:t>
      </w:r>
      <w:r w:rsidR="00E7025E" w:rsidRPr="00DC636B">
        <w:t xml:space="preserve"> their inclusion should lead to a direct </w:t>
      </w:r>
      <w:r w:rsidR="00E70F9F">
        <w:t xml:space="preserve">explicit </w:t>
      </w:r>
      <w:r w:rsidR="00E7025E" w:rsidRPr="00DC636B">
        <w:t>change in the relevant fee.</w:t>
      </w:r>
      <w:r>
        <w:t xml:space="preserve"> </w:t>
      </w:r>
    </w:p>
    <w:p w14:paraId="420ED018" w14:textId="002F5466" w:rsidR="009441F3" w:rsidRDefault="00E7025E" w:rsidP="00F01CB1">
      <w:pPr>
        <w:pStyle w:val="Bodytextwithparaspace"/>
      </w:pPr>
      <w:r>
        <w:t xml:space="preserve">Other transitional arrangements to consider include </w:t>
      </w:r>
      <w:r w:rsidR="00226B44" w:rsidRPr="005F4673">
        <w:t xml:space="preserve">for existing </w:t>
      </w:r>
      <w:r>
        <w:t xml:space="preserve">contractual </w:t>
      </w:r>
      <w:r w:rsidR="00226B44" w:rsidRPr="005F4673">
        <w:t>arrangements</w:t>
      </w:r>
      <w:r>
        <w:t xml:space="preserve"> and other agreements</w:t>
      </w:r>
      <w:r w:rsidR="00226B44" w:rsidRPr="005F4673">
        <w:t xml:space="preserve"> to expire and for new arrangements to be agreed</w:t>
      </w:r>
      <w:r>
        <w:t>.</w:t>
      </w:r>
    </w:p>
    <w:p w14:paraId="349E1A91" w14:textId="77777777" w:rsidR="00640D42" w:rsidRDefault="00640D42" w:rsidP="00640D42">
      <w:pPr>
        <w:pStyle w:val="EYHeading1"/>
      </w:pPr>
      <w:bookmarkStart w:id="335" w:name="_Toc59015981"/>
      <w:r>
        <w:t>Reliances and limitations</w:t>
      </w:r>
      <w:bookmarkEnd w:id="333"/>
      <w:bookmarkEnd w:id="335"/>
    </w:p>
    <w:p w14:paraId="306E04DE" w14:textId="77777777" w:rsidR="00975A37" w:rsidRDefault="00913F8B" w:rsidP="00913F8B">
      <w:pPr>
        <w:pStyle w:val="Bodytextwithparaspace"/>
        <w:jc w:val="both"/>
      </w:pPr>
      <w:r>
        <w:t xml:space="preserve">This report was prepared at the request of the Department solely for the purposes set out in the scope section/proposal (hereafter “the Project”) pursuant to the terms of our engagement letter dated </w:t>
      </w:r>
      <w:r w:rsidR="00227AFC">
        <w:t>7 January</w:t>
      </w:r>
      <w:r>
        <w:t xml:space="preserve"> 2020 and it is not appropriate for use for other purposes.</w:t>
      </w:r>
    </w:p>
    <w:p w14:paraId="07BD95FA" w14:textId="3FDFD830" w:rsidR="00913F8B" w:rsidRDefault="00913F8B" w:rsidP="00913F8B">
      <w:pPr>
        <w:pStyle w:val="Bodytextwithparaspace"/>
        <w:jc w:val="both"/>
      </w:pPr>
      <w:r>
        <w:t>EY assumes no responsibility to any user of the information contained herein. No representation, warranty or undertaking is made or liability is accepted by EY as to the adequacy, completeness or factual accuracy of the contents of our report. In addition, we disclaim all responsibility to any party for any loss or liability that any party may suffer or incur arising from or relating to or in any way connected with the contents of our report, the provision of our report to any party or the reliance upon our report by any party.</w:t>
      </w:r>
    </w:p>
    <w:p w14:paraId="0F2F4112" w14:textId="77777777" w:rsidR="00913F8B" w:rsidRDefault="00913F8B" w:rsidP="00913F8B">
      <w:pPr>
        <w:pStyle w:val="Bodytextwithparaspace"/>
        <w:jc w:val="both"/>
      </w:pPr>
      <w:r>
        <w:t>This report may only be used by the Department for the purposes of the Project. However, any other party other than the Department who access this report shall only do so for their general information only and this report should not be taken as providing specific advice to those parties on any issue, nor may this report be relied upon in any way by any party other than the Department. A party other than the Department accessing this report should exercise its own skill and care with respect to use of this report, and obtain independent advice on any specific issues concerning it.</w:t>
      </w:r>
    </w:p>
    <w:p w14:paraId="22E015F0" w14:textId="606608F8" w:rsidR="00913F8B" w:rsidRDefault="00913F8B" w:rsidP="00913F8B">
      <w:pPr>
        <w:pStyle w:val="Bodytextwithparaspace"/>
        <w:jc w:val="both"/>
      </w:pPr>
      <w:r>
        <w:t xml:space="preserve">In carrying out </w:t>
      </w:r>
      <w:r w:rsidR="005D7C84">
        <w:t>the</w:t>
      </w:r>
      <w:r>
        <w:t xml:space="preserve"> work and preparing this report, EY has worked solely on the instructions of the Department, and has not taken into account the interests of any party other than the Department. The report has been constructed based on information current as of </w:t>
      </w:r>
      <w:r w:rsidR="00227AFC">
        <w:t>8 May</w:t>
      </w:r>
      <w:r>
        <w:t xml:space="preserve"> 2020, some of which has been provided by the Department. Since this date, material events may have occurred since completion which is not reflected in the report. </w:t>
      </w:r>
      <w:r w:rsidR="005D7C84">
        <w:t>The</w:t>
      </w:r>
      <w:r>
        <w:t xml:space="preserve"> report is based in part on information and data supplied by the Department. We have not sought to verify the accuracy of data or information provided to us by the Department.</w:t>
      </w:r>
    </w:p>
    <w:p w14:paraId="09B65179" w14:textId="0EC6BE41" w:rsidR="00227AFC" w:rsidRDefault="00227AFC" w:rsidP="00913F8B">
      <w:pPr>
        <w:pStyle w:val="Bodytextwithparaspace"/>
        <w:jc w:val="both"/>
      </w:pPr>
      <w:r>
        <w:t xml:space="preserve">Other specific limitations to the report are described in Section </w:t>
      </w:r>
      <w:r>
        <w:fldChar w:fldCharType="begin"/>
      </w:r>
      <w:r>
        <w:instrText xml:space="preserve"> REF _Ref39649978 \r \h </w:instrText>
      </w:r>
      <w:r>
        <w:fldChar w:fldCharType="separate"/>
      </w:r>
      <w:r w:rsidR="00784DE2">
        <w:t>3.3</w:t>
      </w:r>
      <w:r>
        <w:fldChar w:fldCharType="end"/>
      </w:r>
      <w:r>
        <w:t>.</w:t>
      </w:r>
    </w:p>
    <w:p w14:paraId="32605068" w14:textId="74E07AF8" w:rsidR="00913F8B" w:rsidRDefault="00913F8B" w:rsidP="00913F8B">
      <w:pPr>
        <w:pStyle w:val="Bodytextwithparaspace"/>
        <w:jc w:val="both"/>
      </w:pPr>
      <w:r>
        <w:t>EY does not accept any responsibility for use of the information contained in the report and make</w:t>
      </w:r>
      <w:r w:rsidR="00227AFC">
        <w:t>s</w:t>
      </w:r>
      <w:r>
        <w:t xml:space="preserve"> no guarantee nor accept</w:t>
      </w:r>
      <w:r w:rsidR="00227AFC">
        <w:t>s</w:t>
      </w:r>
      <w:r>
        <w:t xml:space="preserve"> any legal liability whatsoever arising from or connected to the accuracy, reliability, currency or completeness of any material contained in this report. </w:t>
      </w:r>
      <w:r w:rsidR="00227AFC">
        <w:t>EY</w:t>
      </w:r>
      <w:r>
        <w:t xml:space="preserve"> and all other parties involved in the preparation and publication of this report expressly disclaim all liability for any costs, loss, damage, injury or other consequence which may arise directly or indirectly from use of, or reliance on, the report.</w:t>
      </w:r>
    </w:p>
    <w:p w14:paraId="33F985E1" w14:textId="62DA825D" w:rsidR="00913F8B" w:rsidRDefault="00913F8B" w:rsidP="00913F8B">
      <w:pPr>
        <w:pStyle w:val="Bodytextwithparaspace"/>
        <w:jc w:val="both"/>
      </w:pPr>
      <w:r>
        <w:t>This report (or any part of it) may not be copied or otherwise reproduced except with the written consent of EY.</w:t>
      </w:r>
    </w:p>
    <w:p w14:paraId="0691CDA4" w14:textId="77777777" w:rsidR="00913F8B" w:rsidRDefault="00913F8B" w:rsidP="00913F8B">
      <w:pPr>
        <w:pStyle w:val="Bodytextwithparaspace"/>
        <w:jc w:val="both"/>
      </w:pPr>
      <w:r>
        <w:t>Liability limited under a scheme approved under Professional Standards Legislation.</w:t>
      </w:r>
    </w:p>
    <w:p w14:paraId="228AAD96" w14:textId="77777777" w:rsidR="00913F8B" w:rsidRDefault="00913F8B">
      <w:pPr>
        <w:autoSpaceDE/>
        <w:autoSpaceDN/>
        <w:adjustRightInd/>
      </w:pPr>
    </w:p>
    <w:p w14:paraId="3D321AA3" w14:textId="77777777" w:rsidR="00640D42" w:rsidRDefault="00640D42">
      <w:pPr>
        <w:autoSpaceDE/>
        <w:autoSpaceDN/>
        <w:adjustRightInd/>
      </w:pPr>
    </w:p>
    <w:p w14:paraId="4634B7D1" w14:textId="77777777" w:rsidR="006B6608" w:rsidRDefault="006B6608">
      <w:pPr>
        <w:autoSpaceDE/>
        <w:autoSpaceDN/>
        <w:adjustRightInd/>
        <w:rPr>
          <w:rFonts w:ascii="NotoSans-Regular" w:hAnsi="NotoSans-Regular" w:cs="Segoe UI"/>
          <w:color w:val="333333"/>
          <w:sz w:val="21"/>
          <w:szCs w:val="21"/>
          <w:highlight w:val="yellow"/>
        </w:rPr>
      </w:pPr>
      <w:r>
        <w:rPr>
          <w:rFonts w:ascii="NotoSans-Regular" w:hAnsi="NotoSans-Regular" w:cs="Segoe UI"/>
          <w:color w:val="333333"/>
          <w:sz w:val="21"/>
          <w:szCs w:val="21"/>
          <w:highlight w:val="yellow"/>
        </w:rPr>
        <w:br w:type="page"/>
      </w:r>
    </w:p>
    <w:p w14:paraId="6F7CB1ED" w14:textId="77777777" w:rsidR="00B40F68" w:rsidRDefault="000C5EC8" w:rsidP="00D92D7D">
      <w:pPr>
        <w:pStyle w:val="EYAppendix"/>
      </w:pPr>
      <w:bookmarkStart w:id="336" w:name="_Toc59015982"/>
      <w:r>
        <w:t>Prioritisation of groups</w:t>
      </w:r>
      <w:bookmarkEnd w:id="336"/>
    </w:p>
    <w:p w14:paraId="1DC2CB9C" w14:textId="60EC1562" w:rsidR="001166B9" w:rsidRDefault="001166B9" w:rsidP="001166B9">
      <w:pPr>
        <w:pStyle w:val="Bodytextwithparaspace"/>
      </w:pPr>
      <w:r>
        <w:t xml:space="preserve">As discussed in Section </w:t>
      </w:r>
      <w:r>
        <w:fldChar w:fldCharType="begin"/>
      </w:r>
      <w:r>
        <w:instrText xml:space="preserve"> REF _Ref37841539 \w \h </w:instrText>
      </w:r>
      <w:r>
        <w:fldChar w:fldCharType="separate"/>
      </w:r>
      <w:r w:rsidR="00784DE2">
        <w:t>4.1</w:t>
      </w:r>
      <w:r>
        <w:fldChar w:fldCharType="end"/>
      </w:r>
      <w:r>
        <w:t xml:space="preserve">, the analysis into the various groups comprising the GM category of the PL was performed in line with an initial prioritisation lens provided by the Department and overlaid with a further risk-based prioritisation based on high-level analysis of usage and benefits data at a group level. Out of the 43 product groups from the GM part of the PL as at February 2020, 19 were classed as ‘High’ priority by the Department, and 12 of these were selected for more detailed analysis in this document. </w:t>
      </w:r>
    </w:p>
    <w:p w14:paraId="5509D28C" w14:textId="5449B73D" w:rsidR="001166B9" w:rsidRDefault="00375B6D" w:rsidP="001166B9">
      <w:pPr>
        <w:pStyle w:val="Bodytextwithparaspace"/>
      </w:pPr>
      <w:r>
        <w:fldChar w:fldCharType="begin"/>
      </w:r>
      <w:r>
        <w:instrText xml:space="preserve"> REF _Ref39851745 \h </w:instrText>
      </w:r>
      <w:r>
        <w:fldChar w:fldCharType="separate"/>
      </w:r>
      <w:r w:rsidR="00784DE2">
        <w:t xml:space="preserve">Table </w:t>
      </w:r>
      <w:r w:rsidR="00784DE2">
        <w:rPr>
          <w:noProof/>
        </w:rPr>
        <w:t>16</w:t>
      </w:r>
      <w:r>
        <w:fldChar w:fldCharType="end"/>
      </w:r>
      <w:r w:rsidR="001166B9">
        <w:t xml:space="preserve"> provides a summary of the outcomes of this prioritisation. Each of the 43 product groups from the GM part of the PL are shown with the initial prioritisation provided by the Department indicated. The total amount of PL benefits paid with respect to each group for FY19 is also included. For each of the ‘High’ priority groups identified by the Department, there are additional indicators for whether this group was deemed to constitute a ‘High usage’ group and a ‘High growth’ group (in respect of total benefits paid). Groups that were determined as being of priority focus for this document have been highlighted in </w:t>
      </w:r>
      <w:r w:rsidR="00F42940" w:rsidRPr="00463B2D">
        <w:rPr>
          <w:shd w:val="clear" w:color="auto" w:fill="D2D2DA" w:themeFill="text1" w:themeFillTint="33"/>
        </w:rPr>
        <w:t>grey</w:t>
      </w:r>
      <w:r w:rsidR="00F42940">
        <w:t>.</w:t>
      </w:r>
    </w:p>
    <w:p w14:paraId="74DF2B82" w14:textId="533A412C" w:rsidR="001166B9" w:rsidRDefault="001166B9" w:rsidP="001166B9">
      <w:pPr>
        <w:pStyle w:val="Caption"/>
        <w:keepNext/>
      </w:pPr>
      <w:bookmarkStart w:id="337" w:name="_Ref39851745"/>
      <w:r>
        <w:t xml:space="preserve">Table </w:t>
      </w:r>
      <w:r>
        <w:rPr>
          <w:noProof/>
        </w:rPr>
        <w:fldChar w:fldCharType="begin"/>
      </w:r>
      <w:r>
        <w:rPr>
          <w:noProof/>
        </w:rPr>
        <w:instrText xml:space="preserve"> SEQ Table \* ARABIC </w:instrText>
      </w:r>
      <w:r>
        <w:rPr>
          <w:noProof/>
        </w:rPr>
        <w:fldChar w:fldCharType="separate"/>
      </w:r>
      <w:r w:rsidR="00784DE2">
        <w:rPr>
          <w:noProof/>
        </w:rPr>
        <w:t>16</w:t>
      </w:r>
      <w:r>
        <w:rPr>
          <w:noProof/>
        </w:rPr>
        <w:fldChar w:fldCharType="end"/>
      </w:r>
      <w:bookmarkEnd w:id="337"/>
      <w:r>
        <w:t xml:space="preserve"> – Summary of prioritisation of GM product groupings</w:t>
      </w:r>
    </w:p>
    <w:tbl>
      <w:tblPr>
        <w:tblStyle w:val="TableGrid"/>
        <w:tblW w:w="0" w:type="auto"/>
        <w:tblBorders>
          <w:top w:val="single" w:sz="4" w:space="0" w:color="000000" w:themeColor="background2"/>
          <w:left w:val="single" w:sz="4" w:space="0" w:color="000000" w:themeColor="background2"/>
          <w:bottom w:val="single" w:sz="4" w:space="0" w:color="000000" w:themeColor="background2"/>
          <w:right w:val="single" w:sz="4" w:space="0" w:color="000000" w:themeColor="background2"/>
          <w:insideH w:val="single" w:sz="4" w:space="0" w:color="000000" w:themeColor="background2"/>
          <w:insideV w:val="single" w:sz="4" w:space="0" w:color="000000" w:themeColor="background2"/>
        </w:tblBorders>
        <w:tblLook w:val="04A0" w:firstRow="1" w:lastRow="0" w:firstColumn="1" w:lastColumn="0" w:noHBand="0" w:noVBand="1"/>
        <w:tblCaption w:val="Table 16: Summary of prioritisation of GM product groupings"/>
        <w:tblDescription w:val="This table describes the prioritisation, benefits and usage of products from the Gen Misc Category"/>
      </w:tblPr>
      <w:tblGrid>
        <w:gridCol w:w="3877"/>
        <w:gridCol w:w="1152"/>
        <w:gridCol w:w="1369"/>
        <w:gridCol w:w="1081"/>
        <w:gridCol w:w="1540"/>
      </w:tblGrid>
      <w:tr w:rsidR="00666BED" w:rsidRPr="006B2F71" w14:paraId="4AA15A95" w14:textId="77777777" w:rsidTr="001166B9">
        <w:trPr>
          <w:tblHeader/>
        </w:trPr>
        <w:tc>
          <w:tcPr>
            <w:tcW w:w="0" w:type="auto"/>
            <w:shd w:val="clear" w:color="auto" w:fill="FFE600" w:themeFill="text2"/>
            <w:vAlign w:val="center"/>
          </w:tcPr>
          <w:p w14:paraId="30951496" w14:textId="77777777" w:rsidR="00666BED" w:rsidRPr="001166B9" w:rsidRDefault="00666BED" w:rsidP="001166B9">
            <w:pPr>
              <w:rPr>
                <w:b/>
              </w:rPr>
            </w:pPr>
            <w:r w:rsidRPr="001166B9">
              <w:rPr>
                <w:b/>
              </w:rPr>
              <w:t>Product Group</w:t>
            </w:r>
          </w:p>
        </w:tc>
        <w:tc>
          <w:tcPr>
            <w:tcW w:w="0" w:type="auto"/>
            <w:shd w:val="clear" w:color="auto" w:fill="FFE600" w:themeFill="text2"/>
            <w:vAlign w:val="center"/>
          </w:tcPr>
          <w:p w14:paraId="624389CB" w14:textId="77777777" w:rsidR="00666BED" w:rsidRPr="001166B9" w:rsidRDefault="00666BED" w:rsidP="001166B9">
            <w:pPr>
              <w:rPr>
                <w:rFonts w:cs="Calibri"/>
                <w:b/>
              </w:rPr>
            </w:pPr>
            <w:r w:rsidRPr="001166B9">
              <w:rPr>
                <w:rFonts w:cs="Calibri"/>
                <w:b/>
              </w:rPr>
              <w:t>DoH priority</w:t>
            </w:r>
          </w:p>
        </w:tc>
        <w:tc>
          <w:tcPr>
            <w:tcW w:w="0" w:type="auto"/>
            <w:shd w:val="clear" w:color="auto" w:fill="FFE600" w:themeFill="text2"/>
            <w:vAlign w:val="center"/>
          </w:tcPr>
          <w:p w14:paraId="540A1FA4" w14:textId="77777777" w:rsidR="00666BED" w:rsidRPr="001166B9" w:rsidRDefault="00666BED" w:rsidP="001166B9">
            <w:pPr>
              <w:rPr>
                <w:rFonts w:cs="Calibri"/>
                <w:b/>
              </w:rPr>
            </w:pPr>
            <w:r w:rsidRPr="001166B9">
              <w:rPr>
                <w:rFonts w:cs="Calibri"/>
                <w:b/>
              </w:rPr>
              <w:t>Total Benefits</w:t>
            </w:r>
          </w:p>
          <w:p w14:paraId="236CA9D3" w14:textId="77777777" w:rsidR="00666BED" w:rsidRPr="001166B9" w:rsidRDefault="00666BED" w:rsidP="001166B9">
            <w:pPr>
              <w:rPr>
                <w:rFonts w:cs="Calibri"/>
                <w:b/>
              </w:rPr>
            </w:pPr>
            <w:r w:rsidRPr="001166B9">
              <w:rPr>
                <w:rFonts w:cs="Calibri"/>
                <w:b/>
              </w:rPr>
              <w:t>FY19 ($)</w:t>
            </w:r>
          </w:p>
        </w:tc>
        <w:tc>
          <w:tcPr>
            <w:tcW w:w="0" w:type="auto"/>
            <w:shd w:val="clear" w:color="auto" w:fill="FFE600" w:themeFill="text2"/>
            <w:vAlign w:val="center"/>
          </w:tcPr>
          <w:p w14:paraId="1ABBD5ED" w14:textId="77777777" w:rsidR="00666BED" w:rsidRPr="001166B9" w:rsidRDefault="00666BED" w:rsidP="001166B9">
            <w:pPr>
              <w:rPr>
                <w:rFonts w:cs="Calibri"/>
                <w:b/>
              </w:rPr>
            </w:pPr>
            <w:r w:rsidRPr="001166B9">
              <w:rPr>
                <w:rFonts w:cs="Calibri"/>
                <w:b/>
              </w:rPr>
              <w:t>High usage</w:t>
            </w:r>
            <w:r w:rsidRPr="001166B9">
              <w:rPr>
                <w:rFonts w:cs="Calibri"/>
                <w:b/>
                <w:vertAlign w:val="superscript"/>
              </w:rPr>
              <w:t>^</w:t>
            </w:r>
          </w:p>
        </w:tc>
        <w:tc>
          <w:tcPr>
            <w:tcW w:w="0" w:type="auto"/>
            <w:shd w:val="clear" w:color="auto" w:fill="FFE600" w:themeFill="text2"/>
            <w:vAlign w:val="center"/>
          </w:tcPr>
          <w:p w14:paraId="330AA982" w14:textId="77777777" w:rsidR="00666BED" w:rsidRPr="001166B9" w:rsidRDefault="00666BED" w:rsidP="001166B9">
            <w:pPr>
              <w:rPr>
                <w:rFonts w:cs="Calibri"/>
                <w:b/>
              </w:rPr>
            </w:pPr>
            <w:r w:rsidRPr="001166B9">
              <w:rPr>
                <w:rFonts w:cs="Calibri"/>
                <w:b/>
              </w:rPr>
              <w:t>High growth</w:t>
            </w:r>
            <w:r w:rsidRPr="001166B9">
              <w:rPr>
                <w:rFonts w:cs="Calibri"/>
                <w:b/>
                <w:vertAlign w:val="superscript"/>
              </w:rPr>
              <w:t>^</w:t>
            </w:r>
          </w:p>
        </w:tc>
      </w:tr>
      <w:tr w:rsidR="00666BED" w:rsidRPr="006B2F71" w14:paraId="447D9FE5" w14:textId="77777777" w:rsidTr="00761706">
        <w:tc>
          <w:tcPr>
            <w:tcW w:w="0" w:type="auto"/>
          </w:tcPr>
          <w:p w14:paraId="2B1CDC4C" w14:textId="77777777" w:rsidR="00666BED" w:rsidRPr="006B2F71" w:rsidRDefault="00666BED" w:rsidP="001166B9">
            <w:r w:rsidRPr="006B2F71">
              <w:rPr>
                <w:rFonts w:cs="Calibri"/>
                <w:color w:val="000000"/>
              </w:rPr>
              <w:t>03.01.01 - Hepatic, Yttrium 90, Standard Dose</w:t>
            </w:r>
          </w:p>
        </w:tc>
        <w:tc>
          <w:tcPr>
            <w:tcW w:w="0" w:type="auto"/>
            <w:vAlign w:val="center"/>
          </w:tcPr>
          <w:p w14:paraId="0D3C251B" w14:textId="77777777" w:rsidR="00666BED" w:rsidRPr="006B2F71" w:rsidRDefault="00666BED" w:rsidP="001166B9">
            <w:pPr>
              <w:jc w:val="center"/>
            </w:pPr>
            <w:r w:rsidRPr="006B2F71">
              <w:rPr>
                <w:rFonts w:cs="Calibri"/>
                <w:color w:val="000000"/>
              </w:rPr>
              <w:t>Low</w:t>
            </w:r>
          </w:p>
        </w:tc>
        <w:tc>
          <w:tcPr>
            <w:tcW w:w="0" w:type="auto"/>
            <w:vAlign w:val="center"/>
          </w:tcPr>
          <w:p w14:paraId="576839F3" w14:textId="77777777" w:rsidR="00666BED" w:rsidRPr="006B2F71" w:rsidRDefault="00666BED" w:rsidP="00761706">
            <w:pPr>
              <w:jc w:val="right"/>
            </w:pPr>
            <w:r w:rsidRPr="006B2F71">
              <w:rPr>
                <w:rFonts w:cs="Calibri"/>
                <w:color w:val="000000"/>
              </w:rPr>
              <w:t>1,664,324</w:t>
            </w:r>
          </w:p>
        </w:tc>
        <w:tc>
          <w:tcPr>
            <w:tcW w:w="0" w:type="auto"/>
            <w:vAlign w:val="center"/>
          </w:tcPr>
          <w:p w14:paraId="54840182" w14:textId="77777777" w:rsidR="00666BED" w:rsidRPr="006B2F71" w:rsidRDefault="00666BED" w:rsidP="001166B9">
            <w:pPr>
              <w:jc w:val="center"/>
              <w:rPr>
                <w:rFonts w:cstheme="minorHAnsi"/>
                <w:color w:val="000000"/>
              </w:rPr>
            </w:pPr>
            <w:r w:rsidRPr="006B2F71">
              <w:rPr>
                <w:rFonts w:cstheme="minorHAnsi"/>
                <w:color w:val="000000"/>
              </w:rPr>
              <w:t>N/A</w:t>
            </w:r>
          </w:p>
        </w:tc>
        <w:tc>
          <w:tcPr>
            <w:tcW w:w="0" w:type="auto"/>
            <w:vAlign w:val="center"/>
          </w:tcPr>
          <w:p w14:paraId="673AB715" w14:textId="77777777" w:rsidR="00666BED" w:rsidRPr="006B2F71" w:rsidRDefault="00666BED" w:rsidP="001166B9">
            <w:pPr>
              <w:jc w:val="center"/>
              <w:rPr>
                <w:rFonts w:cstheme="minorHAnsi"/>
                <w:color w:val="000000"/>
              </w:rPr>
            </w:pPr>
            <w:r w:rsidRPr="006B2F71">
              <w:rPr>
                <w:rFonts w:cstheme="minorHAnsi"/>
                <w:color w:val="000000"/>
              </w:rPr>
              <w:t>N/A</w:t>
            </w:r>
          </w:p>
        </w:tc>
      </w:tr>
      <w:tr w:rsidR="00666BED" w:rsidRPr="006B2F71" w14:paraId="4E82E2D4" w14:textId="77777777" w:rsidTr="00761706">
        <w:tc>
          <w:tcPr>
            <w:tcW w:w="0" w:type="auto"/>
          </w:tcPr>
          <w:p w14:paraId="226BFB85" w14:textId="77777777" w:rsidR="00666BED" w:rsidRPr="006B2F71" w:rsidRDefault="00666BED" w:rsidP="001166B9">
            <w:r w:rsidRPr="006B2F71">
              <w:rPr>
                <w:rFonts w:cs="Calibri"/>
                <w:color w:val="000000"/>
              </w:rPr>
              <w:t>03.01.02 - Prostatic I-125</w:t>
            </w:r>
          </w:p>
        </w:tc>
        <w:tc>
          <w:tcPr>
            <w:tcW w:w="0" w:type="auto"/>
            <w:vAlign w:val="center"/>
          </w:tcPr>
          <w:p w14:paraId="239CE34D" w14:textId="77777777" w:rsidR="00666BED" w:rsidRPr="006B2F71" w:rsidRDefault="00666BED" w:rsidP="001166B9">
            <w:pPr>
              <w:jc w:val="center"/>
              <w:rPr>
                <w:rFonts w:cs="Calibri"/>
                <w:color w:val="000000"/>
              </w:rPr>
            </w:pPr>
            <w:r w:rsidRPr="006B2F71">
              <w:rPr>
                <w:rFonts w:cs="Calibri"/>
                <w:color w:val="000000"/>
              </w:rPr>
              <w:t>Low</w:t>
            </w:r>
          </w:p>
        </w:tc>
        <w:tc>
          <w:tcPr>
            <w:tcW w:w="0" w:type="auto"/>
            <w:vAlign w:val="center"/>
          </w:tcPr>
          <w:p w14:paraId="54C8CD79" w14:textId="77777777" w:rsidR="00666BED" w:rsidRPr="006B2F71" w:rsidRDefault="00666BED" w:rsidP="00761706">
            <w:pPr>
              <w:jc w:val="right"/>
              <w:rPr>
                <w:rFonts w:cs="Calibri"/>
                <w:color w:val="000000"/>
              </w:rPr>
            </w:pPr>
            <w:r w:rsidRPr="006B2F71">
              <w:rPr>
                <w:rFonts w:cs="Calibri"/>
                <w:color w:val="000000"/>
              </w:rPr>
              <w:t>1,888,523</w:t>
            </w:r>
          </w:p>
        </w:tc>
        <w:tc>
          <w:tcPr>
            <w:tcW w:w="0" w:type="auto"/>
            <w:vAlign w:val="center"/>
          </w:tcPr>
          <w:p w14:paraId="367F8641" w14:textId="77777777" w:rsidR="00666BED" w:rsidRPr="006B2F71" w:rsidRDefault="00666BED" w:rsidP="001166B9">
            <w:pPr>
              <w:jc w:val="center"/>
              <w:rPr>
                <w:rFonts w:cstheme="minorHAnsi"/>
                <w:color w:val="000000"/>
              </w:rPr>
            </w:pPr>
            <w:r w:rsidRPr="006B2F71">
              <w:rPr>
                <w:rFonts w:cstheme="minorHAnsi"/>
                <w:color w:val="000000"/>
              </w:rPr>
              <w:t>N/A</w:t>
            </w:r>
          </w:p>
        </w:tc>
        <w:tc>
          <w:tcPr>
            <w:tcW w:w="0" w:type="auto"/>
            <w:vAlign w:val="center"/>
          </w:tcPr>
          <w:p w14:paraId="554E49A6" w14:textId="77777777" w:rsidR="00666BED" w:rsidRPr="006B2F71" w:rsidRDefault="00666BED" w:rsidP="001166B9">
            <w:pPr>
              <w:jc w:val="center"/>
              <w:rPr>
                <w:rFonts w:cstheme="minorHAnsi"/>
                <w:color w:val="000000"/>
              </w:rPr>
            </w:pPr>
            <w:r w:rsidRPr="006B2F71">
              <w:rPr>
                <w:rFonts w:cstheme="minorHAnsi"/>
                <w:color w:val="000000"/>
              </w:rPr>
              <w:t>N/A</w:t>
            </w:r>
          </w:p>
        </w:tc>
      </w:tr>
      <w:tr w:rsidR="00666BED" w:rsidRPr="006B2F71" w14:paraId="143C7959" w14:textId="77777777" w:rsidTr="00761706">
        <w:tc>
          <w:tcPr>
            <w:tcW w:w="0" w:type="auto"/>
          </w:tcPr>
          <w:p w14:paraId="0E44C239" w14:textId="77777777" w:rsidR="00666BED" w:rsidRPr="006B2F71" w:rsidRDefault="00666BED" w:rsidP="001166B9">
            <w:r w:rsidRPr="006B2F71">
              <w:rPr>
                <w:rFonts w:cs="Calibri"/>
                <w:color w:val="000000"/>
              </w:rPr>
              <w:t>03.01.03 - Tissue Expander/Separator</w:t>
            </w:r>
          </w:p>
        </w:tc>
        <w:tc>
          <w:tcPr>
            <w:tcW w:w="0" w:type="auto"/>
            <w:vAlign w:val="center"/>
          </w:tcPr>
          <w:p w14:paraId="7EDBCB10" w14:textId="77777777" w:rsidR="00666BED" w:rsidRPr="006B2F71" w:rsidRDefault="00666BED" w:rsidP="001166B9">
            <w:pPr>
              <w:jc w:val="center"/>
              <w:rPr>
                <w:rFonts w:cs="Calibri"/>
                <w:color w:val="000000"/>
              </w:rPr>
            </w:pPr>
            <w:r w:rsidRPr="006B2F71">
              <w:rPr>
                <w:rFonts w:cs="Calibri"/>
                <w:color w:val="000000"/>
              </w:rPr>
              <w:t>Low</w:t>
            </w:r>
          </w:p>
        </w:tc>
        <w:tc>
          <w:tcPr>
            <w:tcW w:w="0" w:type="auto"/>
            <w:vAlign w:val="center"/>
          </w:tcPr>
          <w:p w14:paraId="510A1428" w14:textId="77777777" w:rsidR="00666BED" w:rsidRPr="006B2F71" w:rsidRDefault="00666BED" w:rsidP="00761706">
            <w:pPr>
              <w:jc w:val="right"/>
              <w:rPr>
                <w:rFonts w:cs="Calibri"/>
                <w:color w:val="000000"/>
              </w:rPr>
            </w:pPr>
            <w:r w:rsidRPr="006B2F71">
              <w:rPr>
                <w:rFonts w:cs="Calibri"/>
                <w:color w:val="000000"/>
              </w:rPr>
              <w:t>2,734,526</w:t>
            </w:r>
          </w:p>
        </w:tc>
        <w:tc>
          <w:tcPr>
            <w:tcW w:w="0" w:type="auto"/>
            <w:vAlign w:val="center"/>
          </w:tcPr>
          <w:p w14:paraId="0AB41960" w14:textId="77777777" w:rsidR="00666BED" w:rsidRPr="006B2F71" w:rsidRDefault="00666BED" w:rsidP="001166B9">
            <w:pPr>
              <w:jc w:val="center"/>
              <w:rPr>
                <w:rFonts w:cstheme="minorHAnsi"/>
                <w:color w:val="000000"/>
              </w:rPr>
            </w:pPr>
            <w:r w:rsidRPr="006B2F71">
              <w:rPr>
                <w:rFonts w:cstheme="minorHAnsi"/>
                <w:color w:val="000000"/>
              </w:rPr>
              <w:t>N/A</w:t>
            </w:r>
          </w:p>
        </w:tc>
        <w:tc>
          <w:tcPr>
            <w:tcW w:w="0" w:type="auto"/>
            <w:vAlign w:val="center"/>
          </w:tcPr>
          <w:p w14:paraId="3A3E3F5B" w14:textId="77777777" w:rsidR="00666BED" w:rsidRPr="006B2F71" w:rsidRDefault="00666BED" w:rsidP="001166B9">
            <w:pPr>
              <w:jc w:val="center"/>
              <w:rPr>
                <w:rFonts w:cstheme="minorHAnsi"/>
                <w:color w:val="000000"/>
              </w:rPr>
            </w:pPr>
            <w:r w:rsidRPr="006B2F71">
              <w:rPr>
                <w:rFonts w:cstheme="minorHAnsi"/>
                <w:color w:val="000000"/>
              </w:rPr>
              <w:t>N/A</w:t>
            </w:r>
          </w:p>
        </w:tc>
      </w:tr>
      <w:tr w:rsidR="00666BED" w:rsidRPr="006B2F71" w14:paraId="4574BC61" w14:textId="77777777" w:rsidTr="00761706">
        <w:tc>
          <w:tcPr>
            <w:tcW w:w="0" w:type="auto"/>
          </w:tcPr>
          <w:p w14:paraId="6F080A7F" w14:textId="77777777" w:rsidR="00666BED" w:rsidRPr="006B2F71" w:rsidRDefault="00666BED" w:rsidP="001166B9">
            <w:r w:rsidRPr="006B2F71">
              <w:rPr>
                <w:rFonts w:cs="Calibri"/>
                <w:color w:val="000000"/>
              </w:rPr>
              <w:t>03.02.01 - Infusion Ports</w:t>
            </w:r>
          </w:p>
        </w:tc>
        <w:tc>
          <w:tcPr>
            <w:tcW w:w="0" w:type="auto"/>
            <w:vAlign w:val="center"/>
          </w:tcPr>
          <w:p w14:paraId="22879433" w14:textId="77777777" w:rsidR="00666BED" w:rsidRPr="006B2F71" w:rsidRDefault="00666BED" w:rsidP="001166B9">
            <w:pPr>
              <w:jc w:val="center"/>
              <w:rPr>
                <w:rFonts w:cs="Calibri"/>
                <w:color w:val="000000"/>
              </w:rPr>
            </w:pPr>
            <w:r w:rsidRPr="006B2F71">
              <w:rPr>
                <w:rFonts w:cs="Calibri"/>
                <w:color w:val="000000"/>
              </w:rPr>
              <w:t>High</w:t>
            </w:r>
          </w:p>
        </w:tc>
        <w:tc>
          <w:tcPr>
            <w:tcW w:w="0" w:type="auto"/>
            <w:vAlign w:val="center"/>
          </w:tcPr>
          <w:p w14:paraId="464D3388" w14:textId="77777777" w:rsidR="00666BED" w:rsidRPr="006B2F71" w:rsidRDefault="00666BED" w:rsidP="00761706">
            <w:pPr>
              <w:jc w:val="right"/>
              <w:rPr>
                <w:rFonts w:cs="Calibri"/>
                <w:color w:val="000000"/>
              </w:rPr>
            </w:pPr>
            <w:r w:rsidRPr="006B2F71">
              <w:rPr>
                <w:rFonts w:cs="Calibri"/>
                <w:color w:val="000000"/>
              </w:rPr>
              <w:t>270,453</w:t>
            </w:r>
          </w:p>
        </w:tc>
        <w:tc>
          <w:tcPr>
            <w:tcW w:w="0" w:type="auto"/>
            <w:vAlign w:val="center"/>
          </w:tcPr>
          <w:p w14:paraId="1ABEBB6E" w14:textId="77777777" w:rsidR="00666BED" w:rsidRPr="006B2F71" w:rsidRDefault="00666BED" w:rsidP="001166B9">
            <w:pPr>
              <w:jc w:val="center"/>
              <w:rPr>
                <w:rFonts w:cs="Segoe UI Symbol"/>
                <w:color w:val="000000"/>
              </w:rPr>
            </w:pPr>
            <w:r w:rsidRPr="00F5323F">
              <w:rPr>
                <w:rFonts w:ascii="Segoe UI Symbol" w:hAnsi="Segoe UI Symbol"/>
                <w:sz w:val="28"/>
                <w:szCs w:val="28"/>
              </w:rPr>
              <w:t>🗴</w:t>
            </w:r>
          </w:p>
        </w:tc>
        <w:tc>
          <w:tcPr>
            <w:tcW w:w="0" w:type="auto"/>
          </w:tcPr>
          <w:p w14:paraId="22292854" w14:textId="77777777" w:rsidR="00666BED" w:rsidRPr="006B2F71" w:rsidRDefault="00666BED" w:rsidP="001166B9">
            <w:pPr>
              <w:jc w:val="center"/>
              <w:rPr>
                <w:rFonts w:cs="Segoe UI Symbol"/>
                <w:b/>
                <w:bCs/>
                <w:color w:val="000000"/>
              </w:rPr>
            </w:pPr>
            <w:r w:rsidRPr="008E62ED">
              <w:rPr>
                <w:rFonts w:ascii="Segoe UI Symbol" w:hAnsi="Segoe UI Symbol"/>
              </w:rPr>
              <w:t>✓</w:t>
            </w:r>
          </w:p>
        </w:tc>
      </w:tr>
      <w:tr w:rsidR="00666BED" w:rsidRPr="006B2F71" w14:paraId="3C7F27F6" w14:textId="77777777" w:rsidTr="00761706">
        <w:tc>
          <w:tcPr>
            <w:tcW w:w="0" w:type="auto"/>
            <w:shd w:val="clear" w:color="auto" w:fill="D2D2DA" w:themeFill="text1" w:themeFillTint="33"/>
          </w:tcPr>
          <w:p w14:paraId="2A6BAE8E" w14:textId="77777777" w:rsidR="00666BED" w:rsidRPr="006B2F71" w:rsidRDefault="00666BED" w:rsidP="001166B9">
            <w:r w:rsidRPr="006B2F71">
              <w:rPr>
                <w:rFonts w:cs="Calibri"/>
                <w:color w:val="000000"/>
              </w:rPr>
              <w:t>03.02.02 - Infusion Pumps, Balloon Based</w:t>
            </w:r>
          </w:p>
        </w:tc>
        <w:tc>
          <w:tcPr>
            <w:tcW w:w="0" w:type="auto"/>
            <w:shd w:val="clear" w:color="auto" w:fill="D2D2DA" w:themeFill="text1" w:themeFillTint="33"/>
            <w:vAlign w:val="center"/>
          </w:tcPr>
          <w:p w14:paraId="001444D9" w14:textId="77777777" w:rsidR="00666BED" w:rsidRPr="006B2F71" w:rsidRDefault="00666BED" w:rsidP="001166B9">
            <w:pPr>
              <w:jc w:val="center"/>
              <w:rPr>
                <w:rFonts w:cs="Calibri"/>
                <w:color w:val="000000"/>
              </w:rPr>
            </w:pPr>
            <w:r w:rsidRPr="006B2F71">
              <w:rPr>
                <w:rFonts w:cs="Calibri"/>
                <w:color w:val="000000"/>
              </w:rPr>
              <w:t>High</w:t>
            </w:r>
          </w:p>
        </w:tc>
        <w:tc>
          <w:tcPr>
            <w:tcW w:w="0" w:type="auto"/>
            <w:shd w:val="clear" w:color="auto" w:fill="D2D2DA" w:themeFill="text1" w:themeFillTint="33"/>
            <w:vAlign w:val="center"/>
          </w:tcPr>
          <w:p w14:paraId="24A1E258" w14:textId="77777777" w:rsidR="00666BED" w:rsidRPr="006B2F71" w:rsidRDefault="00666BED" w:rsidP="00761706">
            <w:pPr>
              <w:jc w:val="right"/>
              <w:rPr>
                <w:rFonts w:cs="Calibri"/>
                <w:color w:val="000000"/>
              </w:rPr>
            </w:pPr>
            <w:r w:rsidRPr="006B2F71">
              <w:rPr>
                <w:rFonts w:cs="Calibri"/>
                <w:color w:val="000000"/>
              </w:rPr>
              <w:t>5,802,268</w:t>
            </w:r>
          </w:p>
        </w:tc>
        <w:tc>
          <w:tcPr>
            <w:tcW w:w="0" w:type="auto"/>
            <w:shd w:val="clear" w:color="auto" w:fill="D2D2DA" w:themeFill="text1" w:themeFillTint="33"/>
          </w:tcPr>
          <w:p w14:paraId="71751592" w14:textId="77777777" w:rsidR="00666BED" w:rsidRPr="006B2F71" w:rsidRDefault="00666BED" w:rsidP="001166B9">
            <w:pPr>
              <w:jc w:val="center"/>
              <w:rPr>
                <w:rFonts w:cs="Segoe UI Symbol"/>
                <w:b/>
                <w:bCs/>
                <w:color w:val="000000"/>
              </w:rPr>
            </w:pPr>
            <w:r w:rsidRPr="000B6434">
              <w:rPr>
                <w:rFonts w:ascii="Segoe UI Symbol" w:hAnsi="Segoe UI Symbol"/>
              </w:rPr>
              <w:t>✓</w:t>
            </w:r>
          </w:p>
        </w:tc>
        <w:tc>
          <w:tcPr>
            <w:tcW w:w="0" w:type="auto"/>
            <w:shd w:val="clear" w:color="auto" w:fill="D2D2DA" w:themeFill="text1" w:themeFillTint="33"/>
          </w:tcPr>
          <w:p w14:paraId="33C97415" w14:textId="77777777" w:rsidR="00666BED" w:rsidRPr="006B2F71" w:rsidRDefault="00666BED" w:rsidP="001166B9">
            <w:pPr>
              <w:jc w:val="center"/>
              <w:rPr>
                <w:rFonts w:cs="Segoe UI Symbol"/>
                <w:b/>
                <w:bCs/>
                <w:color w:val="000000"/>
              </w:rPr>
            </w:pPr>
            <w:r w:rsidRPr="008E62ED">
              <w:rPr>
                <w:rFonts w:ascii="Segoe UI Symbol" w:hAnsi="Segoe UI Symbol"/>
              </w:rPr>
              <w:t>✓</w:t>
            </w:r>
          </w:p>
        </w:tc>
      </w:tr>
      <w:tr w:rsidR="00666BED" w:rsidRPr="006B2F71" w14:paraId="697592B1" w14:textId="77777777" w:rsidTr="00761706">
        <w:tc>
          <w:tcPr>
            <w:tcW w:w="0" w:type="auto"/>
            <w:shd w:val="clear" w:color="auto" w:fill="D2D2DA" w:themeFill="text1" w:themeFillTint="33"/>
          </w:tcPr>
          <w:p w14:paraId="752CD444" w14:textId="77777777" w:rsidR="00666BED" w:rsidRPr="006B2F71" w:rsidRDefault="00666BED" w:rsidP="001166B9">
            <w:r w:rsidRPr="006B2F71">
              <w:rPr>
                <w:rFonts w:cs="Calibri"/>
                <w:color w:val="000000"/>
              </w:rPr>
              <w:t>03.02.03 - Infusion Pumps, Battery Powered (Part A)</w:t>
            </w:r>
            <w:r w:rsidRPr="006B2F71">
              <w:rPr>
                <w:rFonts w:cs="Calibri"/>
                <w:color w:val="000000"/>
                <w:vertAlign w:val="superscript"/>
              </w:rPr>
              <w:t>#</w:t>
            </w:r>
          </w:p>
        </w:tc>
        <w:tc>
          <w:tcPr>
            <w:tcW w:w="0" w:type="auto"/>
            <w:shd w:val="clear" w:color="auto" w:fill="D2D2DA" w:themeFill="text1" w:themeFillTint="33"/>
            <w:vAlign w:val="center"/>
          </w:tcPr>
          <w:p w14:paraId="53D834FB" w14:textId="77777777" w:rsidR="00666BED" w:rsidRPr="006B2F71" w:rsidRDefault="00666BED" w:rsidP="001166B9">
            <w:pPr>
              <w:jc w:val="center"/>
              <w:rPr>
                <w:rFonts w:cs="Calibri"/>
                <w:color w:val="000000"/>
              </w:rPr>
            </w:pPr>
            <w:r w:rsidRPr="006B2F71">
              <w:rPr>
                <w:rFonts w:cs="Calibri"/>
                <w:color w:val="000000"/>
              </w:rPr>
              <w:t>High</w:t>
            </w:r>
          </w:p>
        </w:tc>
        <w:tc>
          <w:tcPr>
            <w:tcW w:w="0" w:type="auto"/>
            <w:shd w:val="clear" w:color="auto" w:fill="D2D2DA" w:themeFill="text1" w:themeFillTint="33"/>
            <w:vAlign w:val="center"/>
          </w:tcPr>
          <w:p w14:paraId="287559D3" w14:textId="77777777" w:rsidR="00666BED" w:rsidRPr="006B2F71" w:rsidRDefault="00666BED" w:rsidP="00761706">
            <w:pPr>
              <w:jc w:val="right"/>
              <w:rPr>
                <w:rFonts w:cs="Calibri"/>
                <w:color w:val="000000"/>
              </w:rPr>
            </w:pPr>
            <w:r w:rsidRPr="006B2F71">
              <w:rPr>
                <w:rFonts w:cs="Calibri"/>
                <w:color w:val="000000"/>
              </w:rPr>
              <w:t>4,386,597</w:t>
            </w:r>
          </w:p>
        </w:tc>
        <w:tc>
          <w:tcPr>
            <w:tcW w:w="0" w:type="auto"/>
            <w:shd w:val="clear" w:color="auto" w:fill="D2D2DA" w:themeFill="text1" w:themeFillTint="33"/>
          </w:tcPr>
          <w:p w14:paraId="3903C8EC" w14:textId="77777777" w:rsidR="00666BED" w:rsidRPr="006B2F71" w:rsidRDefault="00666BED" w:rsidP="001166B9">
            <w:pPr>
              <w:jc w:val="center"/>
              <w:rPr>
                <w:rFonts w:cs="Segoe UI Symbol"/>
                <w:b/>
                <w:bCs/>
                <w:color w:val="000000"/>
              </w:rPr>
            </w:pPr>
            <w:r w:rsidRPr="000B6434">
              <w:rPr>
                <w:rFonts w:ascii="Segoe UI Symbol" w:hAnsi="Segoe UI Symbol"/>
              </w:rPr>
              <w:t>✓</w:t>
            </w:r>
          </w:p>
        </w:tc>
        <w:tc>
          <w:tcPr>
            <w:tcW w:w="0" w:type="auto"/>
            <w:shd w:val="clear" w:color="auto" w:fill="D2D2DA" w:themeFill="text1" w:themeFillTint="33"/>
          </w:tcPr>
          <w:p w14:paraId="613FD455" w14:textId="77777777" w:rsidR="00666BED" w:rsidRPr="006B2F71" w:rsidRDefault="00666BED" w:rsidP="001166B9">
            <w:pPr>
              <w:jc w:val="center"/>
              <w:rPr>
                <w:rFonts w:cs="Segoe UI Symbol"/>
                <w:b/>
                <w:bCs/>
                <w:color w:val="000000"/>
              </w:rPr>
            </w:pPr>
            <w:r w:rsidRPr="008E62ED">
              <w:rPr>
                <w:rFonts w:ascii="Segoe UI Symbol" w:hAnsi="Segoe UI Symbol"/>
              </w:rPr>
              <w:t>✓</w:t>
            </w:r>
          </w:p>
        </w:tc>
      </w:tr>
      <w:tr w:rsidR="00666BED" w:rsidRPr="006B2F71" w14:paraId="18D4F825" w14:textId="77777777" w:rsidTr="00761706">
        <w:tc>
          <w:tcPr>
            <w:tcW w:w="0" w:type="auto"/>
            <w:shd w:val="clear" w:color="auto" w:fill="auto"/>
          </w:tcPr>
          <w:p w14:paraId="5E89730E" w14:textId="77777777" w:rsidR="00666BED" w:rsidRPr="006B2F71" w:rsidRDefault="00666BED" w:rsidP="001166B9">
            <w:pPr>
              <w:rPr>
                <w:rFonts w:cs="Calibri"/>
                <w:color w:val="000000"/>
              </w:rPr>
            </w:pPr>
            <w:r w:rsidRPr="006B2F71">
              <w:rPr>
                <w:rFonts w:cs="Calibri"/>
                <w:color w:val="000000"/>
              </w:rPr>
              <w:t>03.02.03 - Infusion Pumps, Battery Powered (Part C)</w:t>
            </w:r>
            <w:r w:rsidRPr="006B2F71">
              <w:rPr>
                <w:rFonts w:cs="Calibri"/>
                <w:color w:val="000000"/>
                <w:vertAlign w:val="superscript"/>
              </w:rPr>
              <w:t xml:space="preserve"> #</w:t>
            </w:r>
          </w:p>
        </w:tc>
        <w:tc>
          <w:tcPr>
            <w:tcW w:w="0" w:type="auto"/>
            <w:shd w:val="clear" w:color="auto" w:fill="auto"/>
            <w:vAlign w:val="center"/>
          </w:tcPr>
          <w:p w14:paraId="5A0FC95C" w14:textId="77777777" w:rsidR="00666BED" w:rsidRPr="006B2F71" w:rsidRDefault="00666BED" w:rsidP="001166B9">
            <w:pPr>
              <w:jc w:val="center"/>
              <w:rPr>
                <w:rFonts w:cs="Calibri"/>
                <w:color w:val="000000"/>
              </w:rPr>
            </w:pPr>
            <w:r w:rsidRPr="006B2F71">
              <w:rPr>
                <w:rFonts w:cs="Calibri"/>
                <w:color w:val="000000"/>
              </w:rPr>
              <w:t>Low</w:t>
            </w:r>
          </w:p>
        </w:tc>
        <w:tc>
          <w:tcPr>
            <w:tcW w:w="0" w:type="auto"/>
            <w:shd w:val="clear" w:color="auto" w:fill="auto"/>
            <w:vAlign w:val="center"/>
          </w:tcPr>
          <w:p w14:paraId="2AACB021" w14:textId="77777777" w:rsidR="00666BED" w:rsidRPr="006B2F71" w:rsidRDefault="00666BED" w:rsidP="00761706">
            <w:pPr>
              <w:jc w:val="right"/>
              <w:rPr>
                <w:rFonts w:cs="Calibri"/>
                <w:color w:val="000000"/>
              </w:rPr>
            </w:pPr>
            <w:r w:rsidRPr="006B2F71">
              <w:rPr>
                <w:rFonts w:cs="Calibri"/>
                <w:color w:val="000000"/>
              </w:rPr>
              <w:t>3,202,309</w:t>
            </w:r>
          </w:p>
        </w:tc>
        <w:tc>
          <w:tcPr>
            <w:tcW w:w="0" w:type="auto"/>
            <w:shd w:val="clear" w:color="auto" w:fill="auto"/>
            <w:vAlign w:val="center"/>
          </w:tcPr>
          <w:p w14:paraId="3DEDB66F" w14:textId="77777777" w:rsidR="00666BED" w:rsidRPr="006B2F71" w:rsidRDefault="00666BED" w:rsidP="001166B9">
            <w:pPr>
              <w:jc w:val="center"/>
              <w:rPr>
                <w:rFonts w:cstheme="minorHAnsi"/>
                <w:color w:val="000000"/>
              </w:rPr>
            </w:pPr>
            <w:r w:rsidRPr="006B2F71">
              <w:rPr>
                <w:rFonts w:cstheme="minorHAnsi"/>
                <w:color w:val="000000"/>
              </w:rPr>
              <w:t>N/A</w:t>
            </w:r>
          </w:p>
        </w:tc>
        <w:tc>
          <w:tcPr>
            <w:tcW w:w="0" w:type="auto"/>
            <w:shd w:val="clear" w:color="auto" w:fill="auto"/>
            <w:vAlign w:val="center"/>
          </w:tcPr>
          <w:p w14:paraId="637C8EFF" w14:textId="77777777" w:rsidR="00666BED" w:rsidRPr="006B2F71" w:rsidRDefault="00666BED" w:rsidP="001166B9">
            <w:pPr>
              <w:jc w:val="center"/>
              <w:rPr>
                <w:rFonts w:cstheme="minorHAnsi"/>
                <w:color w:val="000000"/>
              </w:rPr>
            </w:pPr>
            <w:r w:rsidRPr="006B2F71">
              <w:rPr>
                <w:rFonts w:cstheme="minorHAnsi"/>
                <w:color w:val="000000"/>
              </w:rPr>
              <w:t>N/A</w:t>
            </w:r>
          </w:p>
        </w:tc>
      </w:tr>
      <w:tr w:rsidR="00666BED" w:rsidRPr="006B2F71" w14:paraId="77DE8858" w14:textId="77777777" w:rsidTr="00761706">
        <w:tc>
          <w:tcPr>
            <w:tcW w:w="0" w:type="auto"/>
          </w:tcPr>
          <w:p w14:paraId="3D406035" w14:textId="77777777" w:rsidR="00666BED" w:rsidRPr="006B2F71" w:rsidRDefault="00666BED" w:rsidP="001166B9">
            <w:r w:rsidRPr="006B2F71">
              <w:rPr>
                <w:rFonts w:cs="Calibri"/>
                <w:color w:val="000000"/>
              </w:rPr>
              <w:t>03.02.04 - Infusion Pumps, Spring Powered</w:t>
            </w:r>
          </w:p>
        </w:tc>
        <w:tc>
          <w:tcPr>
            <w:tcW w:w="0" w:type="auto"/>
            <w:vAlign w:val="center"/>
          </w:tcPr>
          <w:p w14:paraId="69B7B701" w14:textId="77777777" w:rsidR="00666BED" w:rsidRPr="006B2F71" w:rsidRDefault="00666BED" w:rsidP="001166B9">
            <w:pPr>
              <w:jc w:val="center"/>
              <w:rPr>
                <w:rFonts w:cs="Calibri"/>
                <w:color w:val="000000"/>
              </w:rPr>
            </w:pPr>
            <w:r w:rsidRPr="006B2F71">
              <w:rPr>
                <w:rFonts w:cs="Calibri"/>
                <w:color w:val="000000"/>
              </w:rPr>
              <w:t>High</w:t>
            </w:r>
          </w:p>
        </w:tc>
        <w:tc>
          <w:tcPr>
            <w:tcW w:w="0" w:type="auto"/>
            <w:vAlign w:val="center"/>
          </w:tcPr>
          <w:p w14:paraId="47F494D4" w14:textId="77777777" w:rsidR="00666BED" w:rsidRPr="006B2F71" w:rsidRDefault="00666BED" w:rsidP="00761706">
            <w:pPr>
              <w:jc w:val="right"/>
              <w:rPr>
                <w:rFonts w:cs="Calibri"/>
                <w:color w:val="000000"/>
              </w:rPr>
            </w:pPr>
            <w:r w:rsidRPr="006B2F71">
              <w:rPr>
                <w:rFonts w:cs="Calibri"/>
                <w:color w:val="000000"/>
              </w:rPr>
              <w:t>748,670</w:t>
            </w:r>
          </w:p>
        </w:tc>
        <w:tc>
          <w:tcPr>
            <w:tcW w:w="0" w:type="auto"/>
          </w:tcPr>
          <w:p w14:paraId="0CFE5F56" w14:textId="77777777" w:rsidR="00666BED" w:rsidRPr="006B2F71" w:rsidRDefault="00666BED" w:rsidP="001166B9">
            <w:pPr>
              <w:jc w:val="center"/>
              <w:rPr>
                <w:rFonts w:cs="Segoe UI Symbol"/>
                <w:color w:val="000000"/>
              </w:rPr>
            </w:pPr>
            <w:r w:rsidRPr="00363E12">
              <w:rPr>
                <w:rFonts w:ascii="Segoe UI Symbol" w:hAnsi="Segoe UI Symbol"/>
                <w:sz w:val="28"/>
                <w:szCs w:val="28"/>
              </w:rPr>
              <w:t>🗴</w:t>
            </w:r>
          </w:p>
        </w:tc>
        <w:tc>
          <w:tcPr>
            <w:tcW w:w="0" w:type="auto"/>
          </w:tcPr>
          <w:p w14:paraId="159C2350" w14:textId="77777777" w:rsidR="00666BED" w:rsidRPr="006B2F71" w:rsidRDefault="00666BED" w:rsidP="001166B9">
            <w:pPr>
              <w:jc w:val="center"/>
              <w:rPr>
                <w:rFonts w:cs="Segoe UI Symbol"/>
                <w:color w:val="000000"/>
              </w:rPr>
            </w:pPr>
            <w:r w:rsidRPr="00363E12">
              <w:rPr>
                <w:rFonts w:ascii="Segoe UI Symbol" w:hAnsi="Segoe UI Symbol"/>
                <w:sz w:val="28"/>
                <w:szCs w:val="28"/>
              </w:rPr>
              <w:t>🗴</w:t>
            </w:r>
          </w:p>
        </w:tc>
      </w:tr>
      <w:tr w:rsidR="00666BED" w:rsidRPr="006B2F71" w14:paraId="356A6060" w14:textId="77777777" w:rsidTr="00761706">
        <w:tc>
          <w:tcPr>
            <w:tcW w:w="0" w:type="auto"/>
            <w:shd w:val="clear" w:color="auto" w:fill="D2D2DA" w:themeFill="text1" w:themeFillTint="33"/>
          </w:tcPr>
          <w:p w14:paraId="2F219626" w14:textId="77777777" w:rsidR="00666BED" w:rsidRPr="006B2F71" w:rsidRDefault="00666BED" w:rsidP="001166B9">
            <w:r w:rsidRPr="006B2F71">
              <w:rPr>
                <w:rFonts w:cs="Calibri"/>
                <w:color w:val="000000"/>
              </w:rPr>
              <w:t>03.02.05 - Infusion Pump Accessories (Part A)</w:t>
            </w:r>
            <w:r w:rsidRPr="006B2F71">
              <w:rPr>
                <w:rFonts w:cs="Calibri"/>
                <w:color w:val="000000"/>
                <w:vertAlign w:val="superscript"/>
              </w:rPr>
              <w:t>#</w:t>
            </w:r>
          </w:p>
        </w:tc>
        <w:tc>
          <w:tcPr>
            <w:tcW w:w="0" w:type="auto"/>
            <w:shd w:val="clear" w:color="auto" w:fill="D2D2DA" w:themeFill="text1" w:themeFillTint="33"/>
            <w:vAlign w:val="center"/>
          </w:tcPr>
          <w:p w14:paraId="368A0526" w14:textId="77777777" w:rsidR="00666BED" w:rsidRPr="006B2F71" w:rsidRDefault="00666BED" w:rsidP="001166B9">
            <w:pPr>
              <w:jc w:val="center"/>
              <w:rPr>
                <w:rFonts w:cs="Calibri"/>
                <w:color w:val="000000"/>
              </w:rPr>
            </w:pPr>
            <w:r w:rsidRPr="006B2F71">
              <w:rPr>
                <w:rFonts w:cs="Calibri"/>
                <w:color w:val="000000"/>
              </w:rPr>
              <w:t>High</w:t>
            </w:r>
          </w:p>
        </w:tc>
        <w:tc>
          <w:tcPr>
            <w:tcW w:w="0" w:type="auto"/>
            <w:shd w:val="clear" w:color="auto" w:fill="D2D2DA" w:themeFill="text1" w:themeFillTint="33"/>
            <w:vAlign w:val="center"/>
          </w:tcPr>
          <w:p w14:paraId="67F4585F" w14:textId="77777777" w:rsidR="00666BED" w:rsidRPr="006B2F71" w:rsidRDefault="00666BED" w:rsidP="00761706">
            <w:pPr>
              <w:jc w:val="right"/>
              <w:rPr>
                <w:rFonts w:cs="Calibri"/>
                <w:color w:val="000000"/>
              </w:rPr>
            </w:pPr>
            <w:r w:rsidRPr="006B2F71">
              <w:rPr>
                <w:rFonts w:cs="Calibri"/>
                <w:color w:val="000000"/>
              </w:rPr>
              <w:t>959,657</w:t>
            </w:r>
          </w:p>
        </w:tc>
        <w:tc>
          <w:tcPr>
            <w:tcW w:w="0" w:type="auto"/>
            <w:shd w:val="clear" w:color="auto" w:fill="D2D2DA" w:themeFill="text1" w:themeFillTint="33"/>
            <w:vAlign w:val="center"/>
          </w:tcPr>
          <w:p w14:paraId="23EF1EFD" w14:textId="77777777" w:rsidR="00666BED" w:rsidRPr="006B2F71" w:rsidRDefault="00666BED" w:rsidP="001166B9">
            <w:pPr>
              <w:jc w:val="center"/>
              <w:rPr>
                <w:rFonts w:cs="Segoe UI Symbol"/>
                <w:b/>
                <w:bCs/>
                <w:color w:val="000000"/>
              </w:rPr>
            </w:pPr>
            <w:r w:rsidRPr="006B2F71">
              <w:rPr>
                <w:rFonts w:cs="Segoe UI Symbol"/>
                <w:b/>
                <w:bCs/>
                <w:color w:val="000000"/>
              </w:rPr>
              <w:t>~</w:t>
            </w:r>
          </w:p>
        </w:tc>
        <w:tc>
          <w:tcPr>
            <w:tcW w:w="0" w:type="auto"/>
            <w:shd w:val="clear" w:color="auto" w:fill="D2D2DA" w:themeFill="text1" w:themeFillTint="33"/>
            <w:vAlign w:val="center"/>
          </w:tcPr>
          <w:p w14:paraId="278487A9" w14:textId="77777777" w:rsidR="00666BED" w:rsidRPr="006B2F71" w:rsidRDefault="00666BED" w:rsidP="001166B9">
            <w:pPr>
              <w:jc w:val="center"/>
              <w:rPr>
                <w:rFonts w:cs="Segoe UI Symbol"/>
                <w:b/>
                <w:bCs/>
                <w:color w:val="000000"/>
              </w:rPr>
            </w:pPr>
            <w:r w:rsidRPr="00F5323F">
              <w:rPr>
                <w:rFonts w:ascii="Segoe UI Symbol" w:hAnsi="Segoe UI Symbol"/>
              </w:rPr>
              <w:t>✓</w:t>
            </w:r>
          </w:p>
        </w:tc>
      </w:tr>
      <w:tr w:rsidR="00666BED" w:rsidRPr="006B2F71" w14:paraId="5E46CB1D" w14:textId="77777777" w:rsidTr="00761706">
        <w:tc>
          <w:tcPr>
            <w:tcW w:w="0" w:type="auto"/>
            <w:shd w:val="clear" w:color="auto" w:fill="auto"/>
          </w:tcPr>
          <w:p w14:paraId="4D000017" w14:textId="77777777" w:rsidR="00666BED" w:rsidRPr="006B2F71" w:rsidRDefault="00666BED" w:rsidP="001166B9">
            <w:pPr>
              <w:rPr>
                <w:rFonts w:cs="Calibri"/>
                <w:color w:val="000000"/>
              </w:rPr>
            </w:pPr>
            <w:r w:rsidRPr="006B2F71">
              <w:rPr>
                <w:rFonts w:cs="Calibri"/>
                <w:color w:val="000000"/>
              </w:rPr>
              <w:t>03.02.05 - Infusion Pump Accessories (Part C)</w:t>
            </w:r>
            <w:r w:rsidRPr="006B2F71">
              <w:rPr>
                <w:rFonts w:cs="Calibri"/>
                <w:color w:val="000000"/>
                <w:vertAlign w:val="superscript"/>
              </w:rPr>
              <w:t>#</w:t>
            </w:r>
          </w:p>
        </w:tc>
        <w:tc>
          <w:tcPr>
            <w:tcW w:w="0" w:type="auto"/>
            <w:shd w:val="clear" w:color="auto" w:fill="auto"/>
            <w:vAlign w:val="center"/>
          </w:tcPr>
          <w:p w14:paraId="14105B8F" w14:textId="77777777" w:rsidR="00666BED" w:rsidRPr="006B2F71" w:rsidRDefault="00666BED" w:rsidP="001166B9">
            <w:pPr>
              <w:jc w:val="center"/>
              <w:rPr>
                <w:rFonts w:cs="Calibri"/>
                <w:color w:val="000000"/>
              </w:rPr>
            </w:pPr>
            <w:r w:rsidRPr="006B2F71">
              <w:rPr>
                <w:rFonts w:cs="Calibri"/>
                <w:color w:val="000000"/>
              </w:rPr>
              <w:t>Low</w:t>
            </w:r>
          </w:p>
        </w:tc>
        <w:tc>
          <w:tcPr>
            <w:tcW w:w="0" w:type="auto"/>
            <w:shd w:val="clear" w:color="auto" w:fill="auto"/>
            <w:vAlign w:val="center"/>
          </w:tcPr>
          <w:p w14:paraId="52953153" w14:textId="77777777" w:rsidR="00666BED" w:rsidRPr="006B2F71" w:rsidRDefault="00666BED" w:rsidP="00761706">
            <w:pPr>
              <w:jc w:val="right"/>
              <w:rPr>
                <w:rFonts w:cs="Calibri"/>
                <w:color w:val="000000"/>
              </w:rPr>
            </w:pPr>
            <w:r w:rsidRPr="006B2F71">
              <w:rPr>
                <w:rFonts w:cs="Calibri"/>
                <w:color w:val="000000"/>
              </w:rPr>
              <w:t>0</w:t>
            </w:r>
          </w:p>
        </w:tc>
        <w:tc>
          <w:tcPr>
            <w:tcW w:w="0" w:type="auto"/>
            <w:shd w:val="clear" w:color="auto" w:fill="auto"/>
            <w:vAlign w:val="center"/>
          </w:tcPr>
          <w:p w14:paraId="409215B8" w14:textId="77777777" w:rsidR="00666BED" w:rsidRPr="006B2F71" w:rsidRDefault="00666BED" w:rsidP="001166B9">
            <w:pPr>
              <w:jc w:val="center"/>
              <w:rPr>
                <w:rFonts w:cs="Segoe UI Symbol"/>
                <w:color w:val="000000"/>
              </w:rPr>
            </w:pPr>
            <w:r w:rsidRPr="006B2F71">
              <w:rPr>
                <w:rFonts w:cstheme="minorHAnsi"/>
                <w:color w:val="000000"/>
              </w:rPr>
              <w:t>N/A</w:t>
            </w:r>
          </w:p>
        </w:tc>
        <w:tc>
          <w:tcPr>
            <w:tcW w:w="0" w:type="auto"/>
            <w:shd w:val="clear" w:color="auto" w:fill="auto"/>
            <w:vAlign w:val="center"/>
          </w:tcPr>
          <w:p w14:paraId="3F580225" w14:textId="77777777" w:rsidR="00666BED" w:rsidRPr="006B2F71" w:rsidRDefault="00666BED" w:rsidP="001166B9">
            <w:pPr>
              <w:jc w:val="center"/>
              <w:rPr>
                <w:rFonts w:cs="Segoe UI Symbol"/>
                <w:color w:val="000000"/>
              </w:rPr>
            </w:pPr>
            <w:r w:rsidRPr="006B2F71">
              <w:rPr>
                <w:rFonts w:cstheme="minorHAnsi"/>
                <w:color w:val="000000"/>
              </w:rPr>
              <w:t>N/A</w:t>
            </w:r>
          </w:p>
        </w:tc>
      </w:tr>
      <w:tr w:rsidR="00666BED" w:rsidRPr="006B2F71" w14:paraId="22CEA9BB" w14:textId="77777777" w:rsidTr="00761706">
        <w:tc>
          <w:tcPr>
            <w:tcW w:w="0" w:type="auto"/>
          </w:tcPr>
          <w:p w14:paraId="5CEAF8CA" w14:textId="77777777" w:rsidR="00666BED" w:rsidRPr="006B2F71" w:rsidRDefault="00666BED" w:rsidP="001166B9">
            <w:r w:rsidRPr="006B2F71">
              <w:rPr>
                <w:rFonts w:cs="Calibri"/>
                <w:color w:val="000000"/>
              </w:rPr>
              <w:t>03.02.06 - Pharmaceutical Beads</w:t>
            </w:r>
          </w:p>
        </w:tc>
        <w:tc>
          <w:tcPr>
            <w:tcW w:w="0" w:type="auto"/>
            <w:vAlign w:val="center"/>
          </w:tcPr>
          <w:p w14:paraId="3D5754BE" w14:textId="77777777" w:rsidR="00666BED" w:rsidRPr="006B2F71" w:rsidRDefault="00666BED" w:rsidP="001166B9">
            <w:pPr>
              <w:jc w:val="center"/>
              <w:rPr>
                <w:rFonts w:cs="Calibri"/>
                <w:color w:val="000000"/>
              </w:rPr>
            </w:pPr>
            <w:r w:rsidRPr="006B2F71">
              <w:rPr>
                <w:rFonts w:cs="Calibri"/>
                <w:color w:val="000000"/>
              </w:rPr>
              <w:t>High</w:t>
            </w:r>
          </w:p>
        </w:tc>
        <w:tc>
          <w:tcPr>
            <w:tcW w:w="0" w:type="auto"/>
            <w:vAlign w:val="center"/>
          </w:tcPr>
          <w:p w14:paraId="5A5AE46C" w14:textId="77777777" w:rsidR="00666BED" w:rsidRPr="006B2F71" w:rsidRDefault="00666BED" w:rsidP="00761706">
            <w:pPr>
              <w:jc w:val="right"/>
              <w:rPr>
                <w:rFonts w:cs="Calibri"/>
                <w:color w:val="000000"/>
              </w:rPr>
            </w:pPr>
            <w:r w:rsidRPr="006B2F71">
              <w:rPr>
                <w:rFonts w:cs="Calibri"/>
                <w:color w:val="000000"/>
              </w:rPr>
              <w:t>108,853</w:t>
            </w:r>
          </w:p>
        </w:tc>
        <w:tc>
          <w:tcPr>
            <w:tcW w:w="0" w:type="auto"/>
          </w:tcPr>
          <w:p w14:paraId="6BF9F68C" w14:textId="77777777" w:rsidR="00666BED" w:rsidRPr="006B2F71" w:rsidRDefault="00666BED" w:rsidP="001166B9">
            <w:pPr>
              <w:jc w:val="center"/>
              <w:rPr>
                <w:rFonts w:cs="Segoe UI Symbol"/>
                <w:color w:val="000000"/>
              </w:rPr>
            </w:pPr>
            <w:r w:rsidRPr="00862B33">
              <w:rPr>
                <w:rFonts w:ascii="Segoe UI Symbol" w:hAnsi="Segoe UI Symbol"/>
                <w:sz w:val="28"/>
                <w:szCs w:val="28"/>
              </w:rPr>
              <w:t>🗴</w:t>
            </w:r>
          </w:p>
        </w:tc>
        <w:tc>
          <w:tcPr>
            <w:tcW w:w="0" w:type="auto"/>
          </w:tcPr>
          <w:p w14:paraId="6F74479A" w14:textId="77777777" w:rsidR="00666BED" w:rsidRPr="006B2F71" w:rsidRDefault="00666BED" w:rsidP="001166B9">
            <w:pPr>
              <w:jc w:val="center"/>
              <w:rPr>
                <w:rFonts w:cs="Segoe UI Symbol"/>
                <w:color w:val="000000"/>
              </w:rPr>
            </w:pPr>
            <w:r w:rsidRPr="00862B33">
              <w:rPr>
                <w:rFonts w:ascii="Segoe UI Symbol" w:hAnsi="Segoe UI Symbol"/>
                <w:sz w:val="28"/>
                <w:szCs w:val="28"/>
              </w:rPr>
              <w:t>🗴</w:t>
            </w:r>
          </w:p>
        </w:tc>
      </w:tr>
      <w:tr w:rsidR="00666BED" w:rsidRPr="006B2F71" w14:paraId="3DDC869B" w14:textId="77777777" w:rsidTr="00761706">
        <w:tc>
          <w:tcPr>
            <w:tcW w:w="0" w:type="auto"/>
          </w:tcPr>
          <w:p w14:paraId="6D522D51" w14:textId="77777777" w:rsidR="00666BED" w:rsidRPr="006B2F71" w:rsidRDefault="00666BED" w:rsidP="001166B9">
            <w:r w:rsidRPr="006B2F71">
              <w:rPr>
                <w:rFonts w:cs="Calibri"/>
                <w:color w:val="000000"/>
              </w:rPr>
              <w:t>03.03.01 - Feeding Tubes</w:t>
            </w:r>
          </w:p>
        </w:tc>
        <w:tc>
          <w:tcPr>
            <w:tcW w:w="0" w:type="auto"/>
            <w:vAlign w:val="center"/>
          </w:tcPr>
          <w:p w14:paraId="04A17A16" w14:textId="77777777" w:rsidR="00666BED" w:rsidRPr="006B2F71" w:rsidRDefault="00666BED" w:rsidP="001166B9">
            <w:pPr>
              <w:jc w:val="center"/>
              <w:rPr>
                <w:rFonts w:cs="Calibri"/>
                <w:color w:val="000000"/>
              </w:rPr>
            </w:pPr>
            <w:r w:rsidRPr="006B2F71">
              <w:rPr>
                <w:rFonts w:cs="Calibri"/>
                <w:color w:val="000000"/>
              </w:rPr>
              <w:t>Low</w:t>
            </w:r>
          </w:p>
        </w:tc>
        <w:tc>
          <w:tcPr>
            <w:tcW w:w="0" w:type="auto"/>
            <w:vAlign w:val="center"/>
          </w:tcPr>
          <w:p w14:paraId="41D542A2" w14:textId="77777777" w:rsidR="00666BED" w:rsidRPr="006B2F71" w:rsidRDefault="00666BED" w:rsidP="00761706">
            <w:pPr>
              <w:jc w:val="right"/>
              <w:rPr>
                <w:rFonts w:cs="Calibri"/>
                <w:color w:val="000000"/>
              </w:rPr>
            </w:pPr>
            <w:r w:rsidRPr="006B2F71">
              <w:rPr>
                <w:rFonts w:cs="Calibri"/>
                <w:color w:val="000000"/>
              </w:rPr>
              <w:t>2,366</w:t>
            </w:r>
          </w:p>
        </w:tc>
        <w:tc>
          <w:tcPr>
            <w:tcW w:w="0" w:type="auto"/>
            <w:vAlign w:val="center"/>
          </w:tcPr>
          <w:p w14:paraId="2D6A13E0" w14:textId="77777777" w:rsidR="00666BED" w:rsidRPr="006B2F71" w:rsidRDefault="00666BED" w:rsidP="001166B9">
            <w:pPr>
              <w:jc w:val="center"/>
              <w:rPr>
                <w:rFonts w:cstheme="minorHAnsi"/>
                <w:color w:val="000000"/>
              </w:rPr>
            </w:pPr>
            <w:r w:rsidRPr="006B2F71">
              <w:rPr>
                <w:rFonts w:cstheme="minorHAnsi"/>
                <w:color w:val="000000"/>
              </w:rPr>
              <w:t>N/A</w:t>
            </w:r>
          </w:p>
        </w:tc>
        <w:tc>
          <w:tcPr>
            <w:tcW w:w="0" w:type="auto"/>
            <w:vAlign w:val="center"/>
          </w:tcPr>
          <w:p w14:paraId="598935BD" w14:textId="77777777" w:rsidR="00666BED" w:rsidRPr="006B2F71" w:rsidRDefault="00666BED" w:rsidP="001166B9">
            <w:pPr>
              <w:jc w:val="center"/>
              <w:rPr>
                <w:rFonts w:cstheme="minorHAnsi"/>
                <w:color w:val="000000"/>
              </w:rPr>
            </w:pPr>
            <w:r w:rsidRPr="006B2F71">
              <w:rPr>
                <w:rFonts w:cstheme="minorHAnsi"/>
                <w:color w:val="000000"/>
              </w:rPr>
              <w:t>N/A</w:t>
            </w:r>
          </w:p>
        </w:tc>
      </w:tr>
      <w:tr w:rsidR="00666BED" w:rsidRPr="006B2F71" w14:paraId="206A5D08" w14:textId="77777777" w:rsidTr="00761706">
        <w:tc>
          <w:tcPr>
            <w:tcW w:w="0" w:type="auto"/>
          </w:tcPr>
          <w:p w14:paraId="5024C1B3" w14:textId="77777777" w:rsidR="00666BED" w:rsidRPr="006B2F71" w:rsidRDefault="00666BED" w:rsidP="001166B9">
            <w:r w:rsidRPr="006B2F71">
              <w:rPr>
                <w:rFonts w:cs="Calibri"/>
                <w:color w:val="000000"/>
              </w:rPr>
              <w:t>03.03.02 - Gastrostomy Tubes</w:t>
            </w:r>
          </w:p>
        </w:tc>
        <w:tc>
          <w:tcPr>
            <w:tcW w:w="0" w:type="auto"/>
            <w:vAlign w:val="center"/>
          </w:tcPr>
          <w:p w14:paraId="2D27BE41" w14:textId="77777777" w:rsidR="00666BED" w:rsidRPr="006B2F71" w:rsidRDefault="00666BED" w:rsidP="001166B9">
            <w:pPr>
              <w:jc w:val="center"/>
              <w:rPr>
                <w:rFonts w:cs="Calibri"/>
                <w:color w:val="000000"/>
              </w:rPr>
            </w:pPr>
            <w:r w:rsidRPr="006B2F71">
              <w:rPr>
                <w:rFonts w:cs="Calibri"/>
                <w:color w:val="000000"/>
              </w:rPr>
              <w:t>Low</w:t>
            </w:r>
          </w:p>
        </w:tc>
        <w:tc>
          <w:tcPr>
            <w:tcW w:w="0" w:type="auto"/>
            <w:vAlign w:val="center"/>
          </w:tcPr>
          <w:p w14:paraId="68BA8F5D" w14:textId="77777777" w:rsidR="00666BED" w:rsidRPr="006B2F71" w:rsidRDefault="00666BED" w:rsidP="00761706">
            <w:pPr>
              <w:jc w:val="right"/>
              <w:rPr>
                <w:rFonts w:cs="Calibri"/>
                <w:color w:val="000000"/>
              </w:rPr>
            </w:pPr>
            <w:r w:rsidRPr="006B2F71">
              <w:rPr>
                <w:rFonts w:cs="Calibri"/>
                <w:color w:val="000000"/>
              </w:rPr>
              <w:t>139,110</w:t>
            </w:r>
          </w:p>
        </w:tc>
        <w:tc>
          <w:tcPr>
            <w:tcW w:w="0" w:type="auto"/>
            <w:vAlign w:val="center"/>
          </w:tcPr>
          <w:p w14:paraId="581AD520" w14:textId="77777777" w:rsidR="00666BED" w:rsidRPr="006B2F71" w:rsidRDefault="00666BED" w:rsidP="001166B9">
            <w:pPr>
              <w:jc w:val="center"/>
              <w:rPr>
                <w:rFonts w:cstheme="minorHAnsi"/>
                <w:color w:val="000000"/>
              </w:rPr>
            </w:pPr>
            <w:r w:rsidRPr="006B2F71">
              <w:rPr>
                <w:rFonts w:cstheme="minorHAnsi"/>
                <w:color w:val="000000"/>
              </w:rPr>
              <w:t>N/A</w:t>
            </w:r>
          </w:p>
        </w:tc>
        <w:tc>
          <w:tcPr>
            <w:tcW w:w="0" w:type="auto"/>
            <w:vAlign w:val="center"/>
          </w:tcPr>
          <w:p w14:paraId="186F0D83" w14:textId="77777777" w:rsidR="00666BED" w:rsidRPr="006B2F71" w:rsidRDefault="00666BED" w:rsidP="001166B9">
            <w:pPr>
              <w:jc w:val="center"/>
              <w:rPr>
                <w:rFonts w:cstheme="minorHAnsi"/>
                <w:color w:val="000000"/>
              </w:rPr>
            </w:pPr>
            <w:r w:rsidRPr="006B2F71">
              <w:rPr>
                <w:rFonts w:cstheme="minorHAnsi"/>
                <w:color w:val="000000"/>
              </w:rPr>
              <w:t>N/A</w:t>
            </w:r>
          </w:p>
        </w:tc>
      </w:tr>
      <w:tr w:rsidR="00666BED" w:rsidRPr="006B2F71" w14:paraId="4D51F9C6" w14:textId="77777777" w:rsidTr="00761706">
        <w:tc>
          <w:tcPr>
            <w:tcW w:w="0" w:type="auto"/>
          </w:tcPr>
          <w:p w14:paraId="2B7FC710" w14:textId="77777777" w:rsidR="00666BED" w:rsidRPr="006B2F71" w:rsidRDefault="00666BED" w:rsidP="001166B9">
            <w:r w:rsidRPr="006B2F71">
              <w:rPr>
                <w:rFonts w:cs="Calibri"/>
                <w:color w:val="000000"/>
              </w:rPr>
              <w:t>03.03.03 - Jejunostomy Tubes</w:t>
            </w:r>
          </w:p>
        </w:tc>
        <w:tc>
          <w:tcPr>
            <w:tcW w:w="0" w:type="auto"/>
            <w:vAlign w:val="center"/>
          </w:tcPr>
          <w:p w14:paraId="60046B68" w14:textId="77777777" w:rsidR="00666BED" w:rsidRPr="006B2F71" w:rsidRDefault="00666BED" w:rsidP="001166B9">
            <w:pPr>
              <w:jc w:val="center"/>
              <w:rPr>
                <w:rFonts w:cs="Calibri"/>
                <w:color w:val="000000"/>
              </w:rPr>
            </w:pPr>
            <w:r w:rsidRPr="006B2F71">
              <w:rPr>
                <w:rFonts w:cs="Calibri"/>
                <w:color w:val="000000"/>
              </w:rPr>
              <w:t>Low</w:t>
            </w:r>
          </w:p>
        </w:tc>
        <w:tc>
          <w:tcPr>
            <w:tcW w:w="0" w:type="auto"/>
            <w:vAlign w:val="center"/>
          </w:tcPr>
          <w:p w14:paraId="24995045" w14:textId="77777777" w:rsidR="00666BED" w:rsidRPr="006B2F71" w:rsidRDefault="00666BED" w:rsidP="00761706">
            <w:pPr>
              <w:jc w:val="right"/>
              <w:rPr>
                <w:rFonts w:cs="Calibri"/>
                <w:color w:val="000000"/>
              </w:rPr>
            </w:pPr>
            <w:r w:rsidRPr="006B2F71">
              <w:rPr>
                <w:rFonts w:cs="Calibri"/>
                <w:color w:val="000000"/>
              </w:rPr>
              <w:t>79,492</w:t>
            </w:r>
          </w:p>
        </w:tc>
        <w:tc>
          <w:tcPr>
            <w:tcW w:w="0" w:type="auto"/>
            <w:vAlign w:val="center"/>
          </w:tcPr>
          <w:p w14:paraId="28A93897" w14:textId="77777777" w:rsidR="00666BED" w:rsidRPr="006B2F71" w:rsidRDefault="00666BED" w:rsidP="001166B9">
            <w:pPr>
              <w:jc w:val="center"/>
              <w:rPr>
                <w:rFonts w:cstheme="minorHAnsi"/>
                <w:color w:val="000000"/>
              </w:rPr>
            </w:pPr>
            <w:r w:rsidRPr="006B2F71">
              <w:rPr>
                <w:rFonts w:cstheme="minorHAnsi"/>
                <w:color w:val="000000"/>
              </w:rPr>
              <w:t>N/A</w:t>
            </w:r>
          </w:p>
        </w:tc>
        <w:tc>
          <w:tcPr>
            <w:tcW w:w="0" w:type="auto"/>
            <w:vAlign w:val="center"/>
          </w:tcPr>
          <w:p w14:paraId="7EECC44E" w14:textId="77777777" w:rsidR="00666BED" w:rsidRPr="006B2F71" w:rsidRDefault="00666BED" w:rsidP="001166B9">
            <w:pPr>
              <w:jc w:val="center"/>
              <w:rPr>
                <w:rFonts w:cstheme="minorHAnsi"/>
                <w:color w:val="000000"/>
              </w:rPr>
            </w:pPr>
            <w:r w:rsidRPr="006B2F71">
              <w:rPr>
                <w:rFonts w:cstheme="minorHAnsi"/>
                <w:color w:val="000000"/>
              </w:rPr>
              <w:t>N/A</w:t>
            </w:r>
          </w:p>
        </w:tc>
      </w:tr>
      <w:tr w:rsidR="00666BED" w:rsidRPr="006B2F71" w14:paraId="2B46E43C" w14:textId="77777777" w:rsidTr="00761706">
        <w:tc>
          <w:tcPr>
            <w:tcW w:w="0" w:type="auto"/>
          </w:tcPr>
          <w:p w14:paraId="5CE801E3" w14:textId="77777777" w:rsidR="00666BED" w:rsidRPr="006B2F71" w:rsidRDefault="00666BED" w:rsidP="001166B9">
            <w:r w:rsidRPr="006B2F71">
              <w:rPr>
                <w:rFonts w:cs="Calibri"/>
                <w:color w:val="000000"/>
              </w:rPr>
              <w:t>03.03.04 - Caecostomy Tubes</w:t>
            </w:r>
          </w:p>
        </w:tc>
        <w:tc>
          <w:tcPr>
            <w:tcW w:w="0" w:type="auto"/>
            <w:vAlign w:val="center"/>
          </w:tcPr>
          <w:p w14:paraId="4B9D3CF4" w14:textId="77777777" w:rsidR="00666BED" w:rsidRPr="006B2F71" w:rsidRDefault="00666BED" w:rsidP="001166B9">
            <w:pPr>
              <w:jc w:val="center"/>
              <w:rPr>
                <w:rFonts w:cs="Calibri"/>
                <w:color w:val="000000"/>
              </w:rPr>
            </w:pPr>
            <w:r w:rsidRPr="006B2F71">
              <w:rPr>
                <w:rFonts w:cs="Calibri"/>
                <w:color w:val="000000"/>
              </w:rPr>
              <w:t>Low</w:t>
            </w:r>
          </w:p>
        </w:tc>
        <w:tc>
          <w:tcPr>
            <w:tcW w:w="0" w:type="auto"/>
            <w:vAlign w:val="center"/>
          </w:tcPr>
          <w:p w14:paraId="6A382E29" w14:textId="77777777" w:rsidR="00666BED" w:rsidRPr="006B2F71" w:rsidRDefault="00666BED" w:rsidP="00761706">
            <w:pPr>
              <w:jc w:val="right"/>
              <w:rPr>
                <w:rFonts w:cs="Calibri"/>
                <w:color w:val="000000"/>
              </w:rPr>
            </w:pPr>
            <w:r w:rsidRPr="006B2F71">
              <w:rPr>
                <w:rFonts w:cs="Calibri"/>
                <w:color w:val="000000"/>
              </w:rPr>
              <w:t>19,566</w:t>
            </w:r>
          </w:p>
        </w:tc>
        <w:tc>
          <w:tcPr>
            <w:tcW w:w="0" w:type="auto"/>
            <w:vAlign w:val="center"/>
          </w:tcPr>
          <w:p w14:paraId="084FCCB7" w14:textId="77777777" w:rsidR="00666BED" w:rsidRPr="006B2F71" w:rsidRDefault="00666BED" w:rsidP="001166B9">
            <w:pPr>
              <w:jc w:val="center"/>
              <w:rPr>
                <w:rFonts w:cstheme="minorHAnsi"/>
                <w:color w:val="000000"/>
              </w:rPr>
            </w:pPr>
            <w:r w:rsidRPr="006B2F71">
              <w:rPr>
                <w:rFonts w:cstheme="minorHAnsi"/>
                <w:color w:val="000000"/>
              </w:rPr>
              <w:t>N/A</w:t>
            </w:r>
          </w:p>
        </w:tc>
        <w:tc>
          <w:tcPr>
            <w:tcW w:w="0" w:type="auto"/>
            <w:vAlign w:val="center"/>
          </w:tcPr>
          <w:p w14:paraId="786D3895" w14:textId="77777777" w:rsidR="00666BED" w:rsidRPr="006B2F71" w:rsidRDefault="00666BED" w:rsidP="001166B9">
            <w:pPr>
              <w:jc w:val="center"/>
              <w:rPr>
                <w:rFonts w:cstheme="minorHAnsi"/>
                <w:color w:val="000000"/>
              </w:rPr>
            </w:pPr>
            <w:r w:rsidRPr="006B2F71">
              <w:rPr>
                <w:rFonts w:cstheme="minorHAnsi"/>
                <w:color w:val="000000"/>
              </w:rPr>
              <w:t>N/A</w:t>
            </w:r>
          </w:p>
        </w:tc>
      </w:tr>
      <w:tr w:rsidR="00666BED" w:rsidRPr="006B2F71" w14:paraId="6CC1CED5" w14:textId="77777777" w:rsidTr="00761706">
        <w:tc>
          <w:tcPr>
            <w:tcW w:w="0" w:type="auto"/>
          </w:tcPr>
          <w:p w14:paraId="59AE9621" w14:textId="77777777" w:rsidR="00666BED" w:rsidRPr="006B2F71" w:rsidRDefault="00666BED" w:rsidP="001166B9">
            <w:r w:rsidRPr="006B2F71">
              <w:rPr>
                <w:rFonts w:cs="Calibri"/>
                <w:color w:val="000000"/>
              </w:rPr>
              <w:t>03.04.01 - Adjustable Gastric Band with Port</w:t>
            </w:r>
          </w:p>
        </w:tc>
        <w:tc>
          <w:tcPr>
            <w:tcW w:w="0" w:type="auto"/>
            <w:vAlign w:val="center"/>
          </w:tcPr>
          <w:p w14:paraId="19C26302" w14:textId="77777777" w:rsidR="00666BED" w:rsidRPr="006B2F71" w:rsidRDefault="00666BED" w:rsidP="001166B9">
            <w:pPr>
              <w:jc w:val="center"/>
              <w:rPr>
                <w:rFonts w:cs="Calibri"/>
                <w:color w:val="000000"/>
              </w:rPr>
            </w:pPr>
            <w:r w:rsidRPr="006B2F71">
              <w:rPr>
                <w:rFonts w:cs="Calibri"/>
                <w:color w:val="000000"/>
              </w:rPr>
              <w:t>Low</w:t>
            </w:r>
          </w:p>
        </w:tc>
        <w:tc>
          <w:tcPr>
            <w:tcW w:w="0" w:type="auto"/>
            <w:vAlign w:val="center"/>
          </w:tcPr>
          <w:p w14:paraId="515CF03C" w14:textId="77777777" w:rsidR="00666BED" w:rsidRPr="006B2F71" w:rsidRDefault="00666BED" w:rsidP="00761706">
            <w:pPr>
              <w:jc w:val="right"/>
              <w:rPr>
                <w:rFonts w:cs="Calibri"/>
                <w:color w:val="000000"/>
              </w:rPr>
            </w:pPr>
            <w:r w:rsidRPr="006B2F71">
              <w:rPr>
                <w:rFonts w:cs="Calibri"/>
                <w:color w:val="000000"/>
              </w:rPr>
              <w:t>1,738,374</w:t>
            </w:r>
          </w:p>
        </w:tc>
        <w:tc>
          <w:tcPr>
            <w:tcW w:w="0" w:type="auto"/>
            <w:vAlign w:val="center"/>
          </w:tcPr>
          <w:p w14:paraId="75790396" w14:textId="77777777" w:rsidR="00666BED" w:rsidRPr="006B2F71" w:rsidRDefault="00666BED" w:rsidP="001166B9">
            <w:pPr>
              <w:jc w:val="center"/>
              <w:rPr>
                <w:rFonts w:cstheme="minorHAnsi"/>
                <w:color w:val="000000"/>
              </w:rPr>
            </w:pPr>
            <w:r w:rsidRPr="006B2F71">
              <w:rPr>
                <w:rFonts w:cstheme="minorHAnsi"/>
                <w:color w:val="000000"/>
              </w:rPr>
              <w:t>N/A</w:t>
            </w:r>
          </w:p>
        </w:tc>
        <w:tc>
          <w:tcPr>
            <w:tcW w:w="0" w:type="auto"/>
            <w:vAlign w:val="center"/>
          </w:tcPr>
          <w:p w14:paraId="3E8B90DF" w14:textId="77777777" w:rsidR="00666BED" w:rsidRPr="006B2F71" w:rsidRDefault="00666BED" w:rsidP="001166B9">
            <w:pPr>
              <w:jc w:val="center"/>
              <w:rPr>
                <w:rFonts w:cstheme="minorHAnsi"/>
                <w:color w:val="000000"/>
              </w:rPr>
            </w:pPr>
            <w:r w:rsidRPr="006B2F71">
              <w:rPr>
                <w:rFonts w:cstheme="minorHAnsi"/>
                <w:color w:val="000000"/>
              </w:rPr>
              <w:t>N/A</w:t>
            </w:r>
          </w:p>
        </w:tc>
      </w:tr>
      <w:tr w:rsidR="00666BED" w:rsidRPr="006B2F71" w14:paraId="7EE0A243" w14:textId="77777777" w:rsidTr="00761706">
        <w:tc>
          <w:tcPr>
            <w:tcW w:w="0" w:type="auto"/>
          </w:tcPr>
          <w:p w14:paraId="6228B1D8" w14:textId="77777777" w:rsidR="00666BED" w:rsidRPr="006B2F71" w:rsidRDefault="00666BED" w:rsidP="001166B9">
            <w:r w:rsidRPr="006B2F71">
              <w:rPr>
                <w:rFonts w:cs="Calibri"/>
                <w:color w:val="000000"/>
              </w:rPr>
              <w:t>03.04.02 - Gastric Band without Port</w:t>
            </w:r>
          </w:p>
        </w:tc>
        <w:tc>
          <w:tcPr>
            <w:tcW w:w="0" w:type="auto"/>
            <w:vAlign w:val="center"/>
          </w:tcPr>
          <w:p w14:paraId="4E3B9E09" w14:textId="77777777" w:rsidR="00666BED" w:rsidRPr="006B2F71" w:rsidRDefault="00666BED" w:rsidP="001166B9">
            <w:pPr>
              <w:jc w:val="center"/>
              <w:rPr>
                <w:rFonts w:cs="Calibri"/>
                <w:color w:val="000000"/>
              </w:rPr>
            </w:pPr>
            <w:r w:rsidRPr="006B2F71">
              <w:rPr>
                <w:rFonts w:cs="Calibri"/>
                <w:color w:val="000000"/>
              </w:rPr>
              <w:t>Low</w:t>
            </w:r>
          </w:p>
        </w:tc>
        <w:tc>
          <w:tcPr>
            <w:tcW w:w="0" w:type="auto"/>
            <w:vAlign w:val="center"/>
          </w:tcPr>
          <w:p w14:paraId="602A8EB1" w14:textId="77777777" w:rsidR="00666BED" w:rsidRPr="006B2F71" w:rsidRDefault="00666BED" w:rsidP="00761706">
            <w:pPr>
              <w:jc w:val="right"/>
              <w:rPr>
                <w:rFonts w:cs="Calibri"/>
                <w:color w:val="000000"/>
              </w:rPr>
            </w:pPr>
            <w:r w:rsidRPr="006B2F71">
              <w:rPr>
                <w:rFonts w:cs="Calibri"/>
                <w:color w:val="000000"/>
              </w:rPr>
              <w:t>2,318,549</w:t>
            </w:r>
          </w:p>
        </w:tc>
        <w:tc>
          <w:tcPr>
            <w:tcW w:w="0" w:type="auto"/>
            <w:vAlign w:val="center"/>
          </w:tcPr>
          <w:p w14:paraId="5BB10AD2" w14:textId="77777777" w:rsidR="00666BED" w:rsidRPr="006B2F71" w:rsidRDefault="00666BED" w:rsidP="001166B9">
            <w:pPr>
              <w:jc w:val="center"/>
              <w:rPr>
                <w:rFonts w:cstheme="minorHAnsi"/>
                <w:color w:val="000000"/>
              </w:rPr>
            </w:pPr>
            <w:r w:rsidRPr="006B2F71">
              <w:rPr>
                <w:rFonts w:cstheme="minorHAnsi"/>
                <w:color w:val="000000"/>
              </w:rPr>
              <w:t>N/A</w:t>
            </w:r>
          </w:p>
        </w:tc>
        <w:tc>
          <w:tcPr>
            <w:tcW w:w="0" w:type="auto"/>
            <w:vAlign w:val="center"/>
          </w:tcPr>
          <w:p w14:paraId="31F8F10F" w14:textId="77777777" w:rsidR="00666BED" w:rsidRPr="006B2F71" w:rsidRDefault="00666BED" w:rsidP="001166B9">
            <w:pPr>
              <w:jc w:val="center"/>
              <w:rPr>
                <w:rFonts w:cstheme="minorHAnsi"/>
                <w:color w:val="000000"/>
              </w:rPr>
            </w:pPr>
            <w:r w:rsidRPr="006B2F71">
              <w:rPr>
                <w:rFonts w:cstheme="minorHAnsi"/>
                <w:color w:val="000000"/>
              </w:rPr>
              <w:t>N/A</w:t>
            </w:r>
          </w:p>
        </w:tc>
      </w:tr>
      <w:tr w:rsidR="00666BED" w:rsidRPr="006B2F71" w14:paraId="5EFEA434" w14:textId="77777777" w:rsidTr="00761706">
        <w:tc>
          <w:tcPr>
            <w:tcW w:w="0" w:type="auto"/>
          </w:tcPr>
          <w:p w14:paraId="0ABDEFEF" w14:textId="77777777" w:rsidR="00666BED" w:rsidRPr="006B2F71" w:rsidRDefault="00666BED" w:rsidP="001166B9">
            <w:r w:rsidRPr="006B2F71">
              <w:rPr>
                <w:rFonts w:cs="Calibri"/>
                <w:color w:val="000000"/>
              </w:rPr>
              <w:t>03.04.03 - Replacement Injection Ports</w:t>
            </w:r>
          </w:p>
        </w:tc>
        <w:tc>
          <w:tcPr>
            <w:tcW w:w="0" w:type="auto"/>
            <w:vAlign w:val="center"/>
          </w:tcPr>
          <w:p w14:paraId="33AA6696" w14:textId="77777777" w:rsidR="00666BED" w:rsidRPr="006B2F71" w:rsidRDefault="00666BED" w:rsidP="001166B9">
            <w:pPr>
              <w:jc w:val="center"/>
              <w:rPr>
                <w:rFonts w:cs="Calibri"/>
                <w:color w:val="000000"/>
              </w:rPr>
            </w:pPr>
            <w:r w:rsidRPr="006B2F71">
              <w:rPr>
                <w:rFonts w:cs="Calibri"/>
                <w:color w:val="000000"/>
              </w:rPr>
              <w:t>Low</w:t>
            </w:r>
          </w:p>
        </w:tc>
        <w:tc>
          <w:tcPr>
            <w:tcW w:w="0" w:type="auto"/>
            <w:vAlign w:val="center"/>
          </w:tcPr>
          <w:p w14:paraId="2B2E5C43" w14:textId="77777777" w:rsidR="00666BED" w:rsidRPr="006B2F71" w:rsidRDefault="00666BED" w:rsidP="00761706">
            <w:pPr>
              <w:jc w:val="right"/>
              <w:rPr>
                <w:rFonts w:cs="Calibri"/>
                <w:color w:val="000000"/>
              </w:rPr>
            </w:pPr>
            <w:r w:rsidRPr="006B2F71">
              <w:rPr>
                <w:rFonts w:cs="Calibri"/>
                <w:color w:val="000000"/>
              </w:rPr>
              <w:t>79,016</w:t>
            </w:r>
          </w:p>
        </w:tc>
        <w:tc>
          <w:tcPr>
            <w:tcW w:w="0" w:type="auto"/>
            <w:vAlign w:val="center"/>
          </w:tcPr>
          <w:p w14:paraId="2C965307" w14:textId="77777777" w:rsidR="00666BED" w:rsidRPr="006B2F71" w:rsidRDefault="00666BED" w:rsidP="001166B9">
            <w:pPr>
              <w:jc w:val="center"/>
              <w:rPr>
                <w:rFonts w:cstheme="minorHAnsi"/>
                <w:color w:val="000000"/>
              </w:rPr>
            </w:pPr>
            <w:r w:rsidRPr="006B2F71">
              <w:rPr>
                <w:rFonts w:cstheme="minorHAnsi"/>
                <w:color w:val="000000"/>
              </w:rPr>
              <w:t>N/A</w:t>
            </w:r>
          </w:p>
        </w:tc>
        <w:tc>
          <w:tcPr>
            <w:tcW w:w="0" w:type="auto"/>
            <w:vAlign w:val="center"/>
          </w:tcPr>
          <w:p w14:paraId="1DFC0179" w14:textId="77777777" w:rsidR="00666BED" w:rsidRPr="006B2F71" w:rsidRDefault="00666BED" w:rsidP="001166B9">
            <w:pPr>
              <w:jc w:val="center"/>
              <w:rPr>
                <w:rFonts w:cstheme="minorHAnsi"/>
                <w:color w:val="000000"/>
              </w:rPr>
            </w:pPr>
            <w:r w:rsidRPr="006B2F71">
              <w:rPr>
                <w:rFonts w:cstheme="minorHAnsi"/>
                <w:color w:val="000000"/>
              </w:rPr>
              <w:t>N/A</w:t>
            </w:r>
          </w:p>
        </w:tc>
      </w:tr>
      <w:tr w:rsidR="00666BED" w:rsidRPr="006B2F71" w14:paraId="26A71DE2" w14:textId="77777777" w:rsidTr="00761706">
        <w:tc>
          <w:tcPr>
            <w:tcW w:w="0" w:type="auto"/>
          </w:tcPr>
          <w:p w14:paraId="69EE3E46" w14:textId="77777777" w:rsidR="00666BED" w:rsidRPr="006B2F71" w:rsidRDefault="00666BED" w:rsidP="001166B9">
            <w:r w:rsidRPr="006B2F71">
              <w:rPr>
                <w:rFonts w:cs="Calibri"/>
                <w:color w:val="000000"/>
              </w:rPr>
              <w:t>03.05.01 - Occluder Pin</w:t>
            </w:r>
          </w:p>
        </w:tc>
        <w:tc>
          <w:tcPr>
            <w:tcW w:w="0" w:type="auto"/>
            <w:vAlign w:val="center"/>
          </w:tcPr>
          <w:p w14:paraId="73D7E608" w14:textId="77777777" w:rsidR="00666BED" w:rsidRPr="006B2F71" w:rsidRDefault="00666BED" w:rsidP="001166B9">
            <w:pPr>
              <w:jc w:val="center"/>
              <w:rPr>
                <w:rFonts w:cs="Calibri"/>
                <w:color w:val="000000"/>
              </w:rPr>
            </w:pPr>
            <w:r w:rsidRPr="006B2F71">
              <w:rPr>
                <w:rFonts w:cs="Calibri"/>
                <w:color w:val="000000"/>
              </w:rPr>
              <w:t>High</w:t>
            </w:r>
          </w:p>
        </w:tc>
        <w:tc>
          <w:tcPr>
            <w:tcW w:w="0" w:type="auto"/>
            <w:vAlign w:val="center"/>
          </w:tcPr>
          <w:p w14:paraId="3CA0C29C" w14:textId="77777777" w:rsidR="00666BED" w:rsidRPr="006B2F71" w:rsidRDefault="00666BED" w:rsidP="00761706">
            <w:pPr>
              <w:jc w:val="right"/>
              <w:rPr>
                <w:rFonts w:cs="Calibri"/>
                <w:color w:val="000000"/>
              </w:rPr>
            </w:pPr>
            <w:r w:rsidRPr="006B2F71">
              <w:rPr>
                <w:rFonts w:cs="Calibri"/>
                <w:color w:val="000000"/>
              </w:rPr>
              <w:t>1,633</w:t>
            </w:r>
          </w:p>
        </w:tc>
        <w:tc>
          <w:tcPr>
            <w:tcW w:w="0" w:type="auto"/>
          </w:tcPr>
          <w:p w14:paraId="7E569E54" w14:textId="77777777" w:rsidR="00666BED" w:rsidRPr="006B2F71" w:rsidRDefault="00666BED" w:rsidP="001166B9">
            <w:pPr>
              <w:jc w:val="center"/>
              <w:rPr>
                <w:rFonts w:cs="Segoe UI Symbol"/>
                <w:color w:val="000000"/>
              </w:rPr>
            </w:pPr>
            <w:r w:rsidRPr="00901141">
              <w:rPr>
                <w:rFonts w:ascii="Segoe UI Symbol" w:hAnsi="Segoe UI Symbol"/>
                <w:sz w:val="28"/>
                <w:szCs w:val="28"/>
              </w:rPr>
              <w:t>🗴</w:t>
            </w:r>
          </w:p>
        </w:tc>
        <w:tc>
          <w:tcPr>
            <w:tcW w:w="0" w:type="auto"/>
            <w:vAlign w:val="center"/>
          </w:tcPr>
          <w:p w14:paraId="5C04FD8A" w14:textId="77777777" w:rsidR="00666BED" w:rsidRPr="006B2F71" w:rsidRDefault="00666BED" w:rsidP="001166B9">
            <w:pPr>
              <w:jc w:val="center"/>
              <w:rPr>
                <w:rFonts w:cs="Segoe UI Symbol"/>
                <w:color w:val="000000"/>
              </w:rPr>
            </w:pPr>
            <w:r w:rsidRPr="00F5323F">
              <w:rPr>
                <w:rFonts w:ascii="Segoe UI Symbol" w:hAnsi="Segoe UI Symbol"/>
                <w:sz w:val="28"/>
                <w:szCs w:val="28"/>
              </w:rPr>
              <w:t>🗴</w:t>
            </w:r>
          </w:p>
        </w:tc>
      </w:tr>
      <w:tr w:rsidR="00666BED" w:rsidRPr="006B2F71" w14:paraId="2BB16F4B" w14:textId="77777777" w:rsidTr="00761706">
        <w:tc>
          <w:tcPr>
            <w:tcW w:w="0" w:type="auto"/>
            <w:shd w:val="clear" w:color="auto" w:fill="D2D2DA" w:themeFill="text1" w:themeFillTint="33"/>
          </w:tcPr>
          <w:p w14:paraId="74323134" w14:textId="77777777" w:rsidR="00666BED" w:rsidRPr="006B2F71" w:rsidRDefault="00666BED" w:rsidP="001166B9">
            <w:r w:rsidRPr="006B2F71">
              <w:rPr>
                <w:rFonts w:cs="Calibri"/>
                <w:color w:val="000000"/>
              </w:rPr>
              <w:t>03.05.02 - Powder</w:t>
            </w:r>
          </w:p>
        </w:tc>
        <w:tc>
          <w:tcPr>
            <w:tcW w:w="0" w:type="auto"/>
            <w:shd w:val="clear" w:color="auto" w:fill="D2D2DA" w:themeFill="text1" w:themeFillTint="33"/>
            <w:vAlign w:val="center"/>
          </w:tcPr>
          <w:p w14:paraId="44968A62" w14:textId="77777777" w:rsidR="00666BED" w:rsidRPr="006B2F71" w:rsidRDefault="00666BED" w:rsidP="001166B9">
            <w:pPr>
              <w:jc w:val="center"/>
              <w:rPr>
                <w:rFonts w:cs="Calibri"/>
                <w:color w:val="000000"/>
              </w:rPr>
            </w:pPr>
            <w:r w:rsidRPr="006B2F71">
              <w:rPr>
                <w:rFonts w:cs="Calibri"/>
                <w:color w:val="000000"/>
              </w:rPr>
              <w:t>High</w:t>
            </w:r>
          </w:p>
        </w:tc>
        <w:tc>
          <w:tcPr>
            <w:tcW w:w="0" w:type="auto"/>
            <w:shd w:val="clear" w:color="auto" w:fill="D2D2DA" w:themeFill="text1" w:themeFillTint="33"/>
            <w:vAlign w:val="center"/>
          </w:tcPr>
          <w:p w14:paraId="5E479A0E" w14:textId="77777777" w:rsidR="00666BED" w:rsidRPr="006B2F71" w:rsidRDefault="00666BED" w:rsidP="00761706">
            <w:pPr>
              <w:jc w:val="right"/>
              <w:rPr>
                <w:rFonts w:cs="Calibri"/>
                <w:color w:val="000000"/>
              </w:rPr>
            </w:pPr>
            <w:r w:rsidRPr="006B2F71">
              <w:rPr>
                <w:rFonts w:cs="Calibri"/>
                <w:color w:val="000000"/>
              </w:rPr>
              <w:t>723,648</w:t>
            </w:r>
          </w:p>
        </w:tc>
        <w:tc>
          <w:tcPr>
            <w:tcW w:w="0" w:type="auto"/>
            <w:shd w:val="clear" w:color="auto" w:fill="D2D2DA" w:themeFill="text1" w:themeFillTint="33"/>
          </w:tcPr>
          <w:p w14:paraId="7BEDFDB9" w14:textId="77777777" w:rsidR="00666BED" w:rsidRPr="006B2F71" w:rsidRDefault="00666BED" w:rsidP="001166B9">
            <w:pPr>
              <w:jc w:val="center"/>
              <w:rPr>
                <w:rFonts w:cs="Segoe UI Symbol"/>
                <w:color w:val="000000"/>
              </w:rPr>
            </w:pPr>
            <w:r w:rsidRPr="00901141">
              <w:rPr>
                <w:rFonts w:ascii="Segoe UI Symbol" w:hAnsi="Segoe UI Symbol"/>
                <w:sz w:val="28"/>
                <w:szCs w:val="28"/>
              </w:rPr>
              <w:t>🗴</w:t>
            </w:r>
          </w:p>
        </w:tc>
        <w:tc>
          <w:tcPr>
            <w:tcW w:w="0" w:type="auto"/>
            <w:shd w:val="clear" w:color="auto" w:fill="D2D2DA" w:themeFill="text1" w:themeFillTint="33"/>
            <w:vAlign w:val="center"/>
          </w:tcPr>
          <w:p w14:paraId="742B9EF6" w14:textId="77777777" w:rsidR="00666BED" w:rsidRPr="006B2F71" w:rsidRDefault="00666BED" w:rsidP="001166B9">
            <w:pPr>
              <w:jc w:val="center"/>
              <w:rPr>
                <w:rFonts w:cs="Segoe UI Symbol"/>
                <w:b/>
                <w:bCs/>
                <w:color w:val="000000"/>
              </w:rPr>
            </w:pPr>
            <w:r w:rsidRPr="00F5323F">
              <w:rPr>
                <w:rFonts w:ascii="Segoe UI Symbol" w:hAnsi="Segoe UI Symbol"/>
              </w:rPr>
              <w:t>✓</w:t>
            </w:r>
          </w:p>
        </w:tc>
      </w:tr>
      <w:tr w:rsidR="00666BED" w:rsidRPr="006B2F71" w14:paraId="6C0BCECC" w14:textId="77777777" w:rsidTr="00761706">
        <w:tc>
          <w:tcPr>
            <w:tcW w:w="0" w:type="auto"/>
            <w:shd w:val="clear" w:color="auto" w:fill="D2D2DA" w:themeFill="text1" w:themeFillTint="33"/>
          </w:tcPr>
          <w:p w14:paraId="51075016" w14:textId="77777777" w:rsidR="00666BED" w:rsidRPr="006B2F71" w:rsidRDefault="00666BED" w:rsidP="001166B9">
            <w:r w:rsidRPr="006B2F71">
              <w:rPr>
                <w:rFonts w:cs="Calibri"/>
                <w:color w:val="000000"/>
              </w:rPr>
              <w:t>03.05.03 – Sponges*</w:t>
            </w:r>
          </w:p>
        </w:tc>
        <w:tc>
          <w:tcPr>
            <w:tcW w:w="0" w:type="auto"/>
            <w:shd w:val="clear" w:color="auto" w:fill="D2D2DA" w:themeFill="text1" w:themeFillTint="33"/>
            <w:vAlign w:val="center"/>
          </w:tcPr>
          <w:p w14:paraId="20982C8B" w14:textId="77777777" w:rsidR="00666BED" w:rsidRPr="006B2F71" w:rsidRDefault="00666BED" w:rsidP="001166B9">
            <w:pPr>
              <w:jc w:val="center"/>
              <w:rPr>
                <w:rFonts w:cs="Calibri"/>
                <w:color w:val="000000"/>
              </w:rPr>
            </w:pPr>
            <w:r w:rsidRPr="006B2F71">
              <w:rPr>
                <w:rFonts w:cs="Calibri"/>
                <w:color w:val="000000"/>
              </w:rPr>
              <w:t>High</w:t>
            </w:r>
          </w:p>
        </w:tc>
        <w:tc>
          <w:tcPr>
            <w:tcW w:w="0" w:type="auto"/>
            <w:shd w:val="clear" w:color="auto" w:fill="D2D2DA" w:themeFill="text1" w:themeFillTint="33"/>
            <w:vAlign w:val="center"/>
          </w:tcPr>
          <w:p w14:paraId="08F18E17" w14:textId="77777777" w:rsidR="00666BED" w:rsidRPr="006B2F71" w:rsidRDefault="00666BED" w:rsidP="00761706">
            <w:pPr>
              <w:jc w:val="right"/>
              <w:rPr>
                <w:rFonts w:cs="Calibri"/>
                <w:color w:val="000000"/>
              </w:rPr>
            </w:pPr>
            <w:r w:rsidRPr="006B2F71">
              <w:rPr>
                <w:rFonts w:cs="Calibri"/>
                <w:color w:val="000000"/>
              </w:rPr>
              <w:t>617,106</w:t>
            </w:r>
          </w:p>
        </w:tc>
        <w:tc>
          <w:tcPr>
            <w:tcW w:w="0" w:type="auto"/>
            <w:shd w:val="clear" w:color="auto" w:fill="D2D2DA" w:themeFill="text1" w:themeFillTint="33"/>
          </w:tcPr>
          <w:p w14:paraId="35E4C7AC" w14:textId="77777777" w:rsidR="00666BED" w:rsidRPr="006B2F71" w:rsidRDefault="00666BED" w:rsidP="001166B9">
            <w:pPr>
              <w:jc w:val="center"/>
              <w:rPr>
                <w:rFonts w:cs="Segoe UI Symbol"/>
                <w:color w:val="000000"/>
              </w:rPr>
            </w:pPr>
            <w:r w:rsidRPr="00032338">
              <w:rPr>
                <w:rFonts w:ascii="Segoe UI Symbol" w:hAnsi="Segoe UI Symbol"/>
                <w:sz w:val="28"/>
                <w:szCs w:val="28"/>
              </w:rPr>
              <w:t>🗴</w:t>
            </w:r>
          </w:p>
        </w:tc>
        <w:tc>
          <w:tcPr>
            <w:tcW w:w="0" w:type="auto"/>
            <w:shd w:val="clear" w:color="auto" w:fill="D2D2DA" w:themeFill="text1" w:themeFillTint="33"/>
          </w:tcPr>
          <w:p w14:paraId="24CCD79F" w14:textId="77777777" w:rsidR="00666BED" w:rsidRPr="006B2F71" w:rsidRDefault="00666BED" w:rsidP="001166B9">
            <w:pPr>
              <w:jc w:val="center"/>
              <w:rPr>
                <w:rFonts w:cs="Segoe UI Symbol"/>
                <w:color w:val="000000"/>
              </w:rPr>
            </w:pPr>
            <w:r w:rsidRPr="00032338">
              <w:rPr>
                <w:rFonts w:ascii="Segoe UI Symbol" w:hAnsi="Segoe UI Symbol"/>
                <w:sz w:val="28"/>
                <w:szCs w:val="28"/>
              </w:rPr>
              <w:t>🗴</w:t>
            </w:r>
          </w:p>
        </w:tc>
      </w:tr>
      <w:tr w:rsidR="00666BED" w:rsidRPr="006B2F71" w14:paraId="594EB626" w14:textId="77777777" w:rsidTr="00761706">
        <w:tc>
          <w:tcPr>
            <w:tcW w:w="0" w:type="auto"/>
            <w:shd w:val="clear" w:color="auto" w:fill="D2D2DA" w:themeFill="text1" w:themeFillTint="33"/>
          </w:tcPr>
          <w:p w14:paraId="1C0946E5" w14:textId="77777777" w:rsidR="00666BED" w:rsidRPr="006B2F71" w:rsidRDefault="00666BED" w:rsidP="001166B9">
            <w:r w:rsidRPr="006B2F71">
              <w:rPr>
                <w:rFonts w:cs="Calibri"/>
                <w:color w:val="000000"/>
              </w:rPr>
              <w:t>03.05.04 - Pliable Patches</w:t>
            </w:r>
          </w:p>
        </w:tc>
        <w:tc>
          <w:tcPr>
            <w:tcW w:w="0" w:type="auto"/>
            <w:shd w:val="clear" w:color="auto" w:fill="D2D2DA" w:themeFill="text1" w:themeFillTint="33"/>
            <w:vAlign w:val="center"/>
          </w:tcPr>
          <w:p w14:paraId="2AF1907D" w14:textId="77777777" w:rsidR="00666BED" w:rsidRPr="006B2F71" w:rsidRDefault="00666BED" w:rsidP="001166B9">
            <w:pPr>
              <w:jc w:val="center"/>
              <w:rPr>
                <w:rFonts w:cs="Calibri"/>
                <w:color w:val="000000"/>
              </w:rPr>
            </w:pPr>
            <w:r w:rsidRPr="006B2F71">
              <w:rPr>
                <w:rFonts w:cs="Calibri"/>
                <w:color w:val="000000"/>
              </w:rPr>
              <w:t>High</w:t>
            </w:r>
          </w:p>
        </w:tc>
        <w:tc>
          <w:tcPr>
            <w:tcW w:w="0" w:type="auto"/>
            <w:shd w:val="clear" w:color="auto" w:fill="D2D2DA" w:themeFill="text1" w:themeFillTint="33"/>
            <w:vAlign w:val="center"/>
          </w:tcPr>
          <w:p w14:paraId="1040E853" w14:textId="77777777" w:rsidR="00666BED" w:rsidRPr="006B2F71" w:rsidRDefault="00666BED" w:rsidP="00761706">
            <w:pPr>
              <w:jc w:val="right"/>
              <w:rPr>
                <w:rFonts w:cs="Calibri"/>
                <w:color w:val="000000"/>
              </w:rPr>
            </w:pPr>
            <w:r w:rsidRPr="006B2F71">
              <w:rPr>
                <w:rFonts w:cs="Calibri"/>
                <w:color w:val="000000"/>
              </w:rPr>
              <w:t>3,014,999</w:t>
            </w:r>
          </w:p>
        </w:tc>
        <w:tc>
          <w:tcPr>
            <w:tcW w:w="0" w:type="auto"/>
            <w:shd w:val="clear" w:color="auto" w:fill="D2D2DA" w:themeFill="text1" w:themeFillTint="33"/>
            <w:vAlign w:val="center"/>
          </w:tcPr>
          <w:p w14:paraId="251D749F" w14:textId="77777777" w:rsidR="00666BED" w:rsidRPr="006B2F71" w:rsidRDefault="00666BED" w:rsidP="001166B9">
            <w:pPr>
              <w:jc w:val="center"/>
              <w:rPr>
                <w:rFonts w:cs="Segoe UI Symbol"/>
                <w:b/>
                <w:bCs/>
                <w:color w:val="000000"/>
              </w:rPr>
            </w:pPr>
            <w:r w:rsidRPr="00F5323F">
              <w:rPr>
                <w:rFonts w:ascii="Segoe UI Symbol" w:hAnsi="Segoe UI Symbol"/>
              </w:rPr>
              <w:t>✓</w:t>
            </w:r>
          </w:p>
        </w:tc>
        <w:tc>
          <w:tcPr>
            <w:tcW w:w="0" w:type="auto"/>
            <w:shd w:val="clear" w:color="auto" w:fill="D2D2DA" w:themeFill="text1" w:themeFillTint="33"/>
            <w:vAlign w:val="center"/>
          </w:tcPr>
          <w:p w14:paraId="760FC1A3" w14:textId="77777777" w:rsidR="00666BED" w:rsidRPr="006B2F71" w:rsidRDefault="00666BED" w:rsidP="001166B9">
            <w:pPr>
              <w:jc w:val="center"/>
              <w:rPr>
                <w:rFonts w:cs="Segoe UI Symbol"/>
                <w:b/>
                <w:bCs/>
                <w:color w:val="000000"/>
              </w:rPr>
            </w:pPr>
            <w:r w:rsidRPr="006B2F71">
              <w:rPr>
                <w:rFonts w:cs="Segoe UI Symbol"/>
                <w:b/>
                <w:bCs/>
                <w:color w:val="000000"/>
              </w:rPr>
              <w:t>~</w:t>
            </w:r>
          </w:p>
        </w:tc>
      </w:tr>
      <w:tr w:rsidR="00666BED" w:rsidRPr="006B2F71" w14:paraId="2C97A889" w14:textId="77777777" w:rsidTr="00761706">
        <w:tc>
          <w:tcPr>
            <w:tcW w:w="0" w:type="auto"/>
            <w:shd w:val="clear" w:color="auto" w:fill="D2D2DA" w:themeFill="text1" w:themeFillTint="33"/>
          </w:tcPr>
          <w:p w14:paraId="3BAEC84A" w14:textId="77777777" w:rsidR="00666BED" w:rsidRPr="006B2F71" w:rsidRDefault="00666BED" w:rsidP="001166B9">
            <w:r w:rsidRPr="006B2F71">
              <w:rPr>
                <w:rFonts w:cs="Calibri"/>
                <w:color w:val="000000"/>
              </w:rPr>
              <w:t>03.05.05 - Matrix</w:t>
            </w:r>
          </w:p>
        </w:tc>
        <w:tc>
          <w:tcPr>
            <w:tcW w:w="0" w:type="auto"/>
            <w:shd w:val="clear" w:color="auto" w:fill="D2D2DA" w:themeFill="text1" w:themeFillTint="33"/>
            <w:vAlign w:val="center"/>
          </w:tcPr>
          <w:p w14:paraId="3B469BB8" w14:textId="77777777" w:rsidR="00666BED" w:rsidRPr="006B2F71" w:rsidRDefault="00666BED" w:rsidP="001166B9">
            <w:pPr>
              <w:jc w:val="center"/>
              <w:rPr>
                <w:rFonts w:cs="Calibri"/>
                <w:color w:val="000000"/>
              </w:rPr>
            </w:pPr>
            <w:r w:rsidRPr="006B2F71">
              <w:rPr>
                <w:rFonts w:cs="Calibri"/>
                <w:color w:val="000000"/>
              </w:rPr>
              <w:t>High</w:t>
            </w:r>
          </w:p>
        </w:tc>
        <w:tc>
          <w:tcPr>
            <w:tcW w:w="0" w:type="auto"/>
            <w:shd w:val="clear" w:color="auto" w:fill="D2D2DA" w:themeFill="text1" w:themeFillTint="33"/>
            <w:vAlign w:val="center"/>
          </w:tcPr>
          <w:p w14:paraId="1ED0BDB5" w14:textId="77777777" w:rsidR="00666BED" w:rsidRPr="006B2F71" w:rsidRDefault="00666BED" w:rsidP="00761706">
            <w:pPr>
              <w:jc w:val="right"/>
              <w:rPr>
                <w:rFonts w:cs="Calibri"/>
                <w:color w:val="000000"/>
              </w:rPr>
            </w:pPr>
            <w:r w:rsidRPr="006B2F71">
              <w:rPr>
                <w:rFonts w:cs="Calibri"/>
                <w:color w:val="000000"/>
              </w:rPr>
              <w:t>30,306,870</w:t>
            </w:r>
          </w:p>
        </w:tc>
        <w:tc>
          <w:tcPr>
            <w:tcW w:w="0" w:type="auto"/>
            <w:shd w:val="clear" w:color="auto" w:fill="D2D2DA" w:themeFill="text1" w:themeFillTint="33"/>
          </w:tcPr>
          <w:p w14:paraId="490A96C1" w14:textId="77777777" w:rsidR="00666BED" w:rsidRPr="006B2F71" w:rsidRDefault="00666BED" w:rsidP="001166B9">
            <w:pPr>
              <w:jc w:val="center"/>
              <w:rPr>
                <w:rFonts w:cs="Segoe UI Symbol"/>
                <w:b/>
                <w:bCs/>
                <w:color w:val="000000"/>
              </w:rPr>
            </w:pPr>
            <w:r w:rsidRPr="0097739B">
              <w:rPr>
                <w:rFonts w:ascii="Segoe UI Symbol" w:hAnsi="Segoe UI Symbol"/>
              </w:rPr>
              <w:t>✓</w:t>
            </w:r>
          </w:p>
        </w:tc>
        <w:tc>
          <w:tcPr>
            <w:tcW w:w="0" w:type="auto"/>
            <w:shd w:val="clear" w:color="auto" w:fill="D2D2DA" w:themeFill="text1" w:themeFillTint="33"/>
          </w:tcPr>
          <w:p w14:paraId="36464753" w14:textId="77777777" w:rsidR="00666BED" w:rsidRPr="006B2F71" w:rsidRDefault="00666BED" w:rsidP="001166B9">
            <w:pPr>
              <w:jc w:val="center"/>
              <w:rPr>
                <w:rFonts w:cs="Segoe UI Symbol"/>
                <w:b/>
                <w:bCs/>
                <w:color w:val="000000"/>
              </w:rPr>
            </w:pPr>
            <w:r w:rsidRPr="0097739B">
              <w:rPr>
                <w:rFonts w:ascii="Segoe UI Symbol" w:hAnsi="Segoe UI Symbol"/>
              </w:rPr>
              <w:t>✓</w:t>
            </w:r>
          </w:p>
        </w:tc>
      </w:tr>
      <w:tr w:rsidR="00666BED" w:rsidRPr="006B2F71" w14:paraId="6AE83414" w14:textId="77777777" w:rsidTr="00761706">
        <w:tc>
          <w:tcPr>
            <w:tcW w:w="0" w:type="auto"/>
            <w:shd w:val="clear" w:color="auto" w:fill="D2D2DA" w:themeFill="text1" w:themeFillTint="33"/>
          </w:tcPr>
          <w:p w14:paraId="5129487D" w14:textId="77777777" w:rsidR="00666BED" w:rsidRPr="006B2F71" w:rsidRDefault="00666BED" w:rsidP="001166B9">
            <w:r w:rsidRPr="006B2F71">
              <w:rPr>
                <w:rFonts w:cs="Calibri"/>
                <w:color w:val="000000"/>
              </w:rPr>
              <w:t>03.05.06 - Foam</w:t>
            </w:r>
          </w:p>
        </w:tc>
        <w:tc>
          <w:tcPr>
            <w:tcW w:w="0" w:type="auto"/>
            <w:shd w:val="clear" w:color="auto" w:fill="D2D2DA" w:themeFill="text1" w:themeFillTint="33"/>
            <w:vAlign w:val="center"/>
          </w:tcPr>
          <w:p w14:paraId="37CED082" w14:textId="77777777" w:rsidR="00666BED" w:rsidRPr="006B2F71" w:rsidRDefault="00666BED" w:rsidP="001166B9">
            <w:pPr>
              <w:jc w:val="center"/>
              <w:rPr>
                <w:rFonts w:cs="Calibri"/>
                <w:color w:val="000000"/>
              </w:rPr>
            </w:pPr>
            <w:r w:rsidRPr="006B2F71">
              <w:rPr>
                <w:rFonts w:cs="Calibri"/>
                <w:color w:val="000000"/>
              </w:rPr>
              <w:t>High</w:t>
            </w:r>
          </w:p>
        </w:tc>
        <w:tc>
          <w:tcPr>
            <w:tcW w:w="0" w:type="auto"/>
            <w:shd w:val="clear" w:color="auto" w:fill="D2D2DA" w:themeFill="text1" w:themeFillTint="33"/>
            <w:vAlign w:val="center"/>
          </w:tcPr>
          <w:p w14:paraId="1421D0B0" w14:textId="77777777" w:rsidR="00666BED" w:rsidRPr="006B2F71" w:rsidRDefault="00666BED" w:rsidP="00761706">
            <w:pPr>
              <w:jc w:val="right"/>
              <w:rPr>
                <w:rFonts w:cs="Calibri"/>
                <w:color w:val="000000"/>
              </w:rPr>
            </w:pPr>
            <w:r w:rsidRPr="006B2F71">
              <w:rPr>
                <w:rFonts w:cs="Calibri"/>
                <w:color w:val="000000"/>
              </w:rPr>
              <w:t>2,124,130</w:t>
            </w:r>
          </w:p>
        </w:tc>
        <w:tc>
          <w:tcPr>
            <w:tcW w:w="0" w:type="auto"/>
            <w:shd w:val="clear" w:color="auto" w:fill="D2D2DA" w:themeFill="text1" w:themeFillTint="33"/>
          </w:tcPr>
          <w:p w14:paraId="704FB206" w14:textId="77777777" w:rsidR="00666BED" w:rsidRPr="006B2F71" w:rsidRDefault="00666BED" w:rsidP="001166B9">
            <w:pPr>
              <w:jc w:val="center"/>
              <w:rPr>
                <w:rFonts w:cs="Segoe UI Symbol"/>
                <w:b/>
                <w:bCs/>
                <w:color w:val="000000"/>
              </w:rPr>
            </w:pPr>
            <w:r w:rsidRPr="0097739B">
              <w:rPr>
                <w:rFonts w:ascii="Segoe UI Symbol" w:hAnsi="Segoe UI Symbol"/>
              </w:rPr>
              <w:t>✓</w:t>
            </w:r>
          </w:p>
        </w:tc>
        <w:tc>
          <w:tcPr>
            <w:tcW w:w="0" w:type="auto"/>
            <w:shd w:val="clear" w:color="auto" w:fill="D2D2DA" w:themeFill="text1" w:themeFillTint="33"/>
          </w:tcPr>
          <w:p w14:paraId="3C6D71F6" w14:textId="77777777" w:rsidR="00666BED" w:rsidRPr="006B2F71" w:rsidRDefault="00666BED" w:rsidP="001166B9">
            <w:pPr>
              <w:jc w:val="center"/>
              <w:rPr>
                <w:rFonts w:cs="Segoe UI Symbol"/>
                <w:b/>
                <w:bCs/>
                <w:color w:val="000000"/>
              </w:rPr>
            </w:pPr>
            <w:r w:rsidRPr="0097739B">
              <w:rPr>
                <w:rFonts w:ascii="Segoe UI Symbol" w:hAnsi="Segoe UI Symbol"/>
              </w:rPr>
              <w:t>✓</w:t>
            </w:r>
          </w:p>
        </w:tc>
      </w:tr>
      <w:tr w:rsidR="00666BED" w:rsidRPr="006B2F71" w14:paraId="0419EEAA" w14:textId="77777777" w:rsidTr="00761706">
        <w:tc>
          <w:tcPr>
            <w:tcW w:w="0" w:type="auto"/>
          </w:tcPr>
          <w:p w14:paraId="6922D514" w14:textId="77777777" w:rsidR="00666BED" w:rsidRPr="006B2F71" w:rsidRDefault="00666BED" w:rsidP="001166B9">
            <w:r w:rsidRPr="006B2F71">
              <w:rPr>
                <w:rFonts w:cs="Calibri"/>
                <w:color w:val="000000"/>
              </w:rPr>
              <w:t>03.06.01 - Biliary Stents</w:t>
            </w:r>
          </w:p>
        </w:tc>
        <w:tc>
          <w:tcPr>
            <w:tcW w:w="0" w:type="auto"/>
            <w:vAlign w:val="center"/>
          </w:tcPr>
          <w:p w14:paraId="78555D2B" w14:textId="77777777" w:rsidR="00666BED" w:rsidRPr="006B2F71" w:rsidRDefault="00666BED" w:rsidP="001166B9">
            <w:pPr>
              <w:jc w:val="center"/>
              <w:rPr>
                <w:rFonts w:cs="Calibri"/>
                <w:color w:val="000000"/>
              </w:rPr>
            </w:pPr>
            <w:r w:rsidRPr="006B2F71">
              <w:rPr>
                <w:rFonts w:cs="Calibri"/>
                <w:color w:val="000000"/>
              </w:rPr>
              <w:t>Low</w:t>
            </w:r>
          </w:p>
        </w:tc>
        <w:tc>
          <w:tcPr>
            <w:tcW w:w="0" w:type="auto"/>
            <w:vAlign w:val="center"/>
          </w:tcPr>
          <w:p w14:paraId="7DE432F4" w14:textId="77777777" w:rsidR="00666BED" w:rsidRPr="006B2F71" w:rsidRDefault="00666BED" w:rsidP="00761706">
            <w:pPr>
              <w:jc w:val="right"/>
              <w:rPr>
                <w:rFonts w:cs="Calibri"/>
                <w:color w:val="000000"/>
              </w:rPr>
            </w:pPr>
            <w:r w:rsidRPr="006B2F71">
              <w:rPr>
                <w:rFonts w:cs="Calibri"/>
                <w:color w:val="000000"/>
              </w:rPr>
              <w:t>2,872,362</w:t>
            </w:r>
          </w:p>
        </w:tc>
        <w:tc>
          <w:tcPr>
            <w:tcW w:w="0" w:type="auto"/>
            <w:vAlign w:val="center"/>
          </w:tcPr>
          <w:p w14:paraId="3683B00E" w14:textId="77777777" w:rsidR="00666BED" w:rsidRPr="006B2F71" w:rsidRDefault="00666BED" w:rsidP="001166B9">
            <w:pPr>
              <w:jc w:val="center"/>
              <w:rPr>
                <w:rFonts w:cstheme="minorHAnsi"/>
                <w:color w:val="000000"/>
              </w:rPr>
            </w:pPr>
            <w:r w:rsidRPr="006B2F71">
              <w:rPr>
                <w:rFonts w:cstheme="minorHAnsi"/>
                <w:color w:val="000000"/>
              </w:rPr>
              <w:t>N/A</w:t>
            </w:r>
          </w:p>
        </w:tc>
        <w:tc>
          <w:tcPr>
            <w:tcW w:w="0" w:type="auto"/>
            <w:vAlign w:val="center"/>
          </w:tcPr>
          <w:p w14:paraId="7505D4D6" w14:textId="77777777" w:rsidR="00666BED" w:rsidRPr="006B2F71" w:rsidRDefault="00666BED" w:rsidP="001166B9">
            <w:pPr>
              <w:jc w:val="center"/>
              <w:rPr>
                <w:rFonts w:cstheme="minorHAnsi"/>
                <w:color w:val="000000"/>
              </w:rPr>
            </w:pPr>
            <w:r w:rsidRPr="006B2F71">
              <w:rPr>
                <w:rFonts w:cstheme="minorHAnsi"/>
                <w:color w:val="000000"/>
              </w:rPr>
              <w:t>N/A</w:t>
            </w:r>
          </w:p>
        </w:tc>
      </w:tr>
      <w:tr w:rsidR="00666BED" w:rsidRPr="006B2F71" w14:paraId="50B579C2" w14:textId="77777777" w:rsidTr="00761706">
        <w:tc>
          <w:tcPr>
            <w:tcW w:w="0" w:type="auto"/>
          </w:tcPr>
          <w:p w14:paraId="71E5ABEC" w14:textId="77777777" w:rsidR="00666BED" w:rsidRPr="006B2F71" w:rsidRDefault="00666BED" w:rsidP="001166B9">
            <w:r w:rsidRPr="006B2F71">
              <w:rPr>
                <w:rFonts w:cs="Calibri"/>
                <w:color w:val="000000"/>
              </w:rPr>
              <w:t>03.06.02 - Colonic Stents</w:t>
            </w:r>
          </w:p>
        </w:tc>
        <w:tc>
          <w:tcPr>
            <w:tcW w:w="0" w:type="auto"/>
            <w:vAlign w:val="center"/>
          </w:tcPr>
          <w:p w14:paraId="13017778" w14:textId="77777777" w:rsidR="00666BED" w:rsidRPr="006B2F71" w:rsidRDefault="00666BED" w:rsidP="001166B9">
            <w:pPr>
              <w:jc w:val="center"/>
              <w:rPr>
                <w:rFonts w:cs="Calibri"/>
                <w:color w:val="000000"/>
              </w:rPr>
            </w:pPr>
            <w:r w:rsidRPr="006B2F71">
              <w:rPr>
                <w:rFonts w:cs="Calibri"/>
                <w:color w:val="000000"/>
              </w:rPr>
              <w:t>Low</w:t>
            </w:r>
          </w:p>
        </w:tc>
        <w:tc>
          <w:tcPr>
            <w:tcW w:w="0" w:type="auto"/>
            <w:vAlign w:val="center"/>
          </w:tcPr>
          <w:p w14:paraId="3A50FE73" w14:textId="77777777" w:rsidR="00666BED" w:rsidRPr="006B2F71" w:rsidRDefault="00666BED" w:rsidP="00761706">
            <w:pPr>
              <w:jc w:val="right"/>
              <w:rPr>
                <w:rFonts w:cs="Calibri"/>
                <w:color w:val="000000"/>
              </w:rPr>
            </w:pPr>
            <w:r w:rsidRPr="006B2F71">
              <w:rPr>
                <w:rFonts w:cs="Calibri"/>
                <w:color w:val="000000"/>
              </w:rPr>
              <w:t>20,411</w:t>
            </w:r>
          </w:p>
        </w:tc>
        <w:tc>
          <w:tcPr>
            <w:tcW w:w="0" w:type="auto"/>
            <w:vAlign w:val="center"/>
          </w:tcPr>
          <w:p w14:paraId="503E6309" w14:textId="77777777" w:rsidR="00666BED" w:rsidRPr="006B2F71" w:rsidRDefault="00666BED" w:rsidP="001166B9">
            <w:pPr>
              <w:jc w:val="center"/>
              <w:rPr>
                <w:rFonts w:cstheme="minorHAnsi"/>
                <w:color w:val="000000"/>
              </w:rPr>
            </w:pPr>
            <w:r w:rsidRPr="006B2F71">
              <w:rPr>
                <w:rFonts w:cstheme="minorHAnsi"/>
                <w:color w:val="000000"/>
              </w:rPr>
              <w:t>N/A</w:t>
            </w:r>
          </w:p>
        </w:tc>
        <w:tc>
          <w:tcPr>
            <w:tcW w:w="0" w:type="auto"/>
            <w:vAlign w:val="center"/>
          </w:tcPr>
          <w:p w14:paraId="046A2145" w14:textId="77777777" w:rsidR="00666BED" w:rsidRPr="006B2F71" w:rsidRDefault="00666BED" w:rsidP="001166B9">
            <w:pPr>
              <w:jc w:val="center"/>
              <w:rPr>
                <w:rFonts w:cstheme="minorHAnsi"/>
                <w:color w:val="000000"/>
              </w:rPr>
            </w:pPr>
            <w:r w:rsidRPr="006B2F71">
              <w:rPr>
                <w:rFonts w:cstheme="minorHAnsi"/>
                <w:color w:val="000000"/>
              </w:rPr>
              <w:t>N/A</w:t>
            </w:r>
          </w:p>
        </w:tc>
      </w:tr>
      <w:tr w:rsidR="00666BED" w:rsidRPr="006B2F71" w14:paraId="72EE048D" w14:textId="77777777" w:rsidTr="00761706">
        <w:tc>
          <w:tcPr>
            <w:tcW w:w="0" w:type="auto"/>
          </w:tcPr>
          <w:p w14:paraId="5D0CF64B" w14:textId="77777777" w:rsidR="00666BED" w:rsidRPr="006B2F71" w:rsidRDefault="00666BED" w:rsidP="001166B9">
            <w:r w:rsidRPr="006B2F71">
              <w:rPr>
                <w:rFonts w:cs="Calibri"/>
                <w:color w:val="000000"/>
              </w:rPr>
              <w:t>03.06.03 - Oesophageal Stents</w:t>
            </w:r>
          </w:p>
        </w:tc>
        <w:tc>
          <w:tcPr>
            <w:tcW w:w="0" w:type="auto"/>
            <w:vAlign w:val="center"/>
          </w:tcPr>
          <w:p w14:paraId="55518DE3" w14:textId="77777777" w:rsidR="00666BED" w:rsidRPr="006B2F71" w:rsidRDefault="00666BED" w:rsidP="001166B9">
            <w:pPr>
              <w:jc w:val="center"/>
              <w:rPr>
                <w:rFonts w:cs="Calibri"/>
                <w:color w:val="000000"/>
              </w:rPr>
            </w:pPr>
            <w:r w:rsidRPr="006B2F71">
              <w:rPr>
                <w:rFonts w:cs="Calibri"/>
                <w:color w:val="000000"/>
              </w:rPr>
              <w:t>Low</w:t>
            </w:r>
          </w:p>
        </w:tc>
        <w:tc>
          <w:tcPr>
            <w:tcW w:w="0" w:type="auto"/>
            <w:vAlign w:val="center"/>
          </w:tcPr>
          <w:p w14:paraId="34BD13DC" w14:textId="77777777" w:rsidR="00666BED" w:rsidRPr="006B2F71" w:rsidRDefault="00666BED" w:rsidP="00761706">
            <w:pPr>
              <w:jc w:val="right"/>
              <w:rPr>
                <w:rFonts w:cs="Calibri"/>
                <w:color w:val="000000"/>
              </w:rPr>
            </w:pPr>
            <w:r w:rsidRPr="006B2F71">
              <w:rPr>
                <w:rFonts w:cs="Calibri"/>
                <w:color w:val="000000"/>
              </w:rPr>
              <w:t>805,385</w:t>
            </w:r>
          </w:p>
        </w:tc>
        <w:tc>
          <w:tcPr>
            <w:tcW w:w="0" w:type="auto"/>
            <w:vAlign w:val="center"/>
          </w:tcPr>
          <w:p w14:paraId="54AFA2F5" w14:textId="77777777" w:rsidR="00666BED" w:rsidRPr="006B2F71" w:rsidRDefault="00666BED" w:rsidP="001166B9">
            <w:pPr>
              <w:jc w:val="center"/>
              <w:rPr>
                <w:rFonts w:cstheme="minorHAnsi"/>
                <w:color w:val="000000"/>
              </w:rPr>
            </w:pPr>
            <w:r w:rsidRPr="006B2F71">
              <w:rPr>
                <w:rFonts w:cstheme="minorHAnsi"/>
                <w:color w:val="000000"/>
              </w:rPr>
              <w:t>N/A</w:t>
            </w:r>
          </w:p>
        </w:tc>
        <w:tc>
          <w:tcPr>
            <w:tcW w:w="0" w:type="auto"/>
            <w:vAlign w:val="center"/>
          </w:tcPr>
          <w:p w14:paraId="710B6825" w14:textId="77777777" w:rsidR="00666BED" w:rsidRPr="006B2F71" w:rsidRDefault="00666BED" w:rsidP="001166B9">
            <w:pPr>
              <w:jc w:val="center"/>
              <w:rPr>
                <w:rFonts w:cstheme="minorHAnsi"/>
                <w:color w:val="000000"/>
              </w:rPr>
            </w:pPr>
            <w:r w:rsidRPr="006B2F71">
              <w:rPr>
                <w:rFonts w:cstheme="minorHAnsi"/>
                <w:color w:val="000000"/>
              </w:rPr>
              <w:t>N/A</w:t>
            </w:r>
          </w:p>
        </w:tc>
      </w:tr>
      <w:tr w:rsidR="00666BED" w:rsidRPr="006B2F71" w14:paraId="1C057F19" w14:textId="77777777" w:rsidTr="00761706">
        <w:tc>
          <w:tcPr>
            <w:tcW w:w="0" w:type="auto"/>
          </w:tcPr>
          <w:p w14:paraId="30318A43" w14:textId="77777777" w:rsidR="00666BED" w:rsidRPr="006B2F71" w:rsidRDefault="00666BED" w:rsidP="001166B9">
            <w:r w:rsidRPr="006B2F71">
              <w:rPr>
                <w:rFonts w:cs="Calibri"/>
                <w:color w:val="000000"/>
              </w:rPr>
              <w:t>03.06.04 - Pancreatic Stents</w:t>
            </w:r>
          </w:p>
        </w:tc>
        <w:tc>
          <w:tcPr>
            <w:tcW w:w="0" w:type="auto"/>
            <w:vAlign w:val="center"/>
          </w:tcPr>
          <w:p w14:paraId="7791FBB0" w14:textId="77777777" w:rsidR="00666BED" w:rsidRPr="006B2F71" w:rsidRDefault="00666BED" w:rsidP="001166B9">
            <w:pPr>
              <w:jc w:val="center"/>
              <w:rPr>
                <w:rFonts w:cs="Calibri"/>
                <w:color w:val="000000"/>
              </w:rPr>
            </w:pPr>
            <w:r w:rsidRPr="006B2F71">
              <w:rPr>
                <w:rFonts w:cs="Calibri"/>
                <w:color w:val="000000"/>
              </w:rPr>
              <w:t>Low</w:t>
            </w:r>
          </w:p>
        </w:tc>
        <w:tc>
          <w:tcPr>
            <w:tcW w:w="0" w:type="auto"/>
            <w:vAlign w:val="center"/>
          </w:tcPr>
          <w:p w14:paraId="3671767D" w14:textId="77777777" w:rsidR="00666BED" w:rsidRPr="006B2F71" w:rsidRDefault="00666BED" w:rsidP="00761706">
            <w:pPr>
              <w:jc w:val="right"/>
              <w:rPr>
                <w:rFonts w:cs="Calibri"/>
                <w:color w:val="000000"/>
              </w:rPr>
            </w:pPr>
            <w:r w:rsidRPr="006B2F71">
              <w:rPr>
                <w:rFonts w:cs="Calibri"/>
                <w:color w:val="000000"/>
              </w:rPr>
              <w:t>246,904</w:t>
            </w:r>
          </w:p>
        </w:tc>
        <w:tc>
          <w:tcPr>
            <w:tcW w:w="0" w:type="auto"/>
            <w:vAlign w:val="center"/>
          </w:tcPr>
          <w:p w14:paraId="39DB7473" w14:textId="77777777" w:rsidR="00666BED" w:rsidRPr="006B2F71" w:rsidRDefault="00666BED" w:rsidP="001166B9">
            <w:pPr>
              <w:jc w:val="center"/>
              <w:rPr>
                <w:rFonts w:cstheme="minorHAnsi"/>
                <w:color w:val="000000"/>
              </w:rPr>
            </w:pPr>
            <w:r w:rsidRPr="006B2F71">
              <w:rPr>
                <w:rFonts w:cstheme="minorHAnsi"/>
                <w:color w:val="000000"/>
              </w:rPr>
              <w:t>N/A</w:t>
            </w:r>
          </w:p>
        </w:tc>
        <w:tc>
          <w:tcPr>
            <w:tcW w:w="0" w:type="auto"/>
            <w:vAlign w:val="center"/>
          </w:tcPr>
          <w:p w14:paraId="330F2DDB" w14:textId="77777777" w:rsidR="00666BED" w:rsidRPr="006B2F71" w:rsidRDefault="00666BED" w:rsidP="001166B9">
            <w:pPr>
              <w:jc w:val="center"/>
              <w:rPr>
                <w:rFonts w:cstheme="minorHAnsi"/>
                <w:color w:val="000000"/>
              </w:rPr>
            </w:pPr>
            <w:r w:rsidRPr="006B2F71">
              <w:rPr>
                <w:rFonts w:cstheme="minorHAnsi"/>
                <w:color w:val="000000"/>
              </w:rPr>
              <w:t>N/A</w:t>
            </w:r>
          </w:p>
        </w:tc>
      </w:tr>
      <w:tr w:rsidR="00666BED" w:rsidRPr="006B2F71" w14:paraId="0740E030" w14:textId="77777777" w:rsidTr="00761706">
        <w:tc>
          <w:tcPr>
            <w:tcW w:w="0" w:type="auto"/>
          </w:tcPr>
          <w:p w14:paraId="19E99BDB" w14:textId="77777777" w:rsidR="00666BED" w:rsidRPr="006B2F71" w:rsidRDefault="00666BED" w:rsidP="001166B9">
            <w:r w:rsidRPr="006B2F71">
              <w:rPr>
                <w:rFonts w:cs="Calibri"/>
                <w:color w:val="000000"/>
              </w:rPr>
              <w:t>03.06.05 - Enteral Stents</w:t>
            </w:r>
          </w:p>
        </w:tc>
        <w:tc>
          <w:tcPr>
            <w:tcW w:w="0" w:type="auto"/>
            <w:vAlign w:val="center"/>
          </w:tcPr>
          <w:p w14:paraId="320CD5C2" w14:textId="77777777" w:rsidR="00666BED" w:rsidRPr="006B2F71" w:rsidRDefault="00666BED" w:rsidP="001166B9">
            <w:pPr>
              <w:jc w:val="center"/>
              <w:rPr>
                <w:rFonts w:cs="Calibri"/>
                <w:color w:val="000000"/>
              </w:rPr>
            </w:pPr>
            <w:r w:rsidRPr="006B2F71">
              <w:rPr>
                <w:rFonts w:cs="Calibri"/>
                <w:color w:val="000000"/>
              </w:rPr>
              <w:t>Low</w:t>
            </w:r>
          </w:p>
        </w:tc>
        <w:tc>
          <w:tcPr>
            <w:tcW w:w="0" w:type="auto"/>
            <w:vAlign w:val="center"/>
          </w:tcPr>
          <w:p w14:paraId="31714BF8" w14:textId="77777777" w:rsidR="00666BED" w:rsidRPr="006B2F71" w:rsidRDefault="00666BED" w:rsidP="00761706">
            <w:pPr>
              <w:jc w:val="right"/>
              <w:rPr>
                <w:rFonts w:cs="Calibri"/>
                <w:color w:val="000000"/>
              </w:rPr>
            </w:pPr>
            <w:r w:rsidRPr="006B2F71">
              <w:rPr>
                <w:rFonts w:cs="Calibri"/>
                <w:color w:val="000000"/>
              </w:rPr>
              <w:t>735,665</w:t>
            </w:r>
          </w:p>
        </w:tc>
        <w:tc>
          <w:tcPr>
            <w:tcW w:w="0" w:type="auto"/>
            <w:vAlign w:val="center"/>
          </w:tcPr>
          <w:p w14:paraId="627C306C" w14:textId="77777777" w:rsidR="00666BED" w:rsidRPr="006B2F71" w:rsidRDefault="00666BED" w:rsidP="001166B9">
            <w:pPr>
              <w:jc w:val="center"/>
              <w:rPr>
                <w:rFonts w:cstheme="minorHAnsi"/>
                <w:color w:val="000000"/>
              </w:rPr>
            </w:pPr>
            <w:r w:rsidRPr="006B2F71">
              <w:rPr>
                <w:rFonts w:cstheme="minorHAnsi"/>
                <w:color w:val="000000"/>
              </w:rPr>
              <w:t>N/A</w:t>
            </w:r>
          </w:p>
        </w:tc>
        <w:tc>
          <w:tcPr>
            <w:tcW w:w="0" w:type="auto"/>
            <w:vAlign w:val="center"/>
          </w:tcPr>
          <w:p w14:paraId="515A9C70" w14:textId="77777777" w:rsidR="00666BED" w:rsidRPr="006B2F71" w:rsidRDefault="00666BED" w:rsidP="001166B9">
            <w:pPr>
              <w:jc w:val="center"/>
              <w:rPr>
                <w:rFonts w:cstheme="minorHAnsi"/>
                <w:color w:val="000000"/>
              </w:rPr>
            </w:pPr>
            <w:r w:rsidRPr="006B2F71">
              <w:rPr>
                <w:rFonts w:cstheme="minorHAnsi"/>
                <w:color w:val="000000"/>
              </w:rPr>
              <w:t>N/A</w:t>
            </w:r>
          </w:p>
        </w:tc>
      </w:tr>
      <w:tr w:rsidR="00666BED" w:rsidRPr="006B2F71" w14:paraId="7980BB6B" w14:textId="77777777" w:rsidTr="00761706">
        <w:tc>
          <w:tcPr>
            <w:tcW w:w="0" w:type="auto"/>
          </w:tcPr>
          <w:p w14:paraId="5EE550AD" w14:textId="77777777" w:rsidR="00666BED" w:rsidRPr="006B2F71" w:rsidRDefault="00666BED" w:rsidP="001166B9">
            <w:r w:rsidRPr="006B2F71">
              <w:rPr>
                <w:rFonts w:cs="Calibri"/>
                <w:color w:val="000000"/>
              </w:rPr>
              <w:t>03.06.06 - Tracheobronchial Stents</w:t>
            </w:r>
          </w:p>
        </w:tc>
        <w:tc>
          <w:tcPr>
            <w:tcW w:w="0" w:type="auto"/>
            <w:vAlign w:val="center"/>
          </w:tcPr>
          <w:p w14:paraId="1E54E261" w14:textId="77777777" w:rsidR="00666BED" w:rsidRPr="006B2F71" w:rsidRDefault="00666BED" w:rsidP="001166B9">
            <w:pPr>
              <w:jc w:val="center"/>
              <w:rPr>
                <w:rFonts w:cs="Calibri"/>
                <w:color w:val="000000"/>
              </w:rPr>
            </w:pPr>
            <w:r w:rsidRPr="006B2F71">
              <w:rPr>
                <w:rFonts w:cs="Calibri"/>
                <w:color w:val="000000"/>
              </w:rPr>
              <w:t>Low</w:t>
            </w:r>
          </w:p>
        </w:tc>
        <w:tc>
          <w:tcPr>
            <w:tcW w:w="0" w:type="auto"/>
            <w:vAlign w:val="center"/>
          </w:tcPr>
          <w:p w14:paraId="397D5B6F" w14:textId="77777777" w:rsidR="00666BED" w:rsidRPr="006B2F71" w:rsidRDefault="00666BED" w:rsidP="00761706">
            <w:pPr>
              <w:jc w:val="right"/>
              <w:rPr>
                <w:rFonts w:cs="Calibri"/>
                <w:color w:val="000000"/>
              </w:rPr>
            </w:pPr>
            <w:r w:rsidRPr="006B2F71">
              <w:rPr>
                <w:rFonts w:cs="Calibri"/>
                <w:color w:val="000000"/>
              </w:rPr>
              <w:t>113,050</w:t>
            </w:r>
          </w:p>
        </w:tc>
        <w:tc>
          <w:tcPr>
            <w:tcW w:w="0" w:type="auto"/>
            <w:vAlign w:val="center"/>
          </w:tcPr>
          <w:p w14:paraId="19299402" w14:textId="77777777" w:rsidR="00666BED" w:rsidRPr="006B2F71" w:rsidRDefault="00666BED" w:rsidP="001166B9">
            <w:pPr>
              <w:jc w:val="center"/>
              <w:rPr>
                <w:rFonts w:cstheme="minorHAnsi"/>
                <w:color w:val="000000"/>
              </w:rPr>
            </w:pPr>
            <w:r w:rsidRPr="006B2F71">
              <w:rPr>
                <w:rFonts w:cstheme="minorHAnsi"/>
                <w:color w:val="000000"/>
              </w:rPr>
              <w:t>N/A</w:t>
            </w:r>
          </w:p>
        </w:tc>
        <w:tc>
          <w:tcPr>
            <w:tcW w:w="0" w:type="auto"/>
            <w:vAlign w:val="center"/>
          </w:tcPr>
          <w:p w14:paraId="6B1FCCAB" w14:textId="77777777" w:rsidR="00666BED" w:rsidRPr="006B2F71" w:rsidRDefault="00666BED" w:rsidP="001166B9">
            <w:pPr>
              <w:jc w:val="center"/>
              <w:rPr>
                <w:rFonts w:cstheme="minorHAnsi"/>
                <w:color w:val="000000"/>
              </w:rPr>
            </w:pPr>
            <w:r w:rsidRPr="006B2F71">
              <w:rPr>
                <w:rFonts w:cstheme="minorHAnsi"/>
                <w:color w:val="000000"/>
              </w:rPr>
              <w:t>N/A</w:t>
            </w:r>
          </w:p>
        </w:tc>
      </w:tr>
      <w:tr w:rsidR="00666BED" w:rsidRPr="006B2F71" w14:paraId="323D7686" w14:textId="77777777" w:rsidTr="00761706">
        <w:tc>
          <w:tcPr>
            <w:tcW w:w="0" w:type="auto"/>
          </w:tcPr>
          <w:p w14:paraId="5AA2F766" w14:textId="77777777" w:rsidR="00666BED" w:rsidRPr="006B2F71" w:rsidRDefault="00666BED" w:rsidP="001166B9">
            <w:r w:rsidRPr="006B2F71">
              <w:rPr>
                <w:rFonts w:cs="Calibri"/>
                <w:color w:val="000000"/>
              </w:rPr>
              <w:t>03.06.07 - Nerve Repair Stents</w:t>
            </w:r>
          </w:p>
        </w:tc>
        <w:tc>
          <w:tcPr>
            <w:tcW w:w="0" w:type="auto"/>
            <w:vAlign w:val="center"/>
          </w:tcPr>
          <w:p w14:paraId="38F9E3E4" w14:textId="77777777" w:rsidR="00666BED" w:rsidRPr="006B2F71" w:rsidRDefault="00666BED" w:rsidP="001166B9">
            <w:pPr>
              <w:jc w:val="center"/>
              <w:rPr>
                <w:rFonts w:cs="Calibri"/>
                <w:color w:val="000000"/>
              </w:rPr>
            </w:pPr>
            <w:r w:rsidRPr="006B2F71">
              <w:rPr>
                <w:rFonts w:cs="Calibri"/>
                <w:color w:val="000000"/>
              </w:rPr>
              <w:t>Low</w:t>
            </w:r>
          </w:p>
        </w:tc>
        <w:tc>
          <w:tcPr>
            <w:tcW w:w="0" w:type="auto"/>
            <w:vAlign w:val="center"/>
          </w:tcPr>
          <w:p w14:paraId="65A86184" w14:textId="77777777" w:rsidR="00666BED" w:rsidRPr="006B2F71" w:rsidRDefault="00666BED" w:rsidP="00761706">
            <w:pPr>
              <w:jc w:val="right"/>
              <w:rPr>
                <w:rFonts w:cs="Calibri"/>
                <w:color w:val="000000"/>
              </w:rPr>
            </w:pPr>
            <w:r w:rsidRPr="006B2F71">
              <w:rPr>
                <w:rFonts w:cs="Calibri"/>
                <w:color w:val="000000"/>
              </w:rPr>
              <w:t>151,125</w:t>
            </w:r>
          </w:p>
        </w:tc>
        <w:tc>
          <w:tcPr>
            <w:tcW w:w="0" w:type="auto"/>
            <w:vAlign w:val="center"/>
          </w:tcPr>
          <w:p w14:paraId="07B1EDEE" w14:textId="77777777" w:rsidR="00666BED" w:rsidRPr="006B2F71" w:rsidRDefault="00666BED" w:rsidP="001166B9">
            <w:pPr>
              <w:jc w:val="center"/>
              <w:rPr>
                <w:rFonts w:cstheme="minorHAnsi"/>
                <w:color w:val="000000"/>
              </w:rPr>
            </w:pPr>
            <w:r w:rsidRPr="006B2F71">
              <w:rPr>
                <w:rFonts w:cstheme="minorHAnsi"/>
                <w:color w:val="000000"/>
              </w:rPr>
              <w:t>N/A</w:t>
            </w:r>
          </w:p>
        </w:tc>
        <w:tc>
          <w:tcPr>
            <w:tcW w:w="0" w:type="auto"/>
            <w:vAlign w:val="center"/>
          </w:tcPr>
          <w:p w14:paraId="5001894B" w14:textId="77777777" w:rsidR="00666BED" w:rsidRPr="006B2F71" w:rsidRDefault="00666BED" w:rsidP="001166B9">
            <w:pPr>
              <w:jc w:val="center"/>
              <w:rPr>
                <w:rFonts w:cstheme="minorHAnsi"/>
                <w:color w:val="000000"/>
              </w:rPr>
            </w:pPr>
            <w:r w:rsidRPr="006B2F71">
              <w:rPr>
                <w:rFonts w:cstheme="minorHAnsi"/>
                <w:color w:val="000000"/>
              </w:rPr>
              <w:t>N/A</w:t>
            </w:r>
          </w:p>
        </w:tc>
      </w:tr>
      <w:tr w:rsidR="00666BED" w:rsidRPr="006B2F71" w14:paraId="2F1EAF58" w14:textId="77777777" w:rsidTr="00761706">
        <w:tc>
          <w:tcPr>
            <w:tcW w:w="0" w:type="auto"/>
          </w:tcPr>
          <w:p w14:paraId="7AF8CFF6" w14:textId="77777777" w:rsidR="00666BED" w:rsidRPr="006B2F71" w:rsidRDefault="00666BED" w:rsidP="001166B9">
            <w:r w:rsidRPr="006B2F71">
              <w:rPr>
                <w:rFonts w:cs="Calibri"/>
                <w:color w:val="000000"/>
              </w:rPr>
              <w:t>03.07.01 - Drainage Catheters</w:t>
            </w:r>
          </w:p>
        </w:tc>
        <w:tc>
          <w:tcPr>
            <w:tcW w:w="0" w:type="auto"/>
            <w:vAlign w:val="center"/>
          </w:tcPr>
          <w:p w14:paraId="364F160A" w14:textId="77777777" w:rsidR="00666BED" w:rsidRPr="006B2F71" w:rsidRDefault="00666BED" w:rsidP="001166B9">
            <w:pPr>
              <w:jc w:val="center"/>
              <w:rPr>
                <w:rFonts w:cs="Calibri"/>
                <w:color w:val="000000"/>
              </w:rPr>
            </w:pPr>
            <w:r w:rsidRPr="006B2F71">
              <w:rPr>
                <w:rFonts w:cs="Calibri"/>
                <w:color w:val="000000"/>
              </w:rPr>
              <w:t>Low</w:t>
            </w:r>
          </w:p>
        </w:tc>
        <w:tc>
          <w:tcPr>
            <w:tcW w:w="0" w:type="auto"/>
            <w:vAlign w:val="center"/>
          </w:tcPr>
          <w:p w14:paraId="130D5946" w14:textId="77777777" w:rsidR="00666BED" w:rsidRPr="006B2F71" w:rsidRDefault="00666BED" w:rsidP="00761706">
            <w:pPr>
              <w:jc w:val="right"/>
              <w:rPr>
                <w:rFonts w:cs="Calibri"/>
                <w:color w:val="000000"/>
              </w:rPr>
            </w:pPr>
            <w:r w:rsidRPr="006B2F71">
              <w:rPr>
                <w:rFonts w:cs="Calibri"/>
                <w:color w:val="000000"/>
              </w:rPr>
              <w:t>615,878</w:t>
            </w:r>
          </w:p>
        </w:tc>
        <w:tc>
          <w:tcPr>
            <w:tcW w:w="0" w:type="auto"/>
            <w:vAlign w:val="center"/>
          </w:tcPr>
          <w:p w14:paraId="02268B87" w14:textId="77777777" w:rsidR="00666BED" w:rsidRPr="006B2F71" w:rsidRDefault="00666BED" w:rsidP="001166B9">
            <w:pPr>
              <w:jc w:val="center"/>
              <w:rPr>
                <w:rFonts w:cstheme="minorHAnsi"/>
                <w:color w:val="000000"/>
              </w:rPr>
            </w:pPr>
            <w:r w:rsidRPr="006B2F71">
              <w:rPr>
                <w:rFonts w:cstheme="minorHAnsi"/>
                <w:color w:val="000000"/>
              </w:rPr>
              <w:t>N/A</w:t>
            </w:r>
          </w:p>
        </w:tc>
        <w:tc>
          <w:tcPr>
            <w:tcW w:w="0" w:type="auto"/>
            <w:vAlign w:val="center"/>
          </w:tcPr>
          <w:p w14:paraId="1BC37D42" w14:textId="77777777" w:rsidR="00666BED" w:rsidRPr="006B2F71" w:rsidRDefault="00666BED" w:rsidP="001166B9">
            <w:pPr>
              <w:jc w:val="center"/>
              <w:rPr>
                <w:rFonts w:cstheme="minorHAnsi"/>
                <w:color w:val="000000"/>
              </w:rPr>
            </w:pPr>
            <w:r w:rsidRPr="006B2F71">
              <w:rPr>
                <w:rFonts w:cstheme="minorHAnsi"/>
                <w:color w:val="000000"/>
              </w:rPr>
              <w:t>N/A</w:t>
            </w:r>
          </w:p>
        </w:tc>
      </w:tr>
      <w:tr w:rsidR="00666BED" w:rsidRPr="006B2F71" w14:paraId="2925C1B8" w14:textId="77777777" w:rsidTr="00761706">
        <w:tc>
          <w:tcPr>
            <w:tcW w:w="0" w:type="auto"/>
          </w:tcPr>
          <w:p w14:paraId="47398A13" w14:textId="77777777" w:rsidR="00666BED" w:rsidRPr="006B2F71" w:rsidRDefault="00666BED" w:rsidP="001166B9">
            <w:r w:rsidRPr="006B2F71">
              <w:rPr>
                <w:rFonts w:cs="Calibri"/>
                <w:color w:val="000000"/>
              </w:rPr>
              <w:t>03.07.02 - Endobronchial Valve</w:t>
            </w:r>
          </w:p>
        </w:tc>
        <w:tc>
          <w:tcPr>
            <w:tcW w:w="0" w:type="auto"/>
            <w:vAlign w:val="center"/>
          </w:tcPr>
          <w:p w14:paraId="0572E335" w14:textId="77777777" w:rsidR="00666BED" w:rsidRPr="006B2F71" w:rsidRDefault="00666BED" w:rsidP="001166B9">
            <w:pPr>
              <w:jc w:val="center"/>
              <w:rPr>
                <w:rFonts w:cs="Calibri"/>
                <w:color w:val="000000"/>
              </w:rPr>
            </w:pPr>
            <w:r w:rsidRPr="006B2F71">
              <w:rPr>
                <w:rFonts w:cs="Calibri"/>
                <w:color w:val="000000"/>
              </w:rPr>
              <w:t>Low</w:t>
            </w:r>
          </w:p>
        </w:tc>
        <w:tc>
          <w:tcPr>
            <w:tcW w:w="0" w:type="auto"/>
            <w:vAlign w:val="center"/>
          </w:tcPr>
          <w:p w14:paraId="238315BD" w14:textId="77777777" w:rsidR="00666BED" w:rsidRPr="006B2F71" w:rsidRDefault="00666BED" w:rsidP="00761706">
            <w:pPr>
              <w:jc w:val="right"/>
              <w:rPr>
                <w:rFonts w:cs="Calibri"/>
                <w:color w:val="000000"/>
              </w:rPr>
            </w:pPr>
            <w:r w:rsidRPr="006B2F71">
              <w:rPr>
                <w:rFonts w:cs="Calibri"/>
                <w:color w:val="000000"/>
              </w:rPr>
              <w:t>1,300,194</w:t>
            </w:r>
          </w:p>
        </w:tc>
        <w:tc>
          <w:tcPr>
            <w:tcW w:w="0" w:type="auto"/>
            <w:vAlign w:val="center"/>
          </w:tcPr>
          <w:p w14:paraId="76E5B0F3" w14:textId="77777777" w:rsidR="00666BED" w:rsidRPr="006B2F71" w:rsidRDefault="00666BED" w:rsidP="001166B9">
            <w:pPr>
              <w:jc w:val="center"/>
              <w:rPr>
                <w:rFonts w:cstheme="minorHAnsi"/>
                <w:color w:val="000000"/>
              </w:rPr>
            </w:pPr>
            <w:r w:rsidRPr="006B2F71">
              <w:rPr>
                <w:rFonts w:cstheme="minorHAnsi"/>
                <w:color w:val="000000"/>
              </w:rPr>
              <w:t>N/A</w:t>
            </w:r>
          </w:p>
        </w:tc>
        <w:tc>
          <w:tcPr>
            <w:tcW w:w="0" w:type="auto"/>
            <w:vAlign w:val="center"/>
          </w:tcPr>
          <w:p w14:paraId="64C24A71" w14:textId="77777777" w:rsidR="00666BED" w:rsidRPr="006B2F71" w:rsidRDefault="00666BED" w:rsidP="001166B9">
            <w:pPr>
              <w:jc w:val="center"/>
              <w:rPr>
                <w:rFonts w:cstheme="minorHAnsi"/>
                <w:color w:val="000000"/>
              </w:rPr>
            </w:pPr>
            <w:r w:rsidRPr="006B2F71">
              <w:rPr>
                <w:rFonts w:cstheme="minorHAnsi"/>
                <w:color w:val="000000"/>
              </w:rPr>
              <w:t>N/A</w:t>
            </w:r>
          </w:p>
        </w:tc>
      </w:tr>
      <w:tr w:rsidR="00666BED" w:rsidRPr="006B2F71" w14:paraId="07E682CC" w14:textId="77777777" w:rsidTr="00761706">
        <w:tc>
          <w:tcPr>
            <w:tcW w:w="0" w:type="auto"/>
          </w:tcPr>
          <w:p w14:paraId="28857681" w14:textId="77777777" w:rsidR="00666BED" w:rsidRPr="006B2F71" w:rsidRDefault="00666BED" w:rsidP="001166B9">
            <w:r w:rsidRPr="006B2F71">
              <w:rPr>
                <w:rFonts w:cs="Calibri"/>
                <w:color w:val="000000"/>
              </w:rPr>
              <w:t>03.07.03 - Drainage Shunts, Peritineovenous</w:t>
            </w:r>
          </w:p>
        </w:tc>
        <w:tc>
          <w:tcPr>
            <w:tcW w:w="0" w:type="auto"/>
            <w:vAlign w:val="center"/>
          </w:tcPr>
          <w:p w14:paraId="231FF15B" w14:textId="77777777" w:rsidR="00666BED" w:rsidRPr="006B2F71" w:rsidRDefault="00666BED" w:rsidP="001166B9">
            <w:pPr>
              <w:jc w:val="center"/>
              <w:rPr>
                <w:rFonts w:cs="Calibri"/>
                <w:color w:val="000000"/>
              </w:rPr>
            </w:pPr>
            <w:r w:rsidRPr="006B2F71">
              <w:rPr>
                <w:rFonts w:cs="Calibri"/>
                <w:color w:val="000000"/>
              </w:rPr>
              <w:t>Low</w:t>
            </w:r>
          </w:p>
        </w:tc>
        <w:tc>
          <w:tcPr>
            <w:tcW w:w="0" w:type="auto"/>
            <w:vAlign w:val="center"/>
          </w:tcPr>
          <w:p w14:paraId="1B7AF645" w14:textId="77777777" w:rsidR="00666BED" w:rsidRPr="006B2F71" w:rsidRDefault="00666BED" w:rsidP="00761706">
            <w:pPr>
              <w:jc w:val="right"/>
              <w:rPr>
                <w:rFonts w:cs="Calibri"/>
                <w:color w:val="000000"/>
              </w:rPr>
            </w:pPr>
            <w:r w:rsidRPr="006B2F71">
              <w:rPr>
                <w:rFonts w:cs="Calibri"/>
                <w:color w:val="000000"/>
              </w:rPr>
              <w:t>6,270</w:t>
            </w:r>
          </w:p>
        </w:tc>
        <w:tc>
          <w:tcPr>
            <w:tcW w:w="0" w:type="auto"/>
            <w:vAlign w:val="center"/>
          </w:tcPr>
          <w:p w14:paraId="5746701C" w14:textId="77777777" w:rsidR="00666BED" w:rsidRPr="006B2F71" w:rsidRDefault="00666BED" w:rsidP="001166B9">
            <w:pPr>
              <w:jc w:val="center"/>
              <w:rPr>
                <w:rFonts w:cstheme="minorHAnsi"/>
                <w:color w:val="000000"/>
              </w:rPr>
            </w:pPr>
            <w:r w:rsidRPr="006B2F71">
              <w:rPr>
                <w:rFonts w:cstheme="minorHAnsi"/>
                <w:color w:val="000000"/>
              </w:rPr>
              <w:t>N/A</w:t>
            </w:r>
          </w:p>
        </w:tc>
        <w:tc>
          <w:tcPr>
            <w:tcW w:w="0" w:type="auto"/>
            <w:vAlign w:val="center"/>
          </w:tcPr>
          <w:p w14:paraId="4447C11B" w14:textId="77777777" w:rsidR="00666BED" w:rsidRPr="006B2F71" w:rsidRDefault="00666BED" w:rsidP="001166B9">
            <w:pPr>
              <w:jc w:val="center"/>
              <w:rPr>
                <w:rFonts w:cstheme="minorHAnsi"/>
                <w:color w:val="000000"/>
              </w:rPr>
            </w:pPr>
            <w:r w:rsidRPr="006B2F71">
              <w:rPr>
                <w:rFonts w:cstheme="minorHAnsi"/>
                <w:color w:val="000000"/>
              </w:rPr>
              <w:t>N/A</w:t>
            </w:r>
          </w:p>
        </w:tc>
      </w:tr>
      <w:tr w:rsidR="00666BED" w:rsidRPr="006B2F71" w14:paraId="648A3A77" w14:textId="77777777" w:rsidTr="00761706">
        <w:tc>
          <w:tcPr>
            <w:tcW w:w="0" w:type="auto"/>
            <w:shd w:val="clear" w:color="auto" w:fill="D2D2DA" w:themeFill="text1" w:themeFillTint="33"/>
          </w:tcPr>
          <w:p w14:paraId="31348D73" w14:textId="77777777" w:rsidR="00666BED" w:rsidRPr="006B2F71" w:rsidRDefault="00666BED" w:rsidP="001166B9">
            <w:r w:rsidRPr="006B2F71">
              <w:rPr>
                <w:rFonts w:cs="Calibri"/>
                <w:color w:val="000000"/>
              </w:rPr>
              <w:t>03.08.01 - Adhesion Barriers</w:t>
            </w:r>
          </w:p>
        </w:tc>
        <w:tc>
          <w:tcPr>
            <w:tcW w:w="0" w:type="auto"/>
            <w:shd w:val="clear" w:color="auto" w:fill="D2D2DA" w:themeFill="text1" w:themeFillTint="33"/>
            <w:vAlign w:val="center"/>
          </w:tcPr>
          <w:p w14:paraId="4823373D" w14:textId="77777777" w:rsidR="00666BED" w:rsidRPr="006B2F71" w:rsidRDefault="00666BED" w:rsidP="001166B9">
            <w:pPr>
              <w:jc w:val="center"/>
              <w:rPr>
                <w:rFonts w:cs="Calibri"/>
                <w:color w:val="000000"/>
              </w:rPr>
            </w:pPr>
            <w:r w:rsidRPr="006B2F71">
              <w:rPr>
                <w:rFonts w:cs="Calibri"/>
                <w:color w:val="000000"/>
              </w:rPr>
              <w:t>High</w:t>
            </w:r>
          </w:p>
        </w:tc>
        <w:tc>
          <w:tcPr>
            <w:tcW w:w="0" w:type="auto"/>
            <w:shd w:val="clear" w:color="auto" w:fill="D2D2DA" w:themeFill="text1" w:themeFillTint="33"/>
            <w:vAlign w:val="center"/>
          </w:tcPr>
          <w:p w14:paraId="0A0AFD6C" w14:textId="77777777" w:rsidR="00666BED" w:rsidRPr="006B2F71" w:rsidRDefault="00666BED" w:rsidP="00761706">
            <w:pPr>
              <w:jc w:val="right"/>
              <w:rPr>
                <w:rFonts w:cs="Calibri"/>
                <w:color w:val="000000"/>
              </w:rPr>
            </w:pPr>
            <w:r w:rsidRPr="006B2F71">
              <w:rPr>
                <w:rFonts w:cs="Calibri"/>
                <w:color w:val="000000"/>
              </w:rPr>
              <w:t>4,576,998</w:t>
            </w:r>
          </w:p>
        </w:tc>
        <w:tc>
          <w:tcPr>
            <w:tcW w:w="0" w:type="auto"/>
            <w:shd w:val="clear" w:color="auto" w:fill="D2D2DA" w:themeFill="text1" w:themeFillTint="33"/>
          </w:tcPr>
          <w:p w14:paraId="62A8DF0A" w14:textId="77777777" w:rsidR="00666BED" w:rsidRPr="006B2F71" w:rsidRDefault="00666BED" w:rsidP="001166B9">
            <w:pPr>
              <w:jc w:val="center"/>
              <w:rPr>
                <w:rFonts w:cs="Segoe UI Symbol"/>
                <w:color w:val="000000"/>
              </w:rPr>
            </w:pPr>
            <w:r w:rsidRPr="00587435">
              <w:rPr>
                <w:rFonts w:ascii="Segoe UI Symbol" w:hAnsi="Segoe UI Symbol"/>
              </w:rPr>
              <w:t>✓</w:t>
            </w:r>
          </w:p>
        </w:tc>
        <w:tc>
          <w:tcPr>
            <w:tcW w:w="0" w:type="auto"/>
            <w:shd w:val="clear" w:color="auto" w:fill="D2D2DA" w:themeFill="text1" w:themeFillTint="33"/>
            <w:vAlign w:val="center"/>
          </w:tcPr>
          <w:p w14:paraId="0381756D" w14:textId="77777777" w:rsidR="00666BED" w:rsidRPr="006B2F71" w:rsidRDefault="00666BED" w:rsidP="001166B9">
            <w:pPr>
              <w:jc w:val="center"/>
              <w:rPr>
                <w:rFonts w:cs="Segoe UI Symbol"/>
                <w:color w:val="000000"/>
              </w:rPr>
            </w:pPr>
            <w:r w:rsidRPr="006B2F71">
              <w:rPr>
                <w:rFonts w:cs="Segoe UI Symbol"/>
                <w:color w:val="000000"/>
              </w:rPr>
              <w:t>~</w:t>
            </w:r>
          </w:p>
        </w:tc>
      </w:tr>
      <w:tr w:rsidR="00666BED" w:rsidRPr="006B2F71" w14:paraId="1D0C4E12" w14:textId="77777777" w:rsidTr="00761706">
        <w:tc>
          <w:tcPr>
            <w:tcW w:w="0" w:type="auto"/>
            <w:shd w:val="clear" w:color="auto" w:fill="D2D2DA" w:themeFill="text1" w:themeFillTint="33"/>
          </w:tcPr>
          <w:p w14:paraId="25F1E57D" w14:textId="77777777" w:rsidR="00666BED" w:rsidRPr="006B2F71" w:rsidRDefault="00666BED" w:rsidP="001166B9">
            <w:r w:rsidRPr="006B2F71">
              <w:rPr>
                <w:rFonts w:cs="Calibri"/>
                <w:color w:val="000000"/>
              </w:rPr>
              <w:t>03.08.02 - Internal Adhesives</w:t>
            </w:r>
          </w:p>
        </w:tc>
        <w:tc>
          <w:tcPr>
            <w:tcW w:w="0" w:type="auto"/>
            <w:shd w:val="clear" w:color="auto" w:fill="D2D2DA" w:themeFill="text1" w:themeFillTint="33"/>
            <w:vAlign w:val="center"/>
          </w:tcPr>
          <w:p w14:paraId="4BFDA25C" w14:textId="77777777" w:rsidR="00666BED" w:rsidRPr="006B2F71" w:rsidRDefault="00666BED" w:rsidP="001166B9">
            <w:pPr>
              <w:jc w:val="center"/>
              <w:rPr>
                <w:rFonts w:cs="Calibri"/>
                <w:color w:val="000000"/>
              </w:rPr>
            </w:pPr>
            <w:r w:rsidRPr="006B2F71">
              <w:rPr>
                <w:rFonts w:cs="Calibri"/>
                <w:color w:val="000000"/>
              </w:rPr>
              <w:t>High</w:t>
            </w:r>
          </w:p>
        </w:tc>
        <w:tc>
          <w:tcPr>
            <w:tcW w:w="0" w:type="auto"/>
            <w:shd w:val="clear" w:color="auto" w:fill="D2D2DA" w:themeFill="text1" w:themeFillTint="33"/>
            <w:vAlign w:val="center"/>
          </w:tcPr>
          <w:p w14:paraId="5C4A74DE" w14:textId="77777777" w:rsidR="00666BED" w:rsidRPr="006B2F71" w:rsidRDefault="00666BED" w:rsidP="00761706">
            <w:pPr>
              <w:jc w:val="right"/>
              <w:rPr>
                <w:rFonts w:cs="Calibri"/>
                <w:color w:val="000000"/>
              </w:rPr>
            </w:pPr>
            <w:r w:rsidRPr="006B2F71">
              <w:rPr>
                <w:rFonts w:cs="Calibri"/>
                <w:color w:val="000000"/>
              </w:rPr>
              <w:t>42,980,168</w:t>
            </w:r>
          </w:p>
        </w:tc>
        <w:tc>
          <w:tcPr>
            <w:tcW w:w="0" w:type="auto"/>
            <w:shd w:val="clear" w:color="auto" w:fill="D2D2DA" w:themeFill="text1" w:themeFillTint="33"/>
          </w:tcPr>
          <w:p w14:paraId="2F72537F" w14:textId="77777777" w:rsidR="00666BED" w:rsidRPr="006B2F71" w:rsidRDefault="00666BED" w:rsidP="001166B9">
            <w:pPr>
              <w:jc w:val="center"/>
              <w:rPr>
                <w:rFonts w:cs="Segoe UI Symbol"/>
                <w:color w:val="000000"/>
              </w:rPr>
            </w:pPr>
            <w:r w:rsidRPr="00587435">
              <w:rPr>
                <w:rFonts w:ascii="Segoe UI Symbol" w:hAnsi="Segoe UI Symbol"/>
              </w:rPr>
              <w:t>✓</w:t>
            </w:r>
          </w:p>
        </w:tc>
        <w:tc>
          <w:tcPr>
            <w:tcW w:w="0" w:type="auto"/>
            <w:shd w:val="clear" w:color="auto" w:fill="D2D2DA" w:themeFill="text1" w:themeFillTint="33"/>
            <w:vAlign w:val="center"/>
          </w:tcPr>
          <w:p w14:paraId="4FFA09B9" w14:textId="77777777" w:rsidR="00666BED" w:rsidRPr="006B2F71" w:rsidRDefault="00666BED" w:rsidP="001166B9">
            <w:pPr>
              <w:jc w:val="center"/>
              <w:rPr>
                <w:rFonts w:cs="Segoe UI Symbol"/>
                <w:color w:val="000000"/>
              </w:rPr>
            </w:pPr>
            <w:r w:rsidRPr="006B2F71">
              <w:rPr>
                <w:rFonts w:ascii="Segoe UI Symbol" w:hAnsi="Segoe UI Symbol" w:cs="Segoe UI Symbol"/>
                <w:color w:val="000000"/>
              </w:rPr>
              <w:t>✓</w:t>
            </w:r>
          </w:p>
        </w:tc>
      </w:tr>
      <w:tr w:rsidR="00666BED" w:rsidRPr="006B2F71" w14:paraId="65FDFB04" w14:textId="77777777" w:rsidTr="00761706">
        <w:tc>
          <w:tcPr>
            <w:tcW w:w="0" w:type="auto"/>
            <w:shd w:val="clear" w:color="auto" w:fill="D2D2DA" w:themeFill="text1" w:themeFillTint="33"/>
          </w:tcPr>
          <w:p w14:paraId="7C1BDA82" w14:textId="77777777" w:rsidR="00666BED" w:rsidRPr="006B2F71" w:rsidRDefault="00666BED" w:rsidP="001166B9">
            <w:r w:rsidRPr="006B2F71">
              <w:rPr>
                <w:rFonts w:cs="Calibri"/>
                <w:color w:val="000000"/>
              </w:rPr>
              <w:t>03.08.03 - Ligating Devices</w:t>
            </w:r>
          </w:p>
        </w:tc>
        <w:tc>
          <w:tcPr>
            <w:tcW w:w="0" w:type="auto"/>
            <w:shd w:val="clear" w:color="auto" w:fill="D2D2DA" w:themeFill="text1" w:themeFillTint="33"/>
            <w:vAlign w:val="center"/>
          </w:tcPr>
          <w:p w14:paraId="539AA27D" w14:textId="77777777" w:rsidR="00666BED" w:rsidRPr="006B2F71" w:rsidRDefault="00666BED" w:rsidP="001166B9">
            <w:pPr>
              <w:jc w:val="center"/>
              <w:rPr>
                <w:rFonts w:cs="Calibri"/>
                <w:color w:val="000000"/>
              </w:rPr>
            </w:pPr>
            <w:r w:rsidRPr="006B2F71">
              <w:rPr>
                <w:rFonts w:cs="Calibri"/>
                <w:color w:val="000000"/>
              </w:rPr>
              <w:t>High</w:t>
            </w:r>
          </w:p>
        </w:tc>
        <w:tc>
          <w:tcPr>
            <w:tcW w:w="0" w:type="auto"/>
            <w:shd w:val="clear" w:color="auto" w:fill="D2D2DA" w:themeFill="text1" w:themeFillTint="33"/>
            <w:vAlign w:val="center"/>
          </w:tcPr>
          <w:p w14:paraId="6E587996" w14:textId="77777777" w:rsidR="00666BED" w:rsidRPr="006B2F71" w:rsidRDefault="00666BED" w:rsidP="00761706">
            <w:pPr>
              <w:jc w:val="right"/>
              <w:rPr>
                <w:rFonts w:cs="Calibri"/>
                <w:color w:val="000000"/>
              </w:rPr>
            </w:pPr>
            <w:r w:rsidRPr="006B2F71">
              <w:rPr>
                <w:rFonts w:cs="Calibri"/>
                <w:color w:val="000000"/>
              </w:rPr>
              <w:t>27,309,106</w:t>
            </w:r>
          </w:p>
        </w:tc>
        <w:tc>
          <w:tcPr>
            <w:tcW w:w="0" w:type="auto"/>
            <w:shd w:val="clear" w:color="auto" w:fill="D2D2DA" w:themeFill="text1" w:themeFillTint="33"/>
          </w:tcPr>
          <w:p w14:paraId="533D6A13" w14:textId="77777777" w:rsidR="00666BED" w:rsidRPr="006B2F71" w:rsidRDefault="00666BED" w:rsidP="001166B9">
            <w:pPr>
              <w:jc w:val="center"/>
              <w:rPr>
                <w:rFonts w:cs="Segoe UI Symbol"/>
                <w:color w:val="000000"/>
              </w:rPr>
            </w:pPr>
            <w:r w:rsidRPr="00587435">
              <w:rPr>
                <w:rFonts w:ascii="Segoe UI Symbol" w:hAnsi="Segoe UI Symbol"/>
              </w:rPr>
              <w:t>✓</w:t>
            </w:r>
          </w:p>
        </w:tc>
        <w:tc>
          <w:tcPr>
            <w:tcW w:w="0" w:type="auto"/>
            <w:shd w:val="clear" w:color="auto" w:fill="D2D2DA" w:themeFill="text1" w:themeFillTint="33"/>
            <w:vAlign w:val="center"/>
          </w:tcPr>
          <w:p w14:paraId="761B3B08" w14:textId="77777777" w:rsidR="00666BED" w:rsidRPr="006B2F71" w:rsidRDefault="00666BED" w:rsidP="001166B9">
            <w:pPr>
              <w:jc w:val="center"/>
              <w:rPr>
                <w:rFonts w:cs="Segoe UI Symbol"/>
                <w:color w:val="000000"/>
              </w:rPr>
            </w:pPr>
            <w:r w:rsidRPr="006B2F71">
              <w:rPr>
                <w:rFonts w:cs="Segoe UI Symbol"/>
                <w:color w:val="000000"/>
              </w:rPr>
              <w:t>~</w:t>
            </w:r>
          </w:p>
        </w:tc>
      </w:tr>
      <w:tr w:rsidR="00666BED" w:rsidRPr="006B2F71" w14:paraId="7BA0574D" w14:textId="77777777" w:rsidTr="00761706">
        <w:tc>
          <w:tcPr>
            <w:tcW w:w="0" w:type="auto"/>
            <w:shd w:val="clear" w:color="auto" w:fill="D2D2DA" w:themeFill="text1" w:themeFillTint="33"/>
          </w:tcPr>
          <w:p w14:paraId="5B93C415" w14:textId="77777777" w:rsidR="00666BED" w:rsidRPr="006B2F71" w:rsidRDefault="00666BED" w:rsidP="001166B9">
            <w:r w:rsidRPr="006B2F71">
              <w:rPr>
                <w:rFonts w:cs="Calibri"/>
                <w:color w:val="000000"/>
              </w:rPr>
              <w:t>03.08.04 - Staples &amp; Tackers</w:t>
            </w:r>
          </w:p>
        </w:tc>
        <w:tc>
          <w:tcPr>
            <w:tcW w:w="0" w:type="auto"/>
            <w:shd w:val="clear" w:color="auto" w:fill="D2D2DA" w:themeFill="text1" w:themeFillTint="33"/>
            <w:vAlign w:val="center"/>
          </w:tcPr>
          <w:p w14:paraId="4ED64E97" w14:textId="77777777" w:rsidR="00666BED" w:rsidRPr="006B2F71" w:rsidRDefault="00666BED" w:rsidP="001166B9">
            <w:pPr>
              <w:jc w:val="center"/>
              <w:rPr>
                <w:rFonts w:cs="Calibri"/>
                <w:color w:val="000000"/>
              </w:rPr>
            </w:pPr>
            <w:r w:rsidRPr="006B2F71">
              <w:rPr>
                <w:rFonts w:cs="Calibri"/>
                <w:color w:val="000000"/>
              </w:rPr>
              <w:t>High</w:t>
            </w:r>
          </w:p>
        </w:tc>
        <w:tc>
          <w:tcPr>
            <w:tcW w:w="0" w:type="auto"/>
            <w:shd w:val="clear" w:color="auto" w:fill="D2D2DA" w:themeFill="text1" w:themeFillTint="33"/>
            <w:vAlign w:val="center"/>
          </w:tcPr>
          <w:p w14:paraId="0E91E574" w14:textId="77777777" w:rsidR="00666BED" w:rsidRPr="006B2F71" w:rsidRDefault="00666BED" w:rsidP="00761706">
            <w:pPr>
              <w:jc w:val="right"/>
              <w:rPr>
                <w:rFonts w:cs="Calibri"/>
                <w:color w:val="000000"/>
              </w:rPr>
            </w:pPr>
            <w:r w:rsidRPr="006B2F71">
              <w:rPr>
                <w:rFonts w:cs="Calibri"/>
                <w:color w:val="000000"/>
              </w:rPr>
              <w:t>95,918,339</w:t>
            </w:r>
          </w:p>
        </w:tc>
        <w:tc>
          <w:tcPr>
            <w:tcW w:w="0" w:type="auto"/>
            <w:shd w:val="clear" w:color="auto" w:fill="D2D2DA" w:themeFill="text1" w:themeFillTint="33"/>
          </w:tcPr>
          <w:p w14:paraId="0E1C4A84" w14:textId="77777777" w:rsidR="00666BED" w:rsidRPr="006B2F71" w:rsidRDefault="00666BED" w:rsidP="001166B9">
            <w:pPr>
              <w:jc w:val="center"/>
              <w:rPr>
                <w:rFonts w:cs="Segoe UI Symbol"/>
                <w:color w:val="000000"/>
              </w:rPr>
            </w:pPr>
            <w:r w:rsidRPr="006D7712">
              <w:rPr>
                <w:rFonts w:ascii="Segoe UI Symbol" w:hAnsi="Segoe UI Symbol"/>
              </w:rPr>
              <w:t>✓</w:t>
            </w:r>
          </w:p>
        </w:tc>
        <w:tc>
          <w:tcPr>
            <w:tcW w:w="0" w:type="auto"/>
            <w:shd w:val="clear" w:color="auto" w:fill="D2D2DA" w:themeFill="text1" w:themeFillTint="33"/>
          </w:tcPr>
          <w:p w14:paraId="6E636658" w14:textId="77777777" w:rsidR="00666BED" w:rsidRPr="006B2F71" w:rsidRDefault="00666BED" w:rsidP="001166B9">
            <w:pPr>
              <w:jc w:val="center"/>
              <w:rPr>
                <w:rFonts w:cs="Segoe UI Symbol"/>
                <w:color w:val="000000"/>
              </w:rPr>
            </w:pPr>
            <w:r w:rsidRPr="006D7712">
              <w:rPr>
                <w:rFonts w:ascii="Segoe UI Symbol" w:hAnsi="Segoe UI Symbol"/>
              </w:rPr>
              <w:t>✓</w:t>
            </w:r>
          </w:p>
        </w:tc>
      </w:tr>
      <w:tr w:rsidR="00666BED" w:rsidRPr="006B2F71" w14:paraId="620CFFF1" w14:textId="77777777" w:rsidTr="00761706">
        <w:tc>
          <w:tcPr>
            <w:tcW w:w="0" w:type="auto"/>
          </w:tcPr>
          <w:p w14:paraId="514226D3" w14:textId="77777777" w:rsidR="00666BED" w:rsidRPr="006B2F71" w:rsidRDefault="00666BED" w:rsidP="001166B9">
            <w:r w:rsidRPr="006B2F71">
              <w:rPr>
                <w:rFonts w:cs="Calibri"/>
                <w:color w:val="000000"/>
              </w:rPr>
              <w:t>03.08.05 - Polypropylene/Polyester Mesh</w:t>
            </w:r>
          </w:p>
        </w:tc>
        <w:tc>
          <w:tcPr>
            <w:tcW w:w="0" w:type="auto"/>
            <w:vAlign w:val="center"/>
          </w:tcPr>
          <w:p w14:paraId="71D83E3F" w14:textId="77777777" w:rsidR="00666BED" w:rsidRPr="006B2F71" w:rsidRDefault="00666BED" w:rsidP="001166B9">
            <w:pPr>
              <w:jc w:val="center"/>
              <w:rPr>
                <w:rFonts w:cs="Calibri"/>
                <w:color w:val="000000"/>
              </w:rPr>
            </w:pPr>
            <w:r w:rsidRPr="006B2F71">
              <w:rPr>
                <w:rFonts w:cs="Calibri"/>
                <w:color w:val="000000"/>
              </w:rPr>
              <w:t>High</w:t>
            </w:r>
          </w:p>
        </w:tc>
        <w:tc>
          <w:tcPr>
            <w:tcW w:w="0" w:type="auto"/>
            <w:vAlign w:val="center"/>
          </w:tcPr>
          <w:p w14:paraId="0FD8EFAD" w14:textId="77777777" w:rsidR="00666BED" w:rsidRPr="006B2F71" w:rsidRDefault="00666BED" w:rsidP="00761706">
            <w:pPr>
              <w:jc w:val="right"/>
              <w:rPr>
                <w:rFonts w:cs="Calibri"/>
                <w:color w:val="000000"/>
              </w:rPr>
            </w:pPr>
            <w:r w:rsidRPr="006B2F71">
              <w:rPr>
                <w:rFonts w:cs="Calibri"/>
                <w:color w:val="000000"/>
              </w:rPr>
              <w:t>3,652,428</w:t>
            </w:r>
          </w:p>
        </w:tc>
        <w:tc>
          <w:tcPr>
            <w:tcW w:w="0" w:type="auto"/>
            <w:vAlign w:val="center"/>
          </w:tcPr>
          <w:p w14:paraId="106F6BD5" w14:textId="77777777" w:rsidR="00666BED" w:rsidRPr="006B2F71" w:rsidRDefault="00666BED" w:rsidP="001166B9">
            <w:pPr>
              <w:jc w:val="center"/>
              <w:rPr>
                <w:rFonts w:cs="Segoe UI Symbol"/>
                <w:color w:val="000000"/>
              </w:rPr>
            </w:pPr>
            <w:r w:rsidRPr="006B2F71">
              <w:rPr>
                <w:rFonts w:ascii="Segoe UI Symbol" w:hAnsi="Segoe UI Symbol" w:cs="Segoe UI Symbol"/>
                <w:color w:val="000000"/>
              </w:rPr>
              <w:t>✓</w:t>
            </w:r>
          </w:p>
        </w:tc>
        <w:tc>
          <w:tcPr>
            <w:tcW w:w="0" w:type="auto"/>
            <w:vAlign w:val="center"/>
          </w:tcPr>
          <w:p w14:paraId="1D8895C2" w14:textId="77777777" w:rsidR="00666BED" w:rsidRPr="006B2F71" w:rsidRDefault="00666BED" w:rsidP="001166B9">
            <w:pPr>
              <w:jc w:val="center"/>
              <w:rPr>
                <w:rFonts w:cstheme="minorHAnsi"/>
                <w:color w:val="000000"/>
                <w:sz w:val="18"/>
                <w:szCs w:val="18"/>
              </w:rPr>
            </w:pPr>
            <w:r w:rsidRPr="00F5323F">
              <w:rPr>
                <w:rFonts w:ascii="Segoe UI Symbol" w:hAnsi="Segoe UI Symbol"/>
                <w:sz w:val="28"/>
                <w:szCs w:val="28"/>
              </w:rPr>
              <w:t>🗴</w:t>
            </w:r>
            <w:r w:rsidRPr="006B2F71">
              <w:rPr>
                <w:rFonts w:cstheme="minorHAnsi"/>
                <w:color w:val="000000"/>
                <w:sz w:val="18"/>
                <w:szCs w:val="18"/>
              </w:rPr>
              <w:t xml:space="preserve"> Significant decreases</w:t>
            </w:r>
          </w:p>
        </w:tc>
      </w:tr>
      <w:tr w:rsidR="00666BED" w:rsidRPr="006B2F71" w14:paraId="630A9C6A" w14:textId="77777777" w:rsidTr="00761706">
        <w:tc>
          <w:tcPr>
            <w:tcW w:w="0" w:type="auto"/>
          </w:tcPr>
          <w:p w14:paraId="27C3B990" w14:textId="77777777" w:rsidR="00666BED" w:rsidRPr="006B2F71" w:rsidRDefault="00666BED" w:rsidP="001166B9">
            <w:r w:rsidRPr="006B2F71">
              <w:rPr>
                <w:rFonts w:cs="Calibri"/>
                <w:color w:val="000000"/>
              </w:rPr>
              <w:t>03.08.06 - Composite Mesh</w:t>
            </w:r>
          </w:p>
        </w:tc>
        <w:tc>
          <w:tcPr>
            <w:tcW w:w="0" w:type="auto"/>
            <w:vAlign w:val="center"/>
          </w:tcPr>
          <w:p w14:paraId="1AB28A34" w14:textId="77777777" w:rsidR="00666BED" w:rsidRPr="006B2F71" w:rsidRDefault="00666BED" w:rsidP="001166B9">
            <w:pPr>
              <w:jc w:val="center"/>
              <w:rPr>
                <w:rFonts w:cs="Calibri"/>
                <w:color w:val="000000"/>
              </w:rPr>
            </w:pPr>
            <w:r w:rsidRPr="006B2F71">
              <w:rPr>
                <w:rFonts w:cs="Calibri"/>
                <w:color w:val="000000"/>
              </w:rPr>
              <w:t>Low</w:t>
            </w:r>
          </w:p>
        </w:tc>
        <w:tc>
          <w:tcPr>
            <w:tcW w:w="0" w:type="auto"/>
            <w:vAlign w:val="center"/>
          </w:tcPr>
          <w:p w14:paraId="4E6CABE8" w14:textId="77777777" w:rsidR="00666BED" w:rsidRPr="006B2F71" w:rsidRDefault="00666BED" w:rsidP="00761706">
            <w:pPr>
              <w:jc w:val="right"/>
              <w:rPr>
                <w:rFonts w:cs="Calibri"/>
                <w:color w:val="000000"/>
              </w:rPr>
            </w:pPr>
            <w:r w:rsidRPr="006B2F71">
              <w:rPr>
                <w:rFonts w:cs="Calibri"/>
                <w:color w:val="000000"/>
              </w:rPr>
              <w:t>7,181,089</w:t>
            </w:r>
          </w:p>
        </w:tc>
        <w:tc>
          <w:tcPr>
            <w:tcW w:w="0" w:type="auto"/>
            <w:vAlign w:val="center"/>
          </w:tcPr>
          <w:p w14:paraId="3A0BB3E8" w14:textId="77777777" w:rsidR="00666BED" w:rsidRPr="006B2F71" w:rsidRDefault="00666BED" w:rsidP="001166B9">
            <w:pPr>
              <w:jc w:val="center"/>
              <w:rPr>
                <w:rFonts w:cstheme="minorHAnsi"/>
                <w:color w:val="000000"/>
              </w:rPr>
            </w:pPr>
            <w:r w:rsidRPr="006B2F71">
              <w:rPr>
                <w:rFonts w:cstheme="minorHAnsi"/>
                <w:color w:val="000000"/>
              </w:rPr>
              <w:t>N/A</w:t>
            </w:r>
          </w:p>
        </w:tc>
        <w:tc>
          <w:tcPr>
            <w:tcW w:w="0" w:type="auto"/>
            <w:vAlign w:val="center"/>
          </w:tcPr>
          <w:p w14:paraId="6E018FD7" w14:textId="77777777" w:rsidR="00666BED" w:rsidRPr="006B2F71" w:rsidRDefault="00666BED" w:rsidP="001166B9">
            <w:pPr>
              <w:jc w:val="center"/>
              <w:rPr>
                <w:rFonts w:cstheme="minorHAnsi"/>
                <w:color w:val="000000"/>
              </w:rPr>
            </w:pPr>
            <w:r w:rsidRPr="006B2F71">
              <w:rPr>
                <w:rFonts w:cstheme="minorHAnsi"/>
                <w:color w:val="000000"/>
              </w:rPr>
              <w:t>N/A</w:t>
            </w:r>
          </w:p>
        </w:tc>
      </w:tr>
      <w:tr w:rsidR="00666BED" w:rsidRPr="006B2F71" w14:paraId="03D3DFA5" w14:textId="77777777" w:rsidTr="00761706">
        <w:tc>
          <w:tcPr>
            <w:tcW w:w="0" w:type="auto"/>
          </w:tcPr>
          <w:p w14:paraId="291F735D" w14:textId="77777777" w:rsidR="00666BED" w:rsidRPr="006B2F71" w:rsidRDefault="00666BED" w:rsidP="001166B9">
            <w:r w:rsidRPr="006B2F71">
              <w:rPr>
                <w:rFonts w:cs="Calibri"/>
                <w:color w:val="000000"/>
              </w:rPr>
              <w:t>03.08.07 - Complete Biomaterial Mesh</w:t>
            </w:r>
          </w:p>
        </w:tc>
        <w:tc>
          <w:tcPr>
            <w:tcW w:w="0" w:type="auto"/>
            <w:vAlign w:val="center"/>
          </w:tcPr>
          <w:p w14:paraId="36997CFE" w14:textId="77777777" w:rsidR="00666BED" w:rsidRPr="006B2F71" w:rsidRDefault="00666BED" w:rsidP="001166B9">
            <w:pPr>
              <w:jc w:val="center"/>
              <w:rPr>
                <w:rFonts w:cs="Calibri"/>
                <w:color w:val="000000"/>
              </w:rPr>
            </w:pPr>
            <w:r w:rsidRPr="006B2F71">
              <w:rPr>
                <w:rFonts w:cs="Calibri"/>
                <w:color w:val="000000"/>
              </w:rPr>
              <w:t>Low</w:t>
            </w:r>
          </w:p>
        </w:tc>
        <w:tc>
          <w:tcPr>
            <w:tcW w:w="0" w:type="auto"/>
            <w:vAlign w:val="center"/>
          </w:tcPr>
          <w:p w14:paraId="395CFDAE" w14:textId="77777777" w:rsidR="00666BED" w:rsidRPr="006B2F71" w:rsidRDefault="00666BED" w:rsidP="00761706">
            <w:pPr>
              <w:jc w:val="right"/>
              <w:rPr>
                <w:rFonts w:cs="Calibri"/>
                <w:color w:val="000000"/>
              </w:rPr>
            </w:pPr>
            <w:r w:rsidRPr="006B2F71">
              <w:rPr>
                <w:rFonts w:cs="Calibri"/>
                <w:color w:val="000000"/>
              </w:rPr>
              <w:t>2,873,976</w:t>
            </w:r>
          </w:p>
        </w:tc>
        <w:tc>
          <w:tcPr>
            <w:tcW w:w="0" w:type="auto"/>
            <w:vAlign w:val="center"/>
          </w:tcPr>
          <w:p w14:paraId="3F7CDB25" w14:textId="77777777" w:rsidR="00666BED" w:rsidRPr="006B2F71" w:rsidRDefault="00666BED" w:rsidP="001166B9">
            <w:pPr>
              <w:jc w:val="center"/>
              <w:rPr>
                <w:rFonts w:cstheme="minorHAnsi"/>
                <w:color w:val="000000"/>
              </w:rPr>
            </w:pPr>
            <w:r w:rsidRPr="006B2F71">
              <w:rPr>
                <w:rFonts w:cstheme="minorHAnsi"/>
                <w:color w:val="000000"/>
              </w:rPr>
              <w:t>N/A</w:t>
            </w:r>
          </w:p>
        </w:tc>
        <w:tc>
          <w:tcPr>
            <w:tcW w:w="0" w:type="auto"/>
            <w:vAlign w:val="center"/>
          </w:tcPr>
          <w:p w14:paraId="33EFF99A" w14:textId="77777777" w:rsidR="00666BED" w:rsidRPr="006B2F71" w:rsidRDefault="00666BED" w:rsidP="001166B9">
            <w:pPr>
              <w:jc w:val="center"/>
              <w:rPr>
                <w:rFonts w:cstheme="minorHAnsi"/>
                <w:color w:val="000000"/>
              </w:rPr>
            </w:pPr>
            <w:r w:rsidRPr="006B2F71">
              <w:rPr>
                <w:rFonts w:cstheme="minorHAnsi"/>
                <w:color w:val="000000"/>
              </w:rPr>
              <w:t>N/A</w:t>
            </w:r>
          </w:p>
        </w:tc>
      </w:tr>
      <w:tr w:rsidR="00666BED" w:rsidRPr="006B2F71" w14:paraId="3FA2C054" w14:textId="77777777" w:rsidTr="00761706">
        <w:tc>
          <w:tcPr>
            <w:tcW w:w="0" w:type="auto"/>
          </w:tcPr>
          <w:p w14:paraId="72377F66" w14:textId="77777777" w:rsidR="00666BED" w:rsidRPr="006B2F71" w:rsidRDefault="00666BED" w:rsidP="001166B9">
            <w:r w:rsidRPr="006B2F71">
              <w:rPr>
                <w:rFonts w:cs="Calibri"/>
                <w:color w:val="000000"/>
              </w:rPr>
              <w:t>03.08.08 - PTFE/ePTFE Mesh</w:t>
            </w:r>
          </w:p>
        </w:tc>
        <w:tc>
          <w:tcPr>
            <w:tcW w:w="0" w:type="auto"/>
            <w:vAlign w:val="center"/>
          </w:tcPr>
          <w:p w14:paraId="561F70AD" w14:textId="77777777" w:rsidR="00666BED" w:rsidRPr="006B2F71" w:rsidRDefault="00666BED" w:rsidP="001166B9">
            <w:pPr>
              <w:jc w:val="center"/>
              <w:rPr>
                <w:rFonts w:cs="Calibri"/>
                <w:color w:val="000000"/>
              </w:rPr>
            </w:pPr>
            <w:r w:rsidRPr="006B2F71">
              <w:rPr>
                <w:rFonts w:cs="Calibri"/>
                <w:color w:val="000000"/>
              </w:rPr>
              <w:t>Low</w:t>
            </w:r>
          </w:p>
        </w:tc>
        <w:tc>
          <w:tcPr>
            <w:tcW w:w="0" w:type="auto"/>
            <w:vAlign w:val="center"/>
          </w:tcPr>
          <w:p w14:paraId="0F328A2C" w14:textId="77777777" w:rsidR="00666BED" w:rsidRPr="006B2F71" w:rsidRDefault="00666BED" w:rsidP="00761706">
            <w:pPr>
              <w:jc w:val="right"/>
              <w:rPr>
                <w:rFonts w:cs="Calibri"/>
                <w:color w:val="000000"/>
              </w:rPr>
            </w:pPr>
            <w:r w:rsidRPr="006B2F71">
              <w:rPr>
                <w:rFonts w:cs="Calibri"/>
                <w:color w:val="000000"/>
              </w:rPr>
              <w:t>106,794</w:t>
            </w:r>
          </w:p>
        </w:tc>
        <w:tc>
          <w:tcPr>
            <w:tcW w:w="0" w:type="auto"/>
            <w:vAlign w:val="center"/>
          </w:tcPr>
          <w:p w14:paraId="20EB6DFD" w14:textId="77777777" w:rsidR="00666BED" w:rsidRPr="006B2F71" w:rsidRDefault="00666BED" w:rsidP="001166B9">
            <w:pPr>
              <w:jc w:val="center"/>
              <w:rPr>
                <w:rFonts w:cstheme="minorHAnsi"/>
                <w:color w:val="000000"/>
              </w:rPr>
            </w:pPr>
            <w:r w:rsidRPr="006B2F71">
              <w:rPr>
                <w:rFonts w:cstheme="minorHAnsi"/>
                <w:color w:val="000000"/>
              </w:rPr>
              <w:t>N/A</w:t>
            </w:r>
          </w:p>
        </w:tc>
        <w:tc>
          <w:tcPr>
            <w:tcW w:w="0" w:type="auto"/>
            <w:vAlign w:val="center"/>
          </w:tcPr>
          <w:p w14:paraId="02E738A3" w14:textId="77777777" w:rsidR="00666BED" w:rsidRPr="006B2F71" w:rsidRDefault="00666BED" w:rsidP="001166B9">
            <w:pPr>
              <w:jc w:val="center"/>
              <w:rPr>
                <w:rFonts w:cstheme="minorHAnsi"/>
                <w:color w:val="000000"/>
              </w:rPr>
            </w:pPr>
            <w:r w:rsidRPr="006B2F71">
              <w:rPr>
                <w:rFonts w:cstheme="minorHAnsi"/>
                <w:color w:val="000000"/>
              </w:rPr>
              <w:t>N/A</w:t>
            </w:r>
          </w:p>
        </w:tc>
      </w:tr>
      <w:tr w:rsidR="00666BED" w:rsidRPr="006B2F71" w14:paraId="5A7410B2" w14:textId="77777777" w:rsidTr="00761706">
        <w:tc>
          <w:tcPr>
            <w:tcW w:w="0" w:type="auto"/>
          </w:tcPr>
          <w:p w14:paraId="61B9209E" w14:textId="77777777" w:rsidR="00666BED" w:rsidRPr="006B2F71" w:rsidRDefault="00666BED" w:rsidP="001166B9">
            <w:r w:rsidRPr="006B2F71">
              <w:rPr>
                <w:rFonts w:cs="Calibri"/>
                <w:color w:val="000000"/>
              </w:rPr>
              <w:t>03.08.09 - Plugs</w:t>
            </w:r>
          </w:p>
        </w:tc>
        <w:tc>
          <w:tcPr>
            <w:tcW w:w="0" w:type="auto"/>
            <w:vAlign w:val="center"/>
          </w:tcPr>
          <w:p w14:paraId="16253FE4" w14:textId="77777777" w:rsidR="00666BED" w:rsidRPr="006B2F71" w:rsidRDefault="00666BED" w:rsidP="001166B9">
            <w:pPr>
              <w:jc w:val="center"/>
              <w:rPr>
                <w:rFonts w:cs="Calibri"/>
                <w:color w:val="000000"/>
              </w:rPr>
            </w:pPr>
            <w:r w:rsidRPr="006B2F71">
              <w:rPr>
                <w:rFonts w:cs="Calibri"/>
                <w:color w:val="000000"/>
              </w:rPr>
              <w:t>Low</w:t>
            </w:r>
          </w:p>
        </w:tc>
        <w:tc>
          <w:tcPr>
            <w:tcW w:w="0" w:type="auto"/>
            <w:vAlign w:val="center"/>
          </w:tcPr>
          <w:p w14:paraId="2E10D649" w14:textId="77777777" w:rsidR="00666BED" w:rsidRPr="006B2F71" w:rsidRDefault="00666BED" w:rsidP="00761706">
            <w:pPr>
              <w:jc w:val="right"/>
              <w:rPr>
                <w:rFonts w:cs="Calibri"/>
                <w:color w:val="000000"/>
              </w:rPr>
            </w:pPr>
            <w:r w:rsidRPr="006B2F71">
              <w:rPr>
                <w:rFonts w:cs="Calibri"/>
                <w:color w:val="000000"/>
              </w:rPr>
              <w:t>1,126,219</w:t>
            </w:r>
          </w:p>
        </w:tc>
        <w:tc>
          <w:tcPr>
            <w:tcW w:w="0" w:type="auto"/>
            <w:vAlign w:val="center"/>
          </w:tcPr>
          <w:p w14:paraId="56F97ACC" w14:textId="77777777" w:rsidR="00666BED" w:rsidRPr="006B2F71" w:rsidRDefault="00666BED" w:rsidP="001166B9">
            <w:pPr>
              <w:jc w:val="center"/>
              <w:rPr>
                <w:rFonts w:cstheme="minorHAnsi"/>
                <w:color w:val="000000"/>
              </w:rPr>
            </w:pPr>
            <w:r w:rsidRPr="006B2F71">
              <w:rPr>
                <w:rFonts w:cstheme="minorHAnsi"/>
                <w:color w:val="000000"/>
              </w:rPr>
              <w:t>N/A</w:t>
            </w:r>
          </w:p>
        </w:tc>
        <w:tc>
          <w:tcPr>
            <w:tcW w:w="0" w:type="auto"/>
            <w:vAlign w:val="center"/>
          </w:tcPr>
          <w:p w14:paraId="3BE8BA81" w14:textId="77777777" w:rsidR="00666BED" w:rsidRPr="006B2F71" w:rsidRDefault="00666BED" w:rsidP="001166B9">
            <w:pPr>
              <w:jc w:val="center"/>
              <w:rPr>
                <w:rFonts w:cstheme="minorHAnsi"/>
                <w:color w:val="000000"/>
              </w:rPr>
            </w:pPr>
            <w:r w:rsidRPr="006B2F71">
              <w:rPr>
                <w:rFonts w:cstheme="minorHAnsi"/>
                <w:color w:val="000000"/>
              </w:rPr>
              <w:t>N/A</w:t>
            </w:r>
          </w:p>
        </w:tc>
      </w:tr>
      <w:tr w:rsidR="00666BED" w:rsidRPr="006B2F71" w14:paraId="68BD9E88" w14:textId="77777777" w:rsidTr="00761706">
        <w:tc>
          <w:tcPr>
            <w:tcW w:w="0" w:type="auto"/>
          </w:tcPr>
          <w:p w14:paraId="31B16005" w14:textId="77777777" w:rsidR="00666BED" w:rsidRPr="006B2F71" w:rsidRDefault="00666BED" w:rsidP="001166B9">
            <w:r w:rsidRPr="006B2F71">
              <w:rPr>
                <w:rFonts w:cs="Calibri"/>
                <w:color w:val="000000"/>
              </w:rPr>
              <w:t>03.08.10 - Anastomosis Clip</w:t>
            </w:r>
          </w:p>
        </w:tc>
        <w:tc>
          <w:tcPr>
            <w:tcW w:w="0" w:type="auto"/>
            <w:vAlign w:val="center"/>
          </w:tcPr>
          <w:p w14:paraId="7CBD741B" w14:textId="77777777" w:rsidR="00666BED" w:rsidRPr="006B2F71" w:rsidRDefault="00666BED" w:rsidP="001166B9">
            <w:pPr>
              <w:jc w:val="center"/>
              <w:rPr>
                <w:rFonts w:cs="Calibri"/>
                <w:color w:val="000000"/>
              </w:rPr>
            </w:pPr>
            <w:r w:rsidRPr="006B2F71">
              <w:rPr>
                <w:rFonts w:cs="Calibri"/>
                <w:color w:val="000000"/>
              </w:rPr>
              <w:t>High</w:t>
            </w:r>
          </w:p>
        </w:tc>
        <w:tc>
          <w:tcPr>
            <w:tcW w:w="0" w:type="auto"/>
            <w:vAlign w:val="center"/>
          </w:tcPr>
          <w:p w14:paraId="0B1C3D47" w14:textId="77777777" w:rsidR="00666BED" w:rsidRPr="006B2F71" w:rsidRDefault="00666BED" w:rsidP="00761706">
            <w:pPr>
              <w:jc w:val="right"/>
              <w:rPr>
                <w:rFonts w:cs="Calibri"/>
                <w:color w:val="000000"/>
              </w:rPr>
            </w:pPr>
            <w:r w:rsidRPr="006B2F71">
              <w:rPr>
                <w:rFonts w:cs="Calibri"/>
                <w:color w:val="000000"/>
              </w:rPr>
              <w:t>34,661</w:t>
            </w:r>
          </w:p>
        </w:tc>
        <w:tc>
          <w:tcPr>
            <w:tcW w:w="0" w:type="auto"/>
          </w:tcPr>
          <w:p w14:paraId="55677DDF" w14:textId="77777777" w:rsidR="00666BED" w:rsidRPr="006B2F71" w:rsidRDefault="00666BED" w:rsidP="001166B9">
            <w:pPr>
              <w:jc w:val="center"/>
              <w:rPr>
                <w:rFonts w:cs="Segoe UI Symbol"/>
                <w:color w:val="000000"/>
              </w:rPr>
            </w:pPr>
            <w:r w:rsidRPr="00B220C5">
              <w:rPr>
                <w:rFonts w:ascii="Segoe UI Symbol" w:hAnsi="Segoe UI Symbol"/>
                <w:sz w:val="28"/>
                <w:szCs w:val="28"/>
              </w:rPr>
              <w:t>🗴</w:t>
            </w:r>
          </w:p>
        </w:tc>
        <w:tc>
          <w:tcPr>
            <w:tcW w:w="0" w:type="auto"/>
          </w:tcPr>
          <w:p w14:paraId="7E54ACE0" w14:textId="77777777" w:rsidR="00666BED" w:rsidRPr="006B2F71" w:rsidRDefault="00666BED" w:rsidP="001166B9">
            <w:pPr>
              <w:jc w:val="center"/>
              <w:rPr>
                <w:rFonts w:cs="Segoe UI Symbol"/>
                <w:color w:val="000000"/>
              </w:rPr>
            </w:pPr>
            <w:r w:rsidRPr="00B220C5">
              <w:rPr>
                <w:rFonts w:ascii="Segoe UI Symbol" w:hAnsi="Segoe UI Symbol"/>
                <w:sz w:val="28"/>
                <w:szCs w:val="28"/>
              </w:rPr>
              <w:t>🗴</w:t>
            </w:r>
          </w:p>
        </w:tc>
      </w:tr>
      <w:tr w:rsidR="00666BED" w:rsidRPr="006B2F71" w14:paraId="0374F2DE" w14:textId="77777777" w:rsidTr="00761706">
        <w:tc>
          <w:tcPr>
            <w:tcW w:w="0" w:type="auto"/>
          </w:tcPr>
          <w:p w14:paraId="4D77BE18" w14:textId="77777777" w:rsidR="00666BED" w:rsidRPr="006B2F71" w:rsidRDefault="00666BED" w:rsidP="001166B9">
            <w:r w:rsidRPr="006B2F71">
              <w:rPr>
                <w:rFonts w:cs="Calibri"/>
                <w:color w:val="000000"/>
              </w:rPr>
              <w:t>03.08.11 - Dynamic Wound Closure Devices</w:t>
            </w:r>
          </w:p>
        </w:tc>
        <w:tc>
          <w:tcPr>
            <w:tcW w:w="0" w:type="auto"/>
            <w:vAlign w:val="center"/>
          </w:tcPr>
          <w:p w14:paraId="05C46DC6" w14:textId="77777777" w:rsidR="00666BED" w:rsidRPr="006B2F71" w:rsidRDefault="00666BED" w:rsidP="001166B9">
            <w:pPr>
              <w:jc w:val="center"/>
              <w:rPr>
                <w:rFonts w:cs="Calibri"/>
                <w:color w:val="000000"/>
              </w:rPr>
            </w:pPr>
            <w:r w:rsidRPr="006B2F71">
              <w:rPr>
                <w:rFonts w:cs="Calibri"/>
                <w:color w:val="000000"/>
              </w:rPr>
              <w:t>High</w:t>
            </w:r>
          </w:p>
        </w:tc>
        <w:tc>
          <w:tcPr>
            <w:tcW w:w="0" w:type="auto"/>
            <w:vAlign w:val="center"/>
          </w:tcPr>
          <w:p w14:paraId="5BB3EA3E" w14:textId="77777777" w:rsidR="00666BED" w:rsidRPr="006B2F71" w:rsidRDefault="00666BED" w:rsidP="00761706">
            <w:pPr>
              <w:jc w:val="right"/>
              <w:rPr>
                <w:rFonts w:cs="Calibri"/>
                <w:color w:val="000000"/>
              </w:rPr>
            </w:pPr>
            <w:r w:rsidRPr="006B2F71">
              <w:rPr>
                <w:rFonts w:cs="Calibri"/>
                <w:color w:val="000000"/>
              </w:rPr>
              <w:t>6,720</w:t>
            </w:r>
          </w:p>
        </w:tc>
        <w:tc>
          <w:tcPr>
            <w:tcW w:w="0" w:type="auto"/>
          </w:tcPr>
          <w:p w14:paraId="202E37E6" w14:textId="77777777" w:rsidR="00666BED" w:rsidRPr="006B2F71" w:rsidRDefault="00666BED" w:rsidP="001166B9">
            <w:pPr>
              <w:jc w:val="center"/>
              <w:rPr>
                <w:rFonts w:cs="Segoe UI Symbol"/>
                <w:color w:val="000000"/>
              </w:rPr>
            </w:pPr>
            <w:r w:rsidRPr="001B09B4">
              <w:rPr>
                <w:rFonts w:ascii="Segoe UI Symbol" w:hAnsi="Segoe UI Symbol"/>
                <w:sz w:val="28"/>
                <w:szCs w:val="28"/>
              </w:rPr>
              <w:t>🗴</w:t>
            </w:r>
          </w:p>
        </w:tc>
        <w:tc>
          <w:tcPr>
            <w:tcW w:w="0" w:type="auto"/>
          </w:tcPr>
          <w:p w14:paraId="28233132" w14:textId="77777777" w:rsidR="00666BED" w:rsidRPr="006B2F71" w:rsidRDefault="00666BED" w:rsidP="001166B9">
            <w:pPr>
              <w:jc w:val="center"/>
              <w:rPr>
                <w:rFonts w:cs="Segoe UI Symbol"/>
                <w:color w:val="000000"/>
              </w:rPr>
            </w:pPr>
            <w:r w:rsidRPr="001B09B4">
              <w:rPr>
                <w:rFonts w:ascii="Segoe UI Symbol" w:hAnsi="Segoe UI Symbol"/>
                <w:sz w:val="28"/>
                <w:szCs w:val="28"/>
              </w:rPr>
              <w:t>🗴</w:t>
            </w:r>
          </w:p>
        </w:tc>
      </w:tr>
    </w:tbl>
    <w:p w14:paraId="3895E7F8" w14:textId="77777777" w:rsidR="001166B9" w:rsidRPr="006B2F71" w:rsidRDefault="001166B9" w:rsidP="001166B9">
      <w:pPr>
        <w:pStyle w:val="Bodytextwithoutparaspace"/>
        <w:rPr>
          <w:sz w:val="18"/>
          <w:szCs w:val="18"/>
        </w:rPr>
      </w:pPr>
      <w:r w:rsidRPr="006B2F71">
        <w:rPr>
          <w:sz w:val="18"/>
          <w:szCs w:val="18"/>
        </w:rPr>
        <w:t>*Represents a high utilisation group with very low average benefit per item</w:t>
      </w:r>
    </w:p>
    <w:p w14:paraId="69F0ED35" w14:textId="77777777" w:rsidR="001166B9" w:rsidRPr="006B2F71" w:rsidRDefault="001166B9" w:rsidP="001166B9">
      <w:pPr>
        <w:pStyle w:val="Bodytextwithoutparaspace"/>
        <w:rPr>
          <w:sz w:val="18"/>
          <w:szCs w:val="18"/>
        </w:rPr>
      </w:pPr>
      <w:r w:rsidRPr="006B2F71">
        <w:rPr>
          <w:sz w:val="18"/>
          <w:szCs w:val="18"/>
          <w:vertAlign w:val="superscript"/>
        </w:rPr>
        <w:t>^</w:t>
      </w:r>
      <w:r w:rsidRPr="006B2F71">
        <w:rPr>
          <w:sz w:val="18"/>
          <w:szCs w:val="18"/>
        </w:rPr>
        <w:t>Only considered for groups specified as ‘High’ priority by the Department</w:t>
      </w:r>
    </w:p>
    <w:p w14:paraId="5AC8FB78" w14:textId="77777777" w:rsidR="001166B9" w:rsidRPr="001166B9" w:rsidRDefault="001166B9" w:rsidP="001166B9">
      <w:pPr>
        <w:pStyle w:val="Bodytextwithoutparaspace"/>
        <w:spacing w:after="240"/>
        <w:rPr>
          <w:sz w:val="18"/>
          <w:szCs w:val="18"/>
        </w:rPr>
      </w:pPr>
      <w:r w:rsidRPr="006B2F71">
        <w:rPr>
          <w:sz w:val="18"/>
          <w:szCs w:val="18"/>
          <w:vertAlign w:val="superscript"/>
        </w:rPr>
        <w:t>#</w:t>
      </w:r>
      <w:r w:rsidRPr="006B2F71">
        <w:rPr>
          <w:sz w:val="18"/>
          <w:szCs w:val="18"/>
        </w:rPr>
        <w:t>Indicates groups which include products on both Part A and Part C of the PL</w:t>
      </w:r>
    </w:p>
    <w:p w14:paraId="6B64160A" w14:textId="77777777" w:rsidR="001166B9" w:rsidRDefault="001166B9">
      <w:pPr>
        <w:autoSpaceDE/>
        <w:autoSpaceDN/>
        <w:adjustRightInd/>
        <w:rPr>
          <w:b/>
          <w:color w:val="747480"/>
          <w:sz w:val="32"/>
          <w:szCs w:val="24"/>
        </w:rPr>
      </w:pPr>
      <w:r>
        <w:br w:type="page"/>
      </w:r>
    </w:p>
    <w:p w14:paraId="79AE699A" w14:textId="77777777" w:rsidR="00960BEF" w:rsidRDefault="001166B9" w:rsidP="001F7381">
      <w:pPr>
        <w:pStyle w:val="EYAppendix"/>
      </w:pPr>
      <w:bookmarkStart w:id="338" w:name="_Toc59015983"/>
      <w:r>
        <w:t>Usage by subgroup for ‘High’ priority groups</w:t>
      </w:r>
      <w:bookmarkEnd w:id="338"/>
    </w:p>
    <w:p w14:paraId="33162F68" w14:textId="052F8F67" w:rsidR="004014F3" w:rsidRDefault="0039355D" w:rsidP="00C974FC">
      <w:pPr>
        <w:pStyle w:val="Bodytextwithparaspace"/>
      </w:pPr>
      <w:r>
        <w:t>This appendix</w:t>
      </w:r>
      <w:r w:rsidR="00474DD6">
        <w:t xml:space="preserve"> gives usage data (from the HCP1 dataset) for </w:t>
      </w:r>
      <w:r w:rsidR="00EF63A0">
        <w:t xml:space="preserve">some of the </w:t>
      </w:r>
      <w:r w:rsidR="00474DD6">
        <w:t>subgroup</w:t>
      </w:r>
      <w:r w:rsidR="00EF63A0">
        <w:t>s</w:t>
      </w:r>
      <w:r w:rsidR="00474DD6">
        <w:t xml:space="preserve"> within </w:t>
      </w:r>
      <w:r w:rsidR="00EF63A0">
        <w:t>several</w:t>
      </w:r>
      <w:r w:rsidR="00474DD6">
        <w:t xml:space="preserve"> ‘EY High priority’ groups identified.</w:t>
      </w:r>
    </w:p>
    <w:p w14:paraId="7525895C" w14:textId="0C9D191E" w:rsidR="004014F3" w:rsidRDefault="00D92D7D" w:rsidP="00C974FC">
      <w:pPr>
        <w:pStyle w:val="Bodytextwithparaspace"/>
      </w:pPr>
      <w:r>
        <w:t>At the subgroup level, usage information is potentially commercially sensitive due to the small number of sponsors involved and so only limited additional information (to what is in the main body</w:t>
      </w:r>
      <w:r w:rsidR="000671E8">
        <w:t xml:space="preserve"> of the report</w:t>
      </w:r>
      <w:r>
        <w:t>) has been included in this Appendix. Where possible, f</w:t>
      </w:r>
      <w:r w:rsidR="004014F3">
        <w:t>or</w:t>
      </w:r>
      <w:r w:rsidR="00CF3317">
        <w:t xml:space="preserve"> each</w:t>
      </w:r>
      <w:r w:rsidR="004014F3">
        <w:t xml:space="preserve"> group, the data shown is:</w:t>
      </w:r>
    </w:p>
    <w:p w14:paraId="3C1393CB" w14:textId="77777777" w:rsidR="004014F3" w:rsidRDefault="004014F3" w:rsidP="00463B2D">
      <w:pPr>
        <w:pStyle w:val="Bodytextwithparaspace"/>
        <w:numPr>
          <w:ilvl w:val="0"/>
          <w:numId w:val="10"/>
        </w:numPr>
      </w:pPr>
      <w:r>
        <w:t>The range of benefit amounts on the PL and the total benefits paid in FY19, by subgroup;</w:t>
      </w:r>
    </w:p>
    <w:p w14:paraId="5619B8DF" w14:textId="77777777" w:rsidR="004014F3" w:rsidRDefault="004014F3" w:rsidP="00463B2D">
      <w:pPr>
        <w:pStyle w:val="Bodytextwithparaspace"/>
        <w:numPr>
          <w:ilvl w:val="0"/>
          <w:numId w:val="10"/>
        </w:numPr>
      </w:pPr>
      <w:r>
        <w:t>Trends in item usage, total benefits paid, growth in total benefits paid and the average benefit amounts per item used, by subgroup; and</w:t>
      </w:r>
    </w:p>
    <w:p w14:paraId="33D632F5" w14:textId="07BED949" w:rsidR="004206B0" w:rsidRPr="009E494C" w:rsidRDefault="004014F3">
      <w:pPr>
        <w:pStyle w:val="Bodytextwithparaspace"/>
        <w:numPr>
          <w:ilvl w:val="0"/>
          <w:numId w:val="10"/>
        </w:numPr>
      </w:pPr>
      <w:r>
        <w:t>Usage with other categories on the PL in dollar terms and proportional terms.</w:t>
      </w:r>
    </w:p>
    <w:p w14:paraId="78082BC8" w14:textId="77777777" w:rsidR="004206B0" w:rsidRDefault="00A64465" w:rsidP="00FC5BDA">
      <w:pPr>
        <w:pStyle w:val="Heading2"/>
      </w:pPr>
      <w:r w:rsidDel="00A72AC4">
        <w:rPr>
          <w:b w:val="0"/>
          <w:szCs w:val="20"/>
        </w:rPr>
        <w:fldChar w:fldCharType="begin"/>
      </w:r>
      <w:r w:rsidDel="00A72AC4">
        <w:rPr>
          <w:color w:val="747480"/>
          <w:sz w:val="16"/>
          <w:szCs w:val="18"/>
        </w:rPr>
        <w:fldChar w:fldCharType="end"/>
      </w:r>
      <w:bookmarkStart w:id="339" w:name="_Toc36219815"/>
      <w:bookmarkStart w:id="340" w:name="_Ref36734759"/>
      <w:r w:rsidR="004206B0">
        <w:t>03.02.02 – Infusion Pumps, Balloon Based</w:t>
      </w:r>
      <w:bookmarkEnd w:id="339"/>
      <w:bookmarkEnd w:id="340"/>
    </w:p>
    <w:p w14:paraId="6C8487AC" w14:textId="1303DCBC" w:rsidR="004206B0" w:rsidRDefault="004206B0" w:rsidP="004206B0">
      <w:pPr>
        <w:pStyle w:val="Caption"/>
        <w:rPr>
          <w:rFonts w:eastAsia="Calibri" w:cs="Calibri"/>
        </w:rPr>
      </w:pPr>
      <w:bookmarkStart w:id="341" w:name="_Toc36220027"/>
      <w:r>
        <w:t xml:space="preserve">Table </w:t>
      </w:r>
      <w:r>
        <w:rPr>
          <w:noProof/>
        </w:rPr>
        <w:fldChar w:fldCharType="begin"/>
      </w:r>
      <w:r>
        <w:rPr>
          <w:noProof/>
        </w:rPr>
        <w:instrText xml:space="preserve"> SEQ Table \* ARABIC </w:instrText>
      </w:r>
      <w:r>
        <w:rPr>
          <w:noProof/>
        </w:rPr>
        <w:fldChar w:fldCharType="separate"/>
      </w:r>
      <w:r w:rsidR="00784DE2">
        <w:rPr>
          <w:noProof/>
        </w:rPr>
        <w:t>17</w:t>
      </w:r>
      <w:r>
        <w:rPr>
          <w:noProof/>
        </w:rPr>
        <w:fldChar w:fldCharType="end"/>
      </w:r>
      <w:r>
        <w:t xml:space="preserve"> – Balloon Based Infusion Pumps subgroups</w:t>
      </w:r>
      <w:bookmarkEnd w:id="341"/>
    </w:p>
    <w:tbl>
      <w:tblPr>
        <w:tblStyle w:val="TableGrid"/>
        <w:tblW w:w="9198" w:type="dxa"/>
        <w:tblInd w:w="-5" w:type="dxa"/>
        <w:tblBorders>
          <w:top w:val="single" w:sz="4" w:space="0" w:color="000000" w:themeColor="background2"/>
          <w:left w:val="single" w:sz="4" w:space="0" w:color="000000" w:themeColor="background2"/>
          <w:bottom w:val="single" w:sz="4" w:space="0" w:color="000000" w:themeColor="background2"/>
          <w:right w:val="single" w:sz="4" w:space="0" w:color="000000" w:themeColor="background2"/>
          <w:insideH w:val="single" w:sz="4" w:space="0" w:color="000000" w:themeColor="background2"/>
          <w:insideV w:val="single" w:sz="4" w:space="0" w:color="000000" w:themeColor="background2"/>
        </w:tblBorders>
        <w:tblLayout w:type="fixed"/>
        <w:tblLook w:val="04A0" w:firstRow="1" w:lastRow="0" w:firstColumn="1" w:lastColumn="0" w:noHBand="0" w:noVBand="1"/>
        <w:tblCaption w:val="Table 17: Balloon Based Infusion Pumps Subgroups"/>
        <w:tblDescription w:val="This table describes the benefit amount and benefit for Balloon Based Infusion Pumps at the subgroup level. It also presents Figure 40 - Infusion Pumps, Balloon Based - Item usage - by subgroup; Figure 41 - Infusion Pumps, Balloon Based - Total PL benefits by subgroup; Figure 42 - Infusion Pumps, Ballon Based - Year on year growth in benefits by subgroup; and Figure 43 - Infusion Pumps, Balloon Based - Average benefit per item by subgroup"/>
      </w:tblPr>
      <w:tblGrid>
        <w:gridCol w:w="3539"/>
        <w:gridCol w:w="945"/>
        <w:gridCol w:w="1534"/>
        <w:gridCol w:w="3009"/>
        <w:gridCol w:w="171"/>
      </w:tblGrid>
      <w:tr w:rsidR="004206B0" w:rsidRPr="006B2F71" w14:paraId="750ACFD8" w14:textId="77777777" w:rsidTr="001A3987">
        <w:trPr>
          <w:gridAfter w:val="1"/>
          <w:wAfter w:w="166" w:type="dxa"/>
        </w:trPr>
        <w:tc>
          <w:tcPr>
            <w:tcW w:w="3539" w:type="dxa"/>
            <w:shd w:val="clear" w:color="auto" w:fill="FFE600" w:themeFill="text2"/>
            <w:vAlign w:val="center"/>
          </w:tcPr>
          <w:p w14:paraId="3355C09B" w14:textId="77777777" w:rsidR="004206B0" w:rsidRPr="006B2F71" w:rsidRDefault="004206B0" w:rsidP="00474DD6">
            <w:pPr>
              <w:rPr>
                <w:b/>
                <w:bCs/>
              </w:rPr>
            </w:pPr>
            <w:r w:rsidRPr="006B2F71">
              <w:rPr>
                <w:rFonts w:eastAsia="Calibri" w:cs="Calibri"/>
                <w:b/>
                <w:bCs/>
              </w:rPr>
              <w:t>Product Sub-Group</w:t>
            </w:r>
          </w:p>
        </w:tc>
        <w:tc>
          <w:tcPr>
            <w:tcW w:w="2479" w:type="dxa"/>
            <w:gridSpan w:val="2"/>
            <w:shd w:val="clear" w:color="auto" w:fill="FFE600" w:themeFill="text2"/>
            <w:vAlign w:val="center"/>
          </w:tcPr>
          <w:p w14:paraId="7BCABC2B" w14:textId="77777777" w:rsidR="004206B0" w:rsidRPr="006B2F71" w:rsidRDefault="004206B0" w:rsidP="00474DD6">
            <w:pPr>
              <w:rPr>
                <w:b/>
                <w:bCs/>
              </w:rPr>
            </w:pPr>
            <w:r w:rsidRPr="006B2F71">
              <w:rPr>
                <w:rFonts w:eastAsia="Calibri" w:cs="Calibri"/>
                <w:b/>
                <w:bCs/>
              </w:rPr>
              <w:t>Benefit amount on the PL ($)</w:t>
            </w:r>
          </w:p>
        </w:tc>
        <w:tc>
          <w:tcPr>
            <w:tcW w:w="3009" w:type="dxa"/>
            <w:shd w:val="clear" w:color="auto" w:fill="FFE600" w:themeFill="text2"/>
            <w:vAlign w:val="center"/>
          </w:tcPr>
          <w:p w14:paraId="2BA1B0DD" w14:textId="77777777" w:rsidR="004206B0" w:rsidRPr="006B2F71" w:rsidRDefault="004206B0" w:rsidP="00474DD6">
            <w:pPr>
              <w:rPr>
                <w:b/>
                <w:bCs/>
              </w:rPr>
            </w:pPr>
            <w:r w:rsidRPr="006B2F71">
              <w:rPr>
                <w:rFonts w:eastAsia="Calibri" w:cs="Calibri"/>
                <w:b/>
                <w:bCs/>
              </w:rPr>
              <w:t>Total Benefits Paid in FY19 ($)*</w:t>
            </w:r>
          </w:p>
        </w:tc>
      </w:tr>
      <w:tr w:rsidR="004206B0" w:rsidRPr="006B2F71" w14:paraId="1E9CF10D" w14:textId="77777777" w:rsidTr="007010D9">
        <w:trPr>
          <w:gridAfter w:val="1"/>
          <w:wAfter w:w="166" w:type="dxa"/>
        </w:trPr>
        <w:tc>
          <w:tcPr>
            <w:tcW w:w="3539" w:type="dxa"/>
          </w:tcPr>
          <w:p w14:paraId="3AD48F33" w14:textId="77777777" w:rsidR="004206B0" w:rsidRPr="006B2F71" w:rsidRDefault="004206B0" w:rsidP="00701B3B">
            <w:r w:rsidRPr="006B2F71">
              <w:rPr>
                <w:rFonts w:eastAsia="Calibri" w:cs="Calibri"/>
              </w:rPr>
              <w:t>03.02.02.01 - Fixed Flow Rate</w:t>
            </w:r>
          </w:p>
        </w:tc>
        <w:tc>
          <w:tcPr>
            <w:tcW w:w="2479" w:type="dxa"/>
            <w:gridSpan w:val="2"/>
          </w:tcPr>
          <w:p w14:paraId="07866994" w14:textId="77777777" w:rsidR="004206B0" w:rsidRPr="006B2F71" w:rsidRDefault="004206B0" w:rsidP="00701B3B">
            <w:pPr>
              <w:jc w:val="right"/>
              <w:rPr>
                <w:rFonts w:eastAsia="Calibri" w:cs="Calibri"/>
              </w:rPr>
            </w:pPr>
            <w:r w:rsidRPr="006B2F71">
              <w:rPr>
                <w:rFonts w:eastAsia="Calibri" w:cs="Calibri"/>
              </w:rPr>
              <w:t>50 - 260</w:t>
            </w:r>
          </w:p>
        </w:tc>
        <w:tc>
          <w:tcPr>
            <w:tcW w:w="3009" w:type="dxa"/>
            <w:vAlign w:val="bottom"/>
          </w:tcPr>
          <w:p w14:paraId="4A8D0245" w14:textId="77777777" w:rsidR="004206B0" w:rsidRPr="006B2F71" w:rsidRDefault="004206B0" w:rsidP="00701B3B">
            <w:pPr>
              <w:jc w:val="right"/>
              <w:rPr>
                <w:rFonts w:eastAsia="Calibri" w:cs="Calibri"/>
              </w:rPr>
            </w:pPr>
            <w:r w:rsidRPr="006B2F71">
              <w:rPr>
                <w:rFonts w:cs="Calibri"/>
                <w:color w:val="000000"/>
              </w:rPr>
              <w:t>4,003,213</w:t>
            </w:r>
          </w:p>
        </w:tc>
      </w:tr>
      <w:tr w:rsidR="004206B0" w:rsidRPr="006B2F71" w14:paraId="71786A5C" w14:textId="77777777" w:rsidTr="007010D9">
        <w:trPr>
          <w:gridAfter w:val="1"/>
          <w:wAfter w:w="166" w:type="dxa"/>
        </w:trPr>
        <w:tc>
          <w:tcPr>
            <w:tcW w:w="3539" w:type="dxa"/>
          </w:tcPr>
          <w:p w14:paraId="05D84D5A" w14:textId="77777777" w:rsidR="004206B0" w:rsidRPr="006B2F71" w:rsidRDefault="004206B0" w:rsidP="00701B3B">
            <w:r w:rsidRPr="006B2F71">
              <w:rPr>
                <w:rFonts w:eastAsia="Calibri" w:cs="Calibri"/>
              </w:rPr>
              <w:t>03.02.02.02 - Variable Flow Rate</w:t>
            </w:r>
          </w:p>
        </w:tc>
        <w:tc>
          <w:tcPr>
            <w:tcW w:w="2479" w:type="dxa"/>
            <w:gridSpan w:val="2"/>
          </w:tcPr>
          <w:p w14:paraId="561C3010" w14:textId="77777777" w:rsidR="004206B0" w:rsidRPr="006B2F71" w:rsidRDefault="004206B0" w:rsidP="00701B3B">
            <w:pPr>
              <w:jc w:val="right"/>
              <w:rPr>
                <w:rFonts w:eastAsia="Calibri" w:cs="Calibri"/>
              </w:rPr>
            </w:pPr>
            <w:r w:rsidRPr="006B2F71">
              <w:rPr>
                <w:rFonts w:eastAsia="Calibri" w:cs="Calibri"/>
              </w:rPr>
              <w:t>142 - 450</w:t>
            </w:r>
          </w:p>
        </w:tc>
        <w:tc>
          <w:tcPr>
            <w:tcW w:w="3009" w:type="dxa"/>
            <w:vAlign w:val="bottom"/>
          </w:tcPr>
          <w:p w14:paraId="126CC2C3" w14:textId="77777777" w:rsidR="004206B0" w:rsidRPr="006B2F71" w:rsidRDefault="004206B0" w:rsidP="00701B3B">
            <w:pPr>
              <w:jc w:val="right"/>
              <w:rPr>
                <w:rFonts w:eastAsia="Calibri" w:cs="Calibri"/>
              </w:rPr>
            </w:pPr>
            <w:r w:rsidRPr="006B2F71">
              <w:rPr>
                <w:rFonts w:cs="Calibri"/>
                <w:color w:val="000000"/>
              </w:rPr>
              <w:t>1,799,055</w:t>
            </w:r>
          </w:p>
        </w:tc>
      </w:tr>
      <w:tr w:rsidR="004206B0" w:rsidRPr="006B2F71" w14:paraId="2557DBE8" w14:textId="77777777" w:rsidTr="007010D9">
        <w:trPr>
          <w:gridAfter w:val="1"/>
          <w:wAfter w:w="166" w:type="dxa"/>
        </w:trPr>
        <w:tc>
          <w:tcPr>
            <w:tcW w:w="3539" w:type="dxa"/>
          </w:tcPr>
          <w:p w14:paraId="33953C1D" w14:textId="77777777" w:rsidR="004206B0" w:rsidRPr="006B2F71" w:rsidRDefault="004206B0" w:rsidP="00701B3B">
            <w:pPr>
              <w:rPr>
                <w:rFonts w:eastAsia="Calibri" w:cs="Calibri"/>
              </w:rPr>
            </w:pPr>
            <w:r w:rsidRPr="006B2F71">
              <w:rPr>
                <w:rFonts w:eastAsia="Calibri" w:cs="Calibri"/>
                <w:b/>
              </w:rPr>
              <w:t>Total</w:t>
            </w:r>
          </w:p>
        </w:tc>
        <w:tc>
          <w:tcPr>
            <w:tcW w:w="2479" w:type="dxa"/>
            <w:gridSpan w:val="2"/>
          </w:tcPr>
          <w:p w14:paraId="7F300590" w14:textId="77777777" w:rsidR="004206B0" w:rsidRPr="006B2F71" w:rsidRDefault="004206B0" w:rsidP="00701B3B">
            <w:pPr>
              <w:jc w:val="right"/>
              <w:rPr>
                <w:rFonts w:eastAsia="Calibri" w:cs="Calibri"/>
                <w:b/>
              </w:rPr>
            </w:pPr>
            <w:r w:rsidRPr="006B2F71">
              <w:rPr>
                <w:rFonts w:eastAsia="Calibri" w:cs="Calibri"/>
                <w:b/>
              </w:rPr>
              <w:t>-</w:t>
            </w:r>
          </w:p>
        </w:tc>
        <w:tc>
          <w:tcPr>
            <w:tcW w:w="3009" w:type="dxa"/>
          </w:tcPr>
          <w:p w14:paraId="70526E21" w14:textId="04F3DB5C" w:rsidR="004206B0" w:rsidRPr="006B2F71" w:rsidRDefault="004206B0" w:rsidP="00701B3B">
            <w:pPr>
              <w:jc w:val="right"/>
              <w:rPr>
                <w:rFonts w:cs="Calibri"/>
                <w:b/>
                <w:color w:val="000000"/>
              </w:rPr>
            </w:pPr>
            <w:r w:rsidRPr="006B2F71">
              <w:rPr>
                <w:rFonts w:cs="Calibri"/>
                <w:b/>
                <w:color w:val="000000"/>
              </w:rPr>
              <w:t xml:space="preserve">5,802,268 </w:t>
            </w:r>
          </w:p>
        </w:tc>
      </w:tr>
      <w:tr w:rsidR="004206B0" w14:paraId="5C190336" w14:textId="77777777" w:rsidTr="007010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76"/>
        </w:trPr>
        <w:tc>
          <w:tcPr>
            <w:tcW w:w="4484" w:type="dxa"/>
            <w:gridSpan w:val="2"/>
          </w:tcPr>
          <w:p w14:paraId="1ABC1227" w14:textId="347710A5" w:rsidR="0022522C" w:rsidRDefault="004206B0" w:rsidP="007010D9">
            <w:pPr>
              <w:pStyle w:val="Caption"/>
              <w:keepNext/>
            </w:pPr>
            <w:bookmarkStart w:id="342" w:name="_Toc36219856"/>
            <w:r w:rsidRPr="007010D9">
              <w:t xml:space="preserve">Figure </w:t>
            </w:r>
            <w:r w:rsidR="00C43035" w:rsidRPr="007010D9">
              <w:fldChar w:fldCharType="begin"/>
            </w:r>
            <w:r w:rsidR="00C43035">
              <w:instrText xml:space="preserve"> SEQ Figure \* ARABIC </w:instrText>
            </w:r>
            <w:r w:rsidR="00C43035" w:rsidRPr="007010D9">
              <w:fldChar w:fldCharType="separate"/>
            </w:r>
            <w:r w:rsidR="00784DE2">
              <w:rPr>
                <w:noProof/>
              </w:rPr>
              <w:t>40</w:t>
            </w:r>
            <w:r w:rsidR="00C43035" w:rsidRPr="007010D9">
              <w:fldChar w:fldCharType="end"/>
            </w:r>
            <w:r w:rsidRPr="007010D9">
              <w:t xml:space="preserve"> – Infusion Pumps, Balloon Based– Item usage by sub</w:t>
            </w:r>
            <w:r w:rsidR="00C974FC" w:rsidRPr="007010D9">
              <w:t>group</w:t>
            </w:r>
            <w:bookmarkEnd w:id="342"/>
          </w:p>
          <w:p w14:paraId="7666ED63" w14:textId="7F7004E7" w:rsidR="004206B0" w:rsidRDefault="4B2C8A4F" w:rsidP="007010D9">
            <w:pPr>
              <w:pStyle w:val="Caption"/>
              <w:keepNext/>
            </w:pPr>
            <w:r>
              <w:rPr>
                <w:noProof/>
                <w:lang w:val="en-AU" w:eastAsia="en-AU"/>
              </w:rPr>
              <w:drawing>
                <wp:inline distT="0" distB="0" distL="0" distR="0" wp14:anchorId="208E066F" wp14:editId="07D8932F">
                  <wp:extent cx="2580130" cy="2073243"/>
                  <wp:effectExtent l="0" t="0" r="0" b="3810"/>
                  <wp:docPr id="675523347" name="Picture 1985528656" descr="Figure 40 - Infusion Pumps, Balloon Based - Item usage by Subgroup&#10;&#10;Figure 40 - Infusion Pumps, Balloon Based - Item usage by Subgroup&#10;FY14 - FY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5528656"/>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582718" cy="2075323"/>
                          </a:xfrm>
                          <a:prstGeom prst="rect">
                            <a:avLst/>
                          </a:prstGeom>
                        </pic:spPr>
                      </pic:pic>
                    </a:graphicData>
                  </a:graphic>
                </wp:inline>
              </w:drawing>
            </w:r>
          </w:p>
        </w:tc>
        <w:tc>
          <w:tcPr>
            <w:tcW w:w="4714" w:type="dxa"/>
            <w:gridSpan w:val="3"/>
          </w:tcPr>
          <w:p w14:paraId="65ADE114" w14:textId="5969E252" w:rsidR="004206B0" w:rsidRDefault="004206B0" w:rsidP="00701B3B">
            <w:pPr>
              <w:pStyle w:val="Caption"/>
              <w:keepNext/>
            </w:pPr>
            <w:bookmarkStart w:id="343" w:name="_Ref36105838"/>
            <w:bookmarkStart w:id="344" w:name="_Toc36219857"/>
            <w:r>
              <w:t xml:space="preserve">Figure </w:t>
            </w:r>
            <w:r w:rsidR="00FC6370">
              <w:fldChar w:fldCharType="begin"/>
            </w:r>
            <w:r w:rsidR="00FC6370">
              <w:instrText xml:space="preserve"> SEQ Figure \* ARABIC </w:instrText>
            </w:r>
            <w:r w:rsidR="00FC6370">
              <w:fldChar w:fldCharType="separate"/>
            </w:r>
            <w:r w:rsidR="00784DE2">
              <w:rPr>
                <w:noProof/>
              </w:rPr>
              <w:t>41</w:t>
            </w:r>
            <w:r w:rsidR="00FC6370">
              <w:rPr>
                <w:noProof/>
              </w:rPr>
              <w:fldChar w:fldCharType="end"/>
            </w:r>
            <w:bookmarkEnd w:id="343"/>
            <w:r>
              <w:t xml:space="preserve"> – Infusion Pumps, Balloon Based – Total PL benefits by subgroup</w:t>
            </w:r>
            <w:bookmarkEnd w:id="344"/>
          </w:p>
          <w:p w14:paraId="615A310F" w14:textId="07791618" w:rsidR="004206B0" w:rsidRDefault="1B723988" w:rsidP="00701B3B">
            <w:r>
              <w:rPr>
                <w:noProof/>
                <w:lang w:val="en-AU" w:eastAsia="en-AU"/>
              </w:rPr>
              <w:drawing>
                <wp:inline distT="0" distB="0" distL="0" distR="0" wp14:anchorId="37EE4CC5" wp14:editId="4F4DCD97">
                  <wp:extent cx="2589291" cy="2072786"/>
                  <wp:effectExtent l="0" t="0" r="1905" b="3810"/>
                  <wp:docPr id="1733336228" name="Picture 33" descr="Figure 41 - Infusion Pumps. Balloon Based - Total PL benefits by subgroup-&#10;FY14 - FY19" title="Figure 41 - Infusion Pumps. Balloon Based - Total PL benefits by sub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595339" cy="2077628"/>
                          </a:xfrm>
                          <a:prstGeom prst="rect">
                            <a:avLst/>
                          </a:prstGeom>
                        </pic:spPr>
                      </pic:pic>
                    </a:graphicData>
                  </a:graphic>
                </wp:inline>
              </w:drawing>
            </w:r>
          </w:p>
        </w:tc>
      </w:tr>
      <w:tr w:rsidR="004206B0" w14:paraId="43AEA3CB" w14:textId="77777777" w:rsidTr="007010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90"/>
        </w:trPr>
        <w:tc>
          <w:tcPr>
            <w:tcW w:w="4484" w:type="dxa"/>
            <w:gridSpan w:val="2"/>
          </w:tcPr>
          <w:p w14:paraId="469D04A3" w14:textId="5B7E3080" w:rsidR="004206B0" w:rsidRDefault="004206B0" w:rsidP="00701B3B">
            <w:pPr>
              <w:pStyle w:val="Caption"/>
              <w:keepNext/>
            </w:pPr>
            <w:bookmarkStart w:id="345" w:name="_Ref35883259"/>
            <w:bookmarkStart w:id="346" w:name="_Toc36219858"/>
            <w:r>
              <w:t xml:space="preserve">Figure </w:t>
            </w:r>
            <w:r w:rsidR="00FC6370">
              <w:fldChar w:fldCharType="begin"/>
            </w:r>
            <w:r w:rsidR="00FC6370">
              <w:instrText xml:space="preserve"> SEQ Figure \* ARABIC </w:instrText>
            </w:r>
            <w:r w:rsidR="00FC6370">
              <w:fldChar w:fldCharType="separate"/>
            </w:r>
            <w:r w:rsidR="00784DE2">
              <w:rPr>
                <w:noProof/>
              </w:rPr>
              <w:t>42</w:t>
            </w:r>
            <w:r w:rsidR="00FC6370">
              <w:rPr>
                <w:noProof/>
              </w:rPr>
              <w:fldChar w:fldCharType="end"/>
            </w:r>
            <w:bookmarkEnd w:id="345"/>
            <w:r>
              <w:t xml:space="preserve"> – Infusion Pumps, Balloon Based – Year on year growth in benefits by </w:t>
            </w:r>
            <w:bookmarkEnd w:id="346"/>
            <w:r w:rsidR="007C6C4C">
              <w:t>subgroup;</w:t>
            </w:r>
          </w:p>
          <w:p w14:paraId="56A27950" w14:textId="4834901C" w:rsidR="004206B0" w:rsidRPr="00595E14" w:rsidRDefault="74A050AC" w:rsidP="00701B3B">
            <w:r>
              <w:rPr>
                <w:noProof/>
                <w:lang w:val="en-AU" w:eastAsia="en-AU"/>
              </w:rPr>
              <w:drawing>
                <wp:inline distT="0" distB="0" distL="0" distR="0" wp14:anchorId="4CD6D8B9" wp14:editId="3AA616B5">
                  <wp:extent cx="2646646" cy="2118511"/>
                  <wp:effectExtent l="0" t="0" r="1905" b="0"/>
                  <wp:docPr id="2092896812" name="Picture 39" descr="Figure 42 - Infusion Pumps, Balloon Based - Year on year growth in benefits by subgroup&#10;&#10;Figure 42 - Infusion Pumps, Balloon Based - Year on year growth in benefits by subgroup&#10;FY15 - FY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659647" cy="2128918"/>
                          </a:xfrm>
                          <a:prstGeom prst="rect">
                            <a:avLst/>
                          </a:prstGeom>
                        </pic:spPr>
                      </pic:pic>
                    </a:graphicData>
                  </a:graphic>
                </wp:inline>
              </w:drawing>
            </w:r>
          </w:p>
        </w:tc>
        <w:tc>
          <w:tcPr>
            <w:tcW w:w="4714" w:type="dxa"/>
            <w:gridSpan w:val="3"/>
          </w:tcPr>
          <w:p w14:paraId="3214D38C" w14:textId="0214B029" w:rsidR="004206B0" w:rsidRDefault="004206B0" w:rsidP="00701B3B">
            <w:pPr>
              <w:pStyle w:val="Caption"/>
              <w:keepNext/>
            </w:pPr>
            <w:bookmarkStart w:id="347" w:name="_Ref35960559"/>
            <w:bookmarkStart w:id="348" w:name="_Toc36219859"/>
            <w:r>
              <w:t xml:space="preserve">Figure </w:t>
            </w:r>
            <w:r w:rsidR="00FC6370">
              <w:fldChar w:fldCharType="begin"/>
            </w:r>
            <w:r w:rsidR="00FC6370">
              <w:instrText xml:space="preserve"> SEQ Figure \* ARABIC </w:instrText>
            </w:r>
            <w:r w:rsidR="00FC6370">
              <w:fldChar w:fldCharType="separate"/>
            </w:r>
            <w:r w:rsidR="00784DE2">
              <w:rPr>
                <w:noProof/>
              </w:rPr>
              <w:t>43</w:t>
            </w:r>
            <w:r w:rsidR="00FC6370">
              <w:rPr>
                <w:noProof/>
              </w:rPr>
              <w:fldChar w:fldCharType="end"/>
            </w:r>
            <w:bookmarkEnd w:id="347"/>
            <w:r>
              <w:t xml:space="preserve"> – Infusion Pumps, Balloon Based – Average benefit per item by subgroup</w:t>
            </w:r>
            <w:bookmarkEnd w:id="348"/>
          </w:p>
          <w:p w14:paraId="17196118" w14:textId="238955B8" w:rsidR="004206B0" w:rsidRPr="00455B58" w:rsidRDefault="1A8948BF" w:rsidP="00701B3B">
            <w:r>
              <w:rPr>
                <w:noProof/>
                <w:lang w:val="en-AU" w:eastAsia="en-AU"/>
              </w:rPr>
              <w:drawing>
                <wp:inline distT="0" distB="0" distL="0" distR="0" wp14:anchorId="1B635EE7" wp14:editId="16B716D8">
                  <wp:extent cx="2655949" cy="2118360"/>
                  <wp:effectExtent l="0" t="0" r="0" b="0"/>
                  <wp:docPr id="768701809" name="Picture 1985528643" descr="Figure 43 - Infusion Pumps, Balloon Based - Average benefit per item by subgroup&#10;FY14 - FY19" title="Figure 43 - Infusion Pumps, Balloon Based - Average benefit per item by sub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5528643"/>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672510" cy="2131569"/>
                          </a:xfrm>
                          <a:prstGeom prst="rect">
                            <a:avLst/>
                          </a:prstGeom>
                        </pic:spPr>
                      </pic:pic>
                    </a:graphicData>
                  </a:graphic>
                </wp:inline>
              </w:drawing>
            </w:r>
          </w:p>
        </w:tc>
      </w:tr>
    </w:tbl>
    <w:p w14:paraId="1DCE86ED" w14:textId="77777777" w:rsidR="00474DD6" w:rsidRDefault="00474DD6" w:rsidP="004206B0">
      <w:pPr>
        <w:pStyle w:val="Caption"/>
        <w:keepNext/>
      </w:pPr>
      <w:bookmarkStart w:id="349" w:name="_Ref37924199"/>
      <w:bookmarkStart w:id="350" w:name="_Toc36220028"/>
    </w:p>
    <w:p w14:paraId="171B0652" w14:textId="77777777" w:rsidR="006D1982" w:rsidRPr="009D1784" w:rsidRDefault="006D1982" w:rsidP="00AF1D4E"/>
    <w:p w14:paraId="02CE3190" w14:textId="11B77FDC" w:rsidR="00FC5BDA" w:rsidRDefault="00FC5BDA" w:rsidP="00FC5BDA">
      <w:pPr>
        <w:pStyle w:val="Caption"/>
        <w:keepNext/>
      </w:pPr>
      <w:bookmarkStart w:id="351" w:name="_Ref41291821"/>
      <w:r>
        <w:t xml:space="preserve">Figure </w:t>
      </w:r>
      <w:r w:rsidR="00FC6370">
        <w:fldChar w:fldCharType="begin"/>
      </w:r>
      <w:r w:rsidR="00FC6370">
        <w:instrText xml:space="preserve"> SEQ Figure \* ARABIC </w:instrText>
      </w:r>
      <w:r w:rsidR="00FC6370">
        <w:fldChar w:fldCharType="separate"/>
      </w:r>
      <w:r w:rsidR="00784DE2">
        <w:rPr>
          <w:noProof/>
        </w:rPr>
        <w:t>44</w:t>
      </w:r>
      <w:r w:rsidR="00FC6370">
        <w:rPr>
          <w:noProof/>
        </w:rPr>
        <w:fldChar w:fldCharType="end"/>
      </w:r>
      <w:bookmarkEnd w:id="351"/>
      <w:r>
        <w:t xml:space="preserve"> – Infusion Pumps, Balloon Based – Usage with other PL categories</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Figure 44"/>
        <w:tblDescription w:val="This table presents Figure 44 - Infusion Pumps, Balloon Based - Usage with other PL categories"/>
      </w:tblPr>
      <w:tblGrid>
        <w:gridCol w:w="4513"/>
        <w:gridCol w:w="4843"/>
      </w:tblGrid>
      <w:tr w:rsidR="00FC5BDA" w14:paraId="78C72081" w14:textId="77777777" w:rsidTr="009C3BEC">
        <w:trPr>
          <w:tblHeader/>
        </w:trPr>
        <w:tc>
          <w:tcPr>
            <w:tcW w:w="4513" w:type="dxa"/>
          </w:tcPr>
          <w:p w14:paraId="3B501683" w14:textId="499B9148" w:rsidR="00FC5BDA" w:rsidRPr="00221A0A" w:rsidRDefault="007A699F" w:rsidP="00FC5BDA">
            <w:r>
              <w:rPr>
                <w:noProof/>
                <w:lang w:val="en-AU" w:eastAsia="en-AU"/>
              </w:rPr>
              <w:drawing>
                <wp:inline distT="0" distB="0" distL="0" distR="0" wp14:anchorId="05AE10E8" wp14:editId="1E57EF66">
                  <wp:extent cx="2623930" cy="1640734"/>
                  <wp:effectExtent l="0" t="0" r="5080" b="0"/>
                  <wp:docPr id="8" name="Picture 8" descr="Figure 44 - Infusion Pumps, Balloon Based - Usage with other PL Categories&#10;FY11 - FY19" title="Figure 44 - Infusion Pumps, Balloon Based - Usage with other PL Categ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646352" cy="1654755"/>
                          </a:xfrm>
                          <a:prstGeom prst="rect">
                            <a:avLst/>
                          </a:prstGeom>
                          <a:noFill/>
                        </pic:spPr>
                      </pic:pic>
                    </a:graphicData>
                  </a:graphic>
                </wp:inline>
              </w:drawing>
            </w:r>
          </w:p>
          <w:p w14:paraId="0A7C7816" w14:textId="77777777" w:rsidR="00FC5BDA" w:rsidRDefault="00FC5BDA" w:rsidP="00FC5BDA"/>
        </w:tc>
        <w:tc>
          <w:tcPr>
            <w:tcW w:w="4843" w:type="dxa"/>
          </w:tcPr>
          <w:p w14:paraId="64179BF6" w14:textId="734AE6BF" w:rsidR="00FC5BDA" w:rsidRDefault="00FC5BDA" w:rsidP="00FC5BDA">
            <w:r>
              <w:rPr>
                <w:noProof/>
                <w:lang w:val="en-AU" w:eastAsia="en-AU"/>
              </w:rPr>
              <w:drawing>
                <wp:inline distT="0" distB="0" distL="0" distR="0" wp14:anchorId="799EE450" wp14:editId="19F2583B">
                  <wp:extent cx="2496471" cy="1576705"/>
                  <wp:effectExtent l="0" t="0" r="0" b="4445"/>
                  <wp:docPr id="123053219" name="Picture 123053219" descr="Figure 44 - Infusion Pumps, Balloon Based - Usage with other PL Categories&#10;FY11 - FY19" title="Figure 44 - Infusion Pumps, Balloon Based - Usage with other PL Categ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505048" cy="1582122"/>
                          </a:xfrm>
                          <a:prstGeom prst="rect">
                            <a:avLst/>
                          </a:prstGeom>
                          <a:noFill/>
                        </pic:spPr>
                      </pic:pic>
                    </a:graphicData>
                  </a:graphic>
                </wp:inline>
              </w:drawing>
            </w:r>
          </w:p>
        </w:tc>
      </w:tr>
    </w:tbl>
    <w:bookmarkEnd w:id="349"/>
    <w:bookmarkEnd w:id="350"/>
    <w:p w14:paraId="76C3BD2F" w14:textId="0ACC569F" w:rsidR="004014F3" w:rsidRPr="00B973CE" w:rsidRDefault="00B973CE" w:rsidP="00AF1D4E">
      <w:pPr>
        <w:pStyle w:val="Bodytextwithparaspace"/>
        <w:rPr>
          <w:i/>
          <w:iCs/>
          <w:sz w:val="18"/>
          <w:szCs w:val="18"/>
        </w:rPr>
      </w:pPr>
      <w:r w:rsidRPr="00B973CE">
        <w:rPr>
          <w:i/>
          <w:iCs/>
          <w:sz w:val="18"/>
          <w:szCs w:val="18"/>
        </w:rPr>
        <w:t>Note: usage with other categories excludes usage with other high priority GM items</w:t>
      </w:r>
    </w:p>
    <w:p w14:paraId="4E3D99AD" w14:textId="77777777" w:rsidR="004014F3" w:rsidRDefault="004014F3">
      <w:pPr>
        <w:autoSpaceDE/>
        <w:autoSpaceDN/>
        <w:adjustRightInd/>
        <w:rPr>
          <w:rFonts w:cs="Arial"/>
          <w:b/>
          <w:bCs/>
          <w:iCs/>
          <w:sz w:val="28"/>
        </w:rPr>
      </w:pPr>
      <w:r>
        <w:br w:type="page"/>
      </w:r>
    </w:p>
    <w:p w14:paraId="2C3D6761" w14:textId="77777777" w:rsidR="004206B0" w:rsidRDefault="004206B0" w:rsidP="00E366F8">
      <w:pPr>
        <w:pStyle w:val="Heading2"/>
      </w:pPr>
      <w:bookmarkStart w:id="352" w:name="_Toc36219818"/>
      <w:bookmarkStart w:id="353" w:name="_Ref36734765"/>
      <w:r>
        <w:t>03.02.03 – Infusion Pumps, Battery Powered</w:t>
      </w:r>
      <w:bookmarkEnd w:id="352"/>
      <w:bookmarkEnd w:id="353"/>
    </w:p>
    <w:p w14:paraId="44273293" w14:textId="77777777" w:rsidR="004206B0" w:rsidRDefault="004206B0" w:rsidP="004206B0">
      <w:pPr>
        <w:pStyle w:val="Caption"/>
      </w:pPr>
    </w:p>
    <w:p w14:paraId="65D7EFAF" w14:textId="465EAE45" w:rsidR="004206B0" w:rsidRDefault="004206B0" w:rsidP="004206B0">
      <w:pPr>
        <w:pStyle w:val="Caption"/>
        <w:keepNext/>
      </w:pPr>
      <w:bookmarkStart w:id="354" w:name="_Ref41291833"/>
      <w:bookmarkStart w:id="355" w:name="_Toc36219884"/>
      <w:r>
        <w:t xml:space="preserve">Figure </w:t>
      </w:r>
      <w:r w:rsidR="00FC6370">
        <w:fldChar w:fldCharType="begin"/>
      </w:r>
      <w:r w:rsidR="00FC6370">
        <w:instrText xml:space="preserve"> SEQ Figure \* ARABIC </w:instrText>
      </w:r>
      <w:r w:rsidR="00FC6370">
        <w:fldChar w:fldCharType="separate"/>
      </w:r>
      <w:r w:rsidR="00784DE2">
        <w:rPr>
          <w:noProof/>
        </w:rPr>
        <w:t>45</w:t>
      </w:r>
      <w:r w:rsidR="00FC6370">
        <w:rPr>
          <w:noProof/>
        </w:rPr>
        <w:fldChar w:fldCharType="end"/>
      </w:r>
      <w:bookmarkEnd w:id="354"/>
      <w:r>
        <w:t xml:space="preserve"> – Battery Powered Infusion Pumps – Other Pharmacology – Usage with other PL categories</w:t>
      </w:r>
      <w:bookmarkEnd w:id="355"/>
    </w:p>
    <w:tbl>
      <w:tblPr>
        <w:tblStyle w:val="TableGrid"/>
        <w:tblW w:w="97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Figure 45"/>
        <w:tblDescription w:val="This table presents Figure 45 - Battery Powered Infusion Pumps - Other Pharmacology - Usage with other PL Categories"/>
      </w:tblPr>
      <w:tblGrid>
        <w:gridCol w:w="4832"/>
        <w:gridCol w:w="4870"/>
      </w:tblGrid>
      <w:tr w:rsidR="004206B0" w14:paraId="121A4E29" w14:textId="77777777" w:rsidTr="001A3987">
        <w:trPr>
          <w:tblHeader/>
        </w:trPr>
        <w:tc>
          <w:tcPr>
            <w:tcW w:w="4866" w:type="dxa"/>
          </w:tcPr>
          <w:p w14:paraId="2812F6D3" w14:textId="2B81606A" w:rsidR="004206B0" w:rsidRDefault="00A872C6" w:rsidP="00701B3B">
            <w:r>
              <w:rPr>
                <w:noProof/>
                <w:lang w:val="en-AU" w:eastAsia="en-AU"/>
              </w:rPr>
              <w:drawing>
                <wp:inline distT="0" distB="0" distL="0" distR="0" wp14:anchorId="538FB45C" wp14:editId="5EE77932">
                  <wp:extent cx="2866034" cy="1607185"/>
                  <wp:effectExtent l="0" t="0" r="0" b="0"/>
                  <wp:docPr id="17" name="Picture 17" descr="Figure 45 - Battery Powered Infusion Pumps - Other Pharmacology - Usage with other PL Categories&#10;03.02.03&#10;FY11 - FY19" title="Figure 45 - Battery Powered Infusion Pumps - Other Pharmacology - Usage with other PL Categ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882725" cy="1616545"/>
                          </a:xfrm>
                          <a:prstGeom prst="rect">
                            <a:avLst/>
                          </a:prstGeom>
                          <a:noFill/>
                        </pic:spPr>
                      </pic:pic>
                    </a:graphicData>
                  </a:graphic>
                </wp:inline>
              </w:drawing>
            </w:r>
          </w:p>
        </w:tc>
        <w:tc>
          <w:tcPr>
            <w:tcW w:w="4836" w:type="dxa"/>
          </w:tcPr>
          <w:p w14:paraId="7A93C5DB" w14:textId="15FE2B95" w:rsidR="004206B0" w:rsidRDefault="001362CC" w:rsidP="00701B3B">
            <w:r>
              <w:rPr>
                <w:noProof/>
                <w:lang w:val="en-AU" w:eastAsia="en-AU"/>
              </w:rPr>
              <w:drawing>
                <wp:inline distT="0" distB="0" distL="0" distR="0" wp14:anchorId="72A45857" wp14:editId="78492125">
                  <wp:extent cx="2955691" cy="1607185"/>
                  <wp:effectExtent l="0" t="0" r="0" b="0"/>
                  <wp:docPr id="1942167670" name="Picture 1942167670" descr="Figure 45 - Battery Powered Infusion Pumps - Other Pharmacology - Usage with other PL Categories&#10;03.02.03&#10;FY11 - FY19" title="Figure 45 - Battery Powered Infusion Pumps - Other Pharmacology - Usage with other PL Categ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973713" cy="1616985"/>
                          </a:xfrm>
                          <a:prstGeom prst="rect">
                            <a:avLst/>
                          </a:prstGeom>
                          <a:noFill/>
                        </pic:spPr>
                      </pic:pic>
                    </a:graphicData>
                  </a:graphic>
                </wp:inline>
              </w:drawing>
            </w:r>
          </w:p>
        </w:tc>
      </w:tr>
    </w:tbl>
    <w:p w14:paraId="16352814" w14:textId="77777777" w:rsidR="004206B0" w:rsidRPr="00B973CE" w:rsidRDefault="004206B0" w:rsidP="00A26B3B">
      <w:pPr>
        <w:pStyle w:val="Bodytextwithparaspace"/>
        <w:rPr>
          <w:i/>
          <w:iCs/>
          <w:sz w:val="18"/>
          <w:szCs w:val="18"/>
        </w:rPr>
      </w:pPr>
      <w:r w:rsidRPr="00B973CE">
        <w:rPr>
          <w:i/>
          <w:iCs/>
          <w:sz w:val="18"/>
          <w:szCs w:val="18"/>
        </w:rPr>
        <w:t>Note: usage with other categories excludes usage with other high priority GM items</w:t>
      </w:r>
    </w:p>
    <w:p w14:paraId="653E6F51" w14:textId="441E65D7" w:rsidR="004206B0" w:rsidRDefault="004206B0" w:rsidP="00463B2D">
      <w:pPr>
        <w:pStyle w:val="Heading2"/>
      </w:pPr>
      <w:bookmarkStart w:id="356" w:name="_Toc36219823"/>
      <w:bookmarkStart w:id="357" w:name="_Ref36734794"/>
      <w:bookmarkStart w:id="358" w:name="_Ref38573035"/>
      <w:r>
        <w:t>03.05.02 – Powder</w:t>
      </w:r>
      <w:bookmarkEnd w:id="356"/>
      <w:bookmarkEnd w:id="357"/>
      <w:bookmarkEnd w:id="358"/>
    </w:p>
    <w:p w14:paraId="509BC405" w14:textId="77777777" w:rsidR="00B973CE" w:rsidRPr="00B973CE" w:rsidRDefault="00B973CE" w:rsidP="00B973CE"/>
    <w:p w14:paraId="5E1F3B85" w14:textId="1C33DF21" w:rsidR="004206B0" w:rsidRDefault="004206B0" w:rsidP="004206B0">
      <w:pPr>
        <w:pStyle w:val="Caption"/>
        <w:keepNext/>
      </w:pPr>
      <w:bookmarkStart w:id="359" w:name="_Toc36219896"/>
      <w:r>
        <w:t xml:space="preserve">Figure </w:t>
      </w:r>
      <w:r w:rsidR="00FC6370">
        <w:fldChar w:fldCharType="begin"/>
      </w:r>
      <w:r w:rsidR="00FC6370">
        <w:instrText xml:space="preserve"> SEQ Figure \* ARABIC </w:instrText>
      </w:r>
      <w:r w:rsidR="00FC6370">
        <w:fldChar w:fldCharType="separate"/>
      </w:r>
      <w:r w:rsidR="00784DE2">
        <w:rPr>
          <w:noProof/>
        </w:rPr>
        <w:t>46</w:t>
      </w:r>
      <w:r w:rsidR="00FC6370">
        <w:rPr>
          <w:noProof/>
        </w:rPr>
        <w:fldChar w:fldCharType="end"/>
      </w:r>
      <w:r>
        <w:t xml:space="preserve"> – Powder – Usage with other PL categories</w:t>
      </w:r>
      <w:bookmarkEnd w:id="359"/>
    </w:p>
    <w:tbl>
      <w:tblPr>
        <w:tblStyle w:val="TableGrid"/>
        <w:tblW w:w="93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Figure 46"/>
        <w:tblDescription w:val="This table presents Figure 46 - Powder - Usage with other PL Categories"/>
      </w:tblPr>
      <w:tblGrid>
        <w:gridCol w:w="4746"/>
        <w:gridCol w:w="4634"/>
      </w:tblGrid>
      <w:tr w:rsidR="004206B0" w14:paraId="021D04A8" w14:textId="77777777" w:rsidTr="001A3987">
        <w:trPr>
          <w:tblHeader/>
        </w:trPr>
        <w:tc>
          <w:tcPr>
            <w:tcW w:w="4746" w:type="dxa"/>
          </w:tcPr>
          <w:p w14:paraId="6F3B4AEF" w14:textId="2BFF39E8" w:rsidR="00EF6DA8" w:rsidRPr="00EF6DA8" w:rsidRDefault="001602DB" w:rsidP="00696296">
            <w:r>
              <w:rPr>
                <w:noProof/>
                <w:lang w:val="en-AU" w:eastAsia="en-AU"/>
              </w:rPr>
              <w:drawing>
                <wp:inline distT="0" distB="0" distL="0" distR="0" wp14:anchorId="43CAC842" wp14:editId="648A69EA">
                  <wp:extent cx="2824503" cy="1681090"/>
                  <wp:effectExtent l="0" t="0" r="0" b="0"/>
                  <wp:docPr id="18" name="Picture 18" descr="Figure 46 - Powder - Usage with other PL Categories&#10;03.05.02&#10;FY11 - FY19" title="Figure 46 - Powder - Usage with other PL Categ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846192" cy="1693999"/>
                          </a:xfrm>
                          <a:prstGeom prst="rect">
                            <a:avLst/>
                          </a:prstGeom>
                          <a:noFill/>
                        </pic:spPr>
                      </pic:pic>
                    </a:graphicData>
                  </a:graphic>
                </wp:inline>
              </w:drawing>
            </w:r>
          </w:p>
          <w:p w14:paraId="50B6A90F" w14:textId="77777777" w:rsidR="004206B0" w:rsidRDefault="004206B0" w:rsidP="00701B3B"/>
        </w:tc>
        <w:tc>
          <w:tcPr>
            <w:tcW w:w="4634" w:type="dxa"/>
          </w:tcPr>
          <w:p w14:paraId="0A809692" w14:textId="35690A1A" w:rsidR="004206B0" w:rsidRDefault="00696296" w:rsidP="00701B3B">
            <w:r>
              <w:rPr>
                <w:noProof/>
                <w:lang w:val="en-AU" w:eastAsia="en-AU"/>
              </w:rPr>
              <w:drawing>
                <wp:inline distT="0" distB="0" distL="0" distR="0" wp14:anchorId="15D5316A" wp14:editId="618550DF">
                  <wp:extent cx="2769447" cy="1738478"/>
                  <wp:effectExtent l="0" t="0" r="0" b="0"/>
                  <wp:docPr id="1942167674" name="Picture 1942167674" descr="Figure 46 - Powder - Usage with other PL Categories&#10;03.05.02&#10;FY11 - FY19" title="Figure 46 - Powder - Usage with other PL Categ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786712" cy="1749316"/>
                          </a:xfrm>
                          <a:prstGeom prst="rect">
                            <a:avLst/>
                          </a:prstGeom>
                          <a:noFill/>
                        </pic:spPr>
                      </pic:pic>
                    </a:graphicData>
                  </a:graphic>
                </wp:inline>
              </w:drawing>
            </w:r>
          </w:p>
        </w:tc>
      </w:tr>
    </w:tbl>
    <w:p w14:paraId="2E485B8D" w14:textId="77777777" w:rsidR="004206B0" w:rsidRPr="00B973CE" w:rsidRDefault="004206B0" w:rsidP="00A26B3B">
      <w:pPr>
        <w:pStyle w:val="Bodytextwithparaspace"/>
        <w:rPr>
          <w:i/>
          <w:iCs/>
          <w:sz w:val="18"/>
          <w:szCs w:val="18"/>
        </w:rPr>
      </w:pPr>
      <w:r w:rsidRPr="00B973CE">
        <w:rPr>
          <w:i/>
          <w:iCs/>
          <w:sz w:val="18"/>
          <w:szCs w:val="18"/>
        </w:rPr>
        <w:t>Note: usage with other categories excludes usage with other high priority GM items</w:t>
      </w:r>
    </w:p>
    <w:p w14:paraId="28ED04BF" w14:textId="77777777" w:rsidR="004014F3" w:rsidRDefault="004014F3" w:rsidP="00AF1D4E">
      <w:pPr>
        <w:pStyle w:val="Bodytextwithparaspace"/>
      </w:pPr>
    </w:p>
    <w:p w14:paraId="27DBD9AC" w14:textId="77777777" w:rsidR="004014F3" w:rsidRDefault="004014F3">
      <w:pPr>
        <w:autoSpaceDE/>
        <w:autoSpaceDN/>
        <w:adjustRightInd/>
        <w:rPr>
          <w:rFonts w:cs="Arial"/>
          <w:b/>
          <w:bCs/>
          <w:iCs/>
          <w:sz w:val="28"/>
        </w:rPr>
      </w:pPr>
      <w:r>
        <w:br w:type="page"/>
      </w:r>
    </w:p>
    <w:p w14:paraId="383A5D7F" w14:textId="77777777" w:rsidR="004206B0" w:rsidRDefault="004206B0" w:rsidP="00AB197D">
      <w:pPr>
        <w:pStyle w:val="Heading2"/>
      </w:pPr>
      <w:bookmarkStart w:id="360" w:name="_Toc36219826"/>
      <w:bookmarkStart w:id="361" w:name="_Ref36734799"/>
      <w:bookmarkStart w:id="362" w:name="_Ref38573046"/>
      <w:r>
        <w:t>03.05.03 – Sponges</w:t>
      </w:r>
      <w:bookmarkEnd w:id="360"/>
      <w:bookmarkEnd w:id="361"/>
      <w:bookmarkEnd w:id="362"/>
    </w:p>
    <w:p w14:paraId="7BA01A70" w14:textId="1878E99F" w:rsidR="004206B0" w:rsidRDefault="004206B0" w:rsidP="00AB197D">
      <w:pPr>
        <w:pStyle w:val="Caption"/>
        <w:keepNext/>
      </w:pPr>
      <w:bookmarkStart w:id="363" w:name="_Toc36219906"/>
      <w:r>
        <w:t xml:space="preserve">Figure </w:t>
      </w:r>
      <w:r w:rsidR="00FC6370">
        <w:fldChar w:fldCharType="begin"/>
      </w:r>
      <w:r w:rsidR="00FC6370">
        <w:instrText xml:space="preserve"> SEQ Figure \* ARABIC </w:instrText>
      </w:r>
      <w:r w:rsidR="00FC6370">
        <w:fldChar w:fldCharType="separate"/>
      </w:r>
      <w:r w:rsidR="00784DE2">
        <w:rPr>
          <w:noProof/>
        </w:rPr>
        <w:t>47</w:t>
      </w:r>
      <w:r w:rsidR="00FC6370">
        <w:rPr>
          <w:noProof/>
        </w:rPr>
        <w:fldChar w:fldCharType="end"/>
      </w:r>
      <w:r>
        <w:t xml:space="preserve"> – Sponges – Usage with other PL categories</w:t>
      </w:r>
      <w:bookmarkEnd w:id="363"/>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Figure 47"/>
        <w:tblDescription w:val="This table presents Figure 47 - Sponges - Usage with other PL categories"/>
      </w:tblPr>
      <w:tblGrid>
        <w:gridCol w:w="4546"/>
        <w:gridCol w:w="4810"/>
      </w:tblGrid>
      <w:tr w:rsidR="004206B0" w14:paraId="1CD52FED" w14:textId="77777777" w:rsidTr="001A3987">
        <w:trPr>
          <w:cantSplit/>
          <w:tblHeader/>
        </w:trPr>
        <w:tc>
          <w:tcPr>
            <w:tcW w:w="4546" w:type="dxa"/>
          </w:tcPr>
          <w:p w14:paraId="482324B6" w14:textId="107291AA" w:rsidR="00B9488E" w:rsidRPr="00B9488E" w:rsidRDefault="00926C07" w:rsidP="00B9488E">
            <w:r>
              <w:rPr>
                <w:noProof/>
                <w:lang w:val="en-AU" w:eastAsia="en-AU"/>
              </w:rPr>
              <w:drawing>
                <wp:inline distT="0" distB="0" distL="0" distR="0" wp14:anchorId="01040EB2" wp14:editId="20199E9D">
                  <wp:extent cx="2731770" cy="1457292"/>
                  <wp:effectExtent l="0" t="0" r="0" b="0"/>
                  <wp:docPr id="19" name="Picture 19" descr="Figure 47 - Sponges - Usage with other PL Categories&#10;03.05.03&#10;FY11 - FY10" title="Figure 47 - Sponges - Usage with other PL Categ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783105" cy="1484677"/>
                          </a:xfrm>
                          <a:prstGeom prst="rect">
                            <a:avLst/>
                          </a:prstGeom>
                          <a:noFill/>
                        </pic:spPr>
                      </pic:pic>
                    </a:graphicData>
                  </a:graphic>
                </wp:inline>
              </w:drawing>
            </w:r>
          </w:p>
          <w:p w14:paraId="074434DC" w14:textId="77777777" w:rsidR="004206B0" w:rsidRDefault="004206B0" w:rsidP="00701B3B"/>
        </w:tc>
        <w:tc>
          <w:tcPr>
            <w:tcW w:w="4810" w:type="dxa"/>
          </w:tcPr>
          <w:p w14:paraId="5EAC8E1F" w14:textId="7842818D" w:rsidR="004206B0" w:rsidRDefault="00B9488E" w:rsidP="00701B3B">
            <w:r>
              <w:rPr>
                <w:noProof/>
                <w:lang w:val="en-AU" w:eastAsia="en-AU"/>
              </w:rPr>
              <w:drawing>
                <wp:inline distT="0" distB="0" distL="0" distR="0" wp14:anchorId="34AF2624" wp14:editId="606A32A4">
                  <wp:extent cx="2766940" cy="1574589"/>
                  <wp:effectExtent l="0" t="0" r="0" b="6985"/>
                  <wp:docPr id="1942167676" name="Picture 1942167676" descr="Figure 47 - Sponges - Usage with other PL Categories&#10;03.05.03&#10;FY11 - FY10" title="Figure 47 - Sponges - Usage with other PL Categ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794104" cy="1590047"/>
                          </a:xfrm>
                          <a:prstGeom prst="rect">
                            <a:avLst/>
                          </a:prstGeom>
                          <a:noFill/>
                        </pic:spPr>
                      </pic:pic>
                    </a:graphicData>
                  </a:graphic>
                </wp:inline>
              </w:drawing>
            </w:r>
          </w:p>
        </w:tc>
      </w:tr>
    </w:tbl>
    <w:p w14:paraId="17F91DB3" w14:textId="2461FECC" w:rsidR="004014F3" w:rsidRDefault="004206B0" w:rsidP="00463B2D">
      <w:pPr>
        <w:pStyle w:val="Bodytextwithparaspace"/>
        <w:rPr>
          <w:rFonts w:cs="Arial"/>
          <w:sz w:val="28"/>
        </w:rPr>
      </w:pPr>
      <w:r w:rsidRPr="00B973CE">
        <w:rPr>
          <w:i/>
          <w:iCs/>
          <w:sz w:val="18"/>
          <w:szCs w:val="18"/>
        </w:rPr>
        <w:t>Note: usage with other categories excludes usage with other high priority GM items</w:t>
      </w:r>
    </w:p>
    <w:p w14:paraId="4AF52D06" w14:textId="77777777" w:rsidR="004206B0" w:rsidRDefault="004206B0" w:rsidP="00AB197D">
      <w:pPr>
        <w:pStyle w:val="Heading2"/>
      </w:pPr>
      <w:bookmarkStart w:id="364" w:name="_Toc36219829"/>
      <w:bookmarkStart w:id="365" w:name="_Ref36734812"/>
      <w:r w:rsidRPr="00FF4EB2">
        <w:t>03.05.04 – Pliable Patches</w:t>
      </w:r>
      <w:bookmarkEnd w:id="364"/>
      <w:bookmarkEnd w:id="365"/>
    </w:p>
    <w:p w14:paraId="4FF7DD2F" w14:textId="7E0BE5BA" w:rsidR="004206B0" w:rsidRDefault="004206B0" w:rsidP="00AB197D">
      <w:pPr>
        <w:pStyle w:val="Caption"/>
        <w:keepNext/>
      </w:pPr>
      <w:bookmarkStart w:id="366" w:name="_Toc36219922"/>
      <w:r>
        <w:t xml:space="preserve">Figure </w:t>
      </w:r>
      <w:r w:rsidR="00FC6370">
        <w:fldChar w:fldCharType="begin"/>
      </w:r>
      <w:r w:rsidR="00FC6370">
        <w:instrText xml:space="preserve"> SEQ Figure \* ARABIC </w:instrText>
      </w:r>
      <w:r w:rsidR="00FC6370">
        <w:fldChar w:fldCharType="separate"/>
      </w:r>
      <w:r w:rsidR="00784DE2">
        <w:rPr>
          <w:noProof/>
        </w:rPr>
        <w:t>48</w:t>
      </w:r>
      <w:r w:rsidR="00FC6370">
        <w:rPr>
          <w:noProof/>
        </w:rPr>
        <w:fldChar w:fldCharType="end"/>
      </w:r>
      <w:r>
        <w:t xml:space="preserve"> – Pliable Patches – Usage with other PL categories</w:t>
      </w:r>
      <w:bookmarkEnd w:id="366"/>
    </w:p>
    <w:tbl>
      <w:tblPr>
        <w:tblStyle w:val="TableGrid"/>
        <w:tblW w:w="94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Figure 48"/>
        <w:tblDescription w:val="This table presents Figure 48 - Pliable Patches - Usage with other Categories"/>
      </w:tblPr>
      <w:tblGrid>
        <w:gridCol w:w="4794"/>
        <w:gridCol w:w="4668"/>
      </w:tblGrid>
      <w:tr w:rsidR="004206B0" w14:paraId="7AB59260" w14:textId="77777777" w:rsidTr="001A3987">
        <w:trPr>
          <w:tblHeader/>
        </w:trPr>
        <w:tc>
          <w:tcPr>
            <w:tcW w:w="4806" w:type="dxa"/>
          </w:tcPr>
          <w:p w14:paraId="72ED2AB0" w14:textId="0E25250F" w:rsidR="004206B0" w:rsidRDefault="00D73D1F" w:rsidP="00701B3B">
            <w:r>
              <w:rPr>
                <w:noProof/>
                <w:lang w:val="en-AU" w:eastAsia="en-AU"/>
              </w:rPr>
              <w:drawing>
                <wp:inline distT="0" distB="0" distL="0" distR="0" wp14:anchorId="0D967C85" wp14:editId="0031D8B1">
                  <wp:extent cx="2889093" cy="1699147"/>
                  <wp:effectExtent l="0" t="0" r="6985" b="0"/>
                  <wp:docPr id="23" name="Picture 23" descr="Figure 48 - Pliable patches - Usage with other PL categories&#10;03.05.04&#10;FY11 - FY19" title="Figure 48 - Pliable patches - Usage with other PL categ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916929" cy="1715518"/>
                          </a:xfrm>
                          <a:prstGeom prst="rect">
                            <a:avLst/>
                          </a:prstGeom>
                          <a:noFill/>
                        </pic:spPr>
                      </pic:pic>
                    </a:graphicData>
                  </a:graphic>
                </wp:inline>
              </w:drawing>
            </w:r>
          </w:p>
        </w:tc>
        <w:tc>
          <w:tcPr>
            <w:tcW w:w="4656" w:type="dxa"/>
          </w:tcPr>
          <w:p w14:paraId="0F8BA13E" w14:textId="48CF9085" w:rsidR="004206B0" w:rsidRDefault="005618E5" w:rsidP="00701B3B">
            <w:r>
              <w:rPr>
                <w:noProof/>
                <w:lang w:val="en-AU" w:eastAsia="en-AU"/>
              </w:rPr>
              <w:drawing>
                <wp:inline distT="0" distB="0" distL="0" distR="0" wp14:anchorId="0B88FCEF" wp14:editId="10AE1181">
                  <wp:extent cx="2827106" cy="1558636"/>
                  <wp:effectExtent l="0" t="0" r="0" b="3810"/>
                  <wp:docPr id="2080465143" name="Picture 2080465143" descr="Figure 48 - Pliable patches - Usage with other PL categories&#10;03.05.04&#10;FY11 - FY19" title="Figure 48 - Pliable patches - Usage with other PL categ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852886" cy="1572849"/>
                          </a:xfrm>
                          <a:prstGeom prst="rect">
                            <a:avLst/>
                          </a:prstGeom>
                          <a:noFill/>
                        </pic:spPr>
                      </pic:pic>
                    </a:graphicData>
                  </a:graphic>
                </wp:inline>
              </w:drawing>
            </w:r>
          </w:p>
        </w:tc>
      </w:tr>
    </w:tbl>
    <w:p w14:paraId="22BD5853" w14:textId="77777777" w:rsidR="004206B0" w:rsidRPr="00B973CE" w:rsidRDefault="004206B0" w:rsidP="00A26B3B">
      <w:pPr>
        <w:pStyle w:val="Bodytextwithparaspace"/>
        <w:rPr>
          <w:i/>
          <w:iCs/>
          <w:sz w:val="18"/>
          <w:szCs w:val="18"/>
        </w:rPr>
      </w:pPr>
      <w:r w:rsidRPr="00B973CE">
        <w:rPr>
          <w:i/>
          <w:iCs/>
          <w:sz w:val="18"/>
          <w:szCs w:val="18"/>
        </w:rPr>
        <w:t>Note: usage with other categories excludes usage with other high priority GM items</w:t>
      </w:r>
    </w:p>
    <w:p w14:paraId="238E089C" w14:textId="77777777" w:rsidR="004206B0" w:rsidRDefault="004206B0" w:rsidP="00463B2D">
      <w:pPr>
        <w:pStyle w:val="Heading2"/>
      </w:pPr>
      <w:bookmarkStart w:id="367" w:name="_Toc36219832"/>
      <w:bookmarkStart w:id="368" w:name="_Ref36734817"/>
      <w:r>
        <w:t>03.05.05 – Matrix</w:t>
      </w:r>
      <w:bookmarkEnd w:id="367"/>
      <w:bookmarkEnd w:id="368"/>
      <w:r>
        <w:t xml:space="preserve"> </w:t>
      </w:r>
    </w:p>
    <w:p w14:paraId="3019E144" w14:textId="4C95D55A" w:rsidR="004206B0" w:rsidRDefault="004206B0" w:rsidP="00AB197D">
      <w:pPr>
        <w:pStyle w:val="Caption"/>
        <w:keepNext/>
      </w:pPr>
      <w:bookmarkStart w:id="369" w:name="_Toc36219932"/>
      <w:r>
        <w:t xml:space="preserve">Figure </w:t>
      </w:r>
      <w:r w:rsidR="00FC6370">
        <w:fldChar w:fldCharType="begin"/>
      </w:r>
      <w:r w:rsidR="00FC6370">
        <w:instrText xml:space="preserve"> SEQ Figure \* ARABIC </w:instrText>
      </w:r>
      <w:r w:rsidR="00FC6370">
        <w:fldChar w:fldCharType="separate"/>
      </w:r>
      <w:r w:rsidR="00784DE2">
        <w:rPr>
          <w:noProof/>
        </w:rPr>
        <w:t>49</w:t>
      </w:r>
      <w:r w:rsidR="00FC6370">
        <w:rPr>
          <w:noProof/>
        </w:rPr>
        <w:fldChar w:fldCharType="end"/>
      </w:r>
      <w:r>
        <w:t xml:space="preserve"> – Matrix – Usage with other PL categories</w:t>
      </w:r>
      <w:bookmarkEnd w:id="369"/>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Figure 49"/>
        <w:tblDescription w:val="This table presents Figure 49 - Matrix - Usage with other PL categories"/>
      </w:tblPr>
      <w:tblGrid>
        <w:gridCol w:w="4513"/>
        <w:gridCol w:w="4843"/>
      </w:tblGrid>
      <w:tr w:rsidR="004206B0" w14:paraId="7F500C7F" w14:textId="77777777" w:rsidTr="001A3987">
        <w:trPr>
          <w:tblHeader/>
        </w:trPr>
        <w:tc>
          <w:tcPr>
            <w:tcW w:w="4513" w:type="dxa"/>
          </w:tcPr>
          <w:p w14:paraId="6BE3B82E" w14:textId="54533B9E" w:rsidR="004206B0" w:rsidRDefault="00A41154" w:rsidP="00701B3B">
            <w:r>
              <w:rPr>
                <w:noProof/>
                <w:lang w:val="en-AU" w:eastAsia="en-AU"/>
              </w:rPr>
              <w:drawing>
                <wp:inline distT="0" distB="0" distL="0" distR="0" wp14:anchorId="15AE1C1E" wp14:editId="50D9B5E7">
                  <wp:extent cx="2727895" cy="1508078"/>
                  <wp:effectExtent l="0" t="0" r="0" b="0"/>
                  <wp:docPr id="24" name="Picture 24" descr="Figure 49 - Matrix - Usage with other PL categories&#10;03.04.04&#10;FY11 - FY19" title="Figure 49 - Matrix - Usage with other PL categ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787350" cy="1540947"/>
                          </a:xfrm>
                          <a:prstGeom prst="rect">
                            <a:avLst/>
                          </a:prstGeom>
                          <a:noFill/>
                        </pic:spPr>
                      </pic:pic>
                    </a:graphicData>
                  </a:graphic>
                </wp:inline>
              </w:drawing>
            </w:r>
          </w:p>
        </w:tc>
        <w:tc>
          <w:tcPr>
            <w:tcW w:w="4843" w:type="dxa"/>
          </w:tcPr>
          <w:p w14:paraId="1A1DABAF" w14:textId="5DE82711" w:rsidR="004206B0" w:rsidRDefault="00127646" w:rsidP="00701B3B">
            <w:r>
              <w:rPr>
                <w:noProof/>
                <w:lang w:val="en-AU" w:eastAsia="en-AU"/>
              </w:rPr>
              <w:drawing>
                <wp:inline distT="0" distB="0" distL="0" distR="0" wp14:anchorId="7CBCD445" wp14:editId="72965C8A">
                  <wp:extent cx="2826596" cy="1560805"/>
                  <wp:effectExtent l="0" t="0" r="0" b="1905"/>
                  <wp:docPr id="345811266" name="Picture 345811266" descr="Figure 49 - Matrix - Usage with other PL categories&#10;03.04.04&#10;FY11 - FY19" title="Figure 49 - Matrix - Usage with other PL categ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829196" cy="1562241"/>
                          </a:xfrm>
                          <a:prstGeom prst="rect">
                            <a:avLst/>
                          </a:prstGeom>
                          <a:noFill/>
                        </pic:spPr>
                      </pic:pic>
                    </a:graphicData>
                  </a:graphic>
                </wp:inline>
              </w:drawing>
            </w:r>
          </w:p>
        </w:tc>
      </w:tr>
    </w:tbl>
    <w:p w14:paraId="3CFC5F9E" w14:textId="77777777" w:rsidR="004206B0" w:rsidRPr="00A26B3B" w:rsidRDefault="004206B0" w:rsidP="00A26B3B">
      <w:pPr>
        <w:pStyle w:val="Bodytextwithparaspace"/>
        <w:rPr>
          <w:i/>
          <w:sz w:val="18"/>
          <w:szCs w:val="18"/>
        </w:rPr>
      </w:pPr>
      <w:r w:rsidRPr="008232EE">
        <w:rPr>
          <w:i/>
          <w:sz w:val="18"/>
          <w:szCs w:val="18"/>
        </w:rPr>
        <w:t>Note: usage with other categories excludes usage with other high priority GM items</w:t>
      </w:r>
    </w:p>
    <w:p w14:paraId="38ED176D" w14:textId="77777777" w:rsidR="004014F3" w:rsidRDefault="004014F3" w:rsidP="00AF1D4E">
      <w:pPr>
        <w:pStyle w:val="Bodytextwithparaspace"/>
      </w:pPr>
    </w:p>
    <w:p w14:paraId="7AA88111" w14:textId="77777777" w:rsidR="004014F3" w:rsidRDefault="004014F3">
      <w:pPr>
        <w:autoSpaceDE/>
        <w:autoSpaceDN/>
        <w:adjustRightInd/>
        <w:rPr>
          <w:rFonts w:cs="Arial"/>
          <w:b/>
          <w:bCs/>
          <w:iCs/>
          <w:sz w:val="28"/>
        </w:rPr>
      </w:pPr>
      <w:r>
        <w:br w:type="page"/>
      </w:r>
    </w:p>
    <w:p w14:paraId="2D6C6C87" w14:textId="77777777" w:rsidR="004206B0" w:rsidRPr="009E4E6E" w:rsidRDefault="004206B0" w:rsidP="00AB197D">
      <w:pPr>
        <w:pStyle w:val="Heading2"/>
      </w:pPr>
      <w:bookmarkStart w:id="370" w:name="_Toc36219835"/>
      <w:bookmarkStart w:id="371" w:name="_Ref36734821"/>
      <w:bookmarkStart w:id="372" w:name="_Ref38573152"/>
      <w:r w:rsidRPr="005110DE">
        <w:t>03.05.06 – Foam</w:t>
      </w:r>
      <w:bookmarkEnd w:id="370"/>
      <w:bookmarkEnd w:id="371"/>
      <w:bookmarkEnd w:id="372"/>
    </w:p>
    <w:p w14:paraId="338C3A8E" w14:textId="4D9C4C9D" w:rsidR="004206B0" w:rsidRDefault="004206B0" w:rsidP="004206B0">
      <w:pPr>
        <w:pStyle w:val="Caption"/>
        <w:rPr>
          <w:rFonts w:eastAsia="Calibri" w:cs="Calibri"/>
        </w:rPr>
      </w:pPr>
      <w:bookmarkStart w:id="373" w:name="_Toc36220052"/>
      <w:r>
        <w:t xml:space="preserve">Table </w:t>
      </w:r>
      <w:r>
        <w:fldChar w:fldCharType="begin"/>
      </w:r>
      <w:r>
        <w:instrText>SEQ Table \* ARABIC</w:instrText>
      </w:r>
      <w:r>
        <w:fldChar w:fldCharType="separate"/>
      </w:r>
      <w:r w:rsidR="00784DE2">
        <w:rPr>
          <w:noProof/>
        </w:rPr>
        <w:t>18</w:t>
      </w:r>
      <w:r>
        <w:fldChar w:fldCharType="end"/>
      </w:r>
      <w:r>
        <w:t xml:space="preserve"> – Foam subgroups</w:t>
      </w:r>
      <w:bookmarkEnd w:id="373"/>
    </w:p>
    <w:tbl>
      <w:tblPr>
        <w:tblStyle w:val="TableGrid"/>
        <w:tblW w:w="9027" w:type="dxa"/>
        <w:tblLayout w:type="fixed"/>
        <w:tblLook w:val="04A0" w:firstRow="1" w:lastRow="0" w:firstColumn="1" w:lastColumn="0" w:noHBand="0" w:noVBand="1"/>
        <w:tblCaption w:val="Table 18: Foam subgroups"/>
        <w:tblDescription w:val="This table identifies that there are no sub-groups in the 03.05.06 - Foam grouping on the Prostheses List and identifies a benefit amount for the group between $136 and $150, with total benefits paid in FY19 of $2.1 million."/>
      </w:tblPr>
      <w:tblGrid>
        <w:gridCol w:w="3009"/>
        <w:gridCol w:w="2940"/>
        <w:gridCol w:w="3078"/>
      </w:tblGrid>
      <w:tr w:rsidR="004206B0" w14:paraId="3072913F" w14:textId="77777777" w:rsidTr="009C3BEC">
        <w:trPr>
          <w:tblHeader/>
        </w:trPr>
        <w:tc>
          <w:tcPr>
            <w:tcW w:w="3009" w:type="dxa"/>
            <w:shd w:val="clear" w:color="auto" w:fill="FFE600" w:themeFill="text2"/>
            <w:vAlign w:val="center"/>
          </w:tcPr>
          <w:p w14:paraId="25AF2650" w14:textId="77777777" w:rsidR="004206B0" w:rsidRDefault="004206B0" w:rsidP="00AB197D">
            <w:r w:rsidRPr="00A26B3B">
              <w:rPr>
                <w:rFonts w:eastAsia="Calibri" w:cs="Calibri"/>
                <w:b/>
                <w:bCs/>
              </w:rPr>
              <w:t>Product Sub-Group</w:t>
            </w:r>
          </w:p>
        </w:tc>
        <w:tc>
          <w:tcPr>
            <w:tcW w:w="2940" w:type="dxa"/>
            <w:shd w:val="clear" w:color="auto" w:fill="FFE600" w:themeFill="text2"/>
            <w:vAlign w:val="center"/>
          </w:tcPr>
          <w:p w14:paraId="4B5DA4E7" w14:textId="77777777" w:rsidR="004206B0" w:rsidRDefault="004206B0" w:rsidP="00AB197D">
            <w:r w:rsidRPr="00A26B3B">
              <w:rPr>
                <w:rFonts w:eastAsia="Calibri" w:cs="Calibri"/>
                <w:b/>
                <w:bCs/>
              </w:rPr>
              <w:t>Benefit amount on the PL ($)</w:t>
            </w:r>
          </w:p>
        </w:tc>
        <w:tc>
          <w:tcPr>
            <w:tcW w:w="3078" w:type="dxa"/>
            <w:shd w:val="clear" w:color="auto" w:fill="FFE600" w:themeFill="text2"/>
            <w:vAlign w:val="center"/>
          </w:tcPr>
          <w:p w14:paraId="628C0397" w14:textId="77777777" w:rsidR="004206B0" w:rsidRDefault="004206B0" w:rsidP="00AB197D">
            <w:r w:rsidRPr="00A26B3B">
              <w:rPr>
                <w:rFonts w:eastAsia="Calibri" w:cs="Calibri"/>
                <w:b/>
                <w:bCs/>
              </w:rPr>
              <w:t>Total Benefits Paid in FY19 ($)*</w:t>
            </w:r>
          </w:p>
        </w:tc>
      </w:tr>
      <w:tr w:rsidR="004206B0" w14:paraId="5DF6D2CD" w14:textId="77777777" w:rsidTr="00A26B3B">
        <w:trPr>
          <w:trHeight w:val="120"/>
        </w:trPr>
        <w:tc>
          <w:tcPr>
            <w:tcW w:w="3009" w:type="dxa"/>
          </w:tcPr>
          <w:p w14:paraId="363AEC1D" w14:textId="77777777" w:rsidR="004206B0" w:rsidRDefault="004206B0" w:rsidP="00701B3B">
            <w:r w:rsidRPr="00A26B3B">
              <w:rPr>
                <w:rFonts w:eastAsia="Calibri" w:cs="Calibri"/>
              </w:rPr>
              <w:t xml:space="preserve"> N/A – no sub-groups</w:t>
            </w:r>
          </w:p>
        </w:tc>
        <w:tc>
          <w:tcPr>
            <w:tcW w:w="2940" w:type="dxa"/>
          </w:tcPr>
          <w:p w14:paraId="0D80E04B" w14:textId="77777777" w:rsidR="004206B0" w:rsidRPr="00A26B3B" w:rsidRDefault="004206B0" w:rsidP="00701B3B">
            <w:pPr>
              <w:jc w:val="right"/>
              <w:rPr>
                <w:rFonts w:eastAsia="Calibri" w:cs="Calibri"/>
              </w:rPr>
            </w:pPr>
            <w:r w:rsidRPr="00A26B3B">
              <w:rPr>
                <w:rFonts w:eastAsia="Calibri" w:cs="Calibri"/>
              </w:rPr>
              <w:t>136 - 150</w:t>
            </w:r>
          </w:p>
        </w:tc>
        <w:tc>
          <w:tcPr>
            <w:tcW w:w="3078" w:type="dxa"/>
          </w:tcPr>
          <w:p w14:paraId="242942DD" w14:textId="7898983E" w:rsidR="004206B0" w:rsidRPr="00A26B3B" w:rsidRDefault="004206B0" w:rsidP="00701B3B">
            <w:pPr>
              <w:jc w:val="right"/>
              <w:rPr>
                <w:rFonts w:cs="Calibri"/>
                <w:color w:val="000000"/>
              </w:rPr>
            </w:pPr>
            <w:r w:rsidRPr="00A26B3B">
              <w:rPr>
                <w:rFonts w:cs="Calibri"/>
                <w:color w:val="000000"/>
              </w:rPr>
              <w:t xml:space="preserve">2,124,130 </w:t>
            </w:r>
          </w:p>
        </w:tc>
      </w:tr>
    </w:tbl>
    <w:p w14:paraId="6101FD5A" w14:textId="77777777" w:rsidR="004206B0" w:rsidRPr="0040640F" w:rsidRDefault="004206B0" w:rsidP="00A26B3B">
      <w:pPr>
        <w:pStyle w:val="Bodytextwithparaspace"/>
        <w:rPr>
          <w:sz w:val="18"/>
          <w:szCs w:val="18"/>
        </w:rPr>
      </w:pPr>
      <w:r w:rsidRPr="00737B62">
        <w:rPr>
          <w:sz w:val="18"/>
          <w:szCs w:val="18"/>
        </w:rPr>
        <w:t xml:space="preserve">*per the Department’s HCP dataset, which is </w:t>
      </w:r>
      <w:r w:rsidRPr="00E60A08">
        <w:rPr>
          <w:sz w:val="18"/>
          <w:szCs w:val="18"/>
        </w:rPr>
        <w:t>95% complete compared to APRA data</w:t>
      </w:r>
    </w:p>
    <w:tbl>
      <w:tblPr>
        <w:tblStyle w:val="TableGrid"/>
        <w:tblW w:w="92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Figures 50 to 53"/>
        <w:tblDescription w:val="This table presents Figure 50 - Foam - Item usage by subgroup; Figure 51 - Foam - Total PL benefits by subgroup; Figure 52 - Foam - Year on year growth in benefits by subgroup; and Figure 53 - Foam - Average Benefit per item by subgroup"/>
      </w:tblPr>
      <w:tblGrid>
        <w:gridCol w:w="4494"/>
        <w:gridCol w:w="4733"/>
      </w:tblGrid>
      <w:tr w:rsidR="004206B0" w14:paraId="5068ECCF" w14:textId="77777777" w:rsidTr="00B86CD2">
        <w:trPr>
          <w:trHeight w:val="4405"/>
          <w:tblHeader/>
        </w:trPr>
        <w:tc>
          <w:tcPr>
            <w:tcW w:w="4494" w:type="dxa"/>
          </w:tcPr>
          <w:p w14:paraId="246161B4" w14:textId="2E8917D7" w:rsidR="004206B0" w:rsidRDefault="004206B0" w:rsidP="00701B3B">
            <w:pPr>
              <w:pStyle w:val="Caption"/>
              <w:keepNext/>
            </w:pPr>
            <w:bookmarkStart w:id="374" w:name="_Ref35939499"/>
            <w:bookmarkStart w:id="375" w:name="_Toc36219934"/>
            <w:r>
              <w:t xml:space="preserve">Figure </w:t>
            </w:r>
            <w:r w:rsidR="00FC6370">
              <w:fldChar w:fldCharType="begin"/>
            </w:r>
            <w:r w:rsidR="00FC6370">
              <w:instrText xml:space="preserve"> SEQ Figure \* ARABIC </w:instrText>
            </w:r>
            <w:r w:rsidR="00FC6370">
              <w:fldChar w:fldCharType="separate"/>
            </w:r>
            <w:r w:rsidR="00784DE2">
              <w:rPr>
                <w:noProof/>
              </w:rPr>
              <w:t>50</w:t>
            </w:r>
            <w:r w:rsidR="00FC6370">
              <w:rPr>
                <w:noProof/>
              </w:rPr>
              <w:fldChar w:fldCharType="end"/>
            </w:r>
            <w:bookmarkEnd w:id="374"/>
            <w:r>
              <w:t xml:space="preserve"> – Foam – Item usage by subgroup</w:t>
            </w:r>
            <w:bookmarkEnd w:id="375"/>
          </w:p>
          <w:p w14:paraId="46EE0178" w14:textId="2E2F8E78" w:rsidR="004206B0" w:rsidRDefault="73DFBE61" w:rsidP="00701B3B">
            <w:r>
              <w:rPr>
                <w:noProof/>
                <w:lang w:val="en-AU" w:eastAsia="en-AU"/>
              </w:rPr>
              <w:drawing>
                <wp:inline distT="0" distB="0" distL="0" distR="0" wp14:anchorId="6E9E33AC" wp14:editId="2859A8A4">
                  <wp:extent cx="2680694" cy="2268902"/>
                  <wp:effectExtent l="0" t="0" r="5715" b="0"/>
                  <wp:docPr id="1372724843" name="Picture 1688255816" descr="Figure 50 - Foam - Item Usage by subgroup&#10;FY14 - FY19" title="Figure 50 - Foam - Item Usage by sub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8255816"/>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680694" cy="2268902"/>
                          </a:xfrm>
                          <a:prstGeom prst="rect">
                            <a:avLst/>
                          </a:prstGeom>
                        </pic:spPr>
                      </pic:pic>
                    </a:graphicData>
                  </a:graphic>
                </wp:inline>
              </w:drawing>
            </w:r>
          </w:p>
        </w:tc>
        <w:tc>
          <w:tcPr>
            <w:tcW w:w="4733" w:type="dxa"/>
          </w:tcPr>
          <w:p w14:paraId="33BB3295" w14:textId="1A85FB9B" w:rsidR="004206B0" w:rsidRDefault="004206B0" w:rsidP="00701B3B">
            <w:pPr>
              <w:pStyle w:val="Caption"/>
              <w:keepNext/>
            </w:pPr>
            <w:bookmarkStart w:id="376" w:name="_Toc36219935"/>
            <w:r>
              <w:t xml:space="preserve">Figure </w:t>
            </w:r>
            <w:r w:rsidR="00FC6370">
              <w:fldChar w:fldCharType="begin"/>
            </w:r>
            <w:r w:rsidR="00FC6370">
              <w:instrText xml:space="preserve"> SEQ Figure \* ARABIC </w:instrText>
            </w:r>
            <w:r w:rsidR="00FC6370">
              <w:fldChar w:fldCharType="separate"/>
            </w:r>
            <w:r w:rsidR="00784DE2">
              <w:rPr>
                <w:noProof/>
              </w:rPr>
              <w:t>51</w:t>
            </w:r>
            <w:r w:rsidR="00FC6370">
              <w:rPr>
                <w:noProof/>
              </w:rPr>
              <w:fldChar w:fldCharType="end"/>
            </w:r>
            <w:r>
              <w:t xml:space="preserve"> – Foam – Total PL benefits by subgroup</w:t>
            </w:r>
            <w:bookmarkEnd w:id="376"/>
          </w:p>
          <w:p w14:paraId="2F905DBD" w14:textId="71795C85" w:rsidR="004206B0" w:rsidRDefault="6D1B18F9" w:rsidP="00701B3B">
            <w:r>
              <w:rPr>
                <w:noProof/>
                <w:lang w:val="en-AU" w:eastAsia="en-AU"/>
              </w:rPr>
              <w:drawing>
                <wp:inline distT="0" distB="0" distL="0" distR="0" wp14:anchorId="6AF73C45" wp14:editId="29D24587">
                  <wp:extent cx="2828724" cy="2392534"/>
                  <wp:effectExtent l="0" t="0" r="0" b="8255"/>
                  <wp:docPr id="1332796100" name="Picture 1688255826" descr="Figure 51 - Foam - Total PL benefits by subgroup&#10;&#10;Figure 51 - Foam - Total PL benefits by subgroup' FY14 - FY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8255826"/>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828724" cy="2392534"/>
                          </a:xfrm>
                          <a:prstGeom prst="rect">
                            <a:avLst/>
                          </a:prstGeom>
                        </pic:spPr>
                      </pic:pic>
                    </a:graphicData>
                  </a:graphic>
                </wp:inline>
              </w:drawing>
            </w:r>
          </w:p>
        </w:tc>
      </w:tr>
      <w:tr w:rsidR="004206B0" w14:paraId="717AEB5B" w14:textId="77777777" w:rsidTr="00B86CD2">
        <w:trPr>
          <w:trHeight w:val="3322"/>
          <w:tblHeader/>
        </w:trPr>
        <w:tc>
          <w:tcPr>
            <w:tcW w:w="4494" w:type="dxa"/>
          </w:tcPr>
          <w:p w14:paraId="6451902C" w14:textId="0ED48C30" w:rsidR="004206B0" w:rsidRDefault="004206B0" w:rsidP="00701B3B">
            <w:pPr>
              <w:pStyle w:val="Caption"/>
              <w:keepNext/>
            </w:pPr>
            <w:bookmarkStart w:id="377" w:name="_Toc36219936"/>
            <w:r>
              <w:t xml:space="preserve">Figure </w:t>
            </w:r>
            <w:r w:rsidR="00FC6370">
              <w:fldChar w:fldCharType="begin"/>
            </w:r>
            <w:r w:rsidR="00FC6370">
              <w:instrText xml:space="preserve"> SEQ Figure \* ARABIC </w:instrText>
            </w:r>
            <w:r w:rsidR="00FC6370">
              <w:fldChar w:fldCharType="separate"/>
            </w:r>
            <w:r w:rsidR="00784DE2">
              <w:rPr>
                <w:noProof/>
              </w:rPr>
              <w:t>52</w:t>
            </w:r>
            <w:r w:rsidR="00FC6370">
              <w:rPr>
                <w:noProof/>
              </w:rPr>
              <w:fldChar w:fldCharType="end"/>
            </w:r>
            <w:r>
              <w:t xml:space="preserve"> – Foam – Year on year growth in benefits by subgroup</w:t>
            </w:r>
            <w:bookmarkEnd w:id="377"/>
          </w:p>
          <w:p w14:paraId="2814D30F" w14:textId="57DF4CBB" w:rsidR="004206B0" w:rsidRPr="00595E14" w:rsidRDefault="1DA1622D" w:rsidP="00701B3B">
            <w:r>
              <w:rPr>
                <w:noProof/>
                <w:lang w:val="en-AU" w:eastAsia="en-AU"/>
              </w:rPr>
              <w:drawing>
                <wp:inline distT="0" distB="0" distL="0" distR="0" wp14:anchorId="2FA10E81" wp14:editId="7EEADB22">
                  <wp:extent cx="2589291" cy="2233035"/>
                  <wp:effectExtent l="0" t="0" r="1905" b="0"/>
                  <wp:docPr id="1010439541" name="Picture 1688255818" descr="Figure 52 - Foam - Year on year growth in benefits by subgroup&#10;&#10;Figure 52 - Foam - Year on year growth in benefits by subgroup&#10;FY15 - FY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8255818"/>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592596" cy="2235885"/>
                          </a:xfrm>
                          <a:prstGeom prst="rect">
                            <a:avLst/>
                          </a:prstGeom>
                        </pic:spPr>
                      </pic:pic>
                    </a:graphicData>
                  </a:graphic>
                </wp:inline>
              </w:drawing>
            </w:r>
          </w:p>
        </w:tc>
        <w:tc>
          <w:tcPr>
            <w:tcW w:w="4733" w:type="dxa"/>
          </w:tcPr>
          <w:p w14:paraId="41F1AF94" w14:textId="472C75FA" w:rsidR="004206B0" w:rsidRDefault="004206B0" w:rsidP="00701B3B">
            <w:pPr>
              <w:pStyle w:val="Caption"/>
              <w:keepNext/>
            </w:pPr>
            <w:bookmarkStart w:id="378" w:name="_Ref35933010"/>
            <w:bookmarkStart w:id="379" w:name="_Toc36219937"/>
            <w:r>
              <w:t xml:space="preserve">Figure </w:t>
            </w:r>
            <w:r w:rsidR="00FC6370">
              <w:fldChar w:fldCharType="begin"/>
            </w:r>
            <w:r w:rsidR="00FC6370">
              <w:instrText xml:space="preserve"> SEQ Figure \* ARABIC </w:instrText>
            </w:r>
            <w:r w:rsidR="00FC6370">
              <w:fldChar w:fldCharType="separate"/>
            </w:r>
            <w:r w:rsidR="00784DE2">
              <w:rPr>
                <w:noProof/>
              </w:rPr>
              <w:t>53</w:t>
            </w:r>
            <w:r w:rsidR="00FC6370">
              <w:rPr>
                <w:noProof/>
              </w:rPr>
              <w:fldChar w:fldCharType="end"/>
            </w:r>
            <w:bookmarkEnd w:id="378"/>
            <w:r>
              <w:t xml:space="preserve"> – Foam – Average benefit per item by subgroup</w:t>
            </w:r>
            <w:bookmarkEnd w:id="379"/>
          </w:p>
          <w:p w14:paraId="6FE9A564" w14:textId="2C8F89DC" w:rsidR="004206B0" w:rsidRPr="00455B58" w:rsidRDefault="26239EAC" w:rsidP="00701B3B">
            <w:r>
              <w:rPr>
                <w:noProof/>
                <w:lang w:val="en-AU" w:eastAsia="en-AU"/>
              </w:rPr>
              <w:drawing>
                <wp:inline distT="0" distB="0" distL="0" distR="0" wp14:anchorId="788840D0" wp14:editId="2D5B519B">
                  <wp:extent cx="2679826" cy="2316627"/>
                  <wp:effectExtent l="0" t="0" r="6350" b="7620"/>
                  <wp:docPr id="909726672" name="Picture 1688255815" descr="Figure 53 - Foam - Average benefit per item by subgroup&#10;&#10;Figure 53 - Foam - Average benefit per item by subgroup&#10;FY15 - FY1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8255815"/>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682431" cy="2318879"/>
                          </a:xfrm>
                          <a:prstGeom prst="rect">
                            <a:avLst/>
                          </a:prstGeom>
                        </pic:spPr>
                      </pic:pic>
                    </a:graphicData>
                  </a:graphic>
                </wp:inline>
              </w:drawing>
            </w:r>
          </w:p>
        </w:tc>
      </w:tr>
    </w:tbl>
    <w:p w14:paraId="6D2714AB" w14:textId="77777777" w:rsidR="00B973CE" w:rsidRDefault="00B973CE" w:rsidP="007A537B">
      <w:pPr>
        <w:pStyle w:val="Caption"/>
        <w:keepNext/>
      </w:pPr>
      <w:bookmarkStart w:id="380" w:name="_Toc36219938"/>
    </w:p>
    <w:p w14:paraId="13A3EFFB" w14:textId="21E36829" w:rsidR="004206B0" w:rsidRDefault="004206B0" w:rsidP="007A537B">
      <w:pPr>
        <w:pStyle w:val="Caption"/>
        <w:keepNext/>
      </w:pPr>
      <w:r>
        <w:t xml:space="preserve">Figure </w:t>
      </w:r>
      <w:r w:rsidR="00FC6370">
        <w:fldChar w:fldCharType="begin"/>
      </w:r>
      <w:r w:rsidR="00FC6370">
        <w:instrText xml:space="preserve"> SEQ Figure \* ARABIC </w:instrText>
      </w:r>
      <w:r w:rsidR="00FC6370">
        <w:fldChar w:fldCharType="separate"/>
      </w:r>
      <w:r w:rsidR="00784DE2">
        <w:rPr>
          <w:noProof/>
        </w:rPr>
        <w:t>54</w:t>
      </w:r>
      <w:r w:rsidR="00FC6370">
        <w:rPr>
          <w:noProof/>
        </w:rPr>
        <w:fldChar w:fldCharType="end"/>
      </w:r>
      <w:r>
        <w:t xml:space="preserve"> – Foam – Usage with other PL categories</w:t>
      </w:r>
      <w:bookmarkEnd w:id="380"/>
    </w:p>
    <w:tbl>
      <w:tblPr>
        <w:tblStyle w:val="TableGrid"/>
        <w:tblW w:w="102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Figure 54 "/>
        <w:tblDescription w:val="This table is used to display figure 54 - Foam - Usage with other PL Categories"/>
      </w:tblPr>
      <w:tblGrid>
        <w:gridCol w:w="5028"/>
        <w:gridCol w:w="5173"/>
      </w:tblGrid>
      <w:tr w:rsidR="004206B0" w14:paraId="24E89754" w14:textId="77777777" w:rsidTr="00A82EAE">
        <w:trPr>
          <w:trHeight w:val="2342"/>
          <w:tblHeader/>
        </w:trPr>
        <w:tc>
          <w:tcPr>
            <w:tcW w:w="5028" w:type="dxa"/>
          </w:tcPr>
          <w:p w14:paraId="133A35A5" w14:textId="77777777" w:rsidR="004206B0" w:rsidRDefault="00F221A0" w:rsidP="00701B3B">
            <w:r>
              <w:rPr>
                <w:noProof/>
                <w:lang w:val="en-AU" w:eastAsia="en-AU"/>
              </w:rPr>
              <w:drawing>
                <wp:inline distT="0" distB="0" distL="0" distR="0" wp14:anchorId="02F76E33" wp14:editId="6E946F92">
                  <wp:extent cx="2824514" cy="1593409"/>
                  <wp:effectExtent l="0" t="0" r="0" b="6985"/>
                  <wp:docPr id="2080465124" name="Picture 2080465124" descr="Figure 54 - Foam - Usage with other PL Categories&#10;&#10;Figure 54 - Foam - Usage with other PL Categories&#10;FY13 - FY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863270" cy="1615273"/>
                          </a:xfrm>
                          <a:prstGeom prst="rect">
                            <a:avLst/>
                          </a:prstGeom>
                          <a:noFill/>
                        </pic:spPr>
                      </pic:pic>
                    </a:graphicData>
                  </a:graphic>
                </wp:inline>
              </w:drawing>
            </w:r>
          </w:p>
        </w:tc>
        <w:tc>
          <w:tcPr>
            <w:tcW w:w="5173" w:type="dxa"/>
          </w:tcPr>
          <w:p w14:paraId="3B28BD07" w14:textId="19A8944A" w:rsidR="004206B0" w:rsidRDefault="00A30380" w:rsidP="00701B3B">
            <w:r>
              <w:rPr>
                <w:noProof/>
                <w:lang w:val="en-AU" w:eastAsia="en-AU"/>
              </w:rPr>
              <w:drawing>
                <wp:inline distT="0" distB="0" distL="0" distR="0" wp14:anchorId="06A38912" wp14:editId="1102056A">
                  <wp:extent cx="2969537" cy="1623994"/>
                  <wp:effectExtent l="0" t="0" r="2540" b="0"/>
                  <wp:docPr id="345811269" name="Picture 345811269" descr="Figure 54 - Foam - Usage with other PL Categories&#10;&#10;Figure 54 - Foam - Usage with other PL Categories&#10;FY13 - FY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011049" cy="1646696"/>
                          </a:xfrm>
                          <a:prstGeom prst="rect">
                            <a:avLst/>
                          </a:prstGeom>
                          <a:noFill/>
                        </pic:spPr>
                      </pic:pic>
                    </a:graphicData>
                  </a:graphic>
                </wp:inline>
              </w:drawing>
            </w:r>
          </w:p>
        </w:tc>
      </w:tr>
    </w:tbl>
    <w:p w14:paraId="0A022692" w14:textId="77777777" w:rsidR="004206B0" w:rsidRPr="00B973CE" w:rsidRDefault="004206B0" w:rsidP="00A26B3B">
      <w:pPr>
        <w:pStyle w:val="Bodytextwithparaspace"/>
        <w:rPr>
          <w:i/>
          <w:iCs/>
          <w:sz w:val="18"/>
          <w:szCs w:val="18"/>
        </w:rPr>
      </w:pPr>
      <w:r w:rsidRPr="00B973CE">
        <w:rPr>
          <w:i/>
          <w:iCs/>
          <w:sz w:val="18"/>
          <w:szCs w:val="18"/>
        </w:rPr>
        <w:t>Note: usage with other categories excludes usage with other high priority GM items</w:t>
      </w:r>
    </w:p>
    <w:p w14:paraId="0F8E533C" w14:textId="77777777" w:rsidR="004206B0" w:rsidRPr="004721FD" w:rsidRDefault="004206B0" w:rsidP="004721FD">
      <w:pPr>
        <w:pStyle w:val="Heading2"/>
      </w:pPr>
      <w:bookmarkStart w:id="381" w:name="_Toc36219838"/>
      <w:bookmarkStart w:id="382" w:name="_Ref36734827"/>
      <w:bookmarkStart w:id="383" w:name="_Ref38573168"/>
      <w:r w:rsidRPr="004721FD">
        <w:rPr>
          <w:rStyle w:val="Heading1Char"/>
          <w:b/>
          <w:bCs/>
          <w:sz w:val="28"/>
          <w:szCs w:val="20"/>
        </w:rPr>
        <w:t>03.08.01 – Adhesion Barriers</w:t>
      </w:r>
      <w:bookmarkEnd w:id="381"/>
      <w:bookmarkEnd w:id="382"/>
      <w:bookmarkEnd w:id="383"/>
    </w:p>
    <w:p w14:paraId="64889D1A" w14:textId="28F8034C" w:rsidR="004206B0" w:rsidRDefault="004206B0" w:rsidP="007A537B">
      <w:pPr>
        <w:pStyle w:val="Caption"/>
      </w:pPr>
      <w:bookmarkStart w:id="384" w:name="_Toc36219947"/>
      <w:r>
        <w:t xml:space="preserve">Figure </w:t>
      </w:r>
      <w:r w:rsidR="00FC6370">
        <w:fldChar w:fldCharType="begin"/>
      </w:r>
      <w:r w:rsidR="00FC6370">
        <w:instrText xml:space="preserve"> SEQ Figure \* ARABIC </w:instrText>
      </w:r>
      <w:r w:rsidR="00FC6370">
        <w:fldChar w:fldCharType="separate"/>
      </w:r>
      <w:r w:rsidR="00784DE2">
        <w:rPr>
          <w:noProof/>
        </w:rPr>
        <w:t>55</w:t>
      </w:r>
      <w:r w:rsidR="00FC6370">
        <w:rPr>
          <w:noProof/>
        </w:rPr>
        <w:fldChar w:fldCharType="end"/>
      </w:r>
      <w:r>
        <w:t xml:space="preserve"> – Adhesion Barriers – usage with other PL categories</w:t>
      </w:r>
      <w:bookmarkEnd w:id="384"/>
    </w:p>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Figure 55"/>
        <w:tblDescription w:val="This table presents Figure 55 - Adhesion Barriers - usage with other PL Categories"/>
      </w:tblPr>
      <w:tblGrid>
        <w:gridCol w:w="5024"/>
        <w:gridCol w:w="4929"/>
      </w:tblGrid>
      <w:tr w:rsidR="004206B0" w14:paraId="11A3A1A2" w14:textId="77777777" w:rsidTr="00A82EAE">
        <w:trPr>
          <w:tblHeader/>
        </w:trPr>
        <w:tc>
          <w:tcPr>
            <w:tcW w:w="4513" w:type="dxa"/>
          </w:tcPr>
          <w:p w14:paraId="67FFE8E0" w14:textId="7BE8886B" w:rsidR="004206B0" w:rsidRDefault="005606BA" w:rsidP="00701B3B">
            <w:r>
              <w:rPr>
                <w:noProof/>
                <w:lang w:val="en-AU" w:eastAsia="en-AU"/>
              </w:rPr>
              <w:drawing>
                <wp:inline distT="0" distB="0" distL="0" distR="0" wp14:anchorId="0164B8F9" wp14:editId="070B4177">
                  <wp:extent cx="3053327" cy="1709530"/>
                  <wp:effectExtent l="0" t="0" r="0" b="5080"/>
                  <wp:docPr id="25" name="Picture 25" descr="Figure 55 - Adhesion Barriers - usage with other PL categories&#10;&#10;Figure 55 - Adhesion Barriers - usage with other PL categories&#10;03.08.01&#10;FY11 - FY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082337" cy="1725773"/>
                          </a:xfrm>
                          <a:prstGeom prst="rect">
                            <a:avLst/>
                          </a:prstGeom>
                          <a:noFill/>
                        </pic:spPr>
                      </pic:pic>
                    </a:graphicData>
                  </a:graphic>
                </wp:inline>
              </w:drawing>
            </w:r>
          </w:p>
        </w:tc>
        <w:tc>
          <w:tcPr>
            <w:tcW w:w="4985" w:type="dxa"/>
          </w:tcPr>
          <w:p w14:paraId="5F95D1EF" w14:textId="734DACC7" w:rsidR="004206B0" w:rsidRDefault="000644FC" w:rsidP="00701B3B">
            <w:r>
              <w:rPr>
                <w:noProof/>
                <w:lang w:val="en-AU" w:eastAsia="en-AU"/>
              </w:rPr>
              <w:drawing>
                <wp:inline distT="0" distB="0" distL="0" distR="0" wp14:anchorId="134CCE76" wp14:editId="48D5CF95">
                  <wp:extent cx="2992880" cy="1634067"/>
                  <wp:effectExtent l="0" t="0" r="0" b="4445"/>
                  <wp:docPr id="345811270" name="Picture 345811270" descr="Figure 55 - Adhesion Barriers - usage with other PL categories&#10;&#10;Figure 55 - Adhesion Barriers - usage with other PL categories&#10;03.08.01&#10;FY11 - FY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012064" cy="1644541"/>
                          </a:xfrm>
                          <a:prstGeom prst="rect">
                            <a:avLst/>
                          </a:prstGeom>
                          <a:noFill/>
                        </pic:spPr>
                      </pic:pic>
                    </a:graphicData>
                  </a:graphic>
                </wp:inline>
              </w:drawing>
            </w:r>
          </w:p>
        </w:tc>
      </w:tr>
    </w:tbl>
    <w:p w14:paraId="4D7C753B" w14:textId="77777777" w:rsidR="004206B0" w:rsidRPr="00B973CE" w:rsidRDefault="004206B0" w:rsidP="00A26B3B">
      <w:pPr>
        <w:pStyle w:val="Bodytextwithparaspace"/>
        <w:rPr>
          <w:i/>
          <w:iCs/>
          <w:sz w:val="18"/>
          <w:szCs w:val="18"/>
        </w:rPr>
      </w:pPr>
      <w:r w:rsidRPr="00B973CE">
        <w:rPr>
          <w:i/>
          <w:iCs/>
          <w:sz w:val="18"/>
          <w:szCs w:val="18"/>
        </w:rPr>
        <w:t>Note: usage with other categories excludes usage with other high priority GM items</w:t>
      </w:r>
    </w:p>
    <w:p w14:paraId="3AAA26CF" w14:textId="77777777" w:rsidR="004206B0" w:rsidRDefault="004206B0" w:rsidP="007A537B">
      <w:pPr>
        <w:pStyle w:val="Heading2"/>
      </w:pPr>
      <w:bookmarkStart w:id="385" w:name="_Toc36219841"/>
      <w:bookmarkStart w:id="386" w:name="_Ref36734948"/>
      <w:r>
        <w:t>03.08.02 – Internal Adhesives</w:t>
      </w:r>
      <w:bookmarkEnd w:id="385"/>
      <w:bookmarkEnd w:id="386"/>
    </w:p>
    <w:p w14:paraId="58DD82F8" w14:textId="010B16A2" w:rsidR="004206B0" w:rsidRDefault="004206B0" w:rsidP="004206B0">
      <w:pPr>
        <w:pStyle w:val="Caption"/>
      </w:pPr>
      <w:bookmarkStart w:id="387" w:name="_Toc36219973"/>
      <w:r>
        <w:t xml:space="preserve">Figure </w:t>
      </w:r>
      <w:r w:rsidR="00FC6370">
        <w:fldChar w:fldCharType="begin"/>
      </w:r>
      <w:r w:rsidR="00FC6370">
        <w:instrText xml:space="preserve"> SEQ Figure \* ARABIC </w:instrText>
      </w:r>
      <w:r w:rsidR="00FC6370">
        <w:fldChar w:fldCharType="separate"/>
      </w:r>
      <w:r w:rsidR="00784DE2">
        <w:rPr>
          <w:noProof/>
        </w:rPr>
        <w:t>56</w:t>
      </w:r>
      <w:r w:rsidR="00FC6370">
        <w:rPr>
          <w:noProof/>
        </w:rPr>
        <w:fldChar w:fldCharType="end"/>
      </w:r>
      <w:r>
        <w:t xml:space="preserve"> – Internal adhesives – usage with other PL categories</w:t>
      </w:r>
      <w:bookmarkEnd w:id="387"/>
    </w:p>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Figure 56"/>
        <w:tblDescription w:val="This table presents Figure 56 - Internal adhesives - usage with other PL categories"/>
      </w:tblPr>
      <w:tblGrid>
        <w:gridCol w:w="4716"/>
        <w:gridCol w:w="4786"/>
      </w:tblGrid>
      <w:tr w:rsidR="004206B0" w14:paraId="3F013A26" w14:textId="77777777" w:rsidTr="00A82EAE">
        <w:trPr>
          <w:tblHeader/>
        </w:trPr>
        <w:tc>
          <w:tcPr>
            <w:tcW w:w="4656" w:type="dxa"/>
          </w:tcPr>
          <w:p w14:paraId="44F63757" w14:textId="6BC1C447" w:rsidR="004206B0" w:rsidRDefault="00175D34" w:rsidP="00701B3B">
            <w:r>
              <w:rPr>
                <w:noProof/>
                <w:lang w:val="en-AU" w:eastAsia="en-AU"/>
              </w:rPr>
              <w:drawing>
                <wp:inline distT="0" distB="0" distL="0" distR="0" wp14:anchorId="03E7CAAC" wp14:editId="472B5B9E">
                  <wp:extent cx="2854960" cy="1564378"/>
                  <wp:effectExtent l="0" t="0" r="2540" b="0"/>
                  <wp:docPr id="27" name="Picture 27" descr="Figure 56 - Internal adhesives - usage with other PL categories&#10;&#10;Figure 56 - Internal adhesives - usage with other PL categories&#10;03.08.02&#10;FY11 - FY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880421" cy="1578329"/>
                          </a:xfrm>
                          <a:prstGeom prst="rect">
                            <a:avLst/>
                          </a:prstGeom>
                          <a:noFill/>
                        </pic:spPr>
                      </pic:pic>
                    </a:graphicData>
                  </a:graphic>
                </wp:inline>
              </w:drawing>
            </w:r>
          </w:p>
        </w:tc>
        <w:tc>
          <w:tcPr>
            <w:tcW w:w="4842" w:type="dxa"/>
          </w:tcPr>
          <w:p w14:paraId="34B5D6E1" w14:textId="05EA3C97" w:rsidR="004206B0" w:rsidRDefault="00CE5567" w:rsidP="00701B3B">
            <w:r>
              <w:rPr>
                <w:noProof/>
                <w:lang w:val="en-AU" w:eastAsia="en-AU"/>
              </w:rPr>
              <w:drawing>
                <wp:inline distT="0" distB="0" distL="0" distR="0" wp14:anchorId="5865803C" wp14:editId="410C1BC0">
                  <wp:extent cx="2901950" cy="1651729"/>
                  <wp:effectExtent l="0" t="0" r="0" b="5715"/>
                  <wp:docPr id="2080465133" name="Picture 2080465133" descr="Figure 56 - Internal adhesives - usage with other PL categories&#10;&#10;Figure 56 - Internal adhesives - usage with other PL categories&#10;03.08.02&#10;FY11 - FY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913095" cy="1658072"/>
                          </a:xfrm>
                          <a:prstGeom prst="rect">
                            <a:avLst/>
                          </a:prstGeom>
                          <a:noFill/>
                        </pic:spPr>
                      </pic:pic>
                    </a:graphicData>
                  </a:graphic>
                </wp:inline>
              </w:drawing>
            </w:r>
          </w:p>
        </w:tc>
      </w:tr>
    </w:tbl>
    <w:p w14:paraId="2D20976D" w14:textId="77777777" w:rsidR="004206B0" w:rsidRDefault="004206B0" w:rsidP="00463B2D">
      <w:pPr>
        <w:spacing w:after="240"/>
      </w:pPr>
      <w:r>
        <w:rPr>
          <w:i/>
          <w:sz w:val="18"/>
        </w:rPr>
        <w:t>Note: usage with other categories excludes usage with other high priority GM items</w:t>
      </w:r>
    </w:p>
    <w:p w14:paraId="705C91DA" w14:textId="77777777" w:rsidR="004206B0" w:rsidRDefault="004206B0" w:rsidP="00463B2D">
      <w:pPr>
        <w:pStyle w:val="Heading2"/>
      </w:pPr>
      <w:bookmarkStart w:id="388" w:name="_Toc36219844"/>
      <w:bookmarkStart w:id="389" w:name="_Ref36734954"/>
      <w:r>
        <w:t>03.08.03 – Ligating Devices</w:t>
      </w:r>
      <w:bookmarkEnd w:id="388"/>
      <w:bookmarkEnd w:id="389"/>
    </w:p>
    <w:p w14:paraId="23B16951" w14:textId="41CA3198" w:rsidR="004206B0" w:rsidRDefault="004206B0" w:rsidP="00463B2D">
      <w:pPr>
        <w:pStyle w:val="Caption"/>
      </w:pPr>
      <w:bookmarkStart w:id="390" w:name="_Toc36219987"/>
      <w:r>
        <w:t xml:space="preserve">Figure </w:t>
      </w:r>
      <w:r w:rsidR="00FC6370">
        <w:fldChar w:fldCharType="begin"/>
      </w:r>
      <w:r w:rsidR="00FC6370">
        <w:instrText xml:space="preserve"> SEQ Figure \* ARABIC </w:instrText>
      </w:r>
      <w:r w:rsidR="00FC6370">
        <w:fldChar w:fldCharType="separate"/>
      </w:r>
      <w:r w:rsidR="00784DE2">
        <w:rPr>
          <w:noProof/>
        </w:rPr>
        <w:t>57</w:t>
      </w:r>
      <w:r w:rsidR="00FC6370">
        <w:rPr>
          <w:noProof/>
        </w:rPr>
        <w:fldChar w:fldCharType="end"/>
      </w:r>
      <w:r>
        <w:t xml:space="preserve"> – Ligating devices – Usage with other PL categories</w:t>
      </w:r>
      <w:bookmarkEnd w:id="390"/>
    </w:p>
    <w:tbl>
      <w:tblPr>
        <w:tblStyle w:val="TableGrid"/>
        <w:tblW w:w="100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Figure 57"/>
        <w:tblDescription w:val="This table presents Figure 57 - Ligating devices - Usage with other PL categories"/>
      </w:tblPr>
      <w:tblGrid>
        <w:gridCol w:w="4866"/>
        <w:gridCol w:w="5226"/>
      </w:tblGrid>
      <w:tr w:rsidR="004206B0" w14:paraId="3CCDAF4A" w14:textId="77777777" w:rsidTr="00A82EAE">
        <w:trPr>
          <w:tblHeader/>
        </w:trPr>
        <w:tc>
          <w:tcPr>
            <w:tcW w:w="4866" w:type="dxa"/>
          </w:tcPr>
          <w:p w14:paraId="6822153A" w14:textId="481C1FAB" w:rsidR="004206B0" w:rsidRDefault="000D43DC" w:rsidP="00701B3B">
            <w:r>
              <w:rPr>
                <w:noProof/>
                <w:lang w:val="en-AU" w:eastAsia="en-AU"/>
              </w:rPr>
              <w:drawing>
                <wp:inline distT="0" distB="0" distL="0" distR="0" wp14:anchorId="306382E8" wp14:editId="35AC0F2C">
                  <wp:extent cx="2837815" cy="1556400"/>
                  <wp:effectExtent l="0" t="0" r="635" b="5715"/>
                  <wp:docPr id="30" name="Picture 30" descr="Figure 57 - Ligating devices - usage with other PL categories&#10;&#10;Figure 57 - Ligating devices - usage with other PL categories&#10;03.08.03&#10;FY11 - FY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860362" cy="1568766"/>
                          </a:xfrm>
                          <a:prstGeom prst="rect">
                            <a:avLst/>
                          </a:prstGeom>
                          <a:noFill/>
                        </pic:spPr>
                      </pic:pic>
                    </a:graphicData>
                  </a:graphic>
                </wp:inline>
              </w:drawing>
            </w:r>
          </w:p>
        </w:tc>
        <w:tc>
          <w:tcPr>
            <w:tcW w:w="5226" w:type="dxa"/>
          </w:tcPr>
          <w:p w14:paraId="7E9532E0" w14:textId="06232EB9" w:rsidR="004206B0" w:rsidRDefault="00347088" w:rsidP="00701B3B">
            <w:r>
              <w:rPr>
                <w:noProof/>
                <w:lang w:val="en-AU" w:eastAsia="en-AU"/>
              </w:rPr>
              <w:drawing>
                <wp:inline distT="0" distB="0" distL="0" distR="0" wp14:anchorId="1BCB100E" wp14:editId="6129AF55">
                  <wp:extent cx="3028026" cy="1616496"/>
                  <wp:effectExtent l="0" t="0" r="1270" b="3175"/>
                  <wp:docPr id="2080465139" name="Picture 2080465139" descr="Figure 57 - Ligating devices - usage with other PL categories&#10;&#10;Figure 57 - Ligating devices - usage with other PL categories&#10;03.08.03&#10;FY11 - FY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051520" cy="1629038"/>
                          </a:xfrm>
                          <a:prstGeom prst="rect">
                            <a:avLst/>
                          </a:prstGeom>
                          <a:noFill/>
                        </pic:spPr>
                      </pic:pic>
                    </a:graphicData>
                  </a:graphic>
                </wp:inline>
              </w:drawing>
            </w:r>
          </w:p>
        </w:tc>
      </w:tr>
    </w:tbl>
    <w:p w14:paraId="39CA83B9" w14:textId="77777777" w:rsidR="004206B0" w:rsidRPr="00B973CE" w:rsidRDefault="004206B0" w:rsidP="00A26B3B">
      <w:pPr>
        <w:pStyle w:val="Bodytextwithparaspace"/>
        <w:rPr>
          <w:i/>
          <w:iCs/>
          <w:sz w:val="18"/>
          <w:szCs w:val="18"/>
        </w:rPr>
      </w:pPr>
      <w:r w:rsidRPr="00B973CE">
        <w:rPr>
          <w:i/>
          <w:iCs/>
          <w:sz w:val="18"/>
          <w:szCs w:val="18"/>
        </w:rPr>
        <w:t>Note: usage with other categories excludes usage with other high priority GM items</w:t>
      </w:r>
    </w:p>
    <w:p w14:paraId="292C21E1" w14:textId="77777777" w:rsidR="004014F3" w:rsidRDefault="004014F3" w:rsidP="00AF1D4E">
      <w:pPr>
        <w:pStyle w:val="Bodytextwithparaspace"/>
      </w:pPr>
    </w:p>
    <w:p w14:paraId="1D1C8E21" w14:textId="77777777" w:rsidR="004014F3" w:rsidRDefault="004014F3">
      <w:pPr>
        <w:autoSpaceDE/>
        <w:autoSpaceDN/>
        <w:adjustRightInd/>
        <w:rPr>
          <w:rFonts w:cs="Arial"/>
          <w:b/>
          <w:bCs/>
          <w:iCs/>
          <w:sz w:val="28"/>
        </w:rPr>
      </w:pPr>
      <w:r>
        <w:br w:type="page"/>
      </w:r>
    </w:p>
    <w:p w14:paraId="6B855636" w14:textId="77777777" w:rsidR="004206B0" w:rsidRDefault="004206B0" w:rsidP="007A537B">
      <w:pPr>
        <w:pStyle w:val="Heading2"/>
      </w:pPr>
      <w:bookmarkStart w:id="391" w:name="_Toc36219847"/>
      <w:bookmarkStart w:id="392" w:name="_Ref36734958"/>
      <w:r>
        <w:t>03.08.04 – Staples and Tackers</w:t>
      </w:r>
      <w:bookmarkEnd w:id="391"/>
      <w:bookmarkEnd w:id="392"/>
    </w:p>
    <w:p w14:paraId="29EC3D31" w14:textId="3A91E167" w:rsidR="004206B0" w:rsidRDefault="004206B0" w:rsidP="00463B2D">
      <w:pPr>
        <w:autoSpaceDE/>
        <w:autoSpaceDN/>
        <w:adjustRightInd/>
      </w:pPr>
      <w:bookmarkStart w:id="393" w:name="_Toc36220023"/>
      <w:r>
        <w:t xml:space="preserve">Figure </w:t>
      </w:r>
      <w:r w:rsidR="00FC6370">
        <w:fldChar w:fldCharType="begin"/>
      </w:r>
      <w:r w:rsidR="00FC6370">
        <w:instrText xml:space="preserve"> SEQ Figure \* ARABIC </w:instrText>
      </w:r>
      <w:r w:rsidR="00FC6370">
        <w:fldChar w:fldCharType="separate"/>
      </w:r>
      <w:r w:rsidR="00784DE2">
        <w:rPr>
          <w:noProof/>
        </w:rPr>
        <w:t>58</w:t>
      </w:r>
      <w:r w:rsidR="00FC6370">
        <w:rPr>
          <w:noProof/>
        </w:rPr>
        <w:fldChar w:fldCharType="end"/>
      </w:r>
      <w:r>
        <w:t xml:space="preserve"> – Staples and tackers – Usage with other PL categories</w:t>
      </w:r>
      <w:bookmarkEnd w:id="39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Figure 58"/>
        <w:tblDescription w:val="This table presents Figure 58 - Staples and tackers - Usage with other PL Categories"/>
      </w:tblPr>
      <w:tblGrid>
        <w:gridCol w:w="4456"/>
        <w:gridCol w:w="4573"/>
      </w:tblGrid>
      <w:tr w:rsidR="00615682" w14:paraId="482B334C" w14:textId="77777777" w:rsidTr="00A37319">
        <w:trPr>
          <w:tblHeader/>
        </w:trPr>
        <w:tc>
          <w:tcPr>
            <w:tcW w:w="4439" w:type="dxa"/>
          </w:tcPr>
          <w:p w14:paraId="66F43E17" w14:textId="3BA0FA97" w:rsidR="004206B0" w:rsidRDefault="00615682" w:rsidP="00701B3B">
            <w:r>
              <w:rPr>
                <w:noProof/>
                <w:lang w:val="en-AU" w:eastAsia="en-AU"/>
              </w:rPr>
              <w:drawing>
                <wp:inline distT="0" distB="0" distL="0" distR="0" wp14:anchorId="7E649C1A" wp14:editId="13991063">
                  <wp:extent cx="2725420" cy="1674114"/>
                  <wp:effectExtent l="0" t="0" r="0" b="2540"/>
                  <wp:docPr id="31" name="Picture 31" descr="Figure 58 - Staples and tackers - usage with other PL categories&#10;&#10;Figure 58 - Staples and tackers - usage with other PL categories&#10;03.08.04&#10;FY11 - FY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770696" cy="1701925"/>
                          </a:xfrm>
                          <a:prstGeom prst="rect">
                            <a:avLst/>
                          </a:prstGeom>
                          <a:noFill/>
                        </pic:spPr>
                      </pic:pic>
                    </a:graphicData>
                  </a:graphic>
                </wp:inline>
              </w:drawing>
            </w:r>
          </w:p>
        </w:tc>
        <w:tc>
          <w:tcPr>
            <w:tcW w:w="4587" w:type="dxa"/>
          </w:tcPr>
          <w:p w14:paraId="42FEE886" w14:textId="13821B9F" w:rsidR="004206B0" w:rsidRDefault="005618E5" w:rsidP="00701B3B">
            <w:r>
              <w:rPr>
                <w:noProof/>
                <w:lang w:val="en-AU" w:eastAsia="en-AU"/>
              </w:rPr>
              <w:drawing>
                <wp:inline distT="0" distB="0" distL="0" distR="0" wp14:anchorId="5C79B59C" wp14:editId="2F99E5D3">
                  <wp:extent cx="2796434" cy="1787236"/>
                  <wp:effectExtent l="0" t="0" r="4445" b="3810"/>
                  <wp:docPr id="2080465147" name="Picture 2080465147" descr="Figure 58 - Staples and tackers - usage with other PL categories&#10;&#10;Figure 58 - Staples and tackers - usage with other PL categories&#10;03.08.04&#10;FY11 - FY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808129" cy="1794710"/>
                          </a:xfrm>
                          <a:prstGeom prst="rect">
                            <a:avLst/>
                          </a:prstGeom>
                          <a:noFill/>
                        </pic:spPr>
                      </pic:pic>
                    </a:graphicData>
                  </a:graphic>
                </wp:inline>
              </w:drawing>
            </w:r>
          </w:p>
        </w:tc>
      </w:tr>
    </w:tbl>
    <w:p w14:paraId="3C5BC38D" w14:textId="77777777" w:rsidR="004206B0" w:rsidRPr="00B973CE" w:rsidRDefault="004206B0" w:rsidP="00A26B3B">
      <w:pPr>
        <w:pStyle w:val="Bodytextwithparaspace"/>
        <w:rPr>
          <w:i/>
          <w:iCs/>
          <w:sz w:val="18"/>
          <w:szCs w:val="18"/>
        </w:rPr>
      </w:pPr>
      <w:r w:rsidRPr="00B973CE">
        <w:rPr>
          <w:i/>
          <w:iCs/>
          <w:sz w:val="18"/>
          <w:szCs w:val="18"/>
        </w:rPr>
        <w:t>Note: usage with other categories excludes usage with other high priority GM items</w:t>
      </w:r>
    </w:p>
    <w:p w14:paraId="2769C301" w14:textId="77777777" w:rsidR="004206B0" w:rsidRPr="009E3E7A" w:rsidRDefault="004206B0" w:rsidP="009E3E7A">
      <w:pPr>
        <w:pStyle w:val="Bodytextwithparaspace"/>
        <w:rPr>
          <w:rFonts w:eastAsiaTheme="majorEastAsia"/>
          <w:sz w:val="18"/>
          <w:szCs w:val="18"/>
        </w:rPr>
      </w:pPr>
      <w:r>
        <w:br w:type="page"/>
      </w:r>
    </w:p>
    <w:p w14:paraId="1F6ABB7B" w14:textId="77777777" w:rsidR="00907F19" w:rsidRDefault="00907F19" w:rsidP="001F7381">
      <w:pPr>
        <w:pStyle w:val="EYAppendix"/>
      </w:pPr>
      <w:bookmarkStart w:id="394" w:name="_Ref39822297"/>
      <w:bookmarkStart w:id="395" w:name="_Toc59015984"/>
      <w:r>
        <w:t>Detailed benchmarking analysis</w:t>
      </w:r>
      <w:bookmarkEnd w:id="394"/>
      <w:bookmarkEnd w:id="395"/>
    </w:p>
    <w:p w14:paraId="5CA72769" w14:textId="77777777" w:rsidR="0006587B" w:rsidRDefault="008144C8" w:rsidP="0006587B">
      <w:pPr>
        <w:pStyle w:val="Heading2"/>
      </w:pPr>
      <w:r>
        <w:t>Overview</w:t>
      </w:r>
    </w:p>
    <w:p w14:paraId="139FDD29" w14:textId="643FBBB4" w:rsidR="0006587B" w:rsidRDefault="00AB472D" w:rsidP="0006587B">
      <w:pPr>
        <w:pStyle w:val="Bodytextwithparaspace"/>
      </w:pPr>
      <w:r>
        <w:t xml:space="preserve">This Appendix expands on the analysis in Section </w:t>
      </w:r>
      <w:r w:rsidR="008144C8">
        <w:fldChar w:fldCharType="begin"/>
      </w:r>
      <w:r w:rsidR="008144C8">
        <w:instrText xml:space="preserve"> REF _Ref39074132 \r \h </w:instrText>
      </w:r>
      <w:r w:rsidR="008144C8">
        <w:fldChar w:fldCharType="separate"/>
      </w:r>
      <w:r w:rsidR="00784DE2">
        <w:t>4.5.4</w:t>
      </w:r>
      <w:r w:rsidR="008144C8">
        <w:fldChar w:fldCharType="end"/>
      </w:r>
      <w:r w:rsidR="008144C8">
        <w:t xml:space="preserve"> where the benefit amounts on the PL were compared to the prices paid for the same items by public hospitals in two Australian jurisdictions.</w:t>
      </w:r>
    </w:p>
    <w:p w14:paraId="76F42497" w14:textId="77777777" w:rsidR="0006587B" w:rsidRDefault="008144C8" w:rsidP="0006587B">
      <w:pPr>
        <w:pStyle w:val="Bodytextwithparaspace"/>
      </w:pPr>
      <w:r>
        <w:t>As noted, t</w:t>
      </w:r>
      <w:r w:rsidR="0006587B">
        <w:t xml:space="preserve">here were many instances observed from the public hospital benchmarking data where the price paid by a public hospital mirrored the </w:t>
      </w:r>
      <w:r w:rsidR="00F24211">
        <w:t>PL</w:t>
      </w:r>
      <w:r w:rsidR="0006587B">
        <w:t xml:space="preserve"> price. Since several products in this group are purchased in low quantities in the public realm, public hospitals often set the PL price as a ceiling price that they are willing to pay to suppliers for a one-time, non-committal purchase. </w:t>
      </w:r>
    </w:p>
    <w:p w14:paraId="0F2CA5A0" w14:textId="77777777" w:rsidR="0006587B" w:rsidRDefault="0006587B" w:rsidP="0006587B">
      <w:pPr>
        <w:pStyle w:val="Bodytextwithparaspace"/>
      </w:pPr>
      <w:r>
        <w:t xml:space="preserve">However, there were some product groups identified where significant pricing differentials were evident, and the </w:t>
      </w:r>
      <w:r w:rsidR="00F24211">
        <w:t>PL</w:t>
      </w:r>
      <w:r>
        <w:t xml:space="preserve"> </w:t>
      </w:r>
      <w:r w:rsidR="008144C8">
        <w:t xml:space="preserve">benefit amount </w:t>
      </w:r>
      <w:r>
        <w:t xml:space="preserve">was higher than contracted prices in the benchmarked public health systems. In particular, </w:t>
      </w:r>
      <w:r w:rsidR="00BA3E69">
        <w:t>the group</w:t>
      </w:r>
      <w:r w:rsidR="00205B7B">
        <w:t>s</w:t>
      </w:r>
      <w:r w:rsidR="00BA3E69">
        <w:t xml:space="preserve"> ’03.05.05 – Matrix’ </w:t>
      </w:r>
      <w:r>
        <w:t xml:space="preserve">and </w:t>
      </w:r>
      <w:r w:rsidR="00205B7B">
        <w:t>‘</w:t>
      </w:r>
      <w:r w:rsidR="00205B7B" w:rsidRPr="00205B7B">
        <w:t>03.06.03 – Oesophageal Stents</w:t>
      </w:r>
      <w:r w:rsidR="00205B7B">
        <w:t>’</w:t>
      </w:r>
      <w:r w:rsidR="00205B7B" w:rsidRPr="00205B7B">
        <w:t xml:space="preserve"> </w:t>
      </w:r>
      <w:r w:rsidR="008144C8">
        <w:t>were cheaper by the largest amount</w:t>
      </w:r>
      <w:r w:rsidR="00205B7B">
        <w:t>. These groups are indicated by a ‘</w:t>
      </w:r>
      <w:r>
        <w:t>*</w:t>
      </w:r>
      <w:r w:rsidR="00205B7B">
        <w:t>’ in the table below</w:t>
      </w:r>
      <w:r>
        <w:t>.</w:t>
      </w:r>
      <w:r w:rsidR="00205B7B">
        <w:t xml:space="preserve"> </w:t>
      </w:r>
    </w:p>
    <w:p w14:paraId="3EDAACD6" w14:textId="0A0C471D" w:rsidR="0006587B" w:rsidRDefault="0006587B" w:rsidP="0006587B">
      <w:pPr>
        <w:pStyle w:val="Bodytextwithparaspace"/>
      </w:pPr>
      <w:r>
        <w:t xml:space="preserve">Further, for some of the high usage and fast-moving products, public hospitals were observed to be achieving prices up to 50% lower than the </w:t>
      </w:r>
      <w:r w:rsidR="00F24211">
        <w:t>PL</w:t>
      </w:r>
      <w:r>
        <w:t xml:space="preserve"> price through market share or volume commitments with suppliers. </w:t>
      </w:r>
      <w:r w:rsidR="00A94411">
        <w:t>M</w:t>
      </w:r>
      <w:r>
        <w:t xml:space="preserve">any public hospitals across Australia use </w:t>
      </w:r>
      <w:r w:rsidR="008144C8">
        <w:t xml:space="preserve">a </w:t>
      </w:r>
      <w:r>
        <w:t>competitive tendering process to drive down the price of prostheses, medical equipment and consumables in order to reduce their operating costs. In some cases, these procurement mechanisms also offer market share or volume commitments to suppliers in exchange for further reduced pricing.</w:t>
      </w:r>
    </w:p>
    <w:p w14:paraId="6625730B" w14:textId="77777777" w:rsidR="0006587B" w:rsidRDefault="0006587B" w:rsidP="0006587B">
      <w:pPr>
        <w:pStyle w:val="Bodytextwithparaspace"/>
      </w:pPr>
      <w:r>
        <w:t xml:space="preserve">Currently, the </w:t>
      </w:r>
      <w:r w:rsidR="00F24211">
        <w:t>PL</w:t>
      </w:r>
      <w:r>
        <w:t xml:space="preserve"> mechanism does not allow private hospitals to achieve access to such pricing. Given the high usage in the private healthcare system, as well as the strong competition between suppliers in the market, these price savings could potentially be leveraged by private hospitals if some of these products were to be removed f</w:t>
      </w:r>
      <w:r w:rsidR="003D157C">
        <w:t>ro</w:t>
      </w:r>
      <w:r>
        <w:t xml:space="preserve">m the </w:t>
      </w:r>
      <w:r w:rsidR="00F24211">
        <w:t>PL</w:t>
      </w:r>
      <w:r>
        <w:t xml:space="preserve"> and contracted through competitive tendering processes by private hospital</w:t>
      </w:r>
      <w:r w:rsidR="00E72059">
        <w:t xml:space="preserve"> owners</w:t>
      </w:r>
      <w:r>
        <w:t xml:space="preserve">. </w:t>
      </w:r>
    </w:p>
    <w:p w14:paraId="45BB5D04" w14:textId="77777777" w:rsidR="0006587B" w:rsidRDefault="0006587B" w:rsidP="0006587B">
      <w:pPr>
        <w:pStyle w:val="Bodytextwithparaspace"/>
      </w:pPr>
      <w:r>
        <w:t xml:space="preserve">While this benchmarking exercise sheds light on some product groups that have been more subjected to price inflation on the </w:t>
      </w:r>
      <w:r w:rsidR="00F24211">
        <w:t>PL</w:t>
      </w:r>
      <w:r>
        <w:t xml:space="preserve"> than others, a more in-depth analysis of current operational practice both in the public and private sector could identify further explanation for price differentials, and potential identify gaps in current practice. </w:t>
      </w:r>
    </w:p>
    <w:p w14:paraId="3FEC2B22" w14:textId="77777777" w:rsidR="0006587B" w:rsidRDefault="0006587B" w:rsidP="0006587B">
      <w:pPr>
        <w:pStyle w:val="Bodytextwithparaspace"/>
      </w:pPr>
      <w:r>
        <w:t xml:space="preserve">The </w:t>
      </w:r>
      <w:r w:rsidR="00E9730A">
        <w:t xml:space="preserve">table and figure below </w:t>
      </w:r>
      <w:r>
        <w:t xml:space="preserve">summarise the findings of the </w:t>
      </w:r>
      <w:r w:rsidR="00CB4BA0">
        <w:t>p</w:t>
      </w:r>
      <w:r>
        <w:t xml:space="preserve">rice </w:t>
      </w:r>
      <w:r w:rsidR="00CB4BA0">
        <w:t>b</w:t>
      </w:r>
      <w:r>
        <w:t xml:space="preserve">enchmarking </w:t>
      </w:r>
      <w:r w:rsidR="00CB4BA0">
        <w:t>e</w:t>
      </w:r>
      <w:r>
        <w:t>xercise.</w:t>
      </w:r>
    </w:p>
    <w:p w14:paraId="623F9888" w14:textId="20BFCC36" w:rsidR="008144C8" w:rsidRDefault="008144C8" w:rsidP="00AF1D4E">
      <w:pPr>
        <w:pStyle w:val="Caption"/>
      </w:pPr>
      <w:r>
        <w:t xml:space="preserve">Table </w:t>
      </w:r>
      <w:r w:rsidR="00FC6370">
        <w:fldChar w:fldCharType="begin"/>
      </w:r>
      <w:r w:rsidR="00FC6370">
        <w:instrText xml:space="preserve"> SEQ Table \*</w:instrText>
      </w:r>
      <w:r w:rsidR="00FC6370">
        <w:instrText xml:space="preserve"> ARABIC </w:instrText>
      </w:r>
      <w:r w:rsidR="00FC6370">
        <w:fldChar w:fldCharType="separate"/>
      </w:r>
      <w:r w:rsidR="00784DE2">
        <w:rPr>
          <w:noProof/>
        </w:rPr>
        <w:t>19</w:t>
      </w:r>
      <w:r w:rsidR="00FC6370">
        <w:rPr>
          <w:noProof/>
        </w:rPr>
        <w:fldChar w:fldCharType="end"/>
      </w:r>
      <w:r>
        <w:t xml:space="preserve"> – PL vs public prices by GM product group</w:t>
      </w:r>
    </w:p>
    <w:tbl>
      <w:tblPr>
        <w:tblStyle w:val="TableGrid"/>
        <w:tblW w:w="0" w:type="auto"/>
        <w:tblLook w:val="04A0" w:firstRow="1" w:lastRow="0" w:firstColumn="1" w:lastColumn="0" w:noHBand="0" w:noVBand="1"/>
        <w:tblCaption w:val="Table 19 - PL vs Public prices by GM product group"/>
        <w:tblDescription w:val="For the aforementioned benchmarking exercise, this table identifies where the best prices were observed:&#10;For the following categories, the best prices were observed in the public system:&#10;03.01.03 – Tissue Expander / Separator&#10;03.02.05 – Infusion Pump Accessories&#10;03.04.01 – Adjustable Gastric Band with Port&#10;03.05.05 – Matrix&#10;03.06.03 – Oesophageal Stents&#10;03.06.05 – Enteral Stents&#10;03.06.06 – Tracheobronchial Stents&#10;03.07.01 – Drainage Catheters&#10;03.08.01 – Adhesion Barriers&#10;&#10;For the following categories, the best prices were observed in the private system:&#10;03.02.06 – Pharmaceutical Beads&#10;03.03.02 – Gastrostomy Tubes&#10;03.05.02 – Powder&#10;03.05.03 – Sponges&#10;03.06.01 – Biliary Stents&#10;03.06.04 – Pancreatic Stents&#10;03.06.07 – Nerve Repair Stents&#10;03.07.02 – Endobronchial Valve&#10;03.08.04 – Staples &amp; Tackers&#10;03.08.05 – Polypropylene / Polyester Mesh&#10;03.08.06 – Composite Mesh&#10;03.08.07 – Complete Biomaterial Mesh&#10;03.08.08 – PTFE / ePTFE Mesh&#10;03.08.09 – Plugs&#10;&#10;The following categories were marked as N/A:&#10;03.05.04 – Pliable Patches&#10;03.06.02 – Colonic Stents&#10;03.08.02 – Internal Adhesives&#10;03.08.03 – Ligating Devices&#10;"/>
      </w:tblPr>
      <w:tblGrid>
        <w:gridCol w:w="2397"/>
        <w:gridCol w:w="4369"/>
        <w:gridCol w:w="2253"/>
      </w:tblGrid>
      <w:tr w:rsidR="0006587B" w14:paraId="49D700DD" w14:textId="77777777" w:rsidTr="00927E56">
        <w:trPr>
          <w:tblHeader/>
        </w:trPr>
        <w:tc>
          <w:tcPr>
            <w:tcW w:w="2405" w:type="dxa"/>
            <w:shd w:val="clear" w:color="auto" w:fill="FFE600" w:themeFill="text2"/>
            <w:vAlign w:val="center"/>
          </w:tcPr>
          <w:p w14:paraId="3CCB89CD" w14:textId="77777777" w:rsidR="0006587B" w:rsidRPr="00BB0693" w:rsidRDefault="0006587B" w:rsidP="008144C8">
            <w:pPr>
              <w:pStyle w:val="Bodytextwithparaspace"/>
              <w:spacing w:before="60" w:after="60"/>
              <w:rPr>
                <w:b/>
              </w:rPr>
            </w:pPr>
            <w:r w:rsidRPr="00BB0693">
              <w:rPr>
                <w:b/>
              </w:rPr>
              <w:t>Sub Category</w:t>
            </w:r>
          </w:p>
        </w:tc>
        <w:tc>
          <w:tcPr>
            <w:tcW w:w="4394" w:type="dxa"/>
            <w:shd w:val="clear" w:color="auto" w:fill="FFE600" w:themeFill="text2"/>
            <w:vAlign w:val="center"/>
          </w:tcPr>
          <w:p w14:paraId="677242A1" w14:textId="77777777" w:rsidR="0006587B" w:rsidRPr="00BB0693" w:rsidRDefault="0006587B" w:rsidP="008144C8">
            <w:pPr>
              <w:pStyle w:val="Bodytextwithparaspace"/>
              <w:spacing w:before="60" w:after="60"/>
              <w:rPr>
                <w:b/>
              </w:rPr>
            </w:pPr>
            <w:r>
              <w:rPr>
                <w:b/>
              </w:rPr>
              <w:t xml:space="preserve">Benchmarked </w:t>
            </w:r>
            <w:r w:rsidRPr="00BB0693">
              <w:rPr>
                <w:b/>
              </w:rPr>
              <w:t>Product Group</w:t>
            </w:r>
          </w:p>
        </w:tc>
        <w:tc>
          <w:tcPr>
            <w:tcW w:w="2264" w:type="dxa"/>
            <w:shd w:val="clear" w:color="auto" w:fill="FFE600" w:themeFill="text2"/>
            <w:vAlign w:val="center"/>
          </w:tcPr>
          <w:p w14:paraId="25730D6E" w14:textId="77777777" w:rsidR="0006587B" w:rsidRPr="00BB0693" w:rsidRDefault="0006587B" w:rsidP="008144C8">
            <w:pPr>
              <w:pStyle w:val="Bodytextwithparaspace"/>
              <w:spacing w:before="60" w:after="60"/>
              <w:rPr>
                <w:b/>
              </w:rPr>
            </w:pPr>
            <w:r>
              <w:rPr>
                <w:b/>
              </w:rPr>
              <w:t xml:space="preserve">Best </w:t>
            </w:r>
            <w:r w:rsidRPr="00BB0693">
              <w:rPr>
                <w:b/>
              </w:rPr>
              <w:t>Prices Observed</w:t>
            </w:r>
          </w:p>
        </w:tc>
      </w:tr>
      <w:tr w:rsidR="0006587B" w14:paraId="171F646F" w14:textId="77777777" w:rsidTr="00927E56">
        <w:tc>
          <w:tcPr>
            <w:tcW w:w="2405" w:type="dxa"/>
          </w:tcPr>
          <w:p w14:paraId="5848F833" w14:textId="77777777" w:rsidR="0006587B" w:rsidRDefault="0006587B" w:rsidP="0006587B">
            <w:pPr>
              <w:pStyle w:val="Bodytextwithparaspace"/>
              <w:spacing w:before="60" w:after="60"/>
            </w:pPr>
            <w:r>
              <w:t>03.01 – Brachytherapy</w:t>
            </w:r>
          </w:p>
        </w:tc>
        <w:tc>
          <w:tcPr>
            <w:tcW w:w="4394" w:type="dxa"/>
          </w:tcPr>
          <w:p w14:paraId="0266952C" w14:textId="77777777" w:rsidR="0006587B" w:rsidRDefault="0006587B" w:rsidP="0006587B">
            <w:pPr>
              <w:pStyle w:val="Bodytextwithparaspace"/>
              <w:spacing w:before="60" w:after="60"/>
            </w:pPr>
            <w:r>
              <w:t>03.01.03 – Tissue Expander / Separator</w:t>
            </w:r>
          </w:p>
        </w:tc>
        <w:tc>
          <w:tcPr>
            <w:tcW w:w="2264" w:type="dxa"/>
          </w:tcPr>
          <w:p w14:paraId="347567E4" w14:textId="77777777" w:rsidR="0006587B" w:rsidRDefault="0006587B" w:rsidP="0006587B">
            <w:pPr>
              <w:pStyle w:val="Bodytextwithparaspace"/>
              <w:spacing w:before="60" w:after="60"/>
            </w:pPr>
            <w:r>
              <w:t>Public</w:t>
            </w:r>
          </w:p>
        </w:tc>
      </w:tr>
      <w:tr w:rsidR="0006587B" w14:paraId="0C124335" w14:textId="77777777" w:rsidTr="00927E56">
        <w:tc>
          <w:tcPr>
            <w:tcW w:w="2405" w:type="dxa"/>
            <w:vMerge w:val="restart"/>
          </w:tcPr>
          <w:p w14:paraId="2A5CAF32" w14:textId="77777777" w:rsidR="0006587B" w:rsidRDefault="0006587B" w:rsidP="0006587B">
            <w:pPr>
              <w:pStyle w:val="Bodytextwithparaspace"/>
              <w:spacing w:before="60" w:after="60"/>
            </w:pPr>
            <w:r>
              <w:t>03.02 – Drug Delivery Devices</w:t>
            </w:r>
          </w:p>
        </w:tc>
        <w:tc>
          <w:tcPr>
            <w:tcW w:w="4394" w:type="dxa"/>
          </w:tcPr>
          <w:p w14:paraId="40B9E5D5" w14:textId="77777777" w:rsidR="0006587B" w:rsidRDefault="0006587B" w:rsidP="0006587B">
            <w:pPr>
              <w:pStyle w:val="Bodytextwithparaspace"/>
              <w:spacing w:before="60" w:after="60"/>
            </w:pPr>
            <w:r>
              <w:t>03.02.05 – Infusion Pump</w:t>
            </w:r>
            <w:r w:rsidR="00B11CC3">
              <w:t xml:space="preserve"> Accessories</w:t>
            </w:r>
          </w:p>
        </w:tc>
        <w:tc>
          <w:tcPr>
            <w:tcW w:w="2264" w:type="dxa"/>
          </w:tcPr>
          <w:p w14:paraId="36B2FFF6" w14:textId="77777777" w:rsidR="0006587B" w:rsidRDefault="0006587B" w:rsidP="0006587B">
            <w:pPr>
              <w:pStyle w:val="Bodytextwithparaspace"/>
              <w:spacing w:before="60" w:after="60"/>
            </w:pPr>
            <w:r>
              <w:t>Public</w:t>
            </w:r>
          </w:p>
        </w:tc>
      </w:tr>
      <w:tr w:rsidR="0006587B" w14:paraId="43D900C3" w14:textId="77777777" w:rsidTr="00927E56">
        <w:tc>
          <w:tcPr>
            <w:tcW w:w="2405" w:type="dxa"/>
            <w:vMerge/>
          </w:tcPr>
          <w:p w14:paraId="33A8FCA1" w14:textId="77777777" w:rsidR="0006587B" w:rsidRDefault="0006587B" w:rsidP="0006587B">
            <w:pPr>
              <w:pStyle w:val="Bodytextwithparaspace"/>
              <w:spacing w:before="60" w:after="60"/>
            </w:pPr>
          </w:p>
        </w:tc>
        <w:tc>
          <w:tcPr>
            <w:tcW w:w="4394" w:type="dxa"/>
          </w:tcPr>
          <w:p w14:paraId="74F0850D" w14:textId="77777777" w:rsidR="0006587B" w:rsidRDefault="0006587B" w:rsidP="0006587B">
            <w:pPr>
              <w:pStyle w:val="Bodytextwithparaspace"/>
              <w:spacing w:before="60" w:after="60"/>
            </w:pPr>
            <w:r>
              <w:t>03.02.06 – Pharmaceutical Beads</w:t>
            </w:r>
          </w:p>
        </w:tc>
        <w:tc>
          <w:tcPr>
            <w:tcW w:w="2264" w:type="dxa"/>
          </w:tcPr>
          <w:p w14:paraId="4A2D3863" w14:textId="77777777" w:rsidR="0006587B" w:rsidRDefault="0006587B" w:rsidP="0006587B">
            <w:pPr>
              <w:pStyle w:val="Bodytextwithparaspace"/>
              <w:spacing w:before="60" w:after="60"/>
            </w:pPr>
            <w:r>
              <w:t>Private</w:t>
            </w:r>
          </w:p>
        </w:tc>
      </w:tr>
      <w:tr w:rsidR="0006587B" w14:paraId="185B5B11" w14:textId="77777777" w:rsidTr="00927E56">
        <w:tc>
          <w:tcPr>
            <w:tcW w:w="2405" w:type="dxa"/>
          </w:tcPr>
          <w:p w14:paraId="76FF07A9" w14:textId="77777777" w:rsidR="0006587B" w:rsidRDefault="0006587B" w:rsidP="0006587B">
            <w:pPr>
              <w:pStyle w:val="Bodytextwithparaspace"/>
              <w:spacing w:before="60" w:after="60"/>
            </w:pPr>
            <w:r>
              <w:t>03.03 – Enteral Tubes</w:t>
            </w:r>
          </w:p>
        </w:tc>
        <w:tc>
          <w:tcPr>
            <w:tcW w:w="4394" w:type="dxa"/>
          </w:tcPr>
          <w:p w14:paraId="30D5E1E5" w14:textId="77777777" w:rsidR="0006587B" w:rsidRDefault="0006587B" w:rsidP="0006587B">
            <w:pPr>
              <w:pStyle w:val="Bodytextwithparaspace"/>
              <w:spacing w:before="60" w:after="60"/>
            </w:pPr>
            <w:r>
              <w:t>03.03.02 – Gastrostomy Tubes</w:t>
            </w:r>
          </w:p>
        </w:tc>
        <w:tc>
          <w:tcPr>
            <w:tcW w:w="2264" w:type="dxa"/>
          </w:tcPr>
          <w:p w14:paraId="1847DFA4" w14:textId="77777777" w:rsidR="0006587B" w:rsidRDefault="0006587B" w:rsidP="0006587B">
            <w:pPr>
              <w:pStyle w:val="Bodytextwithparaspace"/>
              <w:spacing w:before="60" w:after="60"/>
            </w:pPr>
            <w:r>
              <w:t>Private</w:t>
            </w:r>
          </w:p>
        </w:tc>
      </w:tr>
      <w:tr w:rsidR="0006587B" w14:paraId="37065EE4" w14:textId="77777777" w:rsidTr="00927E56">
        <w:tc>
          <w:tcPr>
            <w:tcW w:w="2405" w:type="dxa"/>
          </w:tcPr>
          <w:p w14:paraId="03C14F68" w14:textId="77777777" w:rsidR="0006587B" w:rsidRDefault="0006587B" w:rsidP="0006587B">
            <w:pPr>
              <w:pStyle w:val="Bodytextwithparaspace"/>
              <w:spacing w:before="60" w:after="60"/>
            </w:pPr>
            <w:r>
              <w:t>03.04 – Gastric Bands</w:t>
            </w:r>
          </w:p>
        </w:tc>
        <w:tc>
          <w:tcPr>
            <w:tcW w:w="4394" w:type="dxa"/>
          </w:tcPr>
          <w:p w14:paraId="2A0FED0C" w14:textId="77777777" w:rsidR="0006587B" w:rsidRDefault="0006587B" w:rsidP="0006587B">
            <w:pPr>
              <w:pStyle w:val="Bodytextwithparaspace"/>
              <w:spacing w:before="60" w:after="60"/>
            </w:pPr>
            <w:r>
              <w:t>03.04.01 – Adjustable Gastric Band with Port</w:t>
            </w:r>
          </w:p>
        </w:tc>
        <w:tc>
          <w:tcPr>
            <w:tcW w:w="2264" w:type="dxa"/>
          </w:tcPr>
          <w:p w14:paraId="4005BBE7" w14:textId="77777777" w:rsidR="0006587B" w:rsidRDefault="0006587B" w:rsidP="0006587B">
            <w:pPr>
              <w:pStyle w:val="Bodytextwithparaspace"/>
              <w:spacing w:before="60" w:after="60"/>
            </w:pPr>
            <w:r>
              <w:t>Public</w:t>
            </w:r>
          </w:p>
        </w:tc>
      </w:tr>
      <w:tr w:rsidR="0006587B" w14:paraId="512DEB69" w14:textId="77777777" w:rsidTr="00927E56">
        <w:tc>
          <w:tcPr>
            <w:tcW w:w="2405" w:type="dxa"/>
            <w:vMerge w:val="restart"/>
          </w:tcPr>
          <w:p w14:paraId="0A731FBB" w14:textId="77777777" w:rsidR="0006587B" w:rsidRDefault="0006587B" w:rsidP="0006587B">
            <w:pPr>
              <w:pStyle w:val="Bodytextwithparaspace"/>
              <w:spacing w:before="60" w:after="60"/>
            </w:pPr>
            <w:r>
              <w:t>03.05 – Haemostatic Devices</w:t>
            </w:r>
          </w:p>
        </w:tc>
        <w:tc>
          <w:tcPr>
            <w:tcW w:w="4394" w:type="dxa"/>
          </w:tcPr>
          <w:p w14:paraId="7D9506AC" w14:textId="77777777" w:rsidR="0006587B" w:rsidRDefault="0006587B" w:rsidP="0006587B">
            <w:pPr>
              <w:pStyle w:val="Bodytextwithparaspace"/>
              <w:spacing w:before="60" w:after="60"/>
            </w:pPr>
            <w:r>
              <w:t>03.05.02 – Powder</w:t>
            </w:r>
          </w:p>
        </w:tc>
        <w:tc>
          <w:tcPr>
            <w:tcW w:w="2264" w:type="dxa"/>
          </w:tcPr>
          <w:p w14:paraId="592DE819" w14:textId="77777777" w:rsidR="0006587B" w:rsidRDefault="0006587B" w:rsidP="0006587B">
            <w:pPr>
              <w:pStyle w:val="Bodytextwithparaspace"/>
              <w:spacing w:before="60" w:after="60"/>
            </w:pPr>
            <w:r>
              <w:t>Private</w:t>
            </w:r>
          </w:p>
        </w:tc>
      </w:tr>
      <w:tr w:rsidR="0006587B" w14:paraId="2FBDAB08" w14:textId="77777777" w:rsidTr="00927E56">
        <w:tc>
          <w:tcPr>
            <w:tcW w:w="2405" w:type="dxa"/>
            <w:vMerge/>
          </w:tcPr>
          <w:p w14:paraId="69ACFD4C" w14:textId="77777777" w:rsidR="0006587B" w:rsidRDefault="0006587B" w:rsidP="0006587B">
            <w:pPr>
              <w:pStyle w:val="Bodytextwithparaspace"/>
              <w:spacing w:before="60" w:after="60"/>
            </w:pPr>
          </w:p>
        </w:tc>
        <w:tc>
          <w:tcPr>
            <w:tcW w:w="4394" w:type="dxa"/>
          </w:tcPr>
          <w:p w14:paraId="2C7E4ADD" w14:textId="77777777" w:rsidR="0006587B" w:rsidRDefault="0006587B" w:rsidP="0006587B">
            <w:pPr>
              <w:pStyle w:val="Bodytextwithparaspace"/>
              <w:spacing w:before="60" w:after="60"/>
            </w:pPr>
            <w:r>
              <w:t>03.05.03 – Sponges</w:t>
            </w:r>
          </w:p>
        </w:tc>
        <w:tc>
          <w:tcPr>
            <w:tcW w:w="2264" w:type="dxa"/>
          </w:tcPr>
          <w:p w14:paraId="040ADC9A" w14:textId="77777777" w:rsidR="0006587B" w:rsidRDefault="0006587B" w:rsidP="0006587B">
            <w:pPr>
              <w:pStyle w:val="Bodytextwithparaspace"/>
              <w:spacing w:before="60" w:after="60"/>
            </w:pPr>
            <w:r>
              <w:t>Private</w:t>
            </w:r>
          </w:p>
        </w:tc>
      </w:tr>
      <w:tr w:rsidR="0006587B" w14:paraId="4A86048B" w14:textId="77777777" w:rsidTr="00927E56">
        <w:tc>
          <w:tcPr>
            <w:tcW w:w="2405" w:type="dxa"/>
            <w:vMerge/>
          </w:tcPr>
          <w:p w14:paraId="1A571665" w14:textId="77777777" w:rsidR="0006587B" w:rsidRDefault="0006587B" w:rsidP="0006587B">
            <w:pPr>
              <w:pStyle w:val="Bodytextwithparaspace"/>
              <w:spacing w:before="60" w:after="60"/>
            </w:pPr>
          </w:p>
        </w:tc>
        <w:tc>
          <w:tcPr>
            <w:tcW w:w="4394" w:type="dxa"/>
          </w:tcPr>
          <w:p w14:paraId="1A02D4EB" w14:textId="77777777" w:rsidR="0006587B" w:rsidRDefault="0006587B" w:rsidP="0006587B">
            <w:pPr>
              <w:pStyle w:val="Bodytextwithparaspace"/>
              <w:spacing w:before="60" w:after="60"/>
            </w:pPr>
            <w:r>
              <w:t>03.05.04 – Pliable Patches</w:t>
            </w:r>
          </w:p>
        </w:tc>
        <w:tc>
          <w:tcPr>
            <w:tcW w:w="2264" w:type="dxa"/>
          </w:tcPr>
          <w:p w14:paraId="79AF05FF" w14:textId="77777777" w:rsidR="0006587B" w:rsidRDefault="0006587B" w:rsidP="0006587B">
            <w:pPr>
              <w:pStyle w:val="Bodytextwithparaspace"/>
              <w:spacing w:before="60" w:after="60"/>
            </w:pPr>
            <w:r>
              <w:t>N/A</w:t>
            </w:r>
          </w:p>
        </w:tc>
      </w:tr>
      <w:tr w:rsidR="0006587B" w14:paraId="52EF8231" w14:textId="77777777" w:rsidTr="00927E56">
        <w:tc>
          <w:tcPr>
            <w:tcW w:w="2405" w:type="dxa"/>
            <w:vMerge/>
          </w:tcPr>
          <w:p w14:paraId="12691A8C" w14:textId="77777777" w:rsidR="0006587B" w:rsidRDefault="0006587B" w:rsidP="0006587B">
            <w:pPr>
              <w:pStyle w:val="Bodytextwithparaspace"/>
              <w:spacing w:before="60" w:after="60"/>
            </w:pPr>
          </w:p>
        </w:tc>
        <w:tc>
          <w:tcPr>
            <w:tcW w:w="4394" w:type="dxa"/>
          </w:tcPr>
          <w:p w14:paraId="652C1C5D" w14:textId="77777777" w:rsidR="0006587B" w:rsidRDefault="0006587B" w:rsidP="0006587B">
            <w:pPr>
              <w:pStyle w:val="Bodytextwithparaspace"/>
              <w:spacing w:before="60" w:after="60"/>
            </w:pPr>
            <w:r>
              <w:t>03.05.05 – Matrix</w:t>
            </w:r>
          </w:p>
        </w:tc>
        <w:tc>
          <w:tcPr>
            <w:tcW w:w="2264" w:type="dxa"/>
          </w:tcPr>
          <w:p w14:paraId="6848FBC4" w14:textId="77777777" w:rsidR="0006587B" w:rsidRDefault="0006587B" w:rsidP="0006587B">
            <w:pPr>
              <w:pStyle w:val="Bodytextwithparaspace"/>
              <w:spacing w:before="60" w:after="60"/>
            </w:pPr>
            <w:r>
              <w:t>Public*</w:t>
            </w:r>
          </w:p>
        </w:tc>
      </w:tr>
      <w:tr w:rsidR="0006587B" w14:paraId="40CA4875" w14:textId="77777777" w:rsidTr="00927E56">
        <w:tc>
          <w:tcPr>
            <w:tcW w:w="2405" w:type="dxa"/>
            <w:vMerge w:val="restart"/>
          </w:tcPr>
          <w:p w14:paraId="49627288" w14:textId="77777777" w:rsidR="0006587B" w:rsidRDefault="0006587B" w:rsidP="0006587B">
            <w:pPr>
              <w:pStyle w:val="Bodytextwithparaspace"/>
              <w:spacing w:before="60" w:after="60"/>
            </w:pPr>
            <w:r>
              <w:t>03.06 – Luminal Stents</w:t>
            </w:r>
          </w:p>
        </w:tc>
        <w:tc>
          <w:tcPr>
            <w:tcW w:w="4394" w:type="dxa"/>
          </w:tcPr>
          <w:p w14:paraId="60D0B85A" w14:textId="77777777" w:rsidR="0006587B" w:rsidRDefault="0006587B" w:rsidP="0006587B">
            <w:pPr>
              <w:pStyle w:val="Bodytextwithparaspace"/>
              <w:spacing w:before="60" w:after="60"/>
            </w:pPr>
            <w:r>
              <w:t>03.06.01 – Biliary Stents</w:t>
            </w:r>
          </w:p>
        </w:tc>
        <w:tc>
          <w:tcPr>
            <w:tcW w:w="2264" w:type="dxa"/>
          </w:tcPr>
          <w:p w14:paraId="423D3295" w14:textId="77777777" w:rsidR="0006587B" w:rsidRDefault="0006587B" w:rsidP="0006587B">
            <w:pPr>
              <w:pStyle w:val="Bodytextwithparaspace"/>
              <w:spacing w:before="60" w:after="60"/>
            </w:pPr>
            <w:r>
              <w:t>Private</w:t>
            </w:r>
          </w:p>
        </w:tc>
      </w:tr>
      <w:tr w:rsidR="0006587B" w14:paraId="4DDCC2C9" w14:textId="77777777" w:rsidTr="00927E56">
        <w:tc>
          <w:tcPr>
            <w:tcW w:w="2405" w:type="dxa"/>
            <w:vMerge/>
          </w:tcPr>
          <w:p w14:paraId="2B4A918A" w14:textId="77777777" w:rsidR="0006587B" w:rsidRDefault="0006587B" w:rsidP="0006587B">
            <w:pPr>
              <w:pStyle w:val="Bodytextwithparaspace"/>
              <w:spacing w:before="60" w:after="60"/>
            </w:pPr>
          </w:p>
        </w:tc>
        <w:tc>
          <w:tcPr>
            <w:tcW w:w="4394" w:type="dxa"/>
          </w:tcPr>
          <w:p w14:paraId="66BE1739" w14:textId="77777777" w:rsidR="0006587B" w:rsidRDefault="0006587B" w:rsidP="0006587B">
            <w:pPr>
              <w:pStyle w:val="Bodytextwithparaspace"/>
              <w:spacing w:before="60" w:after="60"/>
            </w:pPr>
            <w:r>
              <w:t>03.06.02 – Colonic Stents</w:t>
            </w:r>
          </w:p>
        </w:tc>
        <w:tc>
          <w:tcPr>
            <w:tcW w:w="2264" w:type="dxa"/>
          </w:tcPr>
          <w:p w14:paraId="258DD979" w14:textId="77777777" w:rsidR="0006587B" w:rsidRDefault="0006587B" w:rsidP="0006587B">
            <w:pPr>
              <w:pStyle w:val="Bodytextwithparaspace"/>
              <w:spacing w:before="60" w:after="60"/>
            </w:pPr>
            <w:r>
              <w:t>N/A</w:t>
            </w:r>
          </w:p>
        </w:tc>
      </w:tr>
      <w:tr w:rsidR="0006587B" w14:paraId="519F873E" w14:textId="77777777" w:rsidTr="00927E56">
        <w:tc>
          <w:tcPr>
            <w:tcW w:w="2405" w:type="dxa"/>
            <w:vMerge/>
          </w:tcPr>
          <w:p w14:paraId="29296BF8" w14:textId="77777777" w:rsidR="0006587B" w:rsidRDefault="0006587B" w:rsidP="0006587B">
            <w:pPr>
              <w:pStyle w:val="Bodytextwithparaspace"/>
              <w:spacing w:before="60" w:after="60"/>
            </w:pPr>
          </w:p>
        </w:tc>
        <w:tc>
          <w:tcPr>
            <w:tcW w:w="4394" w:type="dxa"/>
          </w:tcPr>
          <w:p w14:paraId="351FBF7E" w14:textId="77777777" w:rsidR="0006587B" w:rsidRDefault="0006587B" w:rsidP="0006587B">
            <w:pPr>
              <w:pStyle w:val="Bodytextwithparaspace"/>
              <w:spacing w:before="60" w:after="60"/>
            </w:pPr>
            <w:r>
              <w:t>03.06.03 – Oesophageal Stents</w:t>
            </w:r>
          </w:p>
        </w:tc>
        <w:tc>
          <w:tcPr>
            <w:tcW w:w="2264" w:type="dxa"/>
          </w:tcPr>
          <w:p w14:paraId="1E0219AB" w14:textId="77777777" w:rsidR="0006587B" w:rsidRDefault="0006587B" w:rsidP="0006587B">
            <w:pPr>
              <w:pStyle w:val="Bodytextwithparaspace"/>
              <w:spacing w:before="60" w:after="60"/>
            </w:pPr>
            <w:r>
              <w:t>Public*</w:t>
            </w:r>
          </w:p>
        </w:tc>
      </w:tr>
      <w:tr w:rsidR="0006587B" w14:paraId="352C1845" w14:textId="77777777" w:rsidTr="00927E56">
        <w:tc>
          <w:tcPr>
            <w:tcW w:w="2405" w:type="dxa"/>
            <w:vMerge/>
          </w:tcPr>
          <w:p w14:paraId="7014325B" w14:textId="77777777" w:rsidR="0006587B" w:rsidRDefault="0006587B" w:rsidP="0006587B">
            <w:pPr>
              <w:pStyle w:val="Bodytextwithparaspace"/>
              <w:spacing w:before="60" w:after="60"/>
            </w:pPr>
          </w:p>
        </w:tc>
        <w:tc>
          <w:tcPr>
            <w:tcW w:w="4394" w:type="dxa"/>
          </w:tcPr>
          <w:p w14:paraId="51DCCF49" w14:textId="77777777" w:rsidR="0006587B" w:rsidRDefault="0006587B" w:rsidP="0006587B">
            <w:pPr>
              <w:pStyle w:val="Bodytextwithparaspace"/>
              <w:spacing w:before="60" w:after="60"/>
            </w:pPr>
            <w:r>
              <w:t>03.06.04 – Pancreatic Stents</w:t>
            </w:r>
          </w:p>
        </w:tc>
        <w:tc>
          <w:tcPr>
            <w:tcW w:w="2264" w:type="dxa"/>
          </w:tcPr>
          <w:p w14:paraId="1F08F1AC" w14:textId="77777777" w:rsidR="0006587B" w:rsidRDefault="0006587B" w:rsidP="0006587B">
            <w:pPr>
              <w:pStyle w:val="Bodytextwithparaspace"/>
              <w:spacing w:before="60" w:after="60"/>
            </w:pPr>
            <w:r>
              <w:t>Private</w:t>
            </w:r>
          </w:p>
        </w:tc>
      </w:tr>
      <w:tr w:rsidR="0006587B" w14:paraId="24F54DC6" w14:textId="77777777" w:rsidTr="00927E56">
        <w:tc>
          <w:tcPr>
            <w:tcW w:w="2405" w:type="dxa"/>
            <w:vMerge/>
          </w:tcPr>
          <w:p w14:paraId="77ABDF29" w14:textId="77777777" w:rsidR="0006587B" w:rsidRDefault="0006587B" w:rsidP="0006587B">
            <w:pPr>
              <w:pStyle w:val="Bodytextwithparaspace"/>
              <w:spacing w:before="60" w:after="60"/>
            </w:pPr>
          </w:p>
        </w:tc>
        <w:tc>
          <w:tcPr>
            <w:tcW w:w="4394" w:type="dxa"/>
          </w:tcPr>
          <w:p w14:paraId="179D2EC5" w14:textId="77777777" w:rsidR="0006587B" w:rsidRDefault="0006587B" w:rsidP="0006587B">
            <w:pPr>
              <w:pStyle w:val="Bodytextwithparaspace"/>
              <w:spacing w:before="60" w:after="60"/>
            </w:pPr>
            <w:r>
              <w:t>03.06.05 – Enteral Stents</w:t>
            </w:r>
          </w:p>
        </w:tc>
        <w:tc>
          <w:tcPr>
            <w:tcW w:w="2264" w:type="dxa"/>
          </w:tcPr>
          <w:p w14:paraId="0417ED3F" w14:textId="77777777" w:rsidR="0006587B" w:rsidRDefault="0006587B" w:rsidP="0006587B">
            <w:pPr>
              <w:pStyle w:val="Bodytextwithparaspace"/>
              <w:spacing w:before="60" w:after="60"/>
            </w:pPr>
            <w:r>
              <w:t>Public</w:t>
            </w:r>
          </w:p>
        </w:tc>
      </w:tr>
      <w:tr w:rsidR="0006587B" w14:paraId="35F4106F" w14:textId="77777777" w:rsidTr="00927E56">
        <w:tc>
          <w:tcPr>
            <w:tcW w:w="2405" w:type="dxa"/>
            <w:vMerge/>
          </w:tcPr>
          <w:p w14:paraId="71B56E22" w14:textId="77777777" w:rsidR="0006587B" w:rsidRDefault="0006587B" w:rsidP="0006587B">
            <w:pPr>
              <w:pStyle w:val="Bodytextwithparaspace"/>
              <w:spacing w:before="60" w:after="60"/>
            </w:pPr>
          </w:p>
        </w:tc>
        <w:tc>
          <w:tcPr>
            <w:tcW w:w="4394" w:type="dxa"/>
          </w:tcPr>
          <w:p w14:paraId="584EF9F3" w14:textId="77777777" w:rsidR="0006587B" w:rsidRDefault="0006587B" w:rsidP="0006587B">
            <w:pPr>
              <w:pStyle w:val="Bodytextwithparaspace"/>
              <w:spacing w:before="60" w:after="60"/>
            </w:pPr>
            <w:r>
              <w:t>03.06.06 – Tracheobronchial Stents</w:t>
            </w:r>
          </w:p>
        </w:tc>
        <w:tc>
          <w:tcPr>
            <w:tcW w:w="2264" w:type="dxa"/>
          </w:tcPr>
          <w:p w14:paraId="68D7B2D2" w14:textId="77777777" w:rsidR="0006587B" w:rsidRDefault="0006587B" w:rsidP="0006587B">
            <w:pPr>
              <w:pStyle w:val="Bodytextwithparaspace"/>
              <w:spacing w:before="60" w:after="60"/>
            </w:pPr>
            <w:r>
              <w:t>Public</w:t>
            </w:r>
          </w:p>
        </w:tc>
      </w:tr>
      <w:tr w:rsidR="0006587B" w14:paraId="07DA69A4" w14:textId="77777777" w:rsidTr="00927E56">
        <w:tc>
          <w:tcPr>
            <w:tcW w:w="2405" w:type="dxa"/>
            <w:vMerge/>
          </w:tcPr>
          <w:p w14:paraId="6F274C9C" w14:textId="77777777" w:rsidR="0006587B" w:rsidRDefault="0006587B" w:rsidP="0006587B">
            <w:pPr>
              <w:pStyle w:val="Bodytextwithparaspace"/>
              <w:spacing w:before="60" w:after="60"/>
            </w:pPr>
          </w:p>
        </w:tc>
        <w:tc>
          <w:tcPr>
            <w:tcW w:w="4394" w:type="dxa"/>
          </w:tcPr>
          <w:p w14:paraId="51B2F827" w14:textId="77777777" w:rsidR="0006587B" w:rsidRDefault="0006587B" w:rsidP="0006587B">
            <w:pPr>
              <w:pStyle w:val="Bodytextwithparaspace"/>
              <w:spacing w:before="60" w:after="60"/>
            </w:pPr>
            <w:r>
              <w:t>03.06.07 – Nerve Repair Stents</w:t>
            </w:r>
          </w:p>
        </w:tc>
        <w:tc>
          <w:tcPr>
            <w:tcW w:w="2264" w:type="dxa"/>
          </w:tcPr>
          <w:p w14:paraId="59E6D731" w14:textId="77777777" w:rsidR="0006587B" w:rsidRDefault="0006587B" w:rsidP="0006587B">
            <w:pPr>
              <w:pStyle w:val="Bodytextwithparaspace"/>
              <w:spacing w:before="60" w:after="60"/>
            </w:pPr>
            <w:r>
              <w:t>Private</w:t>
            </w:r>
          </w:p>
        </w:tc>
      </w:tr>
      <w:tr w:rsidR="0006587B" w14:paraId="2A087064" w14:textId="77777777" w:rsidTr="00927E56">
        <w:tc>
          <w:tcPr>
            <w:tcW w:w="2405" w:type="dxa"/>
            <w:vMerge w:val="restart"/>
          </w:tcPr>
          <w:p w14:paraId="61136F33" w14:textId="77777777" w:rsidR="0006587B" w:rsidRDefault="0006587B" w:rsidP="0006587B">
            <w:pPr>
              <w:pStyle w:val="Bodytextwithparaspace"/>
              <w:spacing w:before="60" w:after="60"/>
            </w:pPr>
            <w:r>
              <w:t>03.07 – Pulmonary / Peritoneal Devices</w:t>
            </w:r>
          </w:p>
        </w:tc>
        <w:tc>
          <w:tcPr>
            <w:tcW w:w="4394" w:type="dxa"/>
          </w:tcPr>
          <w:p w14:paraId="419DE154" w14:textId="77777777" w:rsidR="0006587B" w:rsidRDefault="0006587B" w:rsidP="0006587B">
            <w:pPr>
              <w:pStyle w:val="Bodytextwithparaspace"/>
              <w:spacing w:before="60" w:after="60"/>
            </w:pPr>
            <w:r>
              <w:t>03.07.01 – Drainage Catheters</w:t>
            </w:r>
          </w:p>
        </w:tc>
        <w:tc>
          <w:tcPr>
            <w:tcW w:w="2264" w:type="dxa"/>
          </w:tcPr>
          <w:p w14:paraId="60DA1946" w14:textId="77777777" w:rsidR="0006587B" w:rsidRDefault="0006587B" w:rsidP="0006587B">
            <w:pPr>
              <w:pStyle w:val="Bodytextwithparaspace"/>
              <w:spacing w:before="60" w:after="60"/>
            </w:pPr>
            <w:r>
              <w:t>Public</w:t>
            </w:r>
          </w:p>
        </w:tc>
      </w:tr>
      <w:tr w:rsidR="0006587B" w14:paraId="6472BB53" w14:textId="77777777" w:rsidTr="00927E56">
        <w:tc>
          <w:tcPr>
            <w:tcW w:w="2405" w:type="dxa"/>
            <w:vMerge/>
          </w:tcPr>
          <w:p w14:paraId="20CC7DA1" w14:textId="77777777" w:rsidR="0006587B" w:rsidRDefault="0006587B" w:rsidP="0006587B">
            <w:pPr>
              <w:pStyle w:val="Bodytextwithparaspace"/>
              <w:spacing w:before="60" w:after="60"/>
            </w:pPr>
          </w:p>
        </w:tc>
        <w:tc>
          <w:tcPr>
            <w:tcW w:w="4394" w:type="dxa"/>
          </w:tcPr>
          <w:p w14:paraId="5FFC4009" w14:textId="77777777" w:rsidR="0006587B" w:rsidRDefault="0006587B" w:rsidP="0006587B">
            <w:pPr>
              <w:pStyle w:val="Bodytextwithparaspace"/>
              <w:spacing w:before="60" w:after="60"/>
            </w:pPr>
            <w:r>
              <w:t>03.07.02 – Endobronchial Valve</w:t>
            </w:r>
          </w:p>
        </w:tc>
        <w:tc>
          <w:tcPr>
            <w:tcW w:w="2264" w:type="dxa"/>
          </w:tcPr>
          <w:p w14:paraId="6B317C19" w14:textId="77777777" w:rsidR="0006587B" w:rsidRDefault="0006587B" w:rsidP="0006587B">
            <w:pPr>
              <w:pStyle w:val="Bodytextwithparaspace"/>
              <w:spacing w:before="60" w:after="60"/>
            </w:pPr>
            <w:r>
              <w:t>Private</w:t>
            </w:r>
          </w:p>
        </w:tc>
      </w:tr>
      <w:tr w:rsidR="0006587B" w14:paraId="3A3C131B" w14:textId="77777777" w:rsidTr="00927E56">
        <w:tc>
          <w:tcPr>
            <w:tcW w:w="2405" w:type="dxa"/>
            <w:vMerge w:val="restart"/>
          </w:tcPr>
          <w:p w14:paraId="20893CE4" w14:textId="77777777" w:rsidR="0006587B" w:rsidRDefault="0006587B" w:rsidP="0006587B">
            <w:pPr>
              <w:pStyle w:val="Bodytextwithparaspace"/>
              <w:spacing w:before="60" w:after="60"/>
            </w:pPr>
            <w:r>
              <w:t>03.08 – Closure Devices</w:t>
            </w:r>
          </w:p>
        </w:tc>
        <w:tc>
          <w:tcPr>
            <w:tcW w:w="4394" w:type="dxa"/>
          </w:tcPr>
          <w:p w14:paraId="4BF1B338" w14:textId="77777777" w:rsidR="0006587B" w:rsidRDefault="0006587B" w:rsidP="0006587B">
            <w:pPr>
              <w:pStyle w:val="Bodytextwithparaspace"/>
              <w:spacing w:before="60" w:after="60"/>
            </w:pPr>
            <w:r>
              <w:t>03.08.01 – Adhesion Barriers</w:t>
            </w:r>
          </w:p>
        </w:tc>
        <w:tc>
          <w:tcPr>
            <w:tcW w:w="2264" w:type="dxa"/>
          </w:tcPr>
          <w:p w14:paraId="1275549F" w14:textId="77777777" w:rsidR="0006587B" w:rsidRDefault="0006587B" w:rsidP="0006587B">
            <w:pPr>
              <w:pStyle w:val="Bodytextwithparaspace"/>
              <w:spacing w:before="60" w:after="60"/>
            </w:pPr>
            <w:r>
              <w:t>Public</w:t>
            </w:r>
          </w:p>
        </w:tc>
      </w:tr>
      <w:tr w:rsidR="0006587B" w14:paraId="49F75C3E" w14:textId="77777777" w:rsidTr="00927E56">
        <w:tc>
          <w:tcPr>
            <w:tcW w:w="2405" w:type="dxa"/>
            <w:vMerge/>
          </w:tcPr>
          <w:p w14:paraId="2DB5C741" w14:textId="77777777" w:rsidR="0006587B" w:rsidRDefault="0006587B" w:rsidP="0006587B">
            <w:pPr>
              <w:pStyle w:val="Bodytextwithparaspace"/>
              <w:spacing w:before="60" w:after="60"/>
            </w:pPr>
          </w:p>
        </w:tc>
        <w:tc>
          <w:tcPr>
            <w:tcW w:w="4394" w:type="dxa"/>
          </w:tcPr>
          <w:p w14:paraId="31A9D74A" w14:textId="77777777" w:rsidR="0006587B" w:rsidRDefault="0006587B" w:rsidP="0006587B">
            <w:pPr>
              <w:pStyle w:val="Bodytextwithparaspace"/>
              <w:spacing w:before="60" w:after="60"/>
            </w:pPr>
            <w:r>
              <w:t>03.08.02 – Internal Adhesives</w:t>
            </w:r>
          </w:p>
        </w:tc>
        <w:tc>
          <w:tcPr>
            <w:tcW w:w="2264" w:type="dxa"/>
          </w:tcPr>
          <w:p w14:paraId="5BB50115" w14:textId="77777777" w:rsidR="0006587B" w:rsidRDefault="0006587B" w:rsidP="0006587B">
            <w:pPr>
              <w:pStyle w:val="Bodytextwithparaspace"/>
              <w:spacing w:before="60" w:after="60"/>
            </w:pPr>
            <w:r>
              <w:t>N/A</w:t>
            </w:r>
          </w:p>
        </w:tc>
      </w:tr>
      <w:tr w:rsidR="0006587B" w14:paraId="00988E90" w14:textId="77777777" w:rsidTr="00927E56">
        <w:tc>
          <w:tcPr>
            <w:tcW w:w="2405" w:type="dxa"/>
            <w:vMerge/>
          </w:tcPr>
          <w:p w14:paraId="319A99A8" w14:textId="77777777" w:rsidR="0006587B" w:rsidRDefault="0006587B" w:rsidP="0006587B">
            <w:pPr>
              <w:pStyle w:val="Bodytextwithparaspace"/>
              <w:spacing w:before="60" w:after="60"/>
            </w:pPr>
          </w:p>
        </w:tc>
        <w:tc>
          <w:tcPr>
            <w:tcW w:w="4394" w:type="dxa"/>
          </w:tcPr>
          <w:p w14:paraId="1305816C" w14:textId="77777777" w:rsidR="0006587B" w:rsidRDefault="0006587B" w:rsidP="0006587B">
            <w:pPr>
              <w:pStyle w:val="Bodytextwithparaspace"/>
              <w:spacing w:before="60" w:after="60"/>
            </w:pPr>
            <w:r>
              <w:t>03.08.03 – Ligating Devices</w:t>
            </w:r>
          </w:p>
        </w:tc>
        <w:tc>
          <w:tcPr>
            <w:tcW w:w="2264" w:type="dxa"/>
          </w:tcPr>
          <w:p w14:paraId="5542D956" w14:textId="77777777" w:rsidR="0006587B" w:rsidRDefault="0006587B" w:rsidP="0006587B">
            <w:pPr>
              <w:pStyle w:val="Bodytextwithparaspace"/>
              <w:spacing w:before="60" w:after="60"/>
            </w:pPr>
            <w:r>
              <w:t>N/A</w:t>
            </w:r>
          </w:p>
        </w:tc>
      </w:tr>
      <w:tr w:rsidR="0006587B" w14:paraId="0EFD2696" w14:textId="77777777" w:rsidTr="00927E56">
        <w:tc>
          <w:tcPr>
            <w:tcW w:w="2405" w:type="dxa"/>
            <w:vMerge/>
          </w:tcPr>
          <w:p w14:paraId="77A1E760" w14:textId="77777777" w:rsidR="0006587B" w:rsidRDefault="0006587B" w:rsidP="0006587B">
            <w:pPr>
              <w:pStyle w:val="Bodytextwithparaspace"/>
              <w:spacing w:before="60" w:after="60"/>
            </w:pPr>
          </w:p>
        </w:tc>
        <w:tc>
          <w:tcPr>
            <w:tcW w:w="4394" w:type="dxa"/>
          </w:tcPr>
          <w:p w14:paraId="19364F81" w14:textId="77777777" w:rsidR="0006587B" w:rsidRDefault="0006587B" w:rsidP="0006587B">
            <w:pPr>
              <w:pStyle w:val="Bodytextwithparaspace"/>
              <w:spacing w:before="60" w:after="60"/>
            </w:pPr>
            <w:r>
              <w:t>03.08.04 – Staples &amp; Tackers</w:t>
            </w:r>
          </w:p>
        </w:tc>
        <w:tc>
          <w:tcPr>
            <w:tcW w:w="2264" w:type="dxa"/>
          </w:tcPr>
          <w:p w14:paraId="5394D005" w14:textId="77777777" w:rsidR="0006587B" w:rsidRDefault="0006587B" w:rsidP="0006587B">
            <w:pPr>
              <w:pStyle w:val="Bodytextwithparaspace"/>
              <w:spacing w:before="60" w:after="60"/>
            </w:pPr>
            <w:r>
              <w:t>Private</w:t>
            </w:r>
          </w:p>
        </w:tc>
      </w:tr>
      <w:tr w:rsidR="0006587B" w14:paraId="72036AB9" w14:textId="77777777" w:rsidTr="00927E56">
        <w:tc>
          <w:tcPr>
            <w:tcW w:w="2405" w:type="dxa"/>
            <w:vMerge/>
          </w:tcPr>
          <w:p w14:paraId="20BE0902" w14:textId="77777777" w:rsidR="0006587B" w:rsidRDefault="0006587B" w:rsidP="0006587B">
            <w:pPr>
              <w:pStyle w:val="Bodytextwithparaspace"/>
              <w:spacing w:before="60" w:after="60"/>
            </w:pPr>
          </w:p>
        </w:tc>
        <w:tc>
          <w:tcPr>
            <w:tcW w:w="4394" w:type="dxa"/>
          </w:tcPr>
          <w:p w14:paraId="356C5444" w14:textId="77777777" w:rsidR="0006587B" w:rsidRDefault="0006587B" w:rsidP="0006587B">
            <w:pPr>
              <w:pStyle w:val="Bodytextwithparaspace"/>
              <w:spacing w:before="60" w:after="60"/>
            </w:pPr>
            <w:r>
              <w:t>03.08.05 – Polypropylene / Polyester Mesh</w:t>
            </w:r>
          </w:p>
        </w:tc>
        <w:tc>
          <w:tcPr>
            <w:tcW w:w="2264" w:type="dxa"/>
          </w:tcPr>
          <w:p w14:paraId="17E97392" w14:textId="77777777" w:rsidR="0006587B" w:rsidRDefault="0006587B" w:rsidP="0006587B">
            <w:pPr>
              <w:pStyle w:val="Bodytextwithparaspace"/>
              <w:spacing w:before="60" w:after="60"/>
            </w:pPr>
            <w:r>
              <w:t>Private</w:t>
            </w:r>
          </w:p>
        </w:tc>
      </w:tr>
      <w:tr w:rsidR="0006587B" w14:paraId="51355342" w14:textId="77777777" w:rsidTr="00927E56">
        <w:tc>
          <w:tcPr>
            <w:tcW w:w="2405" w:type="dxa"/>
            <w:vMerge/>
          </w:tcPr>
          <w:p w14:paraId="08222E60" w14:textId="77777777" w:rsidR="0006587B" w:rsidRDefault="0006587B" w:rsidP="0006587B">
            <w:pPr>
              <w:pStyle w:val="Bodytextwithparaspace"/>
              <w:spacing w:before="60" w:after="60"/>
            </w:pPr>
          </w:p>
        </w:tc>
        <w:tc>
          <w:tcPr>
            <w:tcW w:w="4394" w:type="dxa"/>
          </w:tcPr>
          <w:p w14:paraId="2259D365" w14:textId="77777777" w:rsidR="0006587B" w:rsidRDefault="0006587B" w:rsidP="0006587B">
            <w:pPr>
              <w:pStyle w:val="Bodytextwithparaspace"/>
              <w:spacing w:before="60" w:after="60"/>
            </w:pPr>
            <w:r>
              <w:t>03.08.06 – Composite Mesh</w:t>
            </w:r>
          </w:p>
        </w:tc>
        <w:tc>
          <w:tcPr>
            <w:tcW w:w="2264" w:type="dxa"/>
          </w:tcPr>
          <w:p w14:paraId="6B0F9E35" w14:textId="77777777" w:rsidR="0006587B" w:rsidRDefault="0006587B" w:rsidP="0006587B">
            <w:pPr>
              <w:pStyle w:val="Bodytextwithparaspace"/>
              <w:spacing w:before="60" w:after="60"/>
            </w:pPr>
            <w:r>
              <w:t>Private</w:t>
            </w:r>
          </w:p>
        </w:tc>
      </w:tr>
      <w:tr w:rsidR="0006587B" w14:paraId="144DFBC2" w14:textId="77777777" w:rsidTr="00927E56">
        <w:tc>
          <w:tcPr>
            <w:tcW w:w="2405" w:type="dxa"/>
            <w:vMerge/>
          </w:tcPr>
          <w:p w14:paraId="05C7FC7F" w14:textId="77777777" w:rsidR="0006587B" w:rsidRDefault="0006587B" w:rsidP="0006587B">
            <w:pPr>
              <w:pStyle w:val="Bodytextwithparaspace"/>
              <w:spacing w:before="60" w:after="60"/>
            </w:pPr>
          </w:p>
        </w:tc>
        <w:tc>
          <w:tcPr>
            <w:tcW w:w="4394" w:type="dxa"/>
          </w:tcPr>
          <w:p w14:paraId="642E4EBB" w14:textId="77777777" w:rsidR="0006587B" w:rsidRDefault="0006587B" w:rsidP="0006587B">
            <w:pPr>
              <w:pStyle w:val="Bodytextwithparaspace"/>
              <w:spacing w:before="60" w:after="60"/>
            </w:pPr>
            <w:r>
              <w:t>03.08.07 – Complete Biomaterial Mesh</w:t>
            </w:r>
          </w:p>
        </w:tc>
        <w:tc>
          <w:tcPr>
            <w:tcW w:w="2264" w:type="dxa"/>
          </w:tcPr>
          <w:p w14:paraId="5F8F376B" w14:textId="77777777" w:rsidR="0006587B" w:rsidRDefault="0006587B" w:rsidP="0006587B">
            <w:pPr>
              <w:pStyle w:val="Bodytextwithparaspace"/>
              <w:spacing w:before="60" w:after="60"/>
            </w:pPr>
            <w:r>
              <w:t>Private</w:t>
            </w:r>
          </w:p>
        </w:tc>
      </w:tr>
      <w:tr w:rsidR="0006587B" w14:paraId="0BCBE554" w14:textId="77777777" w:rsidTr="00927E56">
        <w:tc>
          <w:tcPr>
            <w:tcW w:w="2405" w:type="dxa"/>
            <w:vMerge/>
          </w:tcPr>
          <w:p w14:paraId="0EC00CEF" w14:textId="77777777" w:rsidR="0006587B" w:rsidRDefault="0006587B" w:rsidP="0006587B">
            <w:pPr>
              <w:pStyle w:val="Bodytextwithparaspace"/>
              <w:spacing w:before="60" w:after="60"/>
            </w:pPr>
          </w:p>
        </w:tc>
        <w:tc>
          <w:tcPr>
            <w:tcW w:w="4394" w:type="dxa"/>
          </w:tcPr>
          <w:p w14:paraId="78BCDCED" w14:textId="77777777" w:rsidR="0006587B" w:rsidRDefault="0006587B" w:rsidP="0006587B">
            <w:pPr>
              <w:pStyle w:val="Bodytextwithparaspace"/>
              <w:spacing w:before="60" w:after="60"/>
            </w:pPr>
            <w:r>
              <w:t>03.08.08 – PTFE / ePTFE Mesh</w:t>
            </w:r>
          </w:p>
        </w:tc>
        <w:tc>
          <w:tcPr>
            <w:tcW w:w="2264" w:type="dxa"/>
          </w:tcPr>
          <w:p w14:paraId="00746178" w14:textId="77777777" w:rsidR="0006587B" w:rsidRDefault="0006587B" w:rsidP="0006587B">
            <w:pPr>
              <w:pStyle w:val="Bodytextwithparaspace"/>
              <w:spacing w:before="60" w:after="60"/>
            </w:pPr>
            <w:r>
              <w:t>Private</w:t>
            </w:r>
          </w:p>
        </w:tc>
      </w:tr>
      <w:tr w:rsidR="0006587B" w14:paraId="53B80E5D" w14:textId="77777777" w:rsidTr="00927E56">
        <w:tc>
          <w:tcPr>
            <w:tcW w:w="2405" w:type="dxa"/>
            <w:vMerge/>
          </w:tcPr>
          <w:p w14:paraId="28298BDA" w14:textId="77777777" w:rsidR="0006587B" w:rsidRDefault="0006587B" w:rsidP="0006587B">
            <w:pPr>
              <w:pStyle w:val="Bodytextwithparaspace"/>
              <w:spacing w:before="60" w:after="60"/>
            </w:pPr>
          </w:p>
        </w:tc>
        <w:tc>
          <w:tcPr>
            <w:tcW w:w="4394" w:type="dxa"/>
          </w:tcPr>
          <w:p w14:paraId="5CE70259" w14:textId="77777777" w:rsidR="0006587B" w:rsidRDefault="0006587B" w:rsidP="0006587B">
            <w:pPr>
              <w:pStyle w:val="Bodytextwithparaspace"/>
              <w:spacing w:before="60" w:after="60"/>
            </w:pPr>
            <w:r>
              <w:t>03.08.09 - Plugs</w:t>
            </w:r>
          </w:p>
        </w:tc>
        <w:tc>
          <w:tcPr>
            <w:tcW w:w="2264" w:type="dxa"/>
          </w:tcPr>
          <w:p w14:paraId="2551F1DA" w14:textId="77777777" w:rsidR="0006587B" w:rsidRDefault="0006587B" w:rsidP="0006587B">
            <w:pPr>
              <w:pStyle w:val="Bodytextwithparaspace"/>
              <w:spacing w:before="60" w:after="60"/>
            </w:pPr>
            <w:r>
              <w:t>Private</w:t>
            </w:r>
          </w:p>
        </w:tc>
      </w:tr>
    </w:tbl>
    <w:p w14:paraId="570BDB47" w14:textId="77777777" w:rsidR="0006587B" w:rsidRDefault="0006587B" w:rsidP="0006587B">
      <w:pPr>
        <w:pStyle w:val="Bodytextwithparaspace"/>
      </w:pPr>
    </w:p>
    <w:p w14:paraId="7CE8164B" w14:textId="452459DF" w:rsidR="008144C8" w:rsidRDefault="008144C8" w:rsidP="00F979CF">
      <w:pPr>
        <w:pStyle w:val="Caption"/>
        <w:keepNext/>
      </w:pPr>
      <w:r>
        <w:t xml:space="preserve">Figure </w:t>
      </w:r>
      <w:r w:rsidR="00FC6370">
        <w:fldChar w:fldCharType="begin"/>
      </w:r>
      <w:r w:rsidR="00FC6370">
        <w:instrText xml:space="preserve"> SEQ Figure \* ARABIC </w:instrText>
      </w:r>
      <w:r w:rsidR="00FC6370">
        <w:fldChar w:fldCharType="separate"/>
      </w:r>
      <w:r w:rsidR="00784DE2">
        <w:rPr>
          <w:noProof/>
        </w:rPr>
        <w:t>59</w:t>
      </w:r>
      <w:r w:rsidR="00FC6370">
        <w:rPr>
          <w:noProof/>
        </w:rPr>
        <w:fldChar w:fldCharType="end"/>
      </w:r>
      <w:r>
        <w:t xml:space="preserve"> - Benchmarking of GM PL item prices between public and private health systems</w:t>
      </w:r>
    </w:p>
    <w:p w14:paraId="6EAC43D6" w14:textId="77777777" w:rsidR="0006587B" w:rsidRDefault="0006587B" w:rsidP="0006587B">
      <w:pPr>
        <w:pStyle w:val="Bodytextwithparaspace"/>
      </w:pPr>
      <w:r>
        <w:rPr>
          <w:noProof/>
          <w:lang w:val="en-AU" w:eastAsia="en-AU"/>
        </w:rPr>
        <w:drawing>
          <wp:inline distT="0" distB="0" distL="0" distR="0" wp14:anchorId="5BECE18A" wp14:editId="57114706">
            <wp:extent cx="4775200" cy="3454400"/>
            <wp:effectExtent l="0" t="0" r="6350" b="12700"/>
            <wp:docPr id="1297013563" name="Chart 1297013563" descr="Figure 59 - Benchmarking of GM PL item prices between public and private health systems" title="Figure 59 - Benchmarking of GM PL item prices between public and private health systems">
              <a:extLst xmlns:a="http://schemas.openxmlformats.org/drawingml/2006/main">
                <a:ext uri="{FF2B5EF4-FFF2-40B4-BE49-F238E27FC236}">
                  <a16:creationId xmlns:a16="http://schemas.microsoft.com/office/drawing/2014/main" id="{530779CE-74E7-4608-868C-EDD3B6F8DD1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61B36E0A" w14:textId="77777777" w:rsidR="0006587B" w:rsidRDefault="0006587B" w:rsidP="0006587B">
      <w:pPr>
        <w:pStyle w:val="Heading2"/>
      </w:pPr>
      <w:r>
        <w:t xml:space="preserve">03.01 </w:t>
      </w:r>
      <w:r w:rsidR="005407A4">
        <w:t>–</w:t>
      </w:r>
      <w:r>
        <w:t xml:space="preserve"> B</w:t>
      </w:r>
      <w:r w:rsidR="005407A4">
        <w:t>rachytherapy</w:t>
      </w:r>
    </w:p>
    <w:p w14:paraId="3B9154DE" w14:textId="7F797C88" w:rsidR="0006587B" w:rsidRDefault="0006587B" w:rsidP="0006587B">
      <w:pPr>
        <w:pStyle w:val="Bodytextwithparaspace"/>
      </w:pPr>
      <w:r>
        <w:t xml:space="preserve">Benchmarking data for this product category shows that </w:t>
      </w:r>
      <w:r w:rsidR="00F24211">
        <w:t>PL</w:t>
      </w:r>
      <w:r>
        <w:t xml:space="preserve"> pricing is uncompetitive when compared to public hospital benchmarks. For instance, </w:t>
      </w:r>
      <w:r w:rsidR="004837EE">
        <w:t>one product</w:t>
      </w:r>
      <w:r>
        <w:t xml:space="preserve"> was observed to be purchased in a major Australian public health system for  6% cheaper than the </w:t>
      </w:r>
      <w:r w:rsidR="00F24211">
        <w:t>PL</w:t>
      </w:r>
      <w:r>
        <w:t xml:space="preserve"> price.</w:t>
      </w:r>
    </w:p>
    <w:p w14:paraId="51719D51" w14:textId="77777777" w:rsidR="0006587B" w:rsidRDefault="0006587B" w:rsidP="0006587B">
      <w:pPr>
        <w:pStyle w:val="Heading2"/>
      </w:pPr>
      <w:r>
        <w:t>03.02</w:t>
      </w:r>
      <w:r w:rsidR="005407A4">
        <w:t xml:space="preserve"> –</w:t>
      </w:r>
      <w:r>
        <w:t xml:space="preserve"> D</w:t>
      </w:r>
      <w:r w:rsidR="005407A4">
        <w:t xml:space="preserve">rug </w:t>
      </w:r>
      <w:r w:rsidR="001274A3">
        <w:t>D</w:t>
      </w:r>
      <w:r w:rsidR="005407A4">
        <w:t xml:space="preserve">elivery </w:t>
      </w:r>
      <w:r w:rsidR="001274A3">
        <w:t>D</w:t>
      </w:r>
      <w:r w:rsidR="005407A4">
        <w:t>evices</w:t>
      </w:r>
    </w:p>
    <w:p w14:paraId="0EAD1002" w14:textId="397612BD" w:rsidR="0006587B" w:rsidRDefault="0006587B" w:rsidP="0006587B">
      <w:pPr>
        <w:pStyle w:val="Bodytextwithparaspace"/>
      </w:pPr>
      <w:r>
        <w:t xml:space="preserve">Several products in the </w:t>
      </w:r>
      <w:r w:rsidR="00A16815">
        <w:t xml:space="preserve">’03.02.06 - </w:t>
      </w:r>
      <w:r>
        <w:t>Pharmaceutical Beads</w:t>
      </w:r>
      <w:r w:rsidR="00A16815">
        <w:t>’</w:t>
      </w:r>
      <w:r>
        <w:t xml:space="preserve"> group were observed to be purchased in a major Australian public health system for prices 5% to 11% higher than the </w:t>
      </w:r>
      <w:r w:rsidR="00F24211">
        <w:t>PL</w:t>
      </w:r>
      <w:r>
        <w:t xml:space="preserve"> price. Only one product in this group was observed at a</w:t>
      </w:r>
      <w:r w:rsidR="009B2E2E">
        <w:t>n 18%</w:t>
      </w:r>
      <w:r>
        <w:t xml:space="preserve"> lower price </w:t>
      </w:r>
      <w:r w:rsidR="009B2E2E">
        <w:t>than</w:t>
      </w:r>
      <w:r>
        <w:t xml:space="preserve"> the </w:t>
      </w:r>
      <w:r w:rsidR="00F24211">
        <w:t>PL</w:t>
      </w:r>
      <w:r>
        <w:t>.</w:t>
      </w:r>
    </w:p>
    <w:p w14:paraId="204BDF91" w14:textId="7201A5EE" w:rsidR="0006587B" w:rsidRDefault="0006587B" w:rsidP="0006587B">
      <w:pPr>
        <w:pStyle w:val="Bodytextwithparaspace"/>
      </w:pPr>
      <w:r>
        <w:t xml:space="preserve">In addition, some instances of volume-discounted pricing were observed in the </w:t>
      </w:r>
      <w:r w:rsidR="00A16815">
        <w:t xml:space="preserve">’03.02.05 - </w:t>
      </w:r>
      <w:r>
        <w:t>Infusion Pump Accessories</w:t>
      </w:r>
      <w:r w:rsidR="00A16815">
        <w:t>’</w:t>
      </w:r>
      <w:r>
        <w:t xml:space="preserve"> group. For instance, the one-off, non-committal prices offered to the public health system by </w:t>
      </w:r>
      <w:r w:rsidR="0021325B">
        <w:t xml:space="preserve">a </w:t>
      </w:r>
      <w:r w:rsidR="00183AEC">
        <w:t>supplier</w:t>
      </w:r>
      <w:r>
        <w:t xml:space="preserve"> was $1 or 4% cheaper than the </w:t>
      </w:r>
      <w:r w:rsidR="00F24211">
        <w:t>PL</w:t>
      </w:r>
      <w:r>
        <w:t xml:space="preserve">. However, with an increased volume commitment from a hospital within this state, </w:t>
      </w:r>
      <w:r w:rsidR="00607D81">
        <w:t xml:space="preserve">this </w:t>
      </w:r>
      <w:r w:rsidR="00183AEC">
        <w:t>supplier</w:t>
      </w:r>
      <w:r>
        <w:t xml:space="preserve"> had offered to discount this product to 5</w:t>
      </w:r>
      <w:r w:rsidR="00DA1F13">
        <w:t>8</w:t>
      </w:r>
      <w:r>
        <w:t xml:space="preserve">% cheaper than the </w:t>
      </w:r>
      <w:r w:rsidR="00F24211">
        <w:t>PL</w:t>
      </w:r>
      <w:r>
        <w:t xml:space="preserve"> price.</w:t>
      </w:r>
    </w:p>
    <w:p w14:paraId="19CC720E" w14:textId="77777777" w:rsidR="0006587B" w:rsidRDefault="0006587B" w:rsidP="0006587B">
      <w:pPr>
        <w:pStyle w:val="Heading2"/>
      </w:pPr>
      <w:r>
        <w:t>03.03</w:t>
      </w:r>
      <w:r w:rsidR="005407A4">
        <w:t xml:space="preserve"> –</w:t>
      </w:r>
      <w:r>
        <w:t xml:space="preserve"> E</w:t>
      </w:r>
      <w:r w:rsidR="005407A4">
        <w:t xml:space="preserve">nteral </w:t>
      </w:r>
      <w:r w:rsidR="001274A3">
        <w:t>T</w:t>
      </w:r>
      <w:r w:rsidR="005407A4">
        <w:t>ubes</w:t>
      </w:r>
    </w:p>
    <w:p w14:paraId="53403549" w14:textId="3C5F5864" w:rsidR="0006587B" w:rsidRDefault="0006587B" w:rsidP="0006587B">
      <w:pPr>
        <w:pStyle w:val="Bodytextwithparaspace"/>
      </w:pPr>
      <w:r>
        <w:t xml:space="preserve">Benchmarking data for this product category indicated that for most products, the Private </w:t>
      </w:r>
      <w:r w:rsidR="00F24211">
        <w:t>PL</w:t>
      </w:r>
      <w:r>
        <w:t xml:space="preserve"> offered more favourable pricing when compared to the prices observed in public sector. The benchmarked public prices ranged from 5% to 31% more expensive that the </w:t>
      </w:r>
      <w:r w:rsidR="00F24211">
        <w:t>PL</w:t>
      </w:r>
      <w:r>
        <w:t xml:space="preserve"> price. However, two </w:t>
      </w:r>
      <w:r w:rsidR="0039262E">
        <w:t xml:space="preserve">items </w:t>
      </w:r>
      <w:r>
        <w:t xml:space="preserve">were purchased </w:t>
      </w:r>
      <w:r w:rsidR="009B2E2E">
        <w:t>at 61% and 34% cheaper</w:t>
      </w:r>
      <w:r>
        <w:t xml:space="preserve"> in the public hospital setting.</w:t>
      </w:r>
    </w:p>
    <w:p w14:paraId="6149262E" w14:textId="77777777" w:rsidR="0006587B" w:rsidRDefault="0006587B" w:rsidP="0006587B">
      <w:pPr>
        <w:pStyle w:val="Heading2"/>
      </w:pPr>
      <w:r>
        <w:t xml:space="preserve">03.04 – </w:t>
      </w:r>
      <w:r w:rsidR="00CF0A2E">
        <w:t xml:space="preserve">Gastric </w:t>
      </w:r>
      <w:r w:rsidR="001274A3">
        <w:t>B</w:t>
      </w:r>
      <w:r w:rsidR="00CF0A2E">
        <w:t>ands</w:t>
      </w:r>
    </w:p>
    <w:p w14:paraId="4E4AABCB" w14:textId="1D2D8838" w:rsidR="0006587B" w:rsidRDefault="0006587B" w:rsidP="0006587B">
      <w:pPr>
        <w:pStyle w:val="Bodytextwithparaspace"/>
      </w:pPr>
      <w:r>
        <w:t xml:space="preserve">Benchmarking data for this product category shows that </w:t>
      </w:r>
      <w:r w:rsidR="00F24211">
        <w:t>PL</w:t>
      </w:r>
      <w:r>
        <w:t xml:space="preserve"> pricing is uncompetitive when compared to public hospital benchmarks. For instance, the price of </w:t>
      </w:r>
      <w:r w:rsidR="00E32D64">
        <w:t>one Gastric Band product</w:t>
      </w:r>
      <w:r>
        <w:t xml:space="preserve"> was observed to be contracted to a major Australian public health system </w:t>
      </w:r>
      <w:r w:rsidR="009B2E2E">
        <w:t>at</w:t>
      </w:r>
      <w:r>
        <w:t xml:space="preserve"> 13% cheaper than the </w:t>
      </w:r>
      <w:r w:rsidR="00F24211">
        <w:t>PL</w:t>
      </w:r>
      <w:r>
        <w:t xml:space="preserve"> price.</w:t>
      </w:r>
    </w:p>
    <w:p w14:paraId="21AD78F8" w14:textId="77777777" w:rsidR="0006587B" w:rsidRDefault="0006587B" w:rsidP="0006587B">
      <w:pPr>
        <w:pStyle w:val="Heading2"/>
      </w:pPr>
      <w:r>
        <w:t xml:space="preserve">03.05 – </w:t>
      </w:r>
      <w:r w:rsidR="00CF0A2E">
        <w:t xml:space="preserve">Haemostatic </w:t>
      </w:r>
      <w:r w:rsidR="001274A3">
        <w:t>D</w:t>
      </w:r>
      <w:r w:rsidR="00CF0A2E">
        <w:t>evices</w:t>
      </w:r>
    </w:p>
    <w:p w14:paraId="17067CFD" w14:textId="31EF9E37" w:rsidR="0006587B" w:rsidRPr="00E77D09" w:rsidRDefault="0006587B" w:rsidP="0006587B">
      <w:pPr>
        <w:pStyle w:val="Bodytextwithparaspace"/>
      </w:pPr>
      <w:r w:rsidRPr="00E77D09">
        <w:t xml:space="preserve">Benchmarking data for </w:t>
      </w:r>
      <w:r w:rsidR="0046666C">
        <w:t xml:space="preserve">’03.05.02 – </w:t>
      </w:r>
      <w:r w:rsidRPr="00E77D09">
        <w:t>Powder</w:t>
      </w:r>
      <w:r w:rsidR="0046666C">
        <w:t>’</w:t>
      </w:r>
      <w:r w:rsidRPr="00E77D09">
        <w:t xml:space="preserve"> indicated that for most products in this group, the </w:t>
      </w:r>
      <w:r w:rsidR="00F24211">
        <w:t>PL</w:t>
      </w:r>
      <w:r w:rsidRPr="00E77D09">
        <w:t xml:space="preserve"> offered more favourable pricing when compared to the prices observed in public sector. The benchmarked public prices ranged from 5% up to 62% more expensive that the </w:t>
      </w:r>
      <w:r w:rsidR="00F24211">
        <w:t>PL</w:t>
      </w:r>
      <w:r w:rsidRPr="00E77D09">
        <w:t xml:space="preserve"> price. However, an instance of volume-discounted pricing was observed for </w:t>
      </w:r>
      <w:r w:rsidR="00183AEC">
        <w:t>one Powder product</w:t>
      </w:r>
      <w:r w:rsidRPr="00E77D09">
        <w:t xml:space="preserve">. While the one-off unconditional price offered to a public health system was 5% more expensive than the </w:t>
      </w:r>
      <w:r w:rsidR="00F24211">
        <w:t>PL</w:t>
      </w:r>
      <w:r w:rsidRPr="00E77D09">
        <w:t xml:space="preserve"> price, for a significant market share commitment to </w:t>
      </w:r>
      <w:r w:rsidR="00183AEC">
        <w:t>the supplier</w:t>
      </w:r>
      <w:r w:rsidR="00183AEC" w:rsidRPr="00E77D09">
        <w:t xml:space="preserve"> </w:t>
      </w:r>
      <w:r w:rsidRPr="00E77D09">
        <w:t>in that product category, the price offered was reduced to 2</w:t>
      </w:r>
      <w:r w:rsidR="009C10A0" w:rsidRPr="00A26B3B">
        <w:t>8</w:t>
      </w:r>
      <w:r w:rsidRPr="00E77D09">
        <w:t xml:space="preserve">% cheaper than the </w:t>
      </w:r>
      <w:r w:rsidR="00F24211">
        <w:t>PL</w:t>
      </w:r>
      <w:r w:rsidRPr="00E77D09">
        <w:t xml:space="preserve"> price.</w:t>
      </w:r>
    </w:p>
    <w:p w14:paraId="6EF5C6E8" w14:textId="680FD418" w:rsidR="0006587B" w:rsidRPr="00E77D09" w:rsidRDefault="0006587B" w:rsidP="0006587B">
      <w:pPr>
        <w:pStyle w:val="Bodytextwithparaspace"/>
      </w:pPr>
      <w:r w:rsidRPr="00E77D09">
        <w:t xml:space="preserve">Similarly, prices observed in the public sector for products in the </w:t>
      </w:r>
      <w:r w:rsidR="00166D23">
        <w:t xml:space="preserve">’03.05.03 – </w:t>
      </w:r>
      <w:r w:rsidRPr="00E77D09">
        <w:t>Sponges</w:t>
      </w:r>
      <w:r w:rsidR="00166D23">
        <w:t>’</w:t>
      </w:r>
      <w:r w:rsidRPr="00E77D09">
        <w:t xml:space="preserve"> group were predominantly more expensive than prices on the </w:t>
      </w:r>
      <w:r w:rsidR="00F24211">
        <w:t>PL</w:t>
      </w:r>
      <w:r w:rsidRPr="00E77D09">
        <w:t xml:space="preserve">. The benchmarked public prices ranged from 13% to 70% more expensive that the </w:t>
      </w:r>
      <w:r w:rsidR="00F24211">
        <w:t>PL</w:t>
      </w:r>
      <w:r w:rsidRPr="00E77D09">
        <w:t xml:space="preserve"> price. </w:t>
      </w:r>
    </w:p>
    <w:p w14:paraId="65DC99AE" w14:textId="5EAE0F0C" w:rsidR="0006587B" w:rsidRDefault="0006587B" w:rsidP="0006587B">
      <w:pPr>
        <w:pStyle w:val="Bodytextwithparaspace"/>
      </w:pPr>
      <w:r w:rsidRPr="00E77D09">
        <w:t xml:space="preserve">A broad range of prices were observed in the public health benchmarking data for </w:t>
      </w:r>
      <w:r w:rsidR="00912A93">
        <w:t xml:space="preserve">the group ’03.05.04 - </w:t>
      </w:r>
      <w:r w:rsidRPr="00E77D09">
        <w:t>Pliable Patches</w:t>
      </w:r>
      <w:r w:rsidR="00912A93">
        <w:t>’</w:t>
      </w:r>
      <w:r w:rsidRPr="00E77D09">
        <w:t xml:space="preserve"> that were both higher and lower than the </w:t>
      </w:r>
      <w:r w:rsidR="00F24211">
        <w:t>PL</w:t>
      </w:r>
      <w:r w:rsidRPr="00E77D09">
        <w:t xml:space="preserve"> prices. </w:t>
      </w:r>
      <w:r w:rsidR="009B2E2E">
        <w:t>T</w:t>
      </w:r>
      <w:r w:rsidRPr="00E77D09">
        <w:t xml:space="preserve">he average price paid across the two benchmarked public health systems was 4% cheaper than the </w:t>
      </w:r>
      <w:r w:rsidR="00F24211">
        <w:t>PL</w:t>
      </w:r>
      <w:r w:rsidRPr="00E77D09">
        <w:t>.</w:t>
      </w:r>
    </w:p>
    <w:p w14:paraId="5B009B86" w14:textId="4C5C99A1" w:rsidR="0006587B" w:rsidRDefault="0006587B" w:rsidP="0006587B">
      <w:pPr>
        <w:pStyle w:val="Bodytextwithparaspace"/>
      </w:pPr>
      <w:r>
        <w:t xml:space="preserve">However, prices paid in the benchmarked public systems for </w:t>
      </w:r>
      <w:r w:rsidR="00122330">
        <w:t xml:space="preserve">’03.05.05 – </w:t>
      </w:r>
      <w:r>
        <w:t>Matrix</w:t>
      </w:r>
      <w:r w:rsidR="00122330">
        <w:t>’</w:t>
      </w:r>
      <w:r>
        <w:t xml:space="preserve"> products were significantly cheaper than prices listed on the </w:t>
      </w:r>
      <w:r w:rsidR="00F24211">
        <w:t>PL</w:t>
      </w:r>
      <w:r>
        <w:t>, with benchmarked pricing being 8% to 60% more favourable in the public system</w:t>
      </w:r>
      <w:r w:rsidR="009B2E2E">
        <w:t>.</w:t>
      </w:r>
      <w:r>
        <w:t xml:space="preserve"> </w:t>
      </w:r>
    </w:p>
    <w:p w14:paraId="415B526D" w14:textId="77777777" w:rsidR="0006587B" w:rsidRDefault="0006587B" w:rsidP="0006587B">
      <w:pPr>
        <w:pStyle w:val="Heading2"/>
      </w:pPr>
      <w:r>
        <w:t xml:space="preserve">03.06 – </w:t>
      </w:r>
      <w:r w:rsidR="00CF0A2E">
        <w:t xml:space="preserve">Luminal </w:t>
      </w:r>
      <w:r w:rsidR="001274A3">
        <w:t>S</w:t>
      </w:r>
      <w:r w:rsidR="00CF0A2E">
        <w:t>tents</w:t>
      </w:r>
    </w:p>
    <w:p w14:paraId="6775E4E7" w14:textId="31917636" w:rsidR="0006587B" w:rsidRDefault="0006587B" w:rsidP="0006587B">
      <w:pPr>
        <w:pStyle w:val="Bodytextwithparaspace"/>
      </w:pPr>
      <w:r>
        <w:t xml:space="preserve">Across the group for </w:t>
      </w:r>
      <w:r w:rsidR="00B778FC">
        <w:t xml:space="preserve">’03.06.01 - </w:t>
      </w:r>
      <w:r>
        <w:t>Biliary Stents</w:t>
      </w:r>
      <w:r w:rsidR="00B778FC">
        <w:t>’</w:t>
      </w:r>
      <w:r>
        <w:t xml:space="preserve">, most </w:t>
      </w:r>
      <w:r w:rsidR="00BA3917">
        <w:t>items</w:t>
      </w:r>
      <w:r>
        <w:t xml:space="preserve"> </w:t>
      </w:r>
      <w:r w:rsidR="00BA3917">
        <w:t xml:space="preserve">in the ’03.06.01.01 – Non-reinforced Wall’ subgroup </w:t>
      </w:r>
      <w:r>
        <w:t xml:space="preserve">were observed to be sold in the benchmarked public health systems for 5% to 11% higher than the </w:t>
      </w:r>
      <w:r w:rsidR="00F24211">
        <w:t>PL</w:t>
      </w:r>
      <w:r>
        <w:t xml:space="preserve"> price, while</w:t>
      </w:r>
      <w:r w:rsidR="00BA3917">
        <w:t xml:space="preserve"> items in the</w:t>
      </w:r>
      <w:r w:rsidR="007D4C21">
        <w:t xml:space="preserve"> subgroups </w:t>
      </w:r>
      <w:r w:rsidR="00BA3917">
        <w:t>’03.06.01.0</w:t>
      </w:r>
      <w:r w:rsidR="007D4C21">
        <w:t>2 -</w:t>
      </w:r>
      <w:r>
        <w:t>Reinforced-wall</w:t>
      </w:r>
      <w:r w:rsidR="007D4C21">
        <w:t>, Uncovered/Bare Metal’ and ’03.06.01.03 – Reinforced Wall, Covered’</w:t>
      </w:r>
      <w:r>
        <w:t xml:space="preserve"> were in some instances up to 34% more expensive than the </w:t>
      </w:r>
      <w:r w:rsidR="00F24211">
        <w:t>PL</w:t>
      </w:r>
      <w:r>
        <w:t xml:space="preserve"> price. There were only some instances where volume-discounted pricing allowed the public hospital to achieve prices that were 8% to 10% cheaper than the </w:t>
      </w:r>
      <w:r w:rsidR="00F24211">
        <w:t>PL</w:t>
      </w:r>
      <w:r>
        <w:t xml:space="preserve"> pricing in return for commitment of an extremely large market share in that hospital’s total purchasing of Biliary Stents. </w:t>
      </w:r>
    </w:p>
    <w:p w14:paraId="30DB72CC" w14:textId="0DA45895" w:rsidR="0006587B" w:rsidRDefault="0006587B" w:rsidP="0006587B">
      <w:pPr>
        <w:pStyle w:val="Bodytextwithparaspace"/>
      </w:pPr>
      <w:r>
        <w:t xml:space="preserve">Benchmarked prices for </w:t>
      </w:r>
      <w:r w:rsidR="00B5759D">
        <w:t xml:space="preserve">the group ’03.06.03 - </w:t>
      </w:r>
      <w:r>
        <w:t>Oesophageal Stents</w:t>
      </w:r>
      <w:r w:rsidR="00B5759D">
        <w:t>’</w:t>
      </w:r>
      <w:r>
        <w:t xml:space="preserve"> were between 2% to 34% cheaper in the public health systems compared to the </w:t>
      </w:r>
      <w:r w:rsidR="00F24211">
        <w:t>PL</w:t>
      </w:r>
      <w:r>
        <w:t xml:space="preserve">. </w:t>
      </w:r>
      <w:r w:rsidR="004E4412">
        <w:t>For instance,</w:t>
      </w:r>
      <w:r w:rsidR="004459F8">
        <w:t xml:space="preserve"> different products were seen in the public system at</w:t>
      </w:r>
      <w:r w:rsidR="004E4412">
        <w:t xml:space="preserve"> </w:t>
      </w:r>
      <w:r w:rsidR="004459F8">
        <w:t xml:space="preserve">prices </w:t>
      </w:r>
      <w:r>
        <w:t>22%</w:t>
      </w:r>
      <w:r w:rsidR="00F76776">
        <w:t>, 23%, 34% and 21%</w:t>
      </w:r>
      <w:r>
        <w:t xml:space="preserve"> cheaper than the</w:t>
      </w:r>
      <w:r w:rsidR="00183329">
        <w:t>ir respective</w:t>
      </w:r>
      <w:r>
        <w:t xml:space="preserve"> PL price</w:t>
      </w:r>
      <w:r w:rsidR="00183329">
        <w:t>s.</w:t>
      </w:r>
    </w:p>
    <w:p w14:paraId="6DCFBFC4" w14:textId="09CC732E" w:rsidR="0006587B" w:rsidRDefault="0006587B" w:rsidP="0006587B">
      <w:pPr>
        <w:pStyle w:val="Bodytextwithparaspace"/>
      </w:pPr>
      <w:r>
        <w:t xml:space="preserve">The pricing of almost all products in the </w:t>
      </w:r>
      <w:r w:rsidR="00B5759D">
        <w:t xml:space="preserve">’03.06.04 - </w:t>
      </w:r>
      <w:r>
        <w:t>Pancreatic Stent</w:t>
      </w:r>
      <w:r w:rsidR="00B5759D">
        <w:t>’</w:t>
      </w:r>
      <w:r>
        <w:t xml:space="preserve"> group appeared to be more favourable on the </w:t>
      </w:r>
      <w:r w:rsidR="00F24211">
        <w:t>PL</w:t>
      </w:r>
      <w:r>
        <w:t xml:space="preserve"> when compared to the benchmarked public health systems. Only one product</w:t>
      </w:r>
      <w:r w:rsidR="00183329">
        <w:t xml:space="preserve"> </w:t>
      </w:r>
      <w:r>
        <w:t>had a price observed that was lower in the public system</w:t>
      </w:r>
      <w:r w:rsidR="0053706F">
        <w:t>, provided</w:t>
      </w:r>
      <w:r>
        <w:t xml:space="preserve"> at </w:t>
      </w:r>
      <w:r w:rsidR="00A05909">
        <w:t>a price</w:t>
      </w:r>
      <w:r>
        <w:t xml:space="preserve"> 24% cheaper than the </w:t>
      </w:r>
      <w:r w:rsidR="00F24211">
        <w:t>PL</w:t>
      </w:r>
      <w:r>
        <w:t xml:space="preserve"> price. Similarly, Nerve Repair stents were observed to have more favourable pricing on the </w:t>
      </w:r>
      <w:r w:rsidR="00F24211">
        <w:t>PL</w:t>
      </w:r>
      <w:r>
        <w:t xml:space="preserve"> than in the public sector.</w:t>
      </w:r>
    </w:p>
    <w:p w14:paraId="55FCC33B" w14:textId="77777777" w:rsidR="0006587B" w:rsidRDefault="0006587B" w:rsidP="0006587B">
      <w:pPr>
        <w:pStyle w:val="Bodytextwithparaspace"/>
      </w:pPr>
      <w:r>
        <w:t xml:space="preserve">However, a contrary differential was observed in the </w:t>
      </w:r>
      <w:r w:rsidR="009D3805">
        <w:t xml:space="preserve">’03.06.05 - </w:t>
      </w:r>
      <w:r>
        <w:t>Enteral Stent</w:t>
      </w:r>
      <w:r w:rsidR="009D3805">
        <w:t>’</w:t>
      </w:r>
      <w:r>
        <w:t xml:space="preserve"> and </w:t>
      </w:r>
      <w:r w:rsidR="00DA03B2">
        <w:t xml:space="preserve">’03.06.06 - </w:t>
      </w:r>
      <w:r>
        <w:t>Tracheobronchial Stent</w:t>
      </w:r>
      <w:r w:rsidR="00DA03B2">
        <w:t>’</w:t>
      </w:r>
      <w:r>
        <w:t xml:space="preserve"> groups. Products in these groups contracted to the benchmarked public health systems were between 5% and 34% cheaper that the </w:t>
      </w:r>
      <w:r w:rsidR="00F24211">
        <w:t>PL</w:t>
      </w:r>
      <w:r>
        <w:t xml:space="preserve"> pricing. Further, prices paid for </w:t>
      </w:r>
      <w:r w:rsidR="008002CA">
        <w:t xml:space="preserve">’03.06.02 - </w:t>
      </w:r>
      <w:r>
        <w:t>Colonic Stents</w:t>
      </w:r>
      <w:r w:rsidR="008002CA">
        <w:t>’</w:t>
      </w:r>
      <w:r>
        <w:t xml:space="preserve"> in the benchmarked public health systems appeared to mirror the </w:t>
      </w:r>
      <w:r w:rsidR="00F24211">
        <w:t>PL</w:t>
      </w:r>
      <w:r>
        <w:t xml:space="preserve"> pricing, which could likely be attributed to the low purchasing volumes in this product group.</w:t>
      </w:r>
    </w:p>
    <w:p w14:paraId="5CDA802E" w14:textId="77777777" w:rsidR="0006587B" w:rsidRDefault="0006587B" w:rsidP="0006587B">
      <w:pPr>
        <w:pStyle w:val="Heading2"/>
      </w:pPr>
      <w:r>
        <w:t xml:space="preserve">03.07 – </w:t>
      </w:r>
      <w:r w:rsidR="00CF0A2E">
        <w:t>Pulmonary/</w:t>
      </w:r>
      <w:r w:rsidR="001274A3">
        <w:t>P</w:t>
      </w:r>
      <w:r w:rsidR="00CF0A2E">
        <w:t xml:space="preserve">eritoneal </w:t>
      </w:r>
      <w:r w:rsidR="001274A3">
        <w:t>D</w:t>
      </w:r>
      <w:r w:rsidR="00CF0A2E">
        <w:t>evices</w:t>
      </w:r>
    </w:p>
    <w:p w14:paraId="45744512" w14:textId="668E2040" w:rsidR="0006587B" w:rsidRDefault="0006587B" w:rsidP="0006587B">
      <w:pPr>
        <w:pStyle w:val="Bodytextwithparaspace"/>
      </w:pPr>
      <w:r>
        <w:t xml:space="preserve">Across the group for </w:t>
      </w:r>
      <w:r w:rsidR="003B08F9">
        <w:t>‘</w:t>
      </w:r>
      <w:r w:rsidR="003B08F9" w:rsidRPr="003B08F9">
        <w:t>03.07.01</w:t>
      </w:r>
      <w:r w:rsidR="003B08F9">
        <w:t xml:space="preserve"> - </w:t>
      </w:r>
      <w:r>
        <w:t>Drainage Catheters</w:t>
      </w:r>
      <w:r w:rsidR="003B08F9">
        <w:t>’</w:t>
      </w:r>
      <w:r>
        <w:t xml:space="preserve">, pricing observed from the public benchmarking data was predominantly cheaper than that observed on the </w:t>
      </w:r>
      <w:r w:rsidR="00F24211">
        <w:t>PL</w:t>
      </w:r>
      <w:r>
        <w:t xml:space="preserve">. For instance, </w:t>
      </w:r>
      <w:r w:rsidR="004B6F2E">
        <w:t xml:space="preserve">one product </w:t>
      </w:r>
      <w:r>
        <w:t xml:space="preserve">on the </w:t>
      </w:r>
      <w:r w:rsidR="00F24211">
        <w:t>PL</w:t>
      </w:r>
      <w:r>
        <w:t xml:space="preserve"> was under contract with an Australian public health system for 16% cheaper</w:t>
      </w:r>
      <w:r w:rsidR="004B6F2E">
        <w:t xml:space="preserve"> than the PL price</w:t>
      </w:r>
      <w:r>
        <w:t xml:space="preserve">. In addition, </w:t>
      </w:r>
      <w:r w:rsidR="00FE2DA1">
        <w:t>another</w:t>
      </w:r>
      <w:r>
        <w:t xml:space="preserve"> was also being bought by the same public health system at a price 12% cheaper than the </w:t>
      </w:r>
      <w:r w:rsidR="00F24211">
        <w:t>PL</w:t>
      </w:r>
      <w:r>
        <w:t xml:space="preserve"> price. Similar price differentials were seen across this product group.</w:t>
      </w:r>
    </w:p>
    <w:p w14:paraId="188A8DA5" w14:textId="75E6DAAA" w:rsidR="0006587B" w:rsidRDefault="0006587B" w:rsidP="0006587B">
      <w:pPr>
        <w:pStyle w:val="Bodytextwithparaspace"/>
      </w:pPr>
      <w:r>
        <w:t xml:space="preserve">However, prices benchmarked for </w:t>
      </w:r>
      <w:r w:rsidR="00FC0363">
        <w:t xml:space="preserve">’03.07.02 - </w:t>
      </w:r>
      <w:r>
        <w:t>Endobronchial Valves</w:t>
      </w:r>
      <w:r w:rsidR="00FC0363">
        <w:t>’</w:t>
      </w:r>
      <w:r>
        <w:t xml:space="preserve"> were 5% more expensive in the public contract prices, compared with the </w:t>
      </w:r>
      <w:r w:rsidR="00F24211">
        <w:t>PL</w:t>
      </w:r>
      <w:r>
        <w:t xml:space="preserve"> price. </w:t>
      </w:r>
      <w:r w:rsidR="00FE2DA1">
        <w:t>One product</w:t>
      </w:r>
      <w:r>
        <w:t xml:space="preserve"> was purchased in the benchmarked public health system</w:t>
      </w:r>
      <w:r w:rsidR="00ED296E">
        <w:t xml:space="preserve"> at a price</w:t>
      </w:r>
      <w:r>
        <w:t xml:space="preserve"> which is 5% more expensive than the </w:t>
      </w:r>
      <w:r w:rsidR="00F24211">
        <w:t>PL</w:t>
      </w:r>
      <w:r>
        <w:t xml:space="preserve"> price.</w:t>
      </w:r>
    </w:p>
    <w:p w14:paraId="1668BF12" w14:textId="77777777" w:rsidR="0006587B" w:rsidRDefault="0006587B" w:rsidP="0006587B">
      <w:pPr>
        <w:pStyle w:val="Heading2"/>
      </w:pPr>
      <w:r>
        <w:t>03.0</w:t>
      </w:r>
      <w:r w:rsidR="005407A4">
        <w:t>8</w:t>
      </w:r>
      <w:r>
        <w:t xml:space="preserve"> – </w:t>
      </w:r>
      <w:r w:rsidR="004C1FB5">
        <w:t xml:space="preserve">Closure </w:t>
      </w:r>
      <w:r w:rsidR="001274A3">
        <w:t>D</w:t>
      </w:r>
      <w:r w:rsidR="004C1FB5">
        <w:t>evices</w:t>
      </w:r>
    </w:p>
    <w:p w14:paraId="4B76DDFF" w14:textId="6FB5CF2B" w:rsidR="0006587B" w:rsidRDefault="0006587B" w:rsidP="0006587B">
      <w:pPr>
        <w:pStyle w:val="Bodytextwithparaspace"/>
      </w:pPr>
      <w:r>
        <w:t xml:space="preserve">Benchmarking data on </w:t>
      </w:r>
      <w:r w:rsidR="007F7A4E">
        <w:t xml:space="preserve">’03.08.01 - </w:t>
      </w:r>
      <w:r>
        <w:t>Adhesion Barriers</w:t>
      </w:r>
      <w:r w:rsidR="007F7A4E">
        <w:t>’</w:t>
      </w:r>
      <w:r>
        <w:t xml:space="preserve"> indicated that pricing offered by medical device manufacturers to the public system was more favourable than prices existing on the </w:t>
      </w:r>
      <w:r w:rsidR="00F24211">
        <w:t>PL</w:t>
      </w:r>
      <w:r>
        <w:t xml:space="preserve">. For instance, </w:t>
      </w:r>
      <w:r w:rsidR="00EF3841">
        <w:t xml:space="preserve">one </w:t>
      </w:r>
      <w:r w:rsidR="00550004">
        <w:t xml:space="preserve">Adhesion Barrier </w:t>
      </w:r>
      <w:r w:rsidR="00EF3841">
        <w:t>product</w:t>
      </w:r>
      <w:r>
        <w:t xml:space="preserve"> was contracted to a public health system for less than half the</w:t>
      </w:r>
      <w:r w:rsidR="009B2E2E">
        <w:t xml:space="preserve"> PL</w:t>
      </w:r>
      <w:r>
        <w:t xml:space="preserve"> price, indicating that pricing for this particular product was 52% more favourable in the public realm. Further, some suppliers offered market share discounts in this product category, bringing the price differential between public and private prices even further apart. The one-off unconditional price for </w:t>
      </w:r>
      <w:r w:rsidR="00550004">
        <w:t>another product</w:t>
      </w:r>
      <w:r w:rsidR="003F7234">
        <w:t xml:space="preserve"> in this group provided to</w:t>
      </w:r>
      <w:r>
        <w:t xml:space="preserve"> one public health system was 20% cheaper than the </w:t>
      </w:r>
      <w:r w:rsidR="00F24211">
        <w:t>PL</w:t>
      </w:r>
      <w:r>
        <w:t xml:space="preserve"> price. However, if a hospital within that public health system elected to provide </w:t>
      </w:r>
      <w:r w:rsidR="003F7234">
        <w:t xml:space="preserve">the supplier </w:t>
      </w:r>
      <w:r>
        <w:t xml:space="preserve">with a significant volume of market share within that product category, </w:t>
      </w:r>
      <w:r w:rsidR="003F7234">
        <w:t xml:space="preserve">they </w:t>
      </w:r>
      <w:r>
        <w:t xml:space="preserve">reduced the price to 30% cheaper than the </w:t>
      </w:r>
      <w:r w:rsidR="00F24211">
        <w:t>PL</w:t>
      </w:r>
      <w:r>
        <w:t xml:space="preserve"> price. </w:t>
      </w:r>
    </w:p>
    <w:p w14:paraId="2A2F4BEA" w14:textId="7A8CDEF0" w:rsidR="0006587B" w:rsidRDefault="0006587B" w:rsidP="0006587B">
      <w:pPr>
        <w:pStyle w:val="Bodytextwithparaspace"/>
      </w:pPr>
      <w:r>
        <w:t xml:space="preserve">Benchmarked prices for products in the </w:t>
      </w:r>
      <w:r w:rsidR="00652CF7">
        <w:t xml:space="preserve">’03.08.02 - </w:t>
      </w:r>
      <w:r>
        <w:t>Internal Adhesives</w:t>
      </w:r>
      <w:r w:rsidR="00652CF7">
        <w:t>’</w:t>
      </w:r>
      <w:r>
        <w:t xml:space="preserve"> and </w:t>
      </w:r>
      <w:r w:rsidR="00095D0C">
        <w:t xml:space="preserve">’03.08.03 - </w:t>
      </w:r>
      <w:r>
        <w:t>Ligating Devices</w:t>
      </w:r>
      <w:r w:rsidR="00095D0C">
        <w:t>’</w:t>
      </w:r>
      <w:r>
        <w:t xml:space="preserve"> product </w:t>
      </w:r>
      <w:r w:rsidR="00025E77">
        <w:t xml:space="preserve">groups </w:t>
      </w:r>
      <w:r>
        <w:t xml:space="preserve">showed a variety of pricing that was both higher and lower than the </w:t>
      </w:r>
      <w:r w:rsidR="00F24211">
        <w:t>PL</w:t>
      </w:r>
      <w:r>
        <w:t xml:space="preserve">. However, some concerning pricing differentials were flagged for some high-usage products that was significantly lower in the public system. For instance, </w:t>
      </w:r>
      <w:r w:rsidR="003F7234">
        <w:t>one p</w:t>
      </w:r>
      <w:r w:rsidR="00EC2AC7">
        <w:t>articular product</w:t>
      </w:r>
      <w:r>
        <w:t xml:space="preserve"> is 17% lower</w:t>
      </w:r>
      <w:r w:rsidR="008B1A27">
        <w:t xml:space="preserve"> in both benchmarked public health systems compared to the PL</w:t>
      </w:r>
      <w:r>
        <w:t xml:space="preserve">. Similarly, </w:t>
      </w:r>
      <w:r w:rsidR="00EC2AC7">
        <w:t>another</w:t>
      </w:r>
      <w:r>
        <w:t xml:space="preserve"> was contracted to one public health system for 13% lower than the </w:t>
      </w:r>
      <w:r w:rsidR="00F24211">
        <w:t>PL</w:t>
      </w:r>
      <w:r>
        <w:t xml:space="preserve"> price. With respect to </w:t>
      </w:r>
      <w:r w:rsidR="009F3EDE">
        <w:t xml:space="preserve">’03.08.03 - </w:t>
      </w:r>
      <w:r>
        <w:t xml:space="preserve">Ligating </w:t>
      </w:r>
      <w:r w:rsidR="00327892">
        <w:t>D</w:t>
      </w:r>
      <w:r>
        <w:t>evices</w:t>
      </w:r>
      <w:r w:rsidR="009F3EDE">
        <w:t>’</w:t>
      </w:r>
      <w:r>
        <w:t xml:space="preserve">, </w:t>
      </w:r>
      <w:r w:rsidR="00EC2AC7">
        <w:t>one product in this group</w:t>
      </w:r>
      <w:r w:rsidR="00156753">
        <w:t xml:space="preserve"> </w:t>
      </w:r>
      <w:r>
        <w:t xml:space="preserve">was observed to be under contract with both benchmarked public health systems for </w:t>
      </w:r>
      <w:r w:rsidR="00156753">
        <w:t>a price</w:t>
      </w:r>
      <w:r>
        <w:t xml:space="preserve"> which is 12% cheaper than the </w:t>
      </w:r>
      <w:r w:rsidR="00F24211">
        <w:t>PL</w:t>
      </w:r>
      <w:r>
        <w:t>.</w:t>
      </w:r>
    </w:p>
    <w:p w14:paraId="73802666" w14:textId="7027EF93" w:rsidR="0006587B" w:rsidRDefault="008B1A27" w:rsidP="0006587B">
      <w:pPr>
        <w:pStyle w:val="Bodytextwithparaspace"/>
      </w:pPr>
      <w:r>
        <w:t>T</w:t>
      </w:r>
      <w:r w:rsidR="0006587B">
        <w:t xml:space="preserve">he average price of a product within the </w:t>
      </w:r>
      <w:r w:rsidR="00DC6916">
        <w:t xml:space="preserve">’03.08.04 - </w:t>
      </w:r>
      <w:r w:rsidR="0006587B">
        <w:t>Staples &amp; Tackers</w:t>
      </w:r>
      <w:r w:rsidR="00DC6916">
        <w:t>’</w:t>
      </w:r>
      <w:r w:rsidR="0006587B">
        <w:t xml:space="preserve"> </w:t>
      </w:r>
      <w:r w:rsidR="00DC6916">
        <w:t xml:space="preserve">group </w:t>
      </w:r>
      <w:r w:rsidR="0006587B">
        <w:t xml:space="preserve">is </w:t>
      </w:r>
      <w:r>
        <w:t>23% higher in an Australian public health system than the PL</w:t>
      </w:r>
      <w:r w:rsidR="0006587B">
        <w:t xml:space="preserve">. A large portion of the benchmarked products in this </w:t>
      </w:r>
      <w:r w:rsidR="00025E77">
        <w:t xml:space="preserve">group </w:t>
      </w:r>
      <w:r w:rsidR="0006587B">
        <w:t xml:space="preserve">were observed to be priced 1% to 9% higher than the </w:t>
      </w:r>
      <w:r w:rsidR="00F24211">
        <w:t>PL</w:t>
      </w:r>
      <w:r w:rsidR="0006587B">
        <w:t>.</w:t>
      </w:r>
    </w:p>
    <w:p w14:paraId="164E0175" w14:textId="2129A281" w:rsidR="0006587B" w:rsidRDefault="0006587B" w:rsidP="0006587B">
      <w:pPr>
        <w:pStyle w:val="Bodytextwithparaspace"/>
      </w:pPr>
      <w:r>
        <w:t xml:space="preserve">Similarly, pricing appeared to be more favourable on the </w:t>
      </w:r>
      <w:r w:rsidR="00F24211">
        <w:t>PL</w:t>
      </w:r>
      <w:r>
        <w:t xml:space="preserve"> than the benchmarked prices observed in the public health systems for all of the </w:t>
      </w:r>
      <w:r w:rsidR="00025E77">
        <w:t xml:space="preserve">groups </w:t>
      </w:r>
      <w:r>
        <w:t xml:space="preserve">of Mesh, including </w:t>
      </w:r>
      <w:r w:rsidR="00EB1525">
        <w:t xml:space="preserve">’03.08.05 - </w:t>
      </w:r>
      <w:r>
        <w:t>Polypropylene/Polyester Mesh</w:t>
      </w:r>
      <w:r w:rsidR="00EB1525">
        <w:t>’</w:t>
      </w:r>
      <w:r>
        <w:t xml:space="preserve">, </w:t>
      </w:r>
      <w:r w:rsidR="00EB1525">
        <w:t xml:space="preserve">’03.08.06 - </w:t>
      </w:r>
      <w:r>
        <w:t>Composite Mesh</w:t>
      </w:r>
      <w:r w:rsidR="00EB1525">
        <w:t>’</w:t>
      </w:r>
      <w:r>
        <w:t xml:space="preserve">, </w:t>
      </w:r>
      <w:r w:rsidR="00EB1525">
        <w:t xml:space="preserve">’03.08.07 - </w:t>
      </w:r>
      <w:r>
        <w:t>Complete Biomaterial Mesh</w:t>
      </w:r>
      <w:r w:rsidR="00EB1525">
        <w:t>’</w:t>
      </w:r>
      <w:r>
        <w:t xml:space="preserve">, </w:t>
      </w:r>
      <w:r w:rsidR="00EB1525">
        <w:t xml:space="preserve">’03.08.08 - </w:t>
      </w:r>
      <w:r>
        <w:t>PTFE / ePTFE Mesh</w:t>
      </w:r>
      <w:r w:rsidR="00EB1525">
        <w:t>’</w:t>
      </w:r>
      <w:r>
        <w:t xml:space="preserve"> and </w:t>
      </w:r>
      <w:r w:rsidR="00EB1525">
        <w:t xml:space="preserve">’03.08.09 – </w:t>
      </w:r>
      <w:r>
        <w:t>Plugs</w:t>
      </w:r>
      <w:r w:rsidR="00EB1525">
        <w:t>’</w:t>
      </w:r>
      <w:r>
        <w:t xml:space="preserve">. However, public pricing observed in the </w:t>
      </w:r>
      <w:r w:rsidR="007E1005">
        <w:t>’03.08.</w:t>
      </w:r>
      <w:r w:rsidR="003D2228">
        <w:t xml:space="preserve">09 – </w:t>
      </w:r>
      <w:r>
        <w:t>Plugs</w:t>
      </w:r>
      <w:r w:rsidR="003D2228">
        <w:t>’</w:t>
      </w:r>
      <w:r>
        <w:t xml:space="preserve"> product group showed that there were some instances in which public hospitals were accessing prices that were lower than the </w:t>
      </w:r>
      <w:r w:rsidR="00F24211">
        <w:t>PL</w:t>
      </w:r>
      <w:r>
        <w:t xml:space="preserve"> for products in this category. For example, </w:t>
      </w:r>
      <w:r w:rsidR="00E774F5">
        <w:t>one Plug product</w:t>
      </w:r>
      <w:r>
        <w:t xml:space="preserve"> was contracted to </w:t>
      </w:r>
      <w:r w:rsidR="00E774F5">
        <w:t xml:space="preserve">a </w:t>
      </w:r>
      <w:r>
        <w:t xml:space="preserve">public health system for 26% cheaper than the </w:t>
      </w:r>
      <w:r w:rsidR="00F24211">
        <w:t>PL</w:t>
      </w:r>
      <w:r>
        <w:t xml:space="preserve"> price.</w:t>
      </w:r>
    </w:p>
    <w:p w14:paraId="499A9648" w14:textId="77777777" w:rsidR="0006587B" w:rsidRPr="0006587B" w:rsidRDefault="0006587B" w:rsidP="0006587B">
      <w:pPr>
        <w:pStyle w:val="Bodytextwithparaspace"/>
      </w:pPr>
    </w:p>
    <w:p w14:paraId="4A842B83" w14:textId="77777777" w:rsidR="00907F19" w:rsidRDefault="00907F19">
      <w:pPr>
        <w:autoSpaceDE/>
        <w:autoSpaceDN/>
        <w:adjustRightInd/>
        <w:rPr>
          <w:b/>
          <w:color w:val="747480"/>
          <w:sz w:val="32"/>
          <w:szCs w:val="24"/>
        </w:rPr>
      </w:pPr>
      <w:r>
        <w:br w:type="page"/>
      </w:r>
    </w:p>
    <w:p w14:paraId="4B8614E2" w14:textId="77777777" w:rsidR="0060583C" w:rsidRDefault="001F7381" w:rsidP="001F7381">
      <w:pPr>
        <w:pStyle w:val="EYAppendix"/>
      </w:pPr>
      <w:bookmarkStart w:id="396" w:name="_Toc59015985"/>
      <w:r>
        <w:t xml:space="preserve">Stakeholder </w:t>
      </w:r>
      <w:r w:rsidR="0060583C">
        <w:t>feedback</w:t>
      </w:r>
      <w:bookmarkEnd w:id="396"/>
    </w:p>
    <w:p w14:paraId="71DC0933" w14:textId="554BFD16" w:rsidR="0060583C" w:rsidRDefault="00230EF2" w:rsidP="00AF1D4E">
      <w:pPr>
        <w:pStyle w:val="Heading2"/>
      </w:pPr>
      <w:r>
        <w:t>Consultation process</w:t>
      </w:r>
    </w:p>
    <w:p w14:paraId="2159E756" w14:textId="2E9E2927" w:rsidR="0050734C" w:rsidRDefault="0050734C" w:rsidP="0050734C">
      <w:pPr>
        <w:pStyle w:val="Bodytextwithparaspace"/>
      </w:pPr>
      <w:r>
        <w:t xml:space="preserve">As described in </w:t>
      </w:r>
      <w:r w:rsidR="00E668BF">
        <w:t>S</w:t>
      </w:r>
      <w:r>
        <w:t>ection 3.2.3, engagement with stakeholders was conducted by the Department via a PHI Circular to registered parties, and via letter and email to organisation who provided feedback on the Terms of Reference. All stakeholders, including providers, manufacturers, insurers and other interested parties were requested to make submissions via the Consultation Hub.</w:t>
      </w:r>
    </w:p>
    <w:p w14:paraId="70F8F5AC" w14:textId="77777777" w:rsidR="00383DBC" w:rsidRDefault="00BA64B3" w:rsidP="00383DBC">
      <w:pPr>
        <w:pStyle w:val="Bodytextwithparaspace"/>
      </w:pPr>
      <w:r>
        <w:t>The remainder of this appendix</w:t>
      </w:r>
      <w:r w:rsidR="00383DBC">
        <w:t xml:space="preserve"> is a summary of the key details highlighted through stakeholders across the submissions received during the stakeholder consultation period. Whilst not exhaustive, this feedback provides context for, and insight into, the usage, pricing, categorisation and listing criteria for several </w:t>
      </w:r>
      <w:r>
        <w:t>GM</w:t>
      </w:r>
      <w:r w:rsidR="00383DBC">
        <w:t xml:space="preserve"> categories on the PL</w:t>
      </w:r>
      <w:r w:rsidR="00941F10">
        <w:t xml:space="preserve">, as well as </w:t>
      </w:r>
      <w:r w:rsidR="003071B2">
        <w:t>potential unintended consequences of removal of products from the PL</w:t>
      </w:r>
      <w:r w:rsidR="00383DBC">
        <w:t>.</w:t>
      </w:r>
    </w:p>
    <w:p w14:paraId="19F5ACA4" w14:textId="77777777" w:rsidR="00492CFA" w:rsidRPr="00F50497" w:rsidRDefault="00492CFA" w:rsidP="00A26B3B">
      <w:pPr>
        <w:pStyle w:val="Heading2"/>
      </w:pPr>
      <w:r>
        <w:t>L</w:t>
      </w:r>
      <w:r w:rsidRPr="00F50497">
        <w:t xml:space="preserve">isting </w:t>
      </w:r>
      <w:r w:rsidR="00CC35FE">
        <w:t>c</w:t>
      </w:r>
      <w:r w:rsidR="00CC35FE" w:rsidRPr="00F50497">
        <w:t xml:space="preserve">riteria </w:t>
      </w:r>
      <w:r w:rsidRPr="00F50497">
        <w:t xml:space="preserve">and </w:t>
      </w:r>
      <w:r w:rsidR="00CC35FE">
        <w:t>p</w:t>
      </w:r>
      <w:r w:rsidR="00CC35FE" w:rsidRPr="00F50497">
        <w:t>rocess</w:t>
      </w:r>
    </w:p>
    <w:p w14:paraId="00ECCB73" w14:textId="77777777" w:rsidR="008A663A" w:rsidRPr="008A663A" w:rsidRDefault="008A663A" w:rsidP="00A26B3B">
      <w:pPr>
        <w:pStyle w:val="Heading3"/>
      </w:pPr>
      <w:r>
        <w:t xml:space="preserve">03.01 – </w:t>
      </w:r>
      <w:r w:rsidR="004C1FB5">
        <w:t>Brachytherapy</w:t>
      </w:r>
    </w:p>
    <w:p w14:paraId="1745B347" w14:textId="3745C9E2" w:rsidR="00974AC4" w:rsidRDefault="007D3EB7" w:rsidP="00974AC4">
      <w:pPr>
        <w:pStyle w:val="Bodytextwithparaspace"/>
      </w:pPr>
      <w:bookmarkStart w:id="397" w:name="_Toc212886786"/>
      <w:r>
        <w:t xml:space="preserve">There was general opinion across </w:t>
      </w:r>
      <w:r w:rsidR="000947EF">
        <w:t>the three</w:t>
      </w:r>
      <w:r>
        <w:t xml:space="preserve"> stakeholder</w:t>
      </w:r>
      <w:r w:rsidR="000947EF">
        <w:t xml:space="preserve"> groups</w:t>
      </w:r>
      <w:r>
        <w:t xml:space="preserve"> that </w:t>
      </w:r>
      <w:r w:rsidR="00974AC4">
        <w:t xml:space="preserve">Brachytherapy could be considered as a delivery mechanism of treatment as opposed to a true prosthesis implant. While the seeds are a justified treatment modality, the devices </w:t>
      </w:r>
      <w:r w:rsidR="00F8187E">
        <w:t xml:space="preserve">do </w:t>
      </w:r>
      <w:r w:rsidR="00974AC4">
        <w:t xml:space="preserve">not play a role in replacing a bodily function or modulating an ongoing physiological process. The procedure </w:t>
      </w:r>
      <w:r w:rsidR="00581881">
        <w:t xml:space="preserve">could </w:t>
      </w:r>
      <w:r w:rsidR="00974AC4">
        <w:t>instead be covered under diagnostic reference group (DRG) payment mechanisms, with the seeds included as part of the procedure.</w:t>
      </w:r>
    </w:p>
    <w:p w14:paraId="67FB5C9F" w14:textId="77777777" w:rsidR="00974AC4" w:rsidRPr="00F50497" w:rsidRDefault="004C1FB5" w:rsidP="00A26B3B">
      <w:pPr>
        <w:pStyle w:val="Heading3"/>
      </w:pPr>
      <w:r>
        <w:t xml:space="preserve">03.02 – Drug </w:t>
      </w:r>
      <w:r w:rsidR="001274A3">
        <w:t>D</w:t>
      </w:r>
      <w:r>
        <w:t xml:space="preserve">elivery </w:t>
      </w:r>
      <w:r w:rsidR="001274A3">
        <w:t>D</w:t>
      </w:r>
      <w:r>
        <w:t>evices</w:t>
      </w:r>
    </w:p>
    <w:p w14:paraId="311D1D16" w14:textId="77777777" w:rsidR="00974AC4" w:rsidRDefault="002B3697" w:rsidP="00974AC4">
      <w:pPr>
        <w:pStyle w:val="Bodytextwithparaspace"/>
      </w:pPr>
      <w:r>
        <w:t xml:space="preserve">There was feedback across all </w:t>
      </w:r>
      <w:r w:rsidR="00A50BBE">
        <w:t>stakeholder groups that w</w:t>
      </w:r>
      <w:r w:rsidR="00974AC4">
        <w:t xml:space="preserve">hile drug delivery devices play a critical role in the overall treatment of patients, they may be more appropriately covered within the hospital DRGs as they are a standard tool used for the delivery of medication, and they are not a true leave-behind device that remains in the body well after the patient has been discharged from the hospital. Further, many of the items in this category can be used for multiple times on different patients. </w:t>
      </w:r>
    </w:p>
    <w:bookmarkEnd w:id="397"/>
    <w:p w14:paraId="44F1A491" w14:textId="77777777" w:rsidR="00974AC4" w:rsidRPr="00F50497" w:rsidRDefault="00974AC4" w:rsidP="00A26B3B">
      <w:pPr>
        <w:pStyle w:val="Heading4"/>
      </w:pPr>
      <w:r>
        <w:t>03.02.01 – Infusion Ports</w:t>
      </w:r>
    </w:p>
    <w:p w14:paraId="054324C6" w14:textId="0B5EBD3E" w:rsidR="00974AC4" w:rsidRDefault="00480792" w:rsidP="00974AC4">
      <w:pPr>
        <w:pStyle w:val="Bodytextwithparaspace"/>
      </w:pPr>
      <w:r>
        <w:t>One private health insurer</w:t>
      </w:r>
      <w:r w:rsidR="005D3482">
        <w:t xml:space="preserve"> </w:t>
      </w:r>
      <w:r w:rsidR="00CD1839">
        <w:t>communicated that w</w:t>
      </w:r>
      <w:r w:rsidR="00974AC4">
        <w:t>hile infusion ports are implanted, they do not remain in the body permanently.</w:t>
      </w:r>
    </w:p>
    <w:p w14:paraId="7BE66817" w14:textId="77777777" w:rsidR="00974AC4" w:rsidRDefault="00974AC4" w:rsidP="00A26B3B">
      <w:pPr>
        <w:pStyle w:val="Heading4"/>
      </w:pPr>
      <w:r>
        <w:t>03.02.02 – Infusion Pumps, Balloon Based</w:t>
      </w:r>
    </w:p>
    <w:p w14:paraId="513421FB" w14:textId="4C8EBAB4" w:rsidR="00974AC4" w:rsidRDefault="00480792" w:rsidP="00974AC4">
      <w:pPr>
        <w:pStyle w:val="Bodytextwithparaspace"/>
      </w:pPr>
      <w:r>
        <w:t>One private health insurer</w:t>
      </w:r>
      <w:r w:rsidR="002B17B0">
        <w:t xml:space="preserve"> </w:t>
      </w:r>
      <w:r w:rsidR="005539D8">
        <w:t>mentioned in their feedback submission that m</w:t>
      </w:r>
      <w:r w:rsidR="00974AC4">
        <w:t xml:space="preserve">any of the infusion pumps can be used subcutaneously. In this case, their use would be considered as an outpatient service, and patients receiving slow release infusions over several days are also often discharged home while the infusion is completed. As a non-permanent device used to deliver medications on a short-term basis, they do not meet the specifications of the </w:t>
      </w:r>
      <w:r w:rsidR="00F24211">
        <w:t>PL</w:t>
      </w:r>
      <w:r w:rsidR="00974AC4">
        <w:t>.</w:t>
      </w:r>
    </w:p>
    <w:p w14:paraId="58087C1D" w14:textId="2677751F" w:rsidR="00974AC4" w:rsidRPr="001C1281" w:rsidRDefault="00974AC4" w:rsidP="00974AC4">
      <w:pPr>
        <w:pStyle w:val="Bodytextwithparaspace"/>
      </w:pPr>
      <w:r>
        <w:t xml:space="preserve">In addition, </w:t>
      </w:r>
      <w:r w:rsidR="00480792">
        <w:t>another</w:t>
      </w:r>
      <w:r w:rsidR="00227C72">
        <w:t xml:space="preserve"> </w:t>
      </w:r>
      <w:r w:rsidR="00B01C41">
        <w:t>articulated that</w:t>
      </w:r>
      <w:r>
        <w:t xml:space="preserve"> the disposables that are paid for as part of a ‘Set’ are expensive and are often included in the procedure costs in the delivery of medication.</w:t>
      </w:r>
    </w:p>
    <w:p w14:paraId="588E4DE2" w14:textId="77777777" w:rsidR="00974AC4" w:rsidRDefault="00974AC4" w:rsidP="00A26B3B">
      <w:pPr>
        <w:pStyle w:val="Heading4"/>
      </w:pPr>
      <w:r>
        <w:t>03.02.03 – Infusion Pumps, Battery Powered</w:t>
      </w:r>
    </w:p>
    <w:p w14:paraId="664EBFC6" w14:textId="196B3A74" w:rsidR="00974AC4" w:rsidRDefault="009A3F0A" w:rsidP="00974AC4">
      <w:pPr>
        <w:spacing w:after="240"/>
      </w:pPr>
      <w:r>
        <w:t xml:space="preserve">A </w:t>
      </w:r>
      <w:r w:rsidR="00C201A0">
        <w:t>private health insurer</w:t>
      </w:r>
      <w:r w:rsidR="006A1754">
        <w:t xml:space="preserve"> and a private hospital group both</w:t>
      </w:r>
      <w:r w:rsidR="00306D6C">
        <w:t xml:space="preserve"> </w:t>
      </w:r>
      <w:r w:rsidR="00680524">
        <w:t>highlighted</w:t>
      </w:r>
      <w:r w:rsidR="00306D6C">
        <w:t xml:space="preserve"> in their feedback that t</w:t>
      </w:r>
      <w:r w:rsidR="00974AC4">
        <w:t xml:space="preserve">he listing of </w:t>
      </w:r>
      <w:r w:rsidR="007A6EF2">
        <w:t>one manufacturer’s infusion pump</w:t>
      </w:r>
      <w:r w:rsidR="00F753AF">
        <w:t xml:space="preserve"> </w:t>
      </w:r>
      <w:r w:rsidR="00974AC4">
        <w:t xml:space="preserve">notes that the product includes “an intuitive, full colour touch screen interface”, which is not implanted into the patient, and therefore not a prosthesis device. </w:t>
      </w:r>
      <w:r w:rsidR="00C1339F">
        <w:t>Several of the Private Health Insurers provided feedback that</w:t>
      </w:r>
      <w:r w:rsidR="009A2574">
        <w:t xml:space="preserve"> s</w:t>
      </w:r>
      <w:r w:rsidR="00974AC4">
        <w:t>uch capital equipment listed in this product group are not considered to be true prostheses, as they can be used in hospitals on multiple patients.</w:t>
      </w:r>
    </w:p>
    <w:p w14:paraId="7620059D" w14:textId="41AE40CB" w:rsidR="00974AC4" w:rsidRDefault="00F753AF" w:rsidP="00974AC4">
      <w:pPr>
        <w:spacing w:after="240"/>
      </w:pPr>
      <w:r>
        <w:t>Another private health insurer</w:t>
      </w:r>
      <w:r w:rsidR="006B0DF3">
        <w:t xml:space="preserve"> </w:t>
      </w:r>
      <w:r w:rsidR="001F4A55">
        <w:t>communicated that a</w:t>
      </w:r>
      <w:r w:rsidR="00974AC4">
        <w:t xml:space="preserve">s a result, items within this group are being purchased through the </w:t>
      </w:r>
      <w:r w:rsidR="00F24211">
        <w:t>PL</w:t>
      </w:r>
      <w:r w:rsidR="00974AC4">
        <w:t xml:space="preserve"> and returned to the hospital’s capital equipment stock that can be used on the ward for inpatients as a means of reducing their capital expenditure. </w:t>
      </w:r>
      <w:r w:rsidR="00E349F4">
        <w:t>They noted that i</w:t>
      </w:r>
      <w:r w:rsidR="00974AC4">
        <w:t>n this way, hospitals have no incentive to be cost-conscious about their choice of device. Further, the inclusion of these products on the List is advantageous to patients who do not initially use the equipment and damaging to the insurer who paid for the first user of the device.</w:t>
      </w:r>
    </w:p>
    <w:p w14:paraId="45844D73" w14:textId="10EAB5D2" w:rsidR="00974AC4" w:rsidRDefault="00200A69" w:rsidP="00974AC4">
      <w:pPr>
        <w:spacing w:after="240"/>
      </w:pPr>
      <w:r>
        <w:t xml:space="preserve">Another </w:t>
      </w:r>
      <w:r w:rsidR="00974AC4">
        <w:t>claim</w:t>
      </w:r>
      <w:r w:rsidR="003542B0">
        <w:t>ed</w:t>
      </w:r>
      <w:r w:rsidR="00974AC4">
        <w:t xml:space="preserve"> that these multiple-use items fail to satisfy the PHI Act requirement that they are ‘provided’ to a member, as the hospital retains full possession and ownership of the product for subsequent use on other patients, regardless of their insurance provider. </w:t>
      </w:r>
      <w:r>
        <w:t xml:space="preserve">This private health insurer </w:t>
      </w:r>
      <w:r w:rsidR="007A1A0F">
        <w:t>was</w:t>
      </w:r>
      <w:r w:rsidR="00974AC4">
        <w:t xml:space="preserve"> also concerned that this category of equipment may set a precedent leading to private health insurers being required to pay for other types of hospital capital equipment.</w:t>
      </w:r>
    </w:p>
    <w:p w14:paraId="7F9C0087" w14:textId="77777777" w:rsidR="00974AC4" w:rsidRDefault="00974AC4" w:rsidP="00A26B3B">
      <w:pPr>
        <w:pStyle w:val="Heading4"/>
      </w:pPr>
      <w:r>
        <w:t>03.02.04 – Infusion Pumps, Spring Powered</w:t>
      </w:r>
    </w:p>
    <w:p w14:paraId="1ECD2D63" w14:textId="6AC821C9" w:rsidR="00974AC4" w:rsidRDefault="00E1629C" w:rsidP="00974AC4">
      <w:pPr>
        <w:spacing w:after="240"/>
      </w:pPr>
      <w:r>
        <w:t xml:space="preserve">One private health insurer </w:t>
      </w:r>
      <w:r w:rsidR="00661319">
        <w:t>communicated during the consultation process that b</w:t>
      </w:r>
      <w:r w:rsidR="00974AC4">
        <w:t xml:space="preserve">enefits are also paid by private health insurers for disposable drug delivery items in this category. </w:t>
      </w:r>
      <w:r w:rsidR="00661319">
        <w:t>They stated that u</w:t>
      </w:r>
      <w:r w:rsidR="00974AC4">
        <w:t xml:space="preserve">nder the PHI Act, the requirement for an insurer to pay benefits for </w:t>
      </w:r>
      <w:r w:rsidR="008B1A27">
        <w:t xml:space="preserve">prosthetic </w:t>
      </w:r>
      <w:r w:rsidR="00974AC4">
        <w:t xml:space="preserve">items on the </w:t>
      </w:r>
      <w:r w:rsidR="00F24211">
        <w:t>PL</w:t>
      </w:r>
      <w:r w:rsidR="00974AC4">
        <w:t xml:space="preserve"> only applies when it is ‘provided in circumstances where a Medicare benefit is payable’. However, it is reported that hospitals often claim benefits for these products despite there being no Medicare-rebatable service directly associated with the provision of </w:t>
      </w:r>
      <w:r w:rsidR="008B1A27">
        <w:t xml:space="preserve">prosthetic </w:t>
      </w:r>
      <w:r w:rsidR="00974AC4">
        <w:t>items. Further,</w:t>
      </w:r>
      <w:r w:rsidR="0080619B">
        <w:t xml:space="preserve"> </w:t>
      </w:r>
      <w:r>
        <w:t xml:space="preserve">they </w:t>
      </w:r>
      <w:r w:rsidR="00381EB1">
        <w:t>claim</w:t>
      </w:r>
      <w:r w:rsidR="008B1A27">
        <w:t>ed</w:t>
      </w:r>
      <w:r w:rsidR="00381EB1">
        <w:t xml:space="preserve"> that</w:t>
      </w:r>
      <w:r w:rsidR="00974AC4">
        <w:t xml:space="preserve"> the nature of these practices has led to some private hospitals claiming prostheses benefits for disposables which are disproportionate to the size of their facilities</w:t>
      </w:r>
      <w:r w:rsidR="00807D6B">
        <w:t xml:space="preserve">, meaning that smaller hospitals were claiming comparably greater </w:t>
      </w:r>
      <w:r w:rsidR="008D6123">
        <w:t>volumes of disposables than larger hospitals</w:t>
      </w:r>
      <w:r w:rsidR="00974AC4">
        <w:t>.</w:t>
      </w:r>
    </w:p>
    <w:p w14:paraId="4052E9A2" w14:textId="77777777" w:rsidR="00974AC4" w:rsidRDefault="00974AC4" w:rsidP="00A26B3B">
      <w:pPr>
        <w:pStyle w:val="Heading4"/>
      </w:pPr>
      <w:r>
        <w:t>03.02.05 – Infusion Pumps Accessories</w:t>
      </w:r>
    </w:p>
    <w:p w14:paraId="47D9CE4F" w14:textId="4099734E" w:rsidR="00974AC4" w:rsidRDefault="00230EF2" w:rsidP="00974AC4">
      <w:pPr>
        <w:pStyle w:val="Bodytextwithparaspace"/>
      </w:pPr>
      <w:r>
        <w:t>Some p</w:t>
      </w:r>
      <w:r w:rsidR="00FC7E50">
        <w:t xml:space="preserve">rivate </w:t>
      </w:r>
      <w:r>
        <w:t xml:space="preserve">health insurers </w:t>
      </w:r>
      <w:r w:rsidR="007713CD">
        <w:t xml:space="preserve">referred to the fact that </w:t>
      </w:r>
      <w:r w:rsidR="00974AC4">
        <w:t>Infusion pump accessories are mostly disposable, single-use items, and not prostheses that remain in the body permanently. For example, Administration Sets must be changed every 24 or 72 hours, depending on the condition and medication.</w:t>
      </w:r>
    </w:p>
    <w:p w14:paraId="09CC7A1B" w14:textId="668E6082" w:rsidR="00974AC4" w:rsidRDefault="00E1629C" w:rsidP="00974AC4">
      <w:pPr>
        <w:pStyle w:val="Bodytextwithparaspace"/>
      </w:pPr>
      <w:r>
        <w:t xml:space="preserve">One manufacturer </w:t>
      </w:r>
      <w:r w:rsidR="00974AC4">
        <w:t>identified that alternative funding mechanisms do exist for five products within the Administration Reservoir and Administration Set sub-groups, as they are listed on the National Diabetes Services Scheme (NDSS) insulin pump consumables order form and can be accessed through the NDSS.</w:t>
      </w:r>
    </w:p>
    <w:p w14:paraId="04750347" w14:textId="01246D39" w:rsidR="00974AC4" w:rsidRPr="00CC7C41" w:rsidRDefault="00974AC4" w:rsidP="00974AC4">
      <w:pPr>
        <w:pStyle w:val="Bodytextwithparaspace"/>
      </w:pPr>
      <w:r>
        <w:t xml:space="preserve">Further, </w:t>
      </w:r>
      <w:r w:rsidR="00AC7D09">
        <w:t>a private health insurer</w:t>
      </w:r>
      <w:r w:rsidR="007824D2">
        <w:t xml:space="preserve"> </w:t>
      </w:r>
      <w:r w:rsidR="00BA64B3">
        <w:t>said</w:t>
      </w:r>
      <w:r w:rsidR="008D0A94">
        <w:t xml:space="preserve"> that</w:t>
      </w:r>
      <w:r w:rsidR="00AC7D09">
        <w:t xml:space="preserve"> certain </w:t>
      </w:r>
      <w:r w:rsidR="009A3F0A">
        <w:t>Administration Sets</w:t>
      </w:r>
      <w:r>
        <w:t xml:space="preserve"> are available in the market for consumers to purchase in sets of 50 for $214.85 (or $4.29 each) without any requirement for </w:t>
      </w:r>
      <w:r w:rsidR="00A71E17">
        <w:t xml:space="preserve">verification </w:t>
      </w:r>
      <w:r>
        <w:t xml:space="preserve">of status. These products appear on the </w:t>
      </w:r>
      <w:r w:rsidR="00F24211">
        <w:t>PL</w:t>
      </w:r>
      <w:r>
        <w:t xml:space="preserve"> for $7 each, and </w:t>
      </w:r>
      <w:r w:rsidR="00AC7D09">
        <w:t xml:space="preserve">the insurer </w:t>
      </w:r>
      <w:r>
        <w:t>has recorded usage increasing by 200% in 12 months.</w:t>
      </w:r>
    </w:p>
    <w:p w14:paraId="180B6761" w14:textId="77777777" w:rsidR="00974AC4" w:rsidRPr="00F50497" w:rsidRDefault="00974AC4" w:rsidP="00A26B3B">
      <w:pPr>
        <w:pStyle w:val="Heading4"/>
      </w:pPr>
      <w:r>
        <w:t>03.02.06 – Pharmaceutical Beads</w:t>
      </w:r>
    </w:p>
    <w:p w14:paraId="0889AAA4" w14:textId="6D7EE677" w:rsidR="00974AC4" w:rsidRDefault="009A3F0A" w:rsidP="00974AC4">
      <w:pPr>
        <w:pStyle w:val="Bodytextwithparaspace"/>
      </w:pPr>
      <w:r>
        <w:t>One private health insurer</w:t>
      </w:r>
      <w:r w:rsidR="00E72535">
        <w:t xml:space="preserve"> </w:t>
      </w:r>
      <w:r w:rsidR="0093034E">
        <w:t>suggested</w:t>
      </w:r>
      <w:r w:rsidR="008A5EB8">
        <w:t xml:space="preserve"> that g</w:t>
      </w:r>
      <w:r w:rsidR="00974AC4">
        <w:t xml:space="preserve">iven that pharmaceutical beads are an alternative method of medication administration to syringes and needles, they could be covered through a similar hospital treatment funding mechanism. </w:t>
      </w:r>
    </w:p>
    <w:p w14:paraId="2464041C" w14:textId="77777777" w:rsidR="00974AC4" w:rsidRPr="00F50497" w:rsidRDefault="004C1FB5" w:rsidP="00A26B3B">
      <w:pPr>
        <w:pStyle w:val="Heading3"/>
      </w:pPr>
      <w:r>
        <w:t xml:space="preserve">03.03 – Enteral </w:t>
      </w:r>
      <w:r w:rsidR="001274A3">
        <w:t>T</w:t>
      </w:r>
      <w:r>
        <w:t>ubes</w:t>
      </w:r>
    </w:p>
    <w:p w14:paraId="2BFE784B" w14:textId="40273FA8" w:rsidR="00974AC4" w:rsidRDefault="006A1754" w:rsidP="00974AC4">
      <w:pPr>
        <w:pStyle w:val="Bodytextwithparaspace"/>
      </w:pPr>
      <w:r>
        <w:t>A private health insurer and a private hospital group both</w:t>
      </w:r>
      <w:r w:rsidR="0067647E">
        <w:t xml:space="preserve"> </w:t>
      </w:r>
      <w:r w:rsidR="0094284B">
        <w:t>communicated that w</w:t>
      </w:r>
      <w:r w:rsidR="00974AC4">
        <w:t xml:space="preserve">hile Enteral Tubes are implantable devices, many of these items are not permanent, and are only used temporarily while the patient receives critical care. </w:t>
      </w:r>
      <w:r>
        <w:t xml:space="preserve">The private health insurer </w:t>
      </w:r>
      <w:r w:rsidR="00282A53">
        <w:t>mentioned that i</w:t>
      </w:r>
      <w:r w:rsidR="00974AC4">
        <w:t xml:space="preserve">n some instances, the tubes may be used for longer periods of time, but they are replaced every 12 months, in an outpatient service. </w:t>
      </w:r>
      <w:r w:rsidR="00BB1A7B">
        <w:t xml:space="preserve">They also </w:t>
      </w:r>
      <w:r w:rsidR="007439BF">
        <w:t>noted</w:t>
      </w:r>
      <w:r w:rsidR="00BB1A7B">
        <w:t xml:space="preserve"> that t</w:t>
      </w:r>
      <w:r w:rsidR="00974AC4">
        <w:t xml:space="preserve">he United Nations lists many of the products in this category as consumables, raising a question about the appropriateness of the listing of Enteral Tubes as a </w:t>
      </w:r>
      <w:r w:rsidR="008B1A27">
        <w:t xml:space="preserve">prosthetic </w:t>
      </w:r>
      <w:r w:rsidR="00974AC4">
        <w:t xml:space="preserve">product. </w:t>
      </w:r>
    </w:p>
    <w:p w14:paraId="5C59B215" w14:textId="77777777" w:rsidR="00974AC4" w:rsidRPr="00F50497" w:rsidRDefault="004C1FB5" w:rsidP="00A26B3B">
      <w:pPr>
        <w:pStyle w:val="Heading3"/>
      </w:pPr>
      <w:r>
        <w:t xml:space="preserve">03.04 – Gastric </w:t>
      </w:r>
      <w:r w:rsidR="001274A3">
        <w:t>B</w:t>
      </w:r>
      <w:r>
        <w:t>ands</w:t>
      </w:r>
    </w:p>
    <w:p w14:paraId="7811AB7D" w14:textId="48AB45D7" w:rsidR="00974AC4" w:rsidRDefault="006A1754" w:rsidP="00974AC4">
      <w:pPr>
        <w:spacing w:after="240"/>
      </w:pPr>
      <w:r>
        <w:t>A private health insurer and a private hospital group both</w:t>
      </w:r>
      <w:r w:rsidR="00C71EE2">
        <w:t xml:space="preserve"> agreed that </w:t>
      </w:r>
      <w:r w:rsidR="009D53B8">
        <w:t>a</w:t>
      </w:r>
      <w:r w:rsidR="00974AC4">
        <w:t xml:space="preserve">ll items in this category are permanent prostheses and meet the criteria for inclusion on the </w:t>
      </w:r>
      <w:r w:rsidR="00F24211">
        <w:t>PL</w:t>
      </w:r>
      <w:r w:rsidR="00974AC4">
        <w:t xml:space="preserve">. However, </w:t>
      </w:r>
      <w:r w:rsidR="001C4966">
        <w:t>the private hospital group</w:t>
      </w:r>
      <w:r w:rsidR="00AB24D6">
        <w:t xml:space="preserve"> suggested that </w:t>
      </w:r>
      <w:r w:rsidR="00974AC4">
        <w:t>given the price and competition in the market</w:t>
      </w:r>
      <w:r w:rsidR="00165497">
        <w:t xml:space="preserve"> for gastric bands</w:t>
      </w:r>
      <w:r w:rsidR="00974AC4">
        <w:t xml:space="preserve">, private hospitals could consider </w:t>
      </w:r>
      <w:r w:rsidR="00801C91">
        <w:t xml:space="preserve">case based, bundled </w:t>
      </w:r>
      <w:r w:rsidR="00974AC4">
        <w:t xml:space="preserve">or contracted arrangements rather than relying on the </w:t>
      </w:r>
      <w:r w:rsidR="00F24211">
        <w:t>PL</w:t>
      </w:r>
      <w:r w:rsidR="00974AC4">
        <w:t xml:space="preserve"> funding. </w:t>
      </w:r>
    </w:p>
    <w:p w14:paraId="58ECCEC6" w14:textId="77777777" w:rsidR="00974AC4" w:rsidRPr="00F50497" w:rsidRDefault="004C1FB5" w:rsidP="00A26B3B">
      <w:pPr>
        <w:pStyle w:val="Heading3"/>
      </w:pPr>
      <w:r>
        <w:t xml:space="preserve">03.05 – Haemostatic </w:t>
      </w:r>
      <w:r w:rsidR="001274A3">
        <w:t>D</w:t>
      </w:r>
      <w:r>
        <w:t>evices</w:t>
      </w:r>
    </w:p>
    <w:p w14:paraId="0FC55F38" w14:textId="6DA3341A" w:rsidR="00974AC4" w:rsidRDefault="00974AC4" w:rsidP="00974AC4">
      <w:pPr>
        <w:spacing w:after="240"/>
      </w:pPr>
      <w:r>
        <w:t>Whilst it is recognised that haemostatic devices are clinically effective and cost effective in blood management</w:t>
      </w:r>
      <w:r w:rsidR="00BA64B3">
        <w:t>.</w:t>
      </w:r>
      <w:r>
        <w:t xml:space="preserve"> </w:t>
      </w:r>
      <w:r w:rsidR="006C1C5A">
        <w:t xml:space="preserve">There was feedback from manufacturers, private health insurers and private hospitals alike that </w:t>
      </w:r>
      <w:r>
        <w:t xml:space="preserve">these items are not permanent in the body and do not act in an ongoing way to address a medical condition. </w:t>
      </w:r>
      <w:r w:rsidR="00F236E7">
        <w:t xml:space="preserve">One manufacturer </w:t>
      </w:r>
      <w:r w:rsidR="006C1C5A">
        <w:t>noted that a</w:t>
      </w:r>
      <w:r>
        <w:t xml:space="preserve"> temporary haemostat may only last several minutes in the body, and therefore, this product category may not be consistent to the intent of the </w:t>
      </w:r>
      <w:r w:rsidR="00F24211">
        <w:t>PL</w:t>
      </w:r>
      <w:r>
        <w:t xml:space="preserve"> when it was expanded to include new technologies that combat pathological and physical processes. </w:t>
      </w:r>
    </w:p>
    <w:p w14:paraId="21E2A04B" w14:textId="4D425FEB" w:rsidR="00974AC4" w:rsidRDefault="007A6DEF" w:rsidP="00974AC4">
      <w:pPr>
        <w:spacing w:after="240"/>
      </w:pPr>
      <w:r>
        <w:t xml:space="preserve">There was feedback across all </w:t>
      </w:r>
      <w:r w:rsidR="008A66B5">
        <w:t xml:space="preserve">three </w:t>
      </w:r>
      <w:r>
        <w:t>stakeholder groups that</w:t>
      </w:r>
      <w:r w:rsidR="00BA64B3">
        <w:t>,</w:t>
      </w:r>
      <w:r>
        <w:t xml:space="preserve"> i</w:t>
      </w:r>
      <w:r w:rsidR="00974AC4">
        <w:t xml:space="preserve">n this way, such items could be considered as consumables, and reasonably be bundled into the cost of the procedure covered under DRG arrangements. </w:t>
      </w:r>
      <w:r w:rsidR="00F236E7">
        <w:t xml:space="preserve">One private health insurer </w:t>
      </w:r>
      <w:r w:rsidR="009C504B">
        <w:t>commented that m</w:t>
      </w:r>
      <w:r w:rsidR="00974AC4">
        <w:t xml:space="preserve">any insurers already have arrangements in place with providers as to how consumables are funded, so their additional payment through the </w:t>
      </w:r>
      <w:r w:rsidR="00F24211">
        <w:t>PL</w:t>
      </w:r>
      <w:r w:rsidR="00974AC4">
        <w:t xml:space="preserve"> mechanism could be considered a double payment for the same item used within a single procedure.</w:t>
      </w:r>
    </w:p>
    <w:p w14:paraId="0E2C1286" w14:textId="5886AB8E" w:rsidR="00974AC4" w:rsidRDefault="00974AC4" w:rsidP="00974AC4">
      <w:pPr>
        <w:spacing w:after="240"/>
      </w:pPr>
      <w:r>
        <w:t xml:space="preserve">However, </w:t>
      </w:r>
      <w:r w:rsidR="00F236E7">
        <w:t>a manufacturer</w:t>
      </w:r>
      <w:r w:rsidR="00290033">
        <w:t xml:space="preserve"> </w:t>
      </w:r>
      <w:r w:rsidR="00DA2392">
        <w:t>stated that</w:t>
      </w:r>
      <w:r>
        <w:t xml:space="preserve"> the amount of these products required for a surgery is usually not predictable, or not known until the surgery has commenced, so there is a risk that these products may cost health insurers more if they are incorporated into a bundle</w:t>
      </w:r>
      <w:r w:rsidR="0090163D">
        <w:t>d</w:t>
      </w:r>
      <w:r>
        <w:t xml:space="preserve"> payment, but are not used in a surgery. </w:t>
      </w:r>
      <w:r w:rsidR="00F236E7">
        <w:t xml:space="preserve">They </w:t>
      </w:r>
      <w:r w:rsidR="003114C1">
        <w:t>commented that t</w:t>
      </w:r>
      <w:r>
        <w:t>here may also be further implications o</w:t>
      </w:r>
      <w:r w:rsidR="00280AA9">
        <w:t>n</w:t>
      </w:r>
      <w:r>
        <w:t xml:space="preserve"> blood products funded by National Blood Authority (NBA) if the items were to be removed from the </w:t>
      </w:r>
      <w:r w:rsidR="00BA64B3">
        <w:t>PL</w:t>
      </w:r>
      <w:r w:rsidR="0046751C">
        <w:t>, as the use of these products may increase and impact patient outcomes</w:t>
      </w:r>
      <w:r>
        <w:t>.</w:t>
      </w:r>
    </w:p>
    <w:p w14:paraId="4BCF57C6" w14:textId="41703E7A" w:rsidR="00974AC4" w:rsidRDefault="00F236E7" w:rsidP="00974AC4">
      <w:pPr>
        <w:spacing w:after="240"/>
      </w:pPr>
      <w:r>
        <w:t>Another private health insurer</w:t>
      </w:r>
      <w:r w:rsidR="006D7171">
        <w:t xml:space="preserve"> mentioned in their feedback submission that t</w:t>
      </w:r>
      <w:r w:rsidR="00974AC4">
        <w:t>he listed price of some items is inflated when compared to the cost of attaining a similar item from other medical supply sources. For instance, when a patient receives in-chair dental surgery, they are not charged any additional fees for sponges that are used throughout the procedure as they are inherent to the procedure itself.</w:t>
      </w:r>
    </w:p>
    <w:p w14:paraId="6C673080" w14:textId="77777777" w:rsidR="00974AC4" w:rsidRPr="00F50497" w:rsidRDefault="00974AC4" w:rsidP="00A26B3B">
      <w:pPr>
        <w:pStyle w:val="Heading4"/>
      </w:pPr>
      <w:r>
        <w:t>03.05.03 – Sponges</w:t>
      </w:r>
    </w:p>
    <w:p w14:paraId="4DBC9C14" w14:textId="74A274A9" w:rsidR="00974AC4" w:rsidRDefault="00230EF2" w:rsidP="00974AC4">
      <w:pPr>
        <w:spacing w:after="240"/>
      </w:pPr>
      <w:r>
        <w:t xml:space="preserve">Some private health insurers </w:t>
      </w:r>
      <w:r w:rsidR="006A1826">
        <w:t xml:space="preserve">commented that </w:t>
      </w:r>
      <w:r w:rsidR="00974AC4">
        <w:t xml:space="preserve">Sponges were used in surgery for a long time prior to listing on the </w:t>
      </w:r>
      <w:r w:rsidR="00F24211">
        <w:t>PL</w:t>
      </w:r>
      <w:r w:rsidR="00974AC4">
        <w:t xml:space="preserve">, which has resulted in private health insurers paying twice for these products. Further, it was identified </w:t>
      </w:r>
      <w:r w:rsidR="00385496">
        <w:t xml:space="preserve">by </w:t>
      </w:r>
      <w:r w:rsidR="005F4D74">
        <w:t>a private health insurer</w:t>
      </w:r>
      <w:r w:rsidR="00385496">
        <w:t xml:space="preserve"> </w:t>
      </w:r>
      <w:r w:rsidR="00974AC4">
        <w:t>that</w:t>
      </w:r>
      <w:r w:rsidR="005F4D74">
        <w:t xml:space="preserve"> a sponge product listed on the PL</w:t>
      </w:r>
      <w:r w:rsidR="00974AC4">
        <w:t xml:space="preserve"> is available as a code in Eclipse, meaning that hospitals can claim funding for this product </w:t>
      </w:r>
      <w:r w:rsidR="00800BE4">
        <w:t>from private health insurers through in-hospital claiming arrangements</w:t>
      </w:r>
      <w:r w:rsidR="00974AC4">
        <w:t xml:space="preserve">. However, many hospitals continue to purchase it from the </w:t>
      </w:r>
      <w:r w:rsidR="00BA64B3">
        <w:t>PL</w:t>
      </w:r>
      <w:r w:rsidR="00974AC4">
        <w:t xml:space="preserve"> a</w:t>
      </w:r>
      <w:r w:rsidR="003A47A2">
        <w:t>t</w:t>
      </w:r>
      <w:r w:rsidR="00974AC4">
        <w:t xml:space="preserve"> a higher non-negotiated price.</w:t>
      </w:r>
    </w:p>
    <w:p w14:paraId="57BC9596" w14:textId="77777777" w:rsidR="00974AC4" w:rsidRPr="00F50497" w:rsidRDefault="00974AC4" w:rsidP="00A26B3B">
      <w:pPr>
        <w:pStyle w:val="Heading4"/>
      </w:pPr>
      <w:r>
        <w:t>03.05.04 – Pliable Patches</w:t>
      </w:r>
    </w:p>
    <w:p w14:paraId="78C39207" w14:textId="7FF08F84" w:rsidR="00974AC4" w:rsidRDefault="005F4D74" w:rsidP="00974AC4">
      <w:pPr>
        <w:spacing w:after="240"/>
      </w:pPr>
      <w:r>
        <w:t>One private health insurer</w:t>
      </w:r>
      <w:r w:rsidR="00E72815">
        <w:t xml:space="preserve"> commented that t</w:t>
      </w:r>
      <w:r w:rsidR="00974AC4">
        <w:t xml:space="preserve">he usage instructions of </w:t>
      </w:r>
      <w:r w:rsidR="00C77FB0">
        <w:t>a certain Pliable Patch on the PL</w:t>
      </w:r>
      <w:r w:rsidR="00974AC4">
        <w:t xml:space="preserve"> state that the sponge must always be removed after haemostasis is achieved as it could swell and exert unwanted pressure in the affected area. Therefore,</w:t>
      </w:r>
      <w:r w:rsidR="00E72815">
        <w:t xml:space="preserve"> they conclude that</w:t>
      </w:r>
      <w:r w:rsidR="00974AC4">
        <w:t xml:space="preserve"> this product is not implanted and serves no permanent role in the body, thus precluding the product from the definition of a prostheses.</w:t>
      </w:r>
    </w:p>
    <w:p w14:paraId="01C5FE06" w14:textId="77777777" w:rsidR="00974AC4" w:rsidRPr="00F50497" w:rsidRDefault="00974AC4" w:rsidP="00A26B3B">
      <w:pPr>
        <w:pStyle w:val="Heading4"/>
      </w:pPr>
      <w:r>
        <w:t>03.05.0</w:t>
      </w:r>
      <w:r w:rsidR="002D42C6">
        <w:t>5</w:t>
      </w:r>
      <w:r>
        <w:t xml:space="preserve"> – Matrix</w:t>
      </w:r>
    </w:p>
    <w:p w14:paraId="23AED9D0" w14:textId="5A8D9F0C" w:rsidR="00974AC4" w:rsidRDefault="00C77FB0" w:rsidP="00974AC4">
      <w:pPr>
        <w:spacing w:after="240"/>
      </w:pPr>
      <w:r>
        <w:t xml:space="preserve">One private health insurer </w:t>
      </w:r>
      <w:r w:rsidR="00996019">
        <w:t>communicated that s</w:t>
      </w:r>
      <w:r w:rsidR="00974AC4">
        <w:t>imilar items or substitute items as those listed in this sub-category, are also funded by private health insurers through</w:t>
      </w:r>
      <w:r w:rsidR="00800BE4">
        <w:t xml:space="preserve"> case based payments or</w:t>
      </w:r>
      <w:r w:rsidR="00974AC4">
        <w:t xml:space="preserve"> theatre banding.</w:t>
      </w:r>
    </w:p>
    <w:p w14:paraId="05E6CBCC" w14:textId="77777777" w:rsidR="00974AC4" w:rsidRPr="00F50497" w:rsidRDefault="00974AC4" w:rsidP="00A26B3B">
      <w:pPr>
        <w:pStyle w:val="Heading4"/>
      </w:pPr>
      <w:r>
        <w:t>03.05.06 – Foam</w:t>
      </w:r>
    </w:p>
    <w:p w14:paraId="02250351" w14:textId="53F175F2" w:rsidR="00974AC4" w:rsidRDefault="00C77FB0" w:rsidP="00974AC4">
      <w:pPr>
        <w:spacing w:after="240"/>
      </w:pPr>
      <w:r>
        <w:t>A private health insurer and a private hospital group both</w:t>
      </w:r>
      <w:r w:rsidR="00D30F21">
        <w:t xml:space="preserve"> commented that </w:t>
      </w:r>
      <w:r>
        <w:t>one foam product on the PL</w:t>
      </w:r>
      <w:r w:rsidR="00974AC4">
        <w:t xml:space="preserve"> is already funded through DRG and case payments. They</w:t>
      </w:r>
      <w:r w:rsidR="003261B5">
        <w:t xml:space="preserve"> both stated that</w:t>
      </w:r>
      <w:r w:rsidR="00974AC4">
        <w:t xml:space="preserve"> </w:t>
      </w:r>
      <w:r w:rsidR="0086760F">
        <w:t>these products</w:t>
      </w:r>
      <w:r w:rsidR="00974AC4">
        <w:t xml:space="preserve"> can also be used outside of the operating room, such as on football fields to treat sports injuries.</w:t>
      </w:r>
    </w:p>
    <w:p w14:paraId="60FCE25C" w14:textId="77777777" w:rsidR="00974AC4" w:rsidRDefault="004C1FB5" w:rsidP="00A26B3B">
      <w:pPr>
        <w:pStyle w:val="Heading3"/>
      </w:pPr>
      <w:r>
        <w:t xml:space="preserve">03.06 – Luminal </w:t>
      </w:r>
      <w:r w:rsidR="001274A3">
        <w:t>S</w:t>
      </w:r>
      <w:r>
        <w:t>tents</w:t>
      </w:r>
    </w:p>
    <w:p w14:paraId="6084DC82" w14:textId="3FD4864D" w:rsidR="00974AC4" w:rsidRDefault="00BB7D07" w:rsidP="00974AC4">
      <w:pPr>
        <w:spacing w:after="240"/>
      </w:pPr>
      <w:r>
        <w:t>A private health insurer and a private hospital group both</w:t>
      </w:r>
      <w:r w:rsidR="008B112F">
        <w:t xml:space="preserve"> </w:t>
      </w:r>
      <w:r w:rsidR="00931571">
        <w:t xml:space="preserve">stated that </w:t>
      </w:r>
      <w:r w:rsidR="00974AC4">
        <w:t xml:space="preserve">Luminal Stents clearly meet the criteria for inclusion on the </w:t>
      </w:r>
      <w:r w:rsidR="00F24211">
        <w:t>PL</w:t>
      </w:r>
      <w:r w:rsidR="00974AC4">
        <w:t xml:space="preserve">, as they permanently remain in the patient’s body. However, </w:t>
      </w:r>
      <w:r w:rsidR="001876D8">
        <w:t>they also communicated that</w:t>
      </w:r>
      <w:r w:rsidR="00974AC4">
        <w:t xml:space="preserve"> all items in this category could be captured through </w:t>
      </w:r>
      <w:r w:rsidR="00801C91">
        <w:t>case based, bundled</w:t>
      </w:r>
      <w:r w:rsidR="00974AC4">
        <w:t xml:space="preserve"> or contracted arrangements with suppliers given their price and competition in the market.</w:t>
      </w:r>
    </w:p>
    <w:p w14:paraId="640C4615" w14:textId="77777777" w:rsidR="00974AC4" w:rsidRDefault="004C1FB5" w:rsidP="00A26B3B">
      <w:pPr>
        <w:pStyle w:val="Heading3"/>
      </w:pPr>
      <w:r>
        <w:t xml:space="preserve">03.07 – Pulmonary / </w:t>
      </w:r>
      <w:r w:rsidR="001274A3">
        <w:t>P</w:t>
      </w:r>
      <w:r>
        <w:t xml:space="preserve">eritoneal </w:t>
      </w:r>
      <w:r w:rsidR="001274A3">
        <w:t>D</w:t>
      </w:r>
      <w:r>
        <w:t>evices</w:t>
      </w:r>
    </w:p>
    <w:p w14:paraId="45E9922F" w14:textId="77777777" w:rsidR="00974AC4" w:rsidRPr="00F50497" w:rsidRDefault="00974AC4" w:rsidP="00A26B3B">
      <w:pPr>
        <w:pStyle w:val="Heading4"/>
      </w:pPr>
      <w:r>
        <w:t>03.07.01 – Drainage Catheters</w:t>
      </w:r>
    </w:p>
    <w:p w14:paraId="2C99E6E6" w14:textId="1948352E" w:rsidR="00974AC4" w:rsidRDefault="00AF3BA1" w:rsidP="00974AC4">
      <w:pPr>
        <w:pStyle w:val="Bodytextwithoutparaspace"/>
        <w:spacing w:after="240"/>
      </w:pPr>
      <w:r>
        <w:t>One private health insurer</w:t>
      </w:r>
      <w:r w:rsidR="006F1991">
        <w:t xml:space="preserve"> commented that </w:t>
      </w:r>
      <w:r w:rsidR="00974AC4">
        <w:t xml:space="preserve">Drainage </w:t>
      </w:r>
      <w:r w:rsidR="00230EF2">
        <w:t xml:space="preserve">Catheters </w:t>
      </w:r>
      <w:r w:rsidR="00974AC4">
        <w:t xml:space="preserve">are used temporarily while a procedure is being performed, and do not permanently remain in the body. </w:t>
      </w:r>
      <w:r w:rsidR="006F1991">
        <w:t xml:space="preserve">Further, </w:t>
      </w:r>
      <w:r>
        <w:t>one manufacturer</w:t>
      </w:r>
      <w:r w:rsidR="006F1991">
        <w:t xml:space="preserve"> </w:t>
      </w:r>
      <w:r w:rsidR="009C512C">
        <w:t>noted that w</w:t>
      </w:r>
      <w:r w:rsidR="00974AC4">
        <w:t>hile they are inherent in the surgery, it could be envisioned that such low-cost products could be removed from the List without too much trouble if hospitals were given notice to plan for these additional costs, and if they could be bundled into existing DRG payments.</w:t>
      </w:r>
    </w:p>
    <w:p w14:paraId="273BC685" w14:textId="77777777" w:rsidR="00974AC4" w:rsidRPr="00F50497" w:rsidRDefault="00974AC4" w:rsidP="00A26B3B">
      <w:pPr>
        <w:pStyle w:val="Heading4"/>
      </w:pPr>
      <w:r>
        <w:t>03.07.02 – Endobronchial Valves</w:t>
      </w:r>
    </w:p>
    <w:p w14:paraId="3B3BA24D" w14:textId="022CE0C2" w:rsidR="00974AC4" w:rsidRDefault="00AF3BA1" w:rsidP="00974AC4">
      <w:pPr>
        <w:pStyle w:val="Bodytextwithoutparaspace"/>
        <w:spacing w:after="240"/>
      </w:pPr>
      <w:r>
        <w:t>A private health insurer and a private hospital group both</w:t>
      </w:r>
      <w:r w:rsidR="009C512C">
        <w:t xml:space="preserve"> communicated that </w:t>
      </w:r>
      <w:r w:rsidR="00974AC4">
        <w:t xml:space="preserve">Endobronchial Valves remain permanently in the body and have an ongoing function. </w:t>
      </w:r>
      <w:r w:rsidR="009C512C">
        <w:t>They both suggested that t</w:t>
      </w:r>
      <w:r w:rsidR="00974AC4">
        <w:t xml:space="preserve">hese items could be captured either by assignment to an alternative category or through </w:t>
      </w:r>
      <w:r w:rsidR="00801C91">
        <w:t xml:space="preserve">case based, bundled </w:t>
      </w:r>
      <w:r w:rsidR="00974AC4">
        <w:t>or contracted arrangements with suppliers given their price and competition in the market.</w:t>
      </w:r>
    </w:p>
    <w:p w14:paraId="79CE3079" w14:textId="77777777" w:rsidR="00974AC4" w:rsidRPr="00F50497" w:rsidRDefault="00974AC4" w:rsidP="00A26B3B">
      <w:pPr>
        <w:pStyle w:val="Heading4"/>
      </w:pPr>
      <w:r>
        <w:t>03.07.03 – Drainage Shunts, Peritineovenous</w:t>
      </w:r>
    </w:p>
    <w:p w14:paraId="76267D40" w14:textId="23FB4A86" w:rsidR="00974AC4" w:rsidRDefault="00AF3BA1" w:rsidP="00974AC4">
      <w:pPr>
        <w:pStyle w:val="Bodytextwithoutparaspace"/>
        <w:spacing w:after="240"/>
      </w:pPr>
      <w:r>
        <w:t>A private health insurer and a private hospital group both</w:t>
      </w:r>
      <w:r w:rsidR="009C512C">
        <w:t xml:space="preserve"> provided feedback that </w:t>
      </w:r>
      <w:r w:rsidR="00974AC4">
        <w:t xml:space="preserve">Peritineovenous Drainage Shunts also remain permanently in the body and have an ongoing function. Similarly, </w:t>
      </w:r>
      <w:r w:rsidR="00F55BE8">
        <w:t>they suggested that</w:t>
      </w:r>
      <w:r w:rsidR="00974AC4">
        <w:t xml:space="preserve"> these items could be captured either by assignment to an alternative category or through </w:t>
      </w:r>
      <w:r w:rsidR="00801C91">
        <w:t xml:space="preserve">case based, bundled </w:t>
      </w:r>
      <w:r w:rsidR="00974AC4">
        <w:t>or contracted arrangements with suppliers given their price and competition in the market.</w:t>
      </w:r>
    </w:p>
    <w:p w14:paraId="3DA004A6" w14:textId="77777777" w:rsidR="00974AC4" w:rsidRDefault="004C1FB5" w:rsidP="00A26B3B">
      <w:pPr>
        <w:pStyle w:val="Heading3"/>
      </w:pPr>
      <w:r>
        <w:t xml:space="preserve">03.08 – Closure </w:t>
      </w:r>
      <w:r w:rsidR="001274A3">
        <w:t>D</w:t>
      </w:r>
      <w:r>
        <w:t>evices</w:t>
      </w:r>
    </w:p>
    <w:p w14:paraId="3EDF2CA5" w14:textId="24FBB7E7" w:rsidR="00974AC4" w:rsidRDefault="00BB67BC" w:rsidP="00974AC4">
      <w:pPr>
        <w:spacing w:after="240"/>
      </w:pPr>
      <w:r>
        <w:t>Feedback across all stakeholder groups recognised that t</w:t>
      </w:r>
      <w:r w:rsidR="00974AC4">
        <w:t xml:space="preserve">his product category encompasses a varied nature of products, some being permanent and others being bioabsorbable. For those permanent items that remain in the body with an ongoing function, </w:t>
      </w:r>
      <w:r w:rsidR="0012293B">
        <w:t>one private health insurer and one private hospital group</w:t>
      </w:r>
      <w:r w:rsidR="003F399F">
        <w:t xml:space="preserve"> suggested </w:t>
      </w:r>
      <w:r w:rsidR="001A0E11">
        <w:t xml:space="preserve">that </w:t>
      </w:r>
      <w:r w:rsidR="00974AC4">
        <w:t xml:space="preserve">they continue to form an inherent part of procedures and should therefore be considered for </w:t>
      </w:r>
      <w:r w:rsidR="00801C91">
        <w:t xml:space="preserve">case based, bundled </w:t>
      </w:r>
      <w:r w:rsidR="00974AC4">
        <w:t xml:space="preserve">or contracted payment methods. </w:t>
      </w:r>
      <w:r w:rsidR="0012293B">
        <w:t xml:space="preserve">A manufacturer also </w:t>
      </w:r>
      <w:r w:rsidR="009843A7">
        <w:t>noted that d</w:t>
      </w:r>
      <w:r w:rsidR="00974AC4">
        <w:t>espite their low cost per unit, products in these groups are permanent devices, and as such are distinct from the nature of items that are proposed for removal based on their temporary nature.</w:t>
      </w:r>
    </w:p>
    <w:p w14:paraId="12C095B4" w14:textId="67CAD17D" w:rsidR="00974AC4" w:rsidRDefault="009635B3" w:rsidP="00974AC4">
      <w:pPr>
        <w:pStyle w:val="Bodytextwithparaspace"/>
      </w:pPr>
      <w:r>
        <w:t>Several stakeholders commented that i</w:t>
      </w:r>
      <w:r w:rsidR="00974AC4">
        <w:t xml:space="preserve">tems that are not permanent and do not have an ongoing function, such as glues and other temporary consumable items in this category, do not meet the criteria for listing. </w:t>
      </w:r>
      <w:r w:rsidR="00E02C68">
        <w:t xml:space="preserve">A manufacturer </w:t>
      </w:r>
      <w:r w:rsidR="00C2253A">
        <w:t>stated that a</w:t>
      </w:r>
      <w:r w:rsidR="00974AC4">
        <w:t xml:space="preserve"> temporary adhesive may only last several minutes in the body, and therefore, this product category may not be consistent to the intent of the </w:t>
      </w:r>
      <w:r w:rsidR="00F24211">
        <w:t>PL</w:t>
      </w:r>
      <w:r w:rsidR="00974AC4">
        <w:t xml:space="preserve"> when it was expanded to include new technologies that combat pathological and physical processes. </w:t>
      </w:r>
      <w:r w:rsidR="00D6201B">
        <w:t xml:space="preserve">There was feedback across all stakeholder groups that </w:t>
      </w:r>
      <w:r w:rsidR="00974AC4">
        <w:t>Adhesives are commonly used for general skin closure as a substitute for, or in addition to, sutures and could therefore be covered within the hospital admission DRG.</w:t>
      </w:r>
    </w:p>
    <w:p w14:paraId="013BD31E" w14:textId="77777777" w:rsidR="00974AC4" w:rsidRPr="00F50497" w:rsidRDefault="00974AC4" w:rsidP="00A26B3B">
      <w:pPr>
        <w:pStyle w:val="Heading4"/>
      </w:pPr>
      <w:r>
        <w:t>03.08.02 – Internal Adhesives</w:t>
      </w:r>
    </w:p>
    <w:p w14:paraId="6F1EC644" w14:textId="75FB68E3" w:rsidR="00974AC4" w:rsidRDefault="00E02C68" w:rsidP="00974AC4">
      <w:pPr>
        <w:pStyle w:val="Bodytextwithparaspace"/>
      </w:pPr>
      <w:r>
        <w:t>One private hospital group</w:t>
      </w:r>
      <w:r w:rsidR="00F63055">
        <w:t xml:space="preserve"> noted that t</w:t>
      </w:r>
      <w:r w:rsidR="00974AC4">
        <w:t xml:space="preserve">here are two types of Internal Adhesives denoted by their respective suffix, Biologics and Synthetics, relating primarily to the source material. </w:t>
      </w:r>
      <w:r>
        <w:t xml:space="preserve">They </w:t>
      </w:r>
      <w:r w:rsidR="00A32212">
        <w:t>commented that m</w:t>
      </w:r>
      <w:r w:rsidR="00974AC4">
        <w:t xml:space="preserve">any of these products either substantially or wholly include pharmacological agents which exert a biochemical or physiological effect. With respect to the </w:t>
      </w:r>
      <w:r w:rsidR="00F24211">
        <w:t>PL</w:t>
      </w:r>
      <w:r w:rsidR="00974AC4">
        <w:t xml:space="preserve"> criteria, </w:t>
      </w:r>
      <w:r>
        <w:t xml:space="preserve">they </w:t>
      </w:r>
      <w:r w:rsidR="00F7752E">
        <w:t xml:space="preserve">state that </w:t>
      </w:r>
      <w:r w:rsidR="008F77F8">
        <w:t xml:space="preserve">these products </w:t>
      </w:r>
      <w:r w:rsidR="00974AC4">
        <w:t xml:space="preserve">do combat a pathological process or modulate a physiological process, however the presence of such pharmacological agents raises the question as to whether they may be more appropriately funded through the Pharmaceutical Benefits Scheme (PBS), rather than through the </w:t>
      </w:r>
      <w:r w:rsidR="00F24211">
        <w:t>PL</w:t>
      </w:r>
      <w:r w:rsidR="00974AC4">
        <w:t>.</w:t>
      </w:r>
    </w:p>
    <w:p w14:paraId="0AA90A88" w14:textId="419D65F8" w:rsidR="00974AC4" w:rsidRDefault="00974AC4" w:rsidP="00974AC4">
      <w:pPr>
        <w:spacing w:after="240"/>
      </w:pPr>
      <w:r>
        <w:t xml:space="preserve">Within the Synthetic category, </w:t>
      </w:r>
      <w:r w:rsidR="00DC12E8">
        <w:t xml:space="preserve">several </w:t>
      </w:r>
      <w:r w:rsidR="00230EF2">
        <w:t xml:space="preserve">private health insurers </w:t>
      </w:r>
      <w:r w:rsidR="00E03DBC">
        <w:t xml:space="preserve">and </w:t>
      </w:r>
      <w:r w:rsidR="00230EF2">
        <w:t xml:space="preserve">medical device manufacturers </w:t>
      </w:r>
      <w:r w:rsidR="00E03DBC">
        <w:t>noted</w:t>
      </w:r>
      <w:r w:rsidR="00DC12E8">
        <w:t xml:space="preserve"> that </w:t>
      </w:r>
      <w:r>
        <w:t xml:space="preserve">there are a range of products currently on the </w:t>
      </w:r>
      <w:r w:rsidR="00F24211">
        <w:t>PL</w:t>
      </w:r>
      <w:r>
        <w:t xml:space="preserve"> that are skin closure devices. </w:t>
      </w:r>
      <w:r w:rsidR="00D41140">
        <w:t>They claimed that t</w:t>
      </w:r>
      <w:r>
        <w:t xml:space="preserve">he description of these products highlight that they are topical skin adhesives, meaning they are not internally implanted but applied externally to the body. </w:t>
      </w:r>
      <w:r w:rsidR="008F77F8">
        <w:t>One manufacturer</w:t>
      </w:r>
      <w:r w:rsidR="00755721">
        <w:t xml:space="preserve"> commented that t</w:t>
      </w:r>
      <w:r>
        <w:t xml:space="preserve">hese products are typically Class IIa devices as advised by the </w:t>
      </w:r>
      <w:r w:rsidR="00EE6063">
        <w:t>TGA</w:t>
      </w:r>
      <w:r>
        <w:t xml:space="preserve">, and they naturally fall off the skin after several days once the skin is healed. </w:t>
      </w:r>
      <w:r w:rsidR="00024324">
        <w:t>S</w:t>
      </w:r>
      <w:r>
        <w:t xml:space="preserve">ince they are not implanted into the body, </w:t>
      </w:r>
      <w:r w:rsidR="005776C4">
        <w:t xml:space="preserve">the manufacturer </w:t>
      </w:r>
      <w:r w:rsidR="00024324">
        <w:t xml:space="preserve">suggests </w:t>
      </w:r>
      <w:r>
        <w:t xml:space="preserve">these products may not fulfil the </w:t>
      </w:r>
      <w:r w:rsidR="00F24211">
        <w:t>PL</w:t>
      </w:r>
      <w:r>
        <w:t xml:space="preserve"> criteria as it was intended. </w:t>
      </w:r>
    </w:p>
    <w:p w14:paraId="7E7422B9" w14:textId="4301CEF7" w:rsidR="00974AC4" w:rsidRDefault="005776C4" w:rsidP="00974AC4">
      <w:pPr>
        <w:pStyle w:val="Bodytextwithparaspace"/>
      </w:pPr>
      <w:r>
        <w:t xml:space="preserve">One manufacturer </w:t>
      </w:r>
      <w:r w:rsidR="00D575B3">
        <w:t>submitted feedback suggesting that t</w:t>
      </w:r>
      <w:r w:rsidR="00974AC4">
        <w:t xml:space="preserve">hese products could be considered inappropriate for listing, as they are a substitute for skin suture which are also covered under general hospital payment methods. </w:t>
      </w:r>
      <w:r>
        <w:t xml:space="preserve">They </w:t>
      </w:r>
      <w:r w:rsidR="00114F83">
        <w:t>comment</w:t>
      </w:r>
      <w:r w:rsidR="00782E65">
        <w:t>ed</w:t>
      </w:r>
      <w:r w:rsidR="00114F83">
        <w:t xml:space="preserve"> that i</w:t>
      </w:r>
      <w:r w:rsidR="00974AC4">
        <w:t xml:space="preserve">n this instance, this product group displays traditional hallmarks of </w:t>
      </w:r>
      <w:r w:rsidR="00F24211">
        <w:t>PL</w:t>
      </w:r>
      <w:r w:rsidR="00974AC4">
        <w:t xml:space="preserve"> expansion where one listing has generated a flood of comparators based on the precedent of the first. The introduction and existence of one inappropriately listed item on the </w:t>
      </w:r>
      <w:r w:rsidR="00F24211">
        <w:t>PL</w:t>
      </w:r>
      <w:r w:rsidR="00974AC4">
        <w:t xml:space="preserve"> has given grounds for the addition of several comparator items.</w:t>
      </w:r>
    </w:p>
    <w:p w14:paraId="4864FC08" w14:textId="030C3D84" w:rsidR="00974AC4" w:rsidRDefault="00974AC4" w:rsidP="00974AC4">
      <w:pPr>
        <w:spacing w:after="240"/>
      </w:pPr>
      <w:r>
        <w:t xml:space="preserve">In addition, </w:t>
      </w:r>
      <w:r w:rsidR="00CD241B">
        <w:t xml:space="preserve">feedback from </w:t>
      </w:r>
      <w:r w:rsidR="00230EF2">
        <w:t xml:space="preserve">some medical device manufacturers </w:t>
      </w:r>
      <w:r w:rsidR="00CD241B">
        <w:t xml:space="preserve">and </w:t>
      </w:r>
      <w:r w:rsidR="00230EF2">
        <w:t>private health i</w:t>
      </w:r>
      <w:r w:rsidR="00CD241B">
        <w:t>nsurers indicates that</w:t>
      </w:r>
      <w:r>
        <w:t xml:space="preserve"> many of the items in this group were in use and funded through hospital-insurer agreements for several years prior to being added to the </w:t>
      </w:r>
      <w:r w:rsidR="00F24211">
        <w:t>PL</w:t>
      </w:r>
      <w:r>
        <w:t xml:space="preserve">. </w:t>
      </w:r>
      <w:r w:rsidR="00CD241B">
        <w:t>They claim that</w:t>
      </w:r>
      <w:r w:rsidR="001A6460">
        <w:t>,</w:t>
      </w:r>
      <w:r w:rsidR="00CD241B">
        <w:t xml:space="preserve"> t</w:t>
      </w:r>
      <w:r>
        <w:t xml:space="preserve">o this day, some skin glues and consumables such as sutures, skin staples, and dressings are bundled into funding arrangements within </w:t>
      </w:r>
      <w:r w:rsidR="00800BE4">
        <w:t xml:space="preserve">case based payments or </w:t>
      </w:r>
      <w:r>
        <w:t xml:space="preserve">theatre band charges, DRG or non-DRG case payments, and other funding structures. </w:t>
      </w:r>
      <w:r w:rsidR="00782E65">
        <w:t>One private health insurer</w:t>
      </w:r>
      <w:r w:rsidR="00EA5C1C">
        <w:t xml:space="preserve"> commented that h</w:t>
      </w:r>
      <w:r>
        <w:t>istorically, such funding arrangements have not specified in itemised and named detail, consumables and disposables that are used in general surgical skin closure.</w:t>
      </w:r>
    </w:p>
    <w:p w14:paraId="65259D3D" w14:textId="741029D1" w:rsidR="00974AC4" w:rsidRDefault="00782E65" w:rsidP="00974AC4">
      <w:pPr>
        <w:spacing w:after="240"/>
      </w:pPr>
      <w:r>
        <w:t>One private hospital group</w:t>
      </w:r>
      <w:r w:rsidR="00B40455">
        <w:t xml:space="preserve"> raised a concern that a</w:t>
      </w:r>
      <w:r w:rsidR="00974AC4">
        <w:t xml:space="preserve">s listed devices are effectively funded in an uncapped manner by insurers, placing an item on the </w:t>
      </w:r>
      <w:r w:rsidR="00F24211">
        <w:t>PL</w:t>
      </w:r>
      <w:r w:rsidR="00974AC4">
        <w:t xml:space="preserve"> that is not implantable may distort the hospital’s and clinician’s assessment of cost-effectiveness. </w:t>
      </w:r>
      <w:r w:rsidR="008150C7">
        <w:t xml:space="preserve">Private </w:t>
      </w:r>
      <w:r w:rsidR="00CD085A">
        <w:t xml:space="preserve">health insurers </w:t>
      </w:r>
      <w:r w:rsidR="00670B71">
        <w:t>suggest that h</w:t>
      </w:r>
      <w:r w:rsidR="00974AC4">
        <w:t>ospitals have an incentive to increase utilisation of devices, and in doing so, reduce expenditure on non-listed consumables. Therefore, insurers pay more, hospitals reduce their expenses, and device sponsors receive more revenue.</w:t>
      </w:r>
    </w:p>
    <w:p w14:paraId="6F0E214C" w14:textId="2B212E96" w:rsidR="00974AC4" w:rsidRDefault="00A82D9E" w:rsidP="00974AC4">
      <w:pPr>
        <w:pStyle w:val="Bodytextwithparaspace"/>
      </w:pPr>
      <w:r>
        <w:t xml:space="preserve">One manufacturer </w:t>
      </w:r>
      <w:r w:rsidR="00503C28">
        <w:t>has identified that w</w:t>
      </w:r>
      <w:r w:rsidR="00974AC4">
        <w:t xml:space="preserve">ithin two years of listing on the </w:t>
      </w:r>
      <w:r w:rsidR="00F24211">
        <w:t>PL</w:t>
      </w:r>
      <w:r w:rsidR="00974AC4">
        <w:t>, private health insurers have been required to pay over $14m extra in payment for products used for skin closure, as an alternative to a skin suture. Many stakeholders have suggested that there is no evidence that the use of skin glues offer a benefit over a $10 - $15 foil, with no clear indication of superiority when it comes to complication rates.</w:t>
      </w:r>
    </w:p>
    <w:p w14:paraId="0C204F48" w14:textId="77777777" w:rsidR="00974AC4" w:rsidRPr="00F50497" w:rsidRDefault="00974AC4" w:rsidP="00A26B3B">
      <w:pPr>
        <w:pStyle w:val="Heading4"/>
      </w:pPr>
      <w:r>
        <w:t>03.08.03 – Ligating Devices</w:t>
      </w:r>
    </w:p>
    <w:p w14:paraId="4E8E3B92" w14:textId="521D4697" w:rsidR="00974AC4" w:rsidRDefault="00A82D9E" w:rsidP="00974AC4">
      <w:pPr>
        <w:spacing w:after="240"/>
      </w:pPr>
      <w:r>
        <w:t>One private hospital group</w:t>
      </w:r>
      <w:r w:rsidR="004455B2">
        <w:t xml:space="preserve"> provided feedback that f</w:t>
      </w:r>
      <w:r w:rsidR="00974AC4">
        <w:t xml:space="preserve">or high-volume, low-cost prostheses such as Ligating Devices, Staples and Tackers, the </w:t>
      </w:r>
      <w:r w:rsidR="00F24211">
        <w:t>PL</w:t>
      </w:r>
      <w:r w:rsidR="00974AC4">
        <w:t xml:space="preserve"> is a very inefficient funding mechanism. </w:t>
      </w:r>
      <w:r w:rsidR="000E3CDC">
        <w:t>They suggested that b</w:t>
      </w:r>
      <w:r w:rsidR="00974AC4">
        <w:t xml:space="preserve">undled payments by procedures could be considered a more efficient way to fund these items. </w:t>
      </w:r>
      <w:r w:rsidR="00A37003">
        <w:t xml:space="preserve">According to </w:t>
      </w:r>
      <w:r w:rsidR="00115985">
        <w:t>the group</w:t>
      </w:r>
      <w:r w:rsidR="00A37003">
        <w:t>, s</w:t>
      </w:r>
      <w:r w:rsidR="00974AC4">
        <w:t xml:space="preserve">uch arrangements are already negotiated between private health insurers and hospitals, providing an incentive for hospitals to achieve the best possible price for suppliers. However, </w:t>
      </w:r>
      <w:r w:rsidR="00115985">
        <w:t>one manufacturer</w:t>
      </w:r>
      <w:r w:rsidR="00437F0B">
        <w:t xml:space="preserve"> </w:t>
      </w:r>
      <w:r w:rsidR="008D2DAE">
        <w:t>stated that</w:t>
      </w:r>
      <w:r w:rsidR="00974AC4">
        <w:t xml:space="preserve"> there is often a large variation in the quantity of ligating devices required per procedure, and it is difficult to control their usage. Therefore, with such variation in usage, </w:t>
      </w:r>
      <w:r w:rsidR="00115985">
        <w:t>the manufacturer</w:t>
      </w:r>
      <w:r w:rsidR="008D2DAE">
        <w:t xml:space="preserve"> suggests that</w:t>
      </w:r>
      <w:r w:rsidR="00974AC4">
        <w:t xml:space="preserve"> these products do not lend themselves easily to procedural based funding arrangements.</w:t>
      </w:r>
    </w:p>
    <w:p w14:paraId="419035A4" w14:textId="77777777" w:rsidR="00974AC4" w:rsidRPr="00F50497" w:rsidRDefault="00974AC4" w:rsidP="00A26B3B">
      <w:pPr>
        <w:pStyle w:val="Heading4"/>
      </w:pPr>
      <w:r>
        <w:t>03.08.04 – Staples &amp; Tackers</w:t>
      </w:r>
    </w:p>
    <w:p w14:paraId="5466BA1B" w14:textId="162D6426" w:rsidR="00974AC4" w:rsidRDefault="00115985" w:rsidP="00974AC4">
      <w:pPr>
        <w:spacing w:after="240"/>
      </w:pPr>
      <w:r>
        <w:t>One private health insurer</w:t>
      </w:r>
      <w:r w:rsidR="00637821">
        <w:t xml:space="preserve"> </w:t>
      </w:r>
      <w:r w:rsidR="00573E3C">
        <w:t>communicated that d</w:t>
      </w:r>
      <w:r w:rsidR="00974AC4">
        <w:t xml:space="preserve">isposable and consumable components that may be used is loaded with staples is a consumable on the tray and covered as part of the procedure. </w:t>
      </w:r>
      <w:r w:rsidR="00BF014E">
        <w:t>They stated that t</w:t>
      </w:r>
      <w:r w:rsidR="00974AC4">
        <w:t>hese disposables and multi-purpose items are bundled, meaning they may be costed into a procedure and funded for by a private health insurer.</w:t>
      </w:r>
    </w:p>
    <w:p w14:paraId="03FE7C5F" w14:textId="32186315" w:rsidR="00974AC4" w:rsidRDefault="00974AC4" w:rsidP="00974AC4">
      <w:pPr>
        <w:spacing w:after="240"/>
      </w:pPr>
      <w:r>
        <w:t xml:space="preserve">It was also identified </w:t>
      </w:r>
      <w:r w:rsidR="006E45CB">
        <w:t xml:space="preserve">by </w:t>
      </w:r>
      <w:r w:rsidR="006E6F76">
        <w:t xml:space="preserve">a private health insurer </w:t>
      </w:r>
      <w:r>
        <w:t xml:space="preserve">that </w:t>
      </w:r>
      <w:r w:rsidR="003B1F0E">
        <w:t>a certain Non-bone (Reload) Staple</w:t>
      </w:r>
      <w:r>
        <w:t xml:space="preserve"> is also available as a code in Eclipse, meaning that hospitals can claim funding for this product</w:t>
      </w:r>
      <w:r w:rsidR="00800BE4">
        <w:t xml:space="preserve"> from private health insurers through in-hospital claiming arrangements</w:t>
      </w:r>
      <w:r>
        <w:t xml:space="preserve">. However, many hospitals continue to purchase it from the </w:t>
      </w:r>
      <w:r w:rsidR="001A6460">
        <w:t>PL</w:t>
      </w:r>
      <w:r>
        <w:t xml:space="preserve"> as</w:t>
      </w:r>
      <w:r w:rsidR="003B29AE">
        <w:t xml:space="preserve"> it has</w:t>
      </w:r>
      <w:r>
        <w:t xml:space="preserve"> a higher non-negotiated price.</w:t>
      </w:r>
    </w:p>
    <w:p w14:paraId="54F604D4" w14:textId="77777777" w:rsidR="00974AC4" w:rsidRPr="00F50497" w:rsidRDefault="00974AC4" w:rsidP="00A26B3B">
      <w:pPr>
        <w:pStyle w:val="Heading4"/>
      </w:pPr>
      <w:r>
        <w:t>03.08.05 – Polypropylene / Polyester Mesh</w:t>
      </w:r>
    </w:p>
    <w:p w14:paraId="7D241B51" w14:textId="6E45A6D0" w:rsidR="00974AC4" w:rsidRDefault="00974AC4" w:rsidP="00974AC4">
      <w:pPr>
        <w:spacing w:after="240"/>
      </w:pPr>
      <w:r>
        <w:t>It was identified</w:t>
      </w:r>
      <w:r w:rsidR="00BF5191">
        <w:t xml:space="preserve"> by </w:t>
      </w:r>
      <w:r w:rsidR="003B1F0E">
        <w:t>one private health insurer</w:t>
      </w:r>
      <w:r>
        <w:t xml:space="preserve"> that </w:t>
      </w:r>
      <w:r w:rsidR="00D87C28">
        <w:t xml:space="preserve">two products in this </w:t>
      </w:r>
      <w:r w:rsidR="002466AF">
        <w:t xml:space="preserve">group are </w:t>
      </w:r>
      <w:r>
        <w:t>also available as code</w:t>
      </w:r>
      <w:r w:rsidR="002466AF">
        <w:t>s</w:t>
      </w:r>
      <w:r>
        <w:t xml:space="preserve"> in Eclipse, meaning that hospitals can claim funding for th</w:t>
      </w:r>
      <w:r w:rsidR="002466AF">
        <w:t>ese</w:t>
      </w:r>
      <w:r>
        <w:t xml:space="preserve"> product</w:t>
      </w:r>
      <w:r w:rsidR="002466AF">
        <w:t>s</w:t>
      </w:r>
      <w:r>
        <w:t xml:space="preserve"> </w:t>
      </w:r>
      <w:r w:rsidR="00800BE4">
        <w:t>from private health insurers through in-hospital claiming arrangements</w:t>
      </w:r>
      <w:r>
        <w:t xml:space="preserve">. However, many hospitals continue to purchase </w:t>
      </w:r>
      <w:r w:rsidR="002466AF">
        <w:t xml:space="preserve">them </w:t>
      </w:r>
      <w:r>
        <w:t xml:space="preserve">from the </w:t>
      </w:r>
      <w:r w:rsidR="001A6460">
        <w:t>PL</w:t>
      </w:r>
      <w:r>
        <w:t xml:space="preserve"> as a higher non-negotiated price.</w:t>
      </w:r>
    </w:p>
    <w:p w14:paraId="6D38FE9D" w14:textId="77777777" w:rsidR="00974AC4" w:rsidRDefault="00803B75" w:rsidP="00A26B3B">
      <w:pPr>
        <w:pStyle w:val="Heading2"/>
      </w:pPr>
      <w:r>
        <w:t>Usage</w:t>
      </w:r>
      <w:r w:rsidR="00974AC4" w:rsidRPr="00F50497">
        <w:t xml:space="preserve"> of GM Items</w:t>
      </w:r>
    </w:p>
    <w:p w14:paraId="3E8CC78B" w14:textId="77777777" w:rsidR="00974AC4" w:rsidRPr="00F50497" w:rsidRDefault="00974AC4" w:rsidP="00A26B3B">
      <w:pPr>
        <w:pStyle w:val="Heading3"/>
      </w:pPr>
      <w:r>
        <w:t xml:space="preserve">03.01 – </w:t>
      </w:r>
      <w:r w:rsidR="001664A4">
        <w:t>B</w:t>
      </w:r>
      <w:r w:rsidR="001274A3">
        <w:t>rachytherapy</w:t>
      </w:r>
    </w:p>
    <w:p w14:paraId="39CFF8BD" w14:textId="060D303F" w:rsidR="00974AC4" w:rsidRPr="00F50497" w:rsidRDefault="002466AF" w:rsidP="00974AC4">
      <w:pPr>
        <w:pStyle w:val="Bodytextwithparaspace"/>
      </w:pPr>
      <w:r>
        <w:t>One private health insurer</w:t>
      </w:r>
      <w:r w:rsidR="00974AC4">
        <w:t xml:space="preserve"> reported a 35% increase in costs between 2018 and 2019 for Brachytherapy items. This included a 170% increase for </w:t>
      </w:r>
      <w:r>
        <w:t>one product</w:t>
      </w:r>
      <w:r w:rsidR="00974AC4">
        <w:t xml:space="preserve"> and a 98% increase for </w:t>
      </w:r>
      <w:r w:rsidR="009B44FF">
        <w:t>another</w:t>
      </w:r>
      <w:r w:rsidR="00974AC4">
        <w:t xml:space="preserve"> in the last 12 months.</w:t>
      </w:r>
    </w:p>
    <w:p w14:paraId="7A862AF2" w14:textId="77777777" w:rsidR="00974AC4" w:rsidRPr="00F50497" w:rsidRDefault="001274A3" w:rsidP="00A26B3B">
      <w:pPr>
        <w:pStyle w:val="Heading3"/>
      </w:pPr>
      <w:r>
        <w:t xml:space="preserve">03.02 – </w:t>
      </w:r>
      <w:r w:rsidR="001664A4">
        <w:t>D</w:t>
      </w:r>
      <w:r>
        <w:t xml:space="preserve">rug </w:t>
      </w:r>
      <w:r w:rsidR="001664A4">
        <w:t>D</w:t>
      </w:r>
      <w:r>
        <w:t xml:space="preserve">elivery </w:t>
      </w:r>
      <w:r w:rsidR="001664A4">
        <w:t>D</w:t>
      </w:r>
      <w:r>
        <w:t>evices</w:t>
      </w:r>
    </w:p>
    <w:p w14:paraId="082A8047" w14:textId="318EE493" w:rsidR="00974AC4" w:rsidRDefault="009B44FF" w:rsidP="00974AC4">
      <w:pPr>
        <w:pStyle w:val="Bodytextwithparaspace"/>
      </w:pPr>
      <w:r>
        <w:t xml:space="preserve">One private health insurer </w:t>
      </w:r>
      <w:r w:rsidR="00974AC4">
        <w:t xml:space="preserve">reported exponential growth in this category, from $83,908 in 2017 to $491,068 in 2019, which is a growth of 485% over this two-year period. </w:t>
      </w:r>
      <w:r>
        <w:t>Another</w:t>
      </w:r>
      <w:r w:rsidR="00974AC4">
        <w:t xml:space="preserve"> reported</w:t>
      </w:r>
      <w:r w:rsidR="008148DD">
        <w:t xml:space="preserve"> increases</w:t>
      </w:r>
      <w:r w:rsidR="001B26D2">
        <w:t xml:space="preserve"> in use</w:t>
      </w:r>
      <w:r w:rsidR="008148DD">
        <w:t xml:space="preserve"> of</w:t>
      </w:r>
      <w:r w:rsidR="00974AC4">
        <w:t xml:space="preserve"> 2,233%</w:t>
      </w:r>
      <w:r w:rsidR="00431B52">
        <w:t>,</w:t>
      </w:r>
      <w:r w:rsidR="00974AC4">
        <w:t xml:space="preserve"> 813%</w:t>
      </w:r>
      <w:r w:rsidR="00431B52">
        <w:t>,</w:t>
      </w:r>
      <w:r w:rsidR="00974AC4">
        <w:t xml:space="preserve"> 209% </w:t>
      </w:r>
      <w:r w:rsidR="001B26D2">
        <w:t>and</w:t>
      </w:r>
      <w:r w:rsidR="00974AC4">
        <w:t xml:space="preserve"> 174% </w:t>
      </w:r>
      <w:r w:rsidR="001B26D2">
        <w:t>for four separate products in this group over</w:t>
      </w:r>
      <w:r w:rsidR="00974AC4">
        <w:t xml:space="preserve"> 12 months.</w:t>
      </w:r>
    </w:p>
    <w:p w14:paraId="6187C8BB" w14:textId="77777777" w:rsidR="00974AC4" w:rsidRDefault="00974AC4" w:rsidP="00A26B3B">
      <w:pPr>
        <w:pStyle w:val="Heading4"/>
      </w:pPr>
      <w:r>
        <w:t>03.02.03 – Infusion Pumps, Battery Powered</w:t>
      </w:r>
    </w:p>
    <w:p w14:paraId="312C9CD4" w14:textId="24DF8DFD" w:rsidR="00974AC4" w:rsidRPr="002317F6" w:rsidRDefault="001B26D2" w:rsidP="00974AC4">
      <w:pPr>
        <w:spacing w:after="240"/>
      </w:pPr>
      <w:r>
        <w:t xml:space="preserve">One private health insurer </w:t>
      </w:r>
      <w:r w:rsidR="00974AC4">
        <w:t xml:space="preserve">reported </w:t>
      </w:r>
      <w:r w:rsidR="002418B7">
        <w:t xml:space="preserve">an </w:t>
      </w:r>
      <w:r w:rsidR="00974AC4">
        <w:t xml:space="preserve">instance of </w:t>
      </w:r>
      <w:r w:rsidR="002418B7">
        <w:t xml:space="preserve">a </w:t>
      </w:r>
      <w:r w:rsidR="00974AC4">
        <w:t xml:space="preserve">private hospital claiming benefits for 23 </w:t>
      </w:r>
      <w:r w:rsidR="00961B2C">
        <w:t>Battery Powered Infusion Pump products</w:t>
      </w:r>
      <w:r w:rsidR="00974AC4">
        <w:t xml:space="preserve"> between April 2016 and January 2017, for a total cost of $113,850. These included claims for two </w:t>
      </w:r>
      <w:r w:rsidR="00961B2C">
        <w:rPr>
          <w:iCs/>
        </w:rPr>
        <w:t>pumps</w:t>
      </w:r>
      <w:r w:rsidR="00974AC4">
        <w:t xml:space="preserve"> for one patient on consecutive days of the same episode of care. </w:t>
      </w:r>
      <w:r w:rsidR="00E20856">
        <w:t xml:space="preserve">They </w:t>
      </w:r>
      <w:r w:rsidR="00974AC4">
        <w:t xml:space="preserve">also reported that another private hospital claimed benefits for six </w:t>
      </w:r>
      <w:r w:rsidR="00E20856">
        <w:t>Battery Powered Infusion Pump products</w:t>
      </w:r>
      <w:r w:rsidR="00974AC4">
        <w:t xml:space="preserve"> between August 2016 and March 2018 at a total cost of $29,502. </w:t>
      </w:r>
    </w:p>
    <w:p w14:paraId="17894444" w14:textId="77777777" w:rsidR="00974AC4" w:rsidRPr="006802EB" w:rsidRDefault="001274A3" w:rsidP="00A26B3B">
      <w:pPr>
        <w:pStyle w:val="Heading3"/>
      </w:pPr>
      <w:r>
        <w:t xml:space="preserve">03.04 – </w:t>
      </w:r>
      <w:r w:rsidR="001664A4">
        <w:t>G</w:t>
      </w:r>
      <w:r>
        <w:t xml:space="preserve">astric </w:t>
      </w:r>
      <w:r w:rsidR="001664A4">
        <w:t>B</w:t>
      </w:r>
      <w:r>
        <w:t>ands</w:t>
      </w:r>
    </w:p>
    <w:p w14:paraId="080C909D" w14:textId="4671BE82" w:rsidR="00974AC4" w:rsidRDefault="00E20856" w:rsidP="00974AC4">
      <w:pPr>
        <w:pStyle w:val="Bodytextwithparaspace"/>
      </w:pPr>
      <w:r>
        <w:t>One private hospital</w:t>
      </w:r>
      <w:r w:rsidR="008407D5">
        <w:t xml:space="preserve"> </w:t>
      </w:r>
      <w:r w:rsidR="00230EF2">
        <w:t xml:space="preserve">group </w:t>
      </w:r>
      <w:r w:rsidR="008407D5">
        <w:t>suggested in their feedback that t</w:t>
      </w:r>
      <w:r w:rsidR="00974AC4">
        <w:t xml:space="preserve">he usage of Gastric Bands in both public and private hospitals has become almost obsolete since the normalisation of the gastric sleeve procedure. </w:t>
      </w:r>
      <w:r w:rsidR="0099524D">
        <w:t xml:space="preserve">A private health insurer </w:t>
      </w:r>
      <w:r w:rsidR="00974AC4">
        <w:t>reported an overall reduction in prostheses costs for this category over the last 12 months, which is reflective of the move away from gastric banding towards gastric sleeve procedures for bariatric surgery.</w:t>
      </w:r>
    </w:p>
    <w:p w14:paraId="65149B71" w14:textId="77777777" w:rsidR="00974AC4" w:rsidRPr="00F50497" w:rsidRDefault="001274A3" w:rsidP="00A26B3B">
      <w:pPr>
        <w:pStyle w:val="Heading3"/>
      </w:pPr>
      <w:r>
        <w:t xml:space="preserve">03.05 – </w:t>
      </w:r>
      <w:r w:rsidR="001664A4">
        <w:t>H</w:t>
      </w:r>
      <w:r>
        <w:t xml:space="preserve">aemostatic </w:t>
      </w:r>
      <w:r w:rsidR="001664A4">
        <w:t>D</w:t>
      </w:r>
      <w:r>
        <w:t>evices</w:t>
      </w:r>
    </w:p>
    <w:p w14:paraId="629C3808" w14:textId="336024D8" w:rsidR="00974AC4" w:rsidRDefault="0099524D" w:rsidP="00974AC4">
      <w:pPr>
        <w:pStyle w:val="Bodytextwithparaspace"/>
      </w:pPr>
      <w:r>
        <w:t>One private health insurer</w:t>
      </w:r>
      <w:r w:rsidR="00974AC4">
        <w:t xml:space="preserve"> reported an 11% increase in prostheses costs for this category between 2018 and 2019. Of note, there was a 98% increase in prostheses costs for </w:t>
      </w:r>
      <w:r>
        <w:t>one particular product</w:t>
      </w:r>
      <w:r w:rsidR="00974AC4">
        <w:t>.</w:t>
      </w:r>
    </w:p>
    <w:p w14:paraId="1E1E8006" w14:textId="77777777" w:rsidR="00974AC4" w:rsidRDefault="00731ADA" w:rsidP="00974AC4">
      <w:pPr>
        <w:pStyle w:val="Bodytextwithparaspace"/>
      </w:pPr>
      <w:r>
        <w:t>It was noted by stakeholders that o</w:t>
      </w:r>
      <w:r w:rsidR="00974AC4">
        <w:t>ther than cost and availability, there is no clinical reason for a clinician not to choose the larger version in all circumstances, even if the smaller size would suffice. It is difficult to know what volume is needed, so a clinician may choose to use the &gt;6mL version due to the element of uncertainty.</w:t>
      </w:r>
    </w:p>
    <w:p w14:paraId="132215FD" w14:textId="77777777" w:rsidR="00974AC4" w:rsidRDefault="001274A3" w:rsidP="00A26B3B">
      <w:pPr>
        <w:pStyle w:val="Heading3"/>
      </w:pPr>
      <w:r>
        <w:t xml:space="preserve">03.07 – </w:t>
      </w:r>
      <w:r w:rsidR="001664A4">
        <w:t>P</w:t>
      </w:r>
      <w:r>
        <w:t xml:space="preserve">ulmonary / </w:t>
      </w:r>
      <w:r w:rsidR="001664A4">
        <w:t>P</w:t>
      </w:r>
      <w:r>
        <w:t xml:space="preserve">eritoneal </w:t>
      </w:r>
      <w:r w:rsidR="001664A4">
        <w:t>D</w:t>
      </w:r>
      <w:r>
        <w:t>evices</w:t>
      </w:r>
    </w:p>
    <w:p w14:paraId="1DB23A0B" w14:textId="0A7245DE" w:rsidR="00974AC4" w:rsidRDefault="0099524D" w:rsidP="00974AC4">
      <w:pPr>
        <w:pStyle w:val="Bodytextwithoutparaspace"/>
        <w:spacing w:after="240"/>
      </w:pPr>
      <w:r>
        <w:t>One private health insurer</w:t>
      </w:r>
      <w:r w:rsidR="00974AC4">
        <w:t xml:space="preserve"> reported a 498% increase in costs between 2018 and 2019 for products in this category, which they state is significantly greater than any record increase in hospital utilisation of relevant procedures.</w:t>
      </w:r>
    </w:p>
    <w:p w14:paraId="59697523" w14:textId="77777777" w:rsidR="00974AC4" w:rsidRDefault="001274A3" w:rsidP="00A26B3B">
      <w:pPr>
        <w:pStyle w:val="Heading3"/>
      </w:pPr>
      <w:r>
        <w:t xml:space="preserve">03.08 – </w:t>
      </w:r>
      <w:r w:rsidR="001664A4">
        <w:t>C</w:t>
      </w:r>
      <w:r>
        <w:t xml:space="preserve">losure </w:t>
      </w:r>
      <w:r w:rsidR="001664A4">
        <w:t>D</w:t>
      </w:r>
      <w:r>
        <w:t>evices</w:t>
      </w:r>
    </w:p>
    <w:p w14:paraId="3DBFA1F2" w14:textId="28F3C4F2" w:rsidR="00974AC4" w:rsidRDefault="00542038" w:rsidP="00974AC4">
      <w:pPr>
        <w:pStyle w:val="Bodytextwithoutparaspace"/>
        <w:spacing w:after="240"/>
      </w:pPr>
      <w:r>
        <w:t>One private health insurer</w:t>
      </w:r>
      <w:r w:rsidR="00896847">
        <w:t xml:space="preserve"> stated that </w:t>
      </w:r>
      <w:r w:rsidR="00974AC4">
        <w:t xml:space="preserve">Closure Devices is the highest cost category for many private health insurers. </w:t>
      </w:r>
      <w:r w:rsidR="00B566FD">
        <w:t>They</w:t>
      </w:r>
      <w:r w:rsidR="00974AC4">
        <w:t xml:space="preserve"> reported that between 2018 and 2019, the costs associated with prosthe</w:t>
      </w:r>
      <w:r w:rsidR="00DB435D">
        <w:t>tic</w:t>
      </w:r>
      <w:r w:rsidR="00974AC4">
        <w:t xml:space="preserve"> items within this category increased beyond what would be considered reasonable for hospital utilisation. For example, during this time period there was a 2,282% increase in</w:t>
      </w:r>
      <w:r w:rsidR="00CA0029">
        <w:t xml:space="preserve"> one </w:t>
      </w:r>
      <w:r w:rsidR="00AF1B7B">
        <w:t>Non-bone (Reload) Staple product</w:t>
      </w:r>
      <w:r w:rsidR="00974AC4">
        <w:t xml:space="preserve">, a 456% increase in </w:t>
      </w:r>
      <w:r w:rsidR="00AF1B7B">
        <w:t xml:space="preserve">one </w:t>
      </w:r>
      <w:r w:rsidR="00DD3B9F">
        <w:t>Synthetic Adhesive product</w:t>
      </w:r>
      <w:r w:rsidR="00974AC4">
        <w:t xml:space="preserve">, and a 744% increase in </w:t>
      </w:r>
      <w:r w:rsidR="00DD3B9F">
        <w:t>one Reinforcer Staple product</w:t>
      </w:r>
      <w:r w:rsidR="00974AC4">
        <w:t>.</w:t>
      </w:r>
    </w:p>
    <w:p w14:paraId="7BB49FC5" w14:textId="77777777" w:rsidR="00974AC4" w:rsidRPr="00F50497" w:rsidRDefault="00974AC4" w:rsidP="00A26B3B">
      <w:pPr>
        <w:pStyle w:val="Heading4"/>
      </w:pPr>
      <w:r>
        <w:t>03.08.02 – Internal Adhesives</w:t>
      </w:r>
    </w:p>
    <w:p w14:paraId="5B62471E" w14:textId="1EB929B2" w:rsidR="00974AC4" w:rsidRDefault="00DD3B9F" w:rsidP="00974AC4">
      <w:pPr>
        <w:spacing w:after="240"/>
      </w:pPr>
      <w:r>
        <w:t xml:space="preserve">One private health insurer </w:t>
      </w:r>
      <w:r w:rsidR="00974AC4">
        <w:t xml:space="preserve">reported that there have been dramatic year-on-year increases in spend in this category, from $6,600 in 2017, to $3.2 million in 2018, which further increased to $4.4 million in 2019. For several Internal Adhesives, private health insurers have recorded high growth in utilisation in the period between TGA approval and listing on the </w:t>
      </w:r>
      <w:r w:rsidR="00F24211">
        <w:t>PL</w:t>
      </w:r>
      <w:r w:rsidR="00974AC4">
        <w:t xml:space="preserve">, with reports of 129% increase in volume and 56% increase in benefits paid over the past year. </w:t>
      </w:r>
    </w:p>
    <w:p w14:paraId="644F4228" w14:textId="5FB496C7" w:rsidR="00974AC4" w:rsidRDefault="00DD3B9F" w:rsidP="00974AC4">
      <w:pPr>
        <w:spacing w:after="240"/>
      </w:pPr>
      <w:r>
        <w:t>One private health insurer</w:t>
      </w:r>
      <w:r w:rsidR="00974AC4">
        <w:t xml:space="preserve"> reported that </w:t>
      </w:r>
      <w:r w:rsidR="005951DD">
        <w:t xml:space="preserve">one internal adhesive product </w:t>
      </w:r>
      <w:r w:rsidR="00974AC4">
        <w:t>ha</w:t>
      </w:r>
      <w:r w:rsidR="005951DD">
        <w:t>d</w:t>
      </w:r>
      <w:r w:rsidR="00974AC4">
        <w:t xml:space="preserve"> seen volume and benefit increases of 450% in 2019, compared with 2018. Meanwhile, </w:t>
      </w:r>
      <w:r w:rsidR="005951DD">
        <w:t>another</w:t>
      </w:r>
      <w:r w:rsidR="00974AC4">
        <w:t xml:space="preserve"> ha</w:t>
      </w:r>
      <w:r w:rsidR="005951DD">
        <w:t>d</w:t>
      </w:r>
      <w:r w:rsidR="00974AC4">
        <w:t xml:space="preserve"> seen volume and benefit increases of more than 500% over the same period. Further, </w:t>
      </w:r>
      <w:r w:rsidR="005951DD">
        <w:t xml:space="preserve">they </w:t>
      </w:r>
      <w:r w:rsidR="00974AC4">
        <w:t xml:space="preserve">reported that volumes for </w:t>
      </w:r>
      <w:r w:rsidR="005773F1">
        <w:t>larger-sized</w:t>
      </w:r>
      <w:r w:rsidR="00974AC4">
        <w:t xml:space="preserve"> formulation</w:t>
      </w:r>
      <w:r w:rsidR="005773F1">
        <w:t>s</w:t>
      </w:r>
      <w:r w:rsidR="00974AC4">
        <w:t xml:space="preserve"> </w:t>
      </w:r>
      <w:r w:rsidR="005773F1">
        <w:t>of a product</w:t>
      </w:r>
      <w:r w:rsidR="00974AC4">
        <w:t xml:space="preserve"> had risen by more than 125% in less than one year. In addition, </w:t>
      </w:r>
      <w:r w:rsidR="005773F1">
        <w:rPr>
          <w:iCs/>
        </w:rPr>
        <w:t>some</w:t>
      </w:r>
      <w:r w:rsidR="00974AC4">
        <w:t xml:space="preserve"> items within the Adhesive Accessory sub-group saw corresponding increases of 146% utilisation and 132% benefit cost increases</w:t>
      </w:r>
      <w:r w:rsidR="00824B81">
        <w:t xml:space="preserve"> according to </w:t>
      </w:r>
      <w:r w:rsidR="006B13D3">
        <w:t>the private health insurer</w:t>
      </w:r>
      <w:r w:rsidR="00974AC4">
        <w:t>.</w:t>
      </w:r>
    </w:p>
    <w:p w14:paraId="4FA9E6D3" w14:textId="2D582FF7" w:rsidR="00974AC4" w:rsidRDefault="004D10EC" w:rsidP="00974AC4">
      <w:pPr>
        <w:pStyle w:val="Bodytextwithparaspace"/>
      </w:pPr>
      <w:r>
        <w:t>Another</w:t>
      </w:r>
      <w:r w:rsidR="001130B1">
        <w:t xml:space="preserve"> </w:t>
      </w:r>
      <w:r w:rsidR="009B0A2B">
        <w:t>communicated that i</w:t>
      </w:r>
      <w:r w:rsidR="00974AC4">
        <w:t>t is difficult for private health insurers to ascertain how many closure devices, if any, were used in the closure, as it is not specified in the procedure itself. Further,</w:t>
      </w:r>
      <w:r w:rsidR="008758BF">
        <w:t xml:space="preserve"> </w:t>
      </w:r>
      <w:r>
        <w:t xml:space="preserve">they </w:t>
      </w:r>
      <w:r w:rsidR="008758BF">
        <w:t>indicated in their response that</w:t>
      </w:r>
      <w:r w:rsidR="00974AC4">
        <w:t xml:space="preserve"> all product sub-groups structured in size or volume tiers are exposed to gaming with waste. For instance, </w:t>
      </w:r>
      <w:r>
        <w:t>i</w:t>
      </w:r>
      <w:r w:rsidR="00974AC4">
        <w:t>t seems that utilisation of</w:t>
      </w:r>
      <w:r>
        <w:t xml:space="preserve"> larger-sized</w:t>
      </w:r>
      <w:r w:rsidR="00974AC4">
        <w:t xml:space="preserve"> formulation</w:t>
      </w:r>
      <w:r>
        <w:t>s</w:t>
      </w:r>
      <w:r w:rsidR="00974AC4">
        <w:t xml:space="preserve"> ha</w:t>
      </w:r>
      <w:r>
        <w:t>ve</w:t>
      </w:r>
      <w:r w:rsidR="00974AC4">
        <w:t xml:space="preserve"> been encouraged, potentially resulting in significant waste. </w:t>
      </w:r>
      <w:r>
        <w:t xml:space="preserve">they </w:t>
      </w:r>
      <w:r w:rsidR="00696153">
        <w:t>allude to the fact</w:t>
      </w:r>
      <w:r w:rsidR="009E43CB">
        <w:t xml:space="preserve"> that s</w:t>
      </w:r>
      <w:r w:rsidR="00974AC4">
        <w:t xml:space="preserve">uch waste cannot be identified or confirmed by auditing clinical records, and results in system inefficiencies. </w:t>
      </w:r>
    </w:p>
    <w:p w14:paraId="440914E1" w14:textId="77777777" w:rsidR="00974AC4" w:rsidRPr="00F50497" w:rsidRDefault="00974AC4" w:rsidP="00A26B3B">
      <w:pPr>
        <w:pStyle w:val="Heading4"/>
      </w:pPr>
      <w:r>
        <w:t>03.08.03 – Ligating Devices</w:t>
      </w:r>
    </w:p>
    <w:p w14:paraId="2B72C89E" w14:textId="17545525" w:rsidR="00974AC4" w:rsidRDefault="004D10EC" w:rsidP="00974AC4">
      <w:pPr>
        <w:spacing w:after="240"/>
      </w:pPr>
      <w:r>
        <w:t>One private health insurer</w:t>
      </w:r>
      <w:r w:rsidR="00623A91">
        <w:t xml:space="preserve"> claimed that t</w:t>
      </w:r>
      <w:r w:rsidR="00974AC4">
        <w:t xml:space="preserve">here may be some wastage in the usage of these products in a clinical setting. For instance, standard kits may be opened in multiple scenarios during a procedure as the disposable items are used. Additional items are available in the kit ‘if required’ and are disposed if not used in the procedure. </w:t>
      </w:r>
    </w:p>
    <w:p w14:paraId="6D8716CF" w14:textId="19533713" w:rsidR="00974AC4" w:rsidRDefault="00974AC4" w:rsidP="00974AC4">
      <w:pPr>
        <w:spacing w:after="240"/>
      </w:pPr>
      <w:r>
        <w:t xml:space="preserve">In addition, </w:t>
      </w:r>
      <w:r w:rsidR="004D10EC">
        <w:t xml:space="preserve">one manfuacturer </w:t>
      </w:r>
      <w:r w:rsidR="003D7DED">
        <w:t>notes that</w:t>
      </w:r>
      <w:r>
        <w:t xml:space="preserve"> stakeholders have previously expressed concerns around reimbursement rates for Ligating Devices, and potential anti-competitive behaviour involved, based on a substantial yet largely 2 supplier market. </w:t>
      </w:r>
    </w:p>
    <w:p w14:paraId="7282F2FD" w14:textId="77777777" w:rsidR="00974AC4" w:rsidRPr="00F50497" w:rsidRDefault="00974AC4" w:rsidP="00A26B3B">
      <w:pPr>
        <w:pStyle w:val="Heading4"/>
      </w:pPr>
      <w:r>
        <w:t>03.08.04 – Staples &amp; Tackers</w:t>
      </w:r>
    </w:p>
    <w:p w14:paraId="24B0D46A" w14:textId="1AE9D7A8" w:rsidR="00974AC4" w:rsidRDefault="00230EF2" w:rsidP="00974AC4">
      <w:pPr>
        <w:pStyle w:val="Bodytextwithoutparaspace"/>
        <w:spacing w:after="240"/>
      </w:pPr>
      <w:r>
        <w:t xml:space="preserve">Some private health insurers </w:t>
      </w:r>
      <w:r w:rsidR="008A047C">
        <w:t>provided feedback that r</w:t>
      </w:r>
      <w:r w:rsidR="00974AC4">
        <w:t xml:space="preserve">ecently there has been strong volume growth and benefit increases in the Staples &amp; Tackers group. </w:t>
      </w:r>
      <w:r w:rsidR="001D2C79">
        <w:t>One</w:t>
      </w:r>
      <w:r w:rsidR="00974AC4">
        <w:t xml:space="preserve"> reported volume growth in excess of 10% year on year. </w:t>
      </w:r>
      <w:r w:rsidR="002D1B16">
        <w:t>Stakeholders noted that a</w:t>
      </w:r>
      <w:r w:rsidR="00974AC4">
        <w:t xml:space="preserve">dvances in surgery have seen a move from open to keyhole surgery, leading to a more liberal usage of staplers, specifically articulating and roticulating staples. In addition, there has been a clinical preference for using reinforcer staples, as there is evidence </w:t>
      </w:r>
      <w:r w:rsidR="002710C5">
        <w:t xml:space="preserve">referred to by Medical Device Manufacturers </w:t>
      </w:r>
      <w:r w:rsidR="00974AC4">
        <w:t>to suggest they provide benefits for leakage rates.</w:t>
      </w:r>
    </w:p>
    <w:p w14:paraId="2ED1ADC4" w14:textId="11BEED51" w:rsidR="00974AC4" w:rsidRDefault="001D2C79" w:rsidP="00974AC4">
      <w:pPr>
        <w:spacing w:after="240"/>
      </w:pPr>
      <w:r>
        <w:t>One private health insurer</w:t>
      </w:r>
      <w:r w:rsidR="00D17AD3">
        <w:t xml:space="preserve"> </w:t>
      </w:r>
      <w:r w:rsidR="00891EB2">
        <w:t>communicated that w</w:t>
      </w:r>
      <w:r w:rsidR="00974AC4">
        <w:t xml:space="preserve">hile it has since been removed from the </w:t>
      </w:r>
      <w:r w:rsidR="00F24211">
        <w:t>PL</w:t>
      </w:r>
      <w:r w:rsidR="00974AC4">
        <w:t>, the previous listing of</w:t>
      </w:r>
      <w:r>
        <w:t xml:space="preserve"> some products</w:t>
      </w:r>
      <w:r w:rsidR="00974AC4">
        <w:t xml:space="preserve"> in this category </w:t>
      </w:r>
      <w:r w:rsidR="00D530DB">
        <w:t xml:space="preserve">have </w:t>
      </w:r>
      <w:r w:rsidR="00974AC4">
        <w:t xml:space="preserve">triggered impacts in the usage of </w:t>
      </w:r>
      <w:r w:rsidR="00D530DB">
        <w:t xml:space="preserve">other </w:t>
      </w:r>
      <w:r w:rsidR="00974AC4">
        <w:t xml:space="preserve">products in this category. Specifically, </w:t>
      </w:r>
      <w:r w:rsidR="00891EB2">
        <w:t>they suggest there may be</w:t>
      </w:r>
      <w:r w:rsidR="00974AC4">
        <w:t xml:space="preserve"> a bias for more expensive staples and tackers to be used in procedures instead of cheaper alternatives such as standard sutures. The</w:t>
      </w:r>
      <w:r w:rsidR="00214B4A">
        <w:t xml:space="preserve">y noted that </w:t>
      </w:r>
      <w:r w:rsidR="00D530DB">
        <w:t>one</w:t>
      </w:r>
      <w:r w:rsidR="00974AC4">
        <w:t xml:space="preserve"> barbed suture</w:t>
      </w:r>
      <w:r w:rsidR="003C29BF">
        <w:t xml:space="preserve"> item</w:t>
      </w:r>
      <w:r w:rsidR="00974AC4">
        <w:t xml:space="preserve"> was removed from the list due to reasoning that it did not meet the criteria for listing as a prosthe</w:t>
      </w:r>
      <w:r w:rsidR="00DB435D">
        <w:t>tic</w:t>
      </w:r>
      <w:r w:rsidR="00974AC4">
        <w:t xml:space="preserve"> item. </w:t>
      </w:r>
    </w:p>
    <w:p w14:paraId="3D040814" w14:textId="64A306E7" w:rsidR="00974AC4" w:rsidRDefault="00974AC4" w:rsidP="00974AC4">
      <w:pPr>
        <w:spacing w:after="240"/>
      </w:pPr>
      <w:r>
        <w:t xml:space="preserve">Furthermore, </w:t>
      </w:r>
      <w:r w:rsidR="003C29BF">
        <w:t>they</w:t>
      </w:r>
      <w:r w:rsidR="000D2210">
        <w:t xml:space="preserve"> mentioned that</w:t>
      </w:r>
      <w:r>
        <w:t xml:space="preserve"> there may be an opportunity for wastage in this category, by clinicians using more staple reloads than necessary, and the ability to confirm such wastage is limited through audit of clinical records.</w:t>
      </w:r>
    </w:p>
    <w:p w14:paraId="5EB6B2DE" w14:textId="77777777" w:rsidR="00974AC4" w:rsidRPr="00373DAA" w:rsidRDefault="00974AC4" w:rsidP="00A26B3B">
      <w:pPr>
        <w:pStyle w:val="Heading2"/>
      </w:pPr>
      <w:r w:rsidRPr="00373DAA">
        <w:t>Pricing and Categorisation of G</w:t>
      </w:r>
      <w:r w:rsidR="00AF1D4E">
        <w:t>eneral Miscellaneous</w:t>
      </w:r>
      <w:r w:rsidRPr="00373DAA">
        <w:t xml:space="preserve"> Items</w:t>
      </w:r>
    </w:p>
    <w:p w14:paraId="21F8D30E" w14:textId="77777777" w:rsidR="00974AC4" w:rsidRDefault="001274A3" w:rsidP="00A26B3B">
      <w:pPr>
        <w:pStyle w:val="Heading3"/>
      </w:pPr>
      <w:r>
        <w:t xml:space="preserve">03.02 – </w:t>
      </w:r>
      <w:r w:rsidR="001664A4">
        <w:t>D</w:t>
      </w:r>
      <w:r>
        <w:t xml:space="preserve">rug </w:t>
      </w:r>
      <w:r w:rsidR="001664A4">
        <w:t>D</w:t>
      </w:r>
      <w:r>
        <w:t xml:space="preserve">elivery </w:t>
      </w:r>
      <w:r w:rsidR="001664A4">
        <w:t>D</w:t>
      </w:r>
      <w:r>
        <w:t>evices</w:t>
      </w:r>
    </w:p>
    <w:p w14:paraId="61C582D8" w14:textId="4AA520A2" w:rsidR="00974AC4" w:rsidRPr="001C1281" w:rsidRDefault="007A2F11" w:rsidP="00974AC4">
      <w:pPr>
        <w:pStyle w:val="Bodytextwithparaspace"/>
      </w:pPr>
      <w:r>
        <w:t xml:space="preserve">It was noted by </w:t>
      </w:r>
      <w:r w:rsidR="00230EF2">
        <w:t>some p</w:t>
      </w:r>
      <w:r w:rsidR="00F9434E">
        <w:t xml:space="preserve">rivate </w:t>
      </w:r>
      <w:r w:rsidR="00230EF2">
        <w:t xml:space="preserve">health insurers </w:t>
      </w:r>
      <w:r w:rsidR="00537962">
        <w:t xml:space="preserve">that </w:t>
      </w:r>
      <w:r w:rsidR="00B6515E">
        <w:t>t</w:t>
      </w:r>
      <w:r w:rsidR="00974AC4">
        <w:t xml:space="preserve">here is significantly varied pricing among the infusion pumps within this category, however the types of pumps used are interchangeable, as there is minimal difference in clinical effectiveness and patient outcomes. </w:t>
      </w:r>
      <w:r w:rsidR="003C29BF">
        <w:t>One</w:t>
      </w:r>
      <w:r w:rsidR="00091C48">
        <w:t xml:space="preserve"> </w:t>
      </w:r>
      <w:r w:rsidR="00883BC5">
        <w:t>pointed out t</w:t>
      </w:r>
      <w:r w:rsidR="00974AC4">
        <w:t xml:space="preserve">he inconsistencies between categories and the basis for pricing is not explicit for infusion pumps on the </w:t>
      </w:r>
      <w:r w:rsidR="00F24211">
        <w:t>PL</w:t>
      </w:r>
      <w:r w:rsidR="00784B6A">
        <w:t>, and claimed that</w:t>
      </w:r>
      <w:r w:rsidR="00974AC4">
        <w:t xml:space="preserve"> private hospitals </w:t>
      </w:r>
      <w:r w:rsidR="00FF2FDF">
        <w:t xml:space="preserve">therefore </w:t>
      </w:r>
      <w:r w:rsidR="00974AC4">
        <w:t xml:space="preserve">have no incentive to be cost-conscious in their choice of device. </w:t>
      </w:r>
    </w:p>
    <w:p w14:paraId="71399299" w14:textId="77777777" w:rsidR="00974AC4" w:rsidRPr="00F50497" w:rsidRDefault="00974AC4" w:rsidP="00A26B3B">
      <w:pPr>
        <w:pStyle w:val="Heading4"/>
      </w:pPr>
      <w:r>
        <w:t>03.02.02 – Infusion Pumps, Balloon Based</w:t>
      </w:r>
    </w:p>
    <w:p w14:paraId="48B9FAA2" w14:textId="006E5DF2" w:rsidR="00974AC4" w:rsidRDefault="003C29BF" w:rsidP="00974AC4">
      <w:pPr>
        <w:pStyle w:val="Bodytextwithparaspace"/>
      </w:pPr>
      <w:r>
        <w:t>One private health insurer</w:t>
      </w:r>
      <w:r w:rsidR="003A7111">
        <w:t xml:space="preserve"> </w:t>
      </w:r>
      <w:r w:rsidR="002B0954">
        <w:t>identified that t</w:t>
      </w:r>
      <w:r w:rsidR="00974AC4">
        <w:t xml:space="preserve">he costs of some items in the Fixed Flow Rate sub-group have seen significant fluctuations in costs without explanation. </w:t>
      </w:r>
      <w:r>
        <w:t xml:space="preserve">They </w:t>
      </w:r>
      <w:r w:rsidR="00167434">
        <w:t xml:space="preserve">also </w:t>
      </w:r>
      <w:r w:rsidR="00A975EB">
        <w:t>noted</w:t>
      </w:r>
      <w:r w:rsidR="0093588E">
        <w:t xml:space="preserve"> that </w:t>
      </w:r>
      <w:r>
        <w:t xml:space="preserve">several </w:t>
      </w:r>
      <w:r w:rsidR="00974AC4">
        <w:t>price increase</w:t>
      </w:r>
      <w:r>
        <w:t>s</w:t>
      </w:r>
      <w:r w:rsidR="00974AC4">
        <w:t xml:space="preserve"> occurred alongside the addition of the ‘Set’ suffix.</w:t>
      </w:r>
    </w:p>
    <w:p w14:paraId="21D0E6DB" w14:textId="23FC535B" w:rsidR="00974AC4" w:rsidRDefault="006D7AE5" w:rsidP="00974AC4">
      <w:pPr>
        <w:pStyle w:val="Bodytextwithparaspace"/>
      </w:pPr>
      <w:r>
        <w:t>The private health insurer</w:t>
      </w:r>
      <w:r w:rsidR="003C29BF">
        <w:t xml:space="preserve"> </w:t>
      </w:r>
      <w:r w:rsidR="00974AC4">
        <w:t xml:space="preserve">reported that prior to the price increase, the total cost of a patient requiring 28 days of antibiotics for a post-operative infection would have been $9,044, but now the total cost is $13,104, representing a 45% increase. </w:t>
      </w:r>
      <w:r>
        <w:t xml:space="preserve">They </w:t>
      </w:r>
      <w:r w:rsidR="00776DD3">
        <w:t>claimed t</w:t>
      </w:r>
      <w:r w:rsidR="00974AC4">
        <w:t>his increase may impact the</w:t>
      </w:r>
      <w:r w:rsidR="00EB4D40">
        <w:t>ir</w:t>
      </w:r>
      <w:r w:rsidR="00974AC4">
        <w:t xml:space="preserve"> ability to provide members with their preferred choice of treatment as there will be an element of financial consideration to funding requests.</w:t>
      </w:r>
    </w:p>
    <w:p w14:paraId="66351667" w14:textId="596C824B" w:rsidR="00974AC4" w:rsidRDefault="00236E25" w:rsidP="00974AC4">
      <w:pPr>
        <w:pStyle w:val="Bodytextwithparaspace"/>
      </w:pPr>
      <w:r>
        <w:t xml:space="preserve">In </w:t>
      </w:r>
      <w:r w:rsidR="00A2623E">
        <w:t xml:space="preserve">their feedback, </w:t>
      </w:r>
      <w:r w:rsidR="006D7AE5">
        <w:t xml:space="preserve">they </w:t>
      </w:r>
      <w:r w:rsidR="00A2623E">
        <w:t>also referred to t</w:t>
      </w:r>
      <w:r w:rsidR="00974AC4">
        <w:t xml:space="preserve">he devices in this sub-group with the higher benefit of $224 have the suffix ‘Set’, which </w:t>
      </w:r>
      <w:r w:rsidR="00A2623E">
        <w:t xml:space="preserve">they state </w:t>
      </w:r>
      <w:r w:rsidR="00974AC4">
        <w:t xml:space="preserve">should apply when the accessories and consumables are supplied together with the infusion pump. </w:t>
      </w:r>
      <w:r w:rsidR="006D7AE5">
        <w:t xml:space="preserve">This private health insurer </w:t>
      </w:r>
      <w:r w:rsidR="00A2623E">
        <w:t>maintains that t</w:t>
      </w:r>
      <w:r w:rsidR="00974AC4">
        <w:t>here are currently 9 billing codes in this sub-grouping with the ‘Set’ suffix, but the description on the PL is not comprehensive about which components or products are included in the set. Therefore, the details of what is or is not included in the ‘Set’ is not transparent to paying stakeholders.</w:t>
      </w:r>
    </w:p>
    <w:p w14:paraId="1DA96C20" w14:textId="26743192" w:rsidR="00974AC4" w:rsidRDefault="006D7AE5" w:rsidP="00974AC4">
      <w:pPr>
        <w:pStyle w:val="Bodytextwithparaspace"/>
      </w:pPr>
      <w:r>
        <w:t>Another private health insurer</w:t>
      </w:r>
      <w:r w:rsidR="0050645A">
        <w:t xml:space="preserve"> </w:t>
      </w:r>
      <w:r w:rsidR="00CE6CB4">
        <w:t>mention</w:t>
      </w:r>
      <w:r>
        <w:t>ed</w:t>
      </w:r>
      <w:r w:rsidR="00CE6CB4">
        <w:t xml:space="preserve"> that a</w:t>
      </w:r>
      <w:r w:rsidR="00974AC4">
        <w:t>pplications for devices to be re-classified or re-grouped to a pre-existing ‘Set’ suffix does not involve as thorough and scrupulous process as the initial application for the creation of an entirely new suffix. If the applicant device is sufficiently equivalent to comparators, a recommendation is made to the PLAC without a detailed economic assessment of relative clinical benefit.</w:t>
      </w:r>
    </w:p>
    <w:p w14:paraId="07A5C106" w14:textId="77777777" w:rsidR="00974AC4" w:rsidRPr="00F50497" w:rsidRDefault="001274A3" w:rsidP="00A26B3B">
      <w:pPr>
        <w:pStyle w:val="Heading3"/>
      </w:pPr>
      <w:r>
        <w:t xml:space="preserve">03.05 – </w:t>
      </w:r>
      <w:r w:rsidR="001664A4">
        <w:t>H</w:t>
      </w:r>
      <w:r>
        <w:t xml:space="preserve">aemostatic </w:t>
      </w:r>
      <w:r w:rsidR="001664A4">
        <w:t>D</w:t>
      </w:r>
      <w:r>
        <w:t>evices</w:t>
      </w:r>
    </w:p>
    <w:p w14:paraId="7CEABBE6" w14:textId="529E6A6E" w:rsidR="00974AC4" w:rsidRDefault="006D7AE5" w:rsidP="00974AC4">
      <w:pPr>
        <w:pStyle w:val="Bodytextwithparaspace"/>
      </w:pPr>
      <w:r>
        <w:t>One manufacturer</w:t>
      </w:r>
      <w:r w:rsidR="00731ADA">
        <w:t xml:space="preserve"> suggested that t</w:t>
      </w:r>
      <w:r w:rsidR="00974AC4">
        <w:t>he categorisation of Haemostatic Devices could be split between active and passive to reflect the role they have in blood management in a clinical setting.</w:t>
      </w:r>
    </w:p>
    <w:p w14:paraId="543753A6" w14:textId="77777777" w:rsidR="00974AC4" w:rsidRDefault="00974AC4" w:rsidP="00A26B3B">
      <w:pPr>
        <w:pStyle w:val="Heading4"/>
      </w:pPr>
      <w:r>
        <w:t>03.05.05 – Matrix</w:t>
      </w:r>
    </w:p>
    <w:p w14:paraId="6990F320" w14:textId="3A64CA81" w:rsidR="00974AC4" w:rsidRDefault="00974AC4" w:rsidP="00974AC4">
      <w:pPr>
        <w:pStyle w:val="Bodytextwithparaspace"/>
      </w:pPr>
      <w:r>
        <w:t xml:space="preserve">Anomalies were identified </w:t>
      </w:r>
      <w:r w:rsidR="00271DA0">
        <w:t xml:space="preserve">by </w:t>
      </w:r>
      <w:r w:rsidR="006D7AE5">
        <w:t>one manufacturer</w:t>
      </w:r>
      <w:r w:rsidR="00271DA0">
        <w:t xml:space="preserve"> </w:t>
      </w:r>
      <w:r>
        <w:t xml:space="preserve">on the </w:t>
      </w:r>
      <w:r w:rsidR="00F24211">
        <w:t>PL</w:t>
      </w:r>
      <w:r>
        <w:t xml:space="preserve"> related to the product size and relative value of </w:t>
      </w:r>
      <w:r w:rsidR="002A1A53">
        <w:t>Matrix</w:t>
      </w:r>
      <w:r>
        <w:t xml:space="preserve"> haemostatic devices. </w:t>
      </w:r>
      <w:r w:rsidR="00271DA0">
        <w:t>They communicated that</w:t>
      </w:r>
      <w:r>
        <w:t xml:space="preserve"> under the current listing arrangements, insurers could be paying the same reimbursement for an 8mL and a 10mL vial. For a categorisation that more accurately reflects relative value within this category, </w:t>
      </w:r>
      <w:r w:rsidR="006D7AE5">
        <w:t xml:space="preserve">they </w:t>
      </w:r>
      <w:r w:rsidR="00271DA0">
        <w:t xml:space="preserve">suggested </w:t>
      </w:r>
      <w:r>
        <w:t>products could be categorised and priced based on their active ingredients, and per mL of their active ingredient, rather than the arbitrary size split of &lt;=6mL and &gt;6mL.</w:t>
      </w:r>
    </w:p>
    <w:p w14:paraId="78CBFB12" w14:textId="77777777" w:rsidR="00974AC4" w:rsidRDefault="00A71FD6" w:rsidP="00974AC4">
      <w:pPr>
        <w:pStyle w:val="Bodytextwithparaspace"/>
      </w:pPr>
      <w:r>
        <w:t>It was noted in clinical input that m</w:t>
      </w:r>
      <w:r w:rsidR="00974AC4">
        <w:t>arketing has contributed to the increase in the use of Thrombin products; however, it does not appear to show clinical superiority, and is only necessary for patients with low Thrombin states. For the general population, the Thrombin component is not necessary, and there is evidence to suggest the usage of Thrombin products may even transmit viral diseases, cause allergic reactions, or cause the patient to develop antibodies. Therefore, a Health Technology Assessment could be appropriate for these products to assess the benefit value relative to clinical superiority.</w:t>
      </w:r>
    </w:p>
    <w:p w14:paraId="446BE9AF" w14:textId="77777777" w:rsidR="00974AC4" w:rsidRPr="00F50497" w:rsidRDefault="00974AC4" w:rsidP="00A26B3B">
      <w:pPr>
        <w:pStyle w:val="Heading4"/>
      </w:pPr>
      <w:r>
        <w:t>03.05.06 – Foam</w:t>
      </w:r>
    </w:p>
    <w:p w14:paraId="7AF0BA0F" w14:textId="7FAE5F98" w:rsidR="00974AC4" w:rsidRDefault="006D7AE5" w:rsidP="00974AC4">
      <w:pPr>
        <w:pStyle w:val="Bodytextwithparaspace"/>
      </w:pPr>
      <w:r>
        <w:t>A private health insurer and a private hospital group both</w:t>
      </w:r>
      <w:r w:rsidR="003D7BFD">
        <w:t xml:space="preserve"> </w:t>
      </w:r>
      <w:r w:rsidR="008D1772">
        <w:t>said</w:t>
      </w:r>
      <w:r w:rsidR="003D7BFD">
        <w:t xml:space="preserve"> that a</w:t>
      </w:r>
      <w:r w:rsidR="00974AC4">
        <w:t xml:space="preserve"> box of eight</w:t>
      </w:r>
      <w:r w:rsidR="00F907B4">
        <w:t xml:space="preserve"> </w:t>
      </w:r>
      <w:r w:rsidR="00C33BC7">
        <w:t>Foam products</w:t>
      </w:r>
      <w:r w:rsidR="00974AC4">
        <w:t xml:space="preserve"> costs $1,136 on the </w:t>
      </w:r>
      <w:r w:rsidR="00F24211">
        <w:t>PL</w:t>
      </w:r>
      <w:r w:rsidR="00974AC4">
        <w:t xml:space="preserve"> ($142 per unit). In comparison, the same product</w:t>
      </w:r>
      <w:r w:rsidR="00F907B4">
        <w:t>s</w:t>
      </w:r>
      <w:r w:rsidR="00974AC4">
        <w:t xml:space="preserve"> </w:t>
      </w:r>
      <w:r w:rsidR="00F907B4">
        <w:t xml:space="preserve">are </w:t>
      </w:r>
      <w:r w:rsidR="00974AC4">
        <w:t xml:space="preserve">listed through the NHS at </w:t>
      </w:r>
      <w:r w:rsidR="00974AC4" w:rsidRPr="005D0A55">
        <w:t>£</w:t>
      </w:r>
      <w:r w:rsidR="00974AC4">
        <w:t>25.65 GBP per unit. Members of the public can also purchase a box of eight though an online retailer for $99 USD.</w:t>
      </w:r>
    </w:p>
    <w:p w14:paraId="001EC957" w14:textId="77777777" w:rsidR="00974AC4" w:rsidRPr="00F50497" w:rsidRDefault="001274A3" w:rsidP="00A26B3B">
      <w:pPr>
        <w:pStyle w:val="Heading3"/>
      </w:pPr>
      <w:r>
        <w:t xml:space="preserve">03.06 – </w:t>
      </w:r>
      <w:r w:rsidR="001664A4">
        <w:t>L</w:t>
      </w:r>
      <w:r>
        <w:t xml:space="preserve">uminal </w:t>
      </w:r>
      <w:r w:rsidR="001664A4">
        <w:t>S</w:t>
      </w:r>
      <w:r>
        <w:t>tents</w:t>
      </w:r>
    </w:p>
    <w:p w14:paraId="381EB3B2" w14:textId="253311A7" w:rsidR="00974AC4" w:rsidRDefault="00F907B4" w:rsidP="00974AC4">
      <w:pPr>
        <w:pStyle w:val="Bodytextwithparaspace"/>
      </w:pPr>
      <w:r>
        <w:t>Two manufacturers</w:t>
      </w:r>
      <w:r w:rsidR="00423902">
        <w:t xml:space="preserve"> </w:t>
      </w:r>
      <w:r w:rsidR="009D66D1">
        <w:t xml:space="preserve">suggested in their feedback that </w:t>
      </w:r>
      <w:r w:rsidR="00740AA8">
        <w:t>p</w:t>
      </w:r>
      <w:r w:rsidR="00974AC4">
        <w:t xml:space="preserve">roducts within the Luminal Stents category could be moved to another category on the </w:t>
      </w:r>
      <w:r w:rsidR="00F24211">
        <w:t>PL</w:t>
      </w:r>
      <w:r w:rsidR="00974AC4">
        <w:t xml:space="preserve"> for the related surgical specialty if there is a concern that the </w:t>
      </w:r>
      <w:r w:rsidR="008D1772">
        <w:t>‘</w:t>
      </w:r>
      <w:r w:rsidR="00974AC4">
        <w:t xml:space="preserve">03 – </w:t>
      </w:r>
      <w:r w:rsidR="00F24211">
        <w:t>GM</w:t>
      </w:r>
      <w:r w:rsidR="00974AC4">
        <w:t xml:space="preserve"> category</w:t>
      </w:r>
      <w:r w:rsidR="008D1772">
        <w:t>’</w:t>
      </w:r>
      <w:r w:rsidR="00974AC4">
        <w:t xml:space="preserve"> is too broad. For example, </w:t>
      </w:r>
      <w:r w:rsidR="008D1772">
        <w:t>‘</w:t>
      </w:r>
      <w:r w:rsidR="00974AC4">
        <w:t>03.06.01 – Biliary Stents</w:t>
      </w:r>
      <w:r w:rsidR="008D1772">
        <w:t>’</w:t>
      </w:r>
      <w:r w:rsidR="00974AC4">
        <w:t xml:space="preserve"> could be moved to the </w:t>
      </w:r>
      <w:r w:rsidR="008D1772">
        <w:t>‘</w:t>
      </w:r>
      <w:r w:rsidR="00974AC4">
        <w:t>10 – Vascular</w:t>
      </w:r>
      <w:r w:rsidR="008D1772">
        <w:t>’</w:t>
      </w:r>
      <w:r w:rsidR="00974AC4">
        <w:t xml:space="preserve"> product category. Alternatively, they could be re-classified under a new ‘Digestive System’ category.</w:t>
      </w:r>
    </w:p>
    <w:p w14:paraId="0CE08A23" w14:textId="77777777" w:rsidR="00974AC4" w:rsidRDefault="001274A3" w:rsidP="00A26B3B">
      <w:pPr>
        <w:pStyle w:val="Heading3"/>
      </w:pPr>
      <w:r>
        <w:t xml:space="preserve">03.08 – </w:t>
      </w:r>
      <w:r w:rsidR="001664A4">
        <w:t>C</w:t>
      </w:r>
      <w:r>
        <w:t xml:space="preserve">losure </w:t>
      </w:r>
      <w:r w:rsidR="001664A4">
        <w:t>D</w:t>
      </w:r>
      <w:r>
        <w:t>evices</w:t>
      </w:r>
    </w:p>
    <w:p w14:paraId="1D2013BE" w14:textId="77777777" w:rsidR="00974AC4" w:rsidRDefault="00974AC4" w:rsidP="00A26B3B">
      <w:pPr>
        <w:pStyle w:val="Heading4"/>
      </w:pPr>
      <w:r>
        <w:t>03.08.01 – Adhesion Barriers</w:t>
      </w:r>
    </w:p>
    <w:p w14:paraId="72A22E3F" w14:textId="46C8B86F" w:rsidR="00974AC4" w:rsidRDefault="00860309" w:rsidP="00974AC4">
      <w:pPr>
        <w:pStyle w:val="Bodytextwithparaspace"/>
      </w:pPr>
      <w:r>
        <w:t xml:space="preserve">There was feedback from </w:t>
      </w:r>
      <w:r w:rsidR="00230EF2">
        <w:t>some m</w:t>
      </w:r>
      <w:r>
        <w:t xml:space="preserve">edical </w:t>
      </w:r>
      <w:r w:rsidR="00230EF2">
        <w:t xml:space="preserve">device manufacturers </w:t>
      </w:r>
      <w:r>
        <w:t>that s</w:t>
      </w:r>
      <w:r w:rsidR="00974AC4">
        <w:t xml:space="preserve">ome products within this group are used in specific surgical specialties. For example, </w:t>
      </w:r>
      <w:r w:rsidR="00B815A9">
        <w:t>they referred to one product that</w:t>
      </w:r>
      <w:r w:rsidR="00974AC4">
        <w:t xml:space="preserve"> is used in the spinal surgical specialty. Therefore,</w:t>
      </w:r>
      <w:r>
        <w:t xml:space="preserve"> they suggested that</w:t>
      </w:r>
      <w:r w:rsidR="00974AC4">
        <w:t xml:space="preserve"> if it were to remain listed on the </w:t>
      </w:r>
      <w:r w:rsidR="00F24211">
        <w:t>PL</w:t>
      </w:r>
      <w:r w:rsidR="00974AC4">
        <w:t xml:space="preserve">, it could be moved to the </w:t>
      </w:r>
      <w:r w:rsidR="008D1772">
        <w:t>‘</w:t>
      </w:r>
      <w:r w:rsidR="00974AC4">
        <w:t>13 – Spinal</w:t>
      </w:r>
      <w:r w:rsidR="008D1772">
        <w:t>’</w:t>
      </w:r>
      <w:r w:rsidR="00974AC4">
        <w:t xml:space="preserve"> category. </w:t>
      </w:r>
    </w:p>
    <w:p w14:paraId="52D51900" w14:textId="77777777" w:rsidR="00974AC4" w:rsidRPr="00F50497" w:rsidRDefault="00974AC4" w:rsidP="00A26B3B">
      <w:pPr>
        <w:pStyle w:val="Heading4"/>
      </w:pPr>
      <w:r>
        <w:t>03.08.02 – Internal Adhesives</w:t>
      </w:r>
    </w:p>
    <w:p w14:paraId="5E82555B" w14:textId="7D7C0C58" w:rsidR="00974AC4" w:rsidRDefault="00B815A9" w:rsidP="00974AC4">
      <w:pPr>
        <w:pStyle w:val="Bodytextwithparaspace"/>
      </w:pPr>
      <w:r>
        <w:t>One manufacturer</w:t>
      </w:r>
      <w:r w:rsidR="004512FB">
        <w:t xml:space="preserve"> </w:t>
      </w:r>
      <w:r>
        <w:t xml:space="preserve">identified </w:t>
      </w:r>
      <w:r w:rsidR="004512FB">
        <w:t>that t</w:t>
      </w:r>
      <w:r w:rsidR="00974AC4">
        <w:t>here is inconsistency in the pricing within the Internal Adhesives group, as some of the products that are labelled as topical skin adhesives attract the same rebate price as surgical adhesives, when they are not clinically comparable. There have also been price increases in some of the sub-groups.</w:t>
      </w:r>
      <w:r w:rsidR="005424B2">
        <w:t xml:space="preserve"> </w:t>
      </w:r>
      <w:r>
        <w:t>One private health insurer</w:t>
      </w:r>
      <w:r w:rsidR="00EC4C6D">
        <w:t xml:space="preserve"> communicated that </w:t>
      </w:r>
      <w:r w:rsidR="002A3880">
        <w:t>a</w:t>
      </w:r>
      <w:r w:rsidR="00974AC4">
        <w:t xml:space="preserve"> series of changes to </w:t>
      </w:r>
      <w:r w:rsidR="002A3880">
        <w:rPr>
          <w:iCs/>
        </w:rPr>
        <w:t>product</w:t>
      </w:r>
      <w:r w:rsidR="002A3880" w:rsidRPr="00AF1D4E">
        <w:rPr>
          <w:i/>
        </w:rPr>
        <w:t xml:space="preserve"> </w:t>
      </w:r>
      <w:r w:rsidR="00974AC4">
        <w:t xml:space="preserve">listings and price points appears to be a strategy by </w:t>
      </w:r>
      <w:r w:rsidR="002A3880">
        <w:t>manufacturers</w:t>
      </w:r>
      <w:r w:rsidR="00974AC4">
        <w:t xml:space="preserve"> to capture higher benefit amounts without any changes to the product itself.</w:t>
      </w:r>
    </w:p>
    <w:p w14:paraId="49117AD2" w14:textId="67B25D34" w:rsidR="00974AC4" w:rsidRDefault="005424B2" w:rsidP="00974AC4">
      <w:pPr>
        <w:spacing w:after="240"/>
      </w:pPr>
      <w:r>
        <w:t xml:space="preserve">One manufacturer </w:t>
      </w:r>
      <w:r w:rsidR="00137A71">
        <w:t>notes that t</w:t>
      </w:r>
      <w:r w:rsidR="00974AC4">
        <w:t xml:space="preserve">he presence of </w:t>
      </w:r>
      <w:r>
        <w:rPr>
          <w:iCs/>
        </w:rPr>
        <w:t>one Internal Adhesive product</w:t>
      </w:r>
      <w:r>
        <w:t xml:space="preserve"> </w:t>
      </w:r>
      <w:r w:rsidR="00974AC4">
        <w:t xml:space="preserve">on the </w:t>
      </w:r>
      <w:r w:rsidR="00F24211">
        <w:t>PL</w:t>
      </w:r>
      <w:r w:rsidR="00974AC4">
        <w:t xml:space="preserve"> has meant that clinicians have often replaced a $15 foil covered under hospital arrangements, with at least one or more $1,443 </w:t>
      </w:r>
      <w:r>
        <w:t>PL products</w:t>
      </w:r>
      <w:r w:rsidR="00974AC4">
        <w:t xml:space="preserve"> per patient. For instance, </w:t>
      </w:r>
      <w:r w:rsidR="00A57A75">
        <w:t>one private hospital group</w:t>
      </w:r>
      <w:r w:rsidR="00974AC4">
        <w:t xml:space="preserve"> reported an isolated example where more than $10,000 was billed for </w:t>
      </w:r>
      <w:r w:rsidR="00A57A75">
        <w:t>a PL-listed</w:t>
      </w:r>
      <w:r w:rsidR="00083261">
        <w:t xml:space="preserve"> </w:t>
      </w:r>
      <w:r w:rsidR="00974AC4">
        <w:t>skin closure</w:t>
      </w:r>
      <w:r w:rsidR="00083261">
        <w:t xml:space="preserve"> product</w:t>
      </w:r>
      <w:r w:rsidR="00974AC4">
        <w:t xml:space="preserve"> for a single patient undergoing a knee replacement. As such, </w:t>
      </w:r>
      <w:r w:rsidR="00824057">
        <w:t>it is</w:t>
      </w:r>
      <w:r w:rsidR="00DD1E57">
        <w:t xml:space="preserve"> suggested</w:t>
      </w:r>
      <w:r w:rsidR="00824057">
        <w:t xml:space="preserve"> by stakeholders</w:t>
      </w:r>
      <w:r w:rsidR="00DD1E57">
        <w:t xml:space="preserve"> that</w:t>
      </w:r>
      <w:r w:rsidR="00974AC4">
        <w:t xml:space="preserve"> the list is becoming a tool to optimise revenue from adding the item to every procedure, whether there is any clinical cost effectiveness evidence.</w:t>
      </w:r>
    </w:p>
    <w:p w14:paraId="3EA1A04F" w14:textId="39DE8031" w:rsidR="00974AC4" w:rsidRDefault="00974AC4" w:rsidP="00974AC4">
      <w:pPr>
        <w:spacing w:after="240"/>
      </w:pPr>
      <w:r>
        <w:t xml:space="preserve">Moreover, </w:t>
      </w:r>
      <w:r w:rsidR="00083261">
        <w:t>a manufacturer and a private health insurer both</w:t>
      </w:r>
      <w:r w:rsidR="0043293F">
        <w:t xml:space="preserve"> identify that</w:t>
      </w:r>
      <w:r>
        <w:t xml:space="preserve"> </w:t>
      </w:r>
      <w:r w:rsidR="00F143CF">
        <w:t>one Internal Adhesive</w:t>
      </w:r>
      <w:r w:rsidRPr="00AF1D4E">
        <w:rPr>
          <w:i/>
        </w:rPr>
        <w:t xml:space="preserve"> </w:t>
      </w:r>
      <w:r>
        <w:t xml:space="preserve">product is listed twice on the </w:t>
      </w:r>
      <w:r w:rsidR="00F24211">
        <w:t>PL</w:t>
      </w:r>
      <w:r>
        <w:t xml:space="preserve">, appearing both in the Internal Adhesives category on the 03 – </w:t>
      </w:r>
      <w:r w:rsidR="00F24211">
        <w:t>GM</w:t>
      </w:r>
      <w:r>
        <w:t xml:space="preserve"> list, as well as the Dura Defect Repair category on the </w:t>
      </w:r>
      <w:r w:rsidR="008D1772">
        <w:t>‘</w:t>
      </w:r>
      <w:r>
        <w:t>04 – Neurosurgical</w:t>
      </w:r>
      <w:r w:rsidR="008D1772">
        <w:t>’</w:t>
      </w:r>
      <w:r>
        <w:t xml:space="preserve"> list. </w:t>
      </w:r>
      <w:r w:rsidR="0043293F">
        <w:t xml:space="preserve">According to </w:t>
      </w:r>
      <w:r w:rsidR="00F143CF">
        <w:t>th</w:t>
      </w:r>
      <w:r w:rsidR="00EB5AA6">
        <w:t>ese stakeholders</w:t>
      </w:r>
      <w:r w:rsidR="0043293F">
        <w:t>, t</w:t>
      </w:r>
      <w:r>
        <w:t xml:space="preserve">he selection of two different groups for </w:t>
      </w:r>
      <w:r w:rsidR="00EB5AA6">
        <w:t>these</w:t>
      </w:r>
      <w:r>
        <w:t xml:space="preserve"> listed products by would appear commercially motivated</w:t>
      </w:r>
      <w:r w:rsidR="00EB5AA6">
        <w:t xml:space="preserve"> by the sponsor</w:t>
      </w:r>
      <w:r>
        <w:t>, with Dura Defect Repair attracting higher reimbursement for the smaller sizes than Internal Adhesives.</w:t>
      </w:r>
    </w:p>
    <w:p w14:paraId="598FBE41" w14:textId="5CD6FF53" w:rsidR="00974AC4" w:rsidRDefault="00EB5AA6" w:rsidP="00974AC4">
      <w:pPr>
        <w:spacing w:after="240"/>
      </w:pPr>
      <w:r>
        <w:t xml:space="preserve">One manufacturer </w:t>
      </w:r>
      <w:r w:rsidR="00671989">
        <w:t>suggested that i</w:t>
      </w:r>
      <w:r w:rsidR="00974AC4">
        <w:t xml:space="preserve">f Internal Adhesives were to be removed or decreased in price from the </w:t>
      </w:r>
      <w:r w:rsidR="00F24211">
        <w:t>GM</w:t>
      </w:r>
      <w:r w:rsidR="00974AC4">
        <w:t xml:space="preserve"> category of the </w:t>
      </w:r>
      <w:r w:rsidR="00F24211">
        <w:t>PL</w:t>
      </w:r>
      <w:r w:rsidR="00974AC4">
        <w:t>, other suppliers in turn may use the Dura Defect Repair codes to list their own products under comparator status, effectively moving the issues of appropriateness for listing between the list categories.</w:t>
      </w:r>
    </w:p>
    <w:p w14:paraId="7A82AF5B" w14:textId="64C69F74" w:rsidR="00974AC4" w:rsidRDefault="00E31E03" w:rsidP="00974AC4">
      <w:pPr>
        <w:pStyle w:val="Bodytextwithparaspace"/>
      </w:pPr>
      <w:r>
        <w:t>One private health insurer</w:t>
      </w:r>
      <w:r w:rsidR="00D90473">
        <w:t xml:space="preserve"> </w:t>
      </w:r>
      <w:r w:rsidR="002A7A4B">
        <w:t>provided feedback that t</w:t>
      </w:r>
      <w:r w:rsidR="00974AC4">
        <w:t xml:space="preserve">he ‘Rigid Delivery System’ suffix was introduced in August 2014, with the benefit amount of $160. Since then, total benefits paid for this category has risen over the past five years, almost in line with volume. </w:t>
      </w:r>
      <w:r>
        <w:t xml:space="preserve">They </w:t>
      </w:r>
      <w:r w:rsidR="00F251C7">
        <w:t>note</w:t>
      </w:r>
      <w:r>
        <w:t>d</w:t>
      </w:r>
      <w:r w:rsidR="00F251C7">
        <w:t xml:space="preserve"> </w:t>
      </w:r>
      <w:r w:rsidR="00A53D02">
        <w:t xml:space="preserve">movements for several products </w:t>
      </w:r>
      <w:r w:rsidR="00974AC4">
        <w:t xml:space="preserve">from the ‘Extender’ suffix into the ‘Rigid Delivery System’. </w:t>
      </w:r>
      <w:r w:rsidR="005F2355">
        <w:t>They state that i</w:t>
      </w:r>
      <w:r w:rsidR="00974AC4">
        <w:t>n all these cases of re-classification, there was an almost 400% increase in the benefit level per-item, from $31 to $160, with no material change to the product descriptions and no evidence of what had been added to form the ‘system’.</w:t>
      </w:r>
    </w:p>
    <w:p w14:paraId="028E3DE8" w14:textId="77777777" w:rsidR="00974AC4" w:rsidRDefault="00974AC4" w:rsidP="00A26B3B">
      <w:pPr>
        <w:pStyle w:val="Heading4"/>
      </w:pPr>
      <w:r>
        <w:t>03.08.03 – Ligating Devices</w:t>
      </w:r>
    </w:p>
    <w:p w14:paraId="25E9ACE6" w14:textId="32E01ADB" w:rsidR="00974AC4" w:rsidRDefault="001721C0" w:rsidP="00974AC4">
      <w:pPr>
        <w:pStyle w:val="Bodytextwithoutparaspace"/>
        <w:spacing w:after="240"/>
      </w:pPr>
      <w:r>
        <w:t xml:space="preserve">One manufacturer </w:t>
      </w:r>
      <w:r w:rsidR="0077118E">
        <w:t>suggested that p</w:t>
      </w:r>
      <w:r w:rsidR="00974AC4">
        <w:t xml:space="preserve">roducts within the </w:t>
      </w:r>
      <w:r w:rsidR="008D1772">
        <w:t>‘</w:t>
      </w:r>
      <w:r w:rsidR="00974AC4">
        <w:t>03.08.03 – Ligating Devices</w:t>
      </w:r>
      <w:r w:rsidR="008D1772">
        <w:t>’</w:t>
      </w:r>
      <w:r w:rsidR="00974AC4">
        <w:t xml:space="preserve"> and </w:t>
      </w:r>
      <w:r w:rsidR="008D1772">
        <w:t>‘</w:t>
      </w:r>
      <w:r w:rsidR="00974AC4">
        <w:t>03.08.04 – Staples &amp; Tackers</w:t>
      </w:r>
      <w:r w:rsidR="008D1772">
        <w:t>’</w:t>
      </w:r>
      <w:r w:rsidR="00974AC4">
        <w:t xml:space="preserve"> groups could be recategorized into a new product group ‘Gastrointestinal System’ to better reflect distinct surgical specialties.</w:t>
      </w:r>
    </w:p>
    <w:p w14:paraId="109AAF34" w14:textId="77777777" w:rsidR="00974AC4" w:rsidRDefault="00974AC4" w:rsidP="00A26B3B">
      <w:pPr>
        <w:pStyle w:val="Heading4"/>
      </w:pPr>
      <w:r>
        <w:t>03.08.05 – Polypropylene / Polyester Mesh</w:t>
      </w:r>
    </w:p>
    <w:p w14:paraId="1940187D" w14:textId="4F636BE2" w:rsidR="00974AC4" w:rsidRDefault="00230EF2" w:rsidP="00974AC4">
      <w:pPr>
        <w:pStyle w:val="Bodytextwithoutparaspace"/>
        <w:spacing w:after="240"/>
      </w:pPr>
      <w:r>
        <w:t>Some m</w:t>
      </w:r>
      <w:r w:rsidR="007B595D">
        <w:t xml:space="preserve">edical </w:t>
      </w:r>
      <w:r>
        <w:t xml:space="preserve">device manufacturers </w:t>
      </w:r>
      <w:r w:rsidR="00F2111F">
        <w:t>identified that t</w:t>
      </w:r>
      <w:r w:rsidR="00974AC4">
        <w:t xml:space="preserve">his category contains many innovative mesh products that are used in the hernia surgical specialty, which does not currently have its own specific category within the </w:t>
      </w:r>
      <w:r w:rsidR="00F24211">
        <w:t>PL</w:t>
      </w:r>
      <w:r w:rsidR="00974AC4">
        <w:t xml:space="preserve">. Therefore, </w:t>
      </w:r>
      <w:r w:rsidR="007B595D">
        <w:t>they suggested</w:t>
      </w:r>
      <w:r w:rsidR="00974AC4">
        <w:t xml:space="preserve"> it may be more appropriate to establish an additional product category called ‘Hernia’ to incorporate relevant products within the 03.08.05 – Polypropylene / Polyester Mesh, 03.08.06 – Composite Mesh, 03.08.07 – Complete Biomaterial Mesh, 03.08.08 – PTFE / ePTFE Mesh and 03.08.09 – Plugs groups. </w:t>
      </w:r>
    </w:p>
    <w:p w14:paraId="4AF82889" w14:textId="796D1836" w:rsidR="00974AC4" w:rsidRDefault="00974AC4" w:rsidP="00974AC4">
      <w:pPr>
        <w:pStyle w:val="Bodytextwithoutparaspace"/>
        <w:spacing w:after="240"/>
      </w:pPr>
      <w:r>
        <w:t xml:space="preserve">Alternatively, </w:t>
      </w:r>
      <w:r w:rsidR="001721C0">
        <w:t>one</w:t>
      </w:r>
      <w:r w:rsidR="00777E05">
        <w:t xml:space="preserve"> suggested that</w:t>
      </w:r>
      <w:r>
        <w:t xml:space="preserve"> the Closure Device category may be more appropriately defined as ‘Soft Tissue Reinforcement and Soft Tissue Repair’, to encompass not only products involved in a hernia repair, but also prosthetic implants</w:t>
      </w:r>
      <w:r w:rsidR="000D3061">
        <w:t xml:space="preserve"> that</w:t>
      </w:r>
      <w:r>
        <w:t xml:space="preserve"> are involved in ana</w:t>
      </w:r>
      <w:r w:rsidR="00FF17C6">
        <w:t>s</w:t>
      </w:r>
      <w:r>
        <w:t>tom</w:t>
      </w:r>
      <w:r w:rsidR="00FF17C6">
        <w:t>ot</w:t>
      </w:r>
      <w:r>
        <w:t xml:space="preserve">ic reinforcement procedures. </w:t>
      </w:r>
      <w:r w:rsidR="001721C0">
        <w:t>One private hospital group</w:t>
      </w:r>
      <w:r w:rsidR="00CF5717">
        <w:t xml:space="preserve"> </w:t>
      </w:r>
      <w:r w:rsidR="00751618">
        <w:t>communicated that t</w:t>
      </w:r>
      <w:r>
        <w:t xml:space="preserve">he creation of a new category or product group </w:t>
      </w:r>
      <w:r w:rsidR="00751618">
        <w:t>sh</w:t>
      </w:r>
      <w:r>
        <w:t>ould be done in consultation with sub-specialists in the relevant areas and could further assist the investigation on the use and application of devices within these categories.</w:t>
      </w:r>
    </w:p>
    <w:p w14:paraId="2D37E14B" w14:textId="77777777" w:rsidR="00974AC4" w:rsidRDefault="00974AC4" w:rsidP="00AF1D4E">
      <w:pPr>
        <w:pStyle w:val="Heading2"/>
      </w:pPr>
      <w:r>
        <w:t xml:space="preserve">Unintended </w:t>
      </w:r>
      <w:r w:rsidR="001C7079">
        <w:t xml:space="preserve">consequences </w:t>
      </w:r>
      <w:r>
        <w:t xml:space="preserve">of </w:t>
      </w:r>
      <w:r w:rsidR="001C7079">
        <w:t>product removal</w:t>
      </w:r>
    </w:p>
    <w:p w14:paraId="53CAC5B3" w14:textId="77777777" w:rsidR="00974AC4" w:rsidRDefault="00974AC4" w:rsidP="00A26B3B">
      <w:pPr>
        <w:pStyle w:val="Heading3"/>
      </w:pPr>
      <w:r>
        <w:t>Patients Left Out of Pocket</w:t>
      </w:r>
    </w:p>
    <w:p w14:paraId="250F3A7F" w14:textId="77777777" w:rsidR="00974AC4" w:rsidRDefault="00EB324B" w:rsidP="00974AC4">
      <w:pPr>
        <w:pStyle w:val="Bodytextwithparaspace"/>
      </w:pPr>
      <w:r>
        <w:t>There was a widespread sentiment across all stakeholders that r</w:t>
      </w:r>
      <w:r w:rsidR="00974AC4">
        <w:t xml:space="preserve">emoving items from the </w:t>
      </w:r>
      <w:r w:rsidR="00F24211">
        <w:t>PL</w:t>
      </w:r>
      <w:r w:rsidR="00974AC4">
        <w:t xml:space="preserve"> may cause a cost-shift with the burden to fall on patients, as private hospitals may need to rely on alternative arrangements where out-of-pocket gaps for non-reimbursed costs can be charged and passed onto the patient. </w:t>
      </w:r>
      <w:r>
        <w:t>Several stakeholders raised the con</w:t>
      </w:r>
      <w:r w:rsidR="008D1772">
        <w:t>c</w:t>
      </w:r>
      <w:r>
        <w:t>ern that i</w:t>
      </w:r>
      <w:r w:rsidR="00974AC4">
        <w:t xml:space="preserve">f private hospitals are not willing to absorb these costs and the products cannot be funded through other mechanisms, any items that are removed from the </w:t>
      </w:r>
      <w:r w:rsidR="00F24211">
        <w:t>PL</w:t>
      </w:r>
      <w:r w:rsidR="00974AC4">
        <w:t xml:space="preserve"> would cause a disadvantage to patients.</w:t>
      </w:r>
    </w:p>
    <w:p w14:paraId="5443E524" w14:textId="77777777" w:rsidR="00974AC4" w:rsidRDefault="00974AC4" w:rsidP="00A26B3B">
      <w:pPr>
        <w:pStyle w:val="Heading3"/>
      </w:pPr>
      <w:r>
        <w:t>Diminished Access to Devices</w:t>
      </w:r>
    </w:p>
    <w:p w14:paraId="4BBA6919" w14:textId="6946D463" w:rsidR="00974AC4" w:rsidRDefault="008763C4" w:rsidP="00974AC4">
      <w:pPr>
        <w:pStyle w:val="Bodytextwithparaspace"/>
      </w:pPr>
      <w:r>
        <w:t>Several stakeholders also commented that w</w:t>
      </w:r>
      <w:r w:rsidR="00974AC4">
        <w:t xml:space="preserve">hile patients should be able to access the best medical devices necessary for their treatment, removal of items from the </w:t>
      </w:r>
      <w:r w:rsidR="00F24211">
        <w:t>PL</w:t>
      </w:r>
      <w:r w:rsidR="00974AC4">
        <w:t xml:space="preserve"> may have a detrimental impact on patient outcomes due to limited device selection. </w:t>
      </w:r>
      <w:r w:rsidR="001721C0">
        <w:t xml:space="preserve">One private hospital group </w:t>
      </w:r>
      <w:r w:rsidR="00F374CB">
        <w:t>noted that w</w:t>
      </w:r>
      <w:r w:rsidR="00974AC4">
        <w:t>here hospitals deem it unsustainable to continue providing these items or patients are unwilling or unable to pay for them, a clinician’s access to these items could become restricted, and they may be forced to select products that they deem inferior to the most clinically appropriate option for their patient. Therefore,</w:t>
      </w:r>
      <w:r w:rsidR="009B6D3C">
        <w:t xml:space="preserve"> they suggested that</w:t>
      </w:r>
      <w:r w:rsidR="00974AC4">
        <w:t xml:space="preserve"> in the case that a hospital cannot make the appropriate technology available because it is not on the </w:t>
      </w:r>
      <w:r w:rsidR="00F24211">
        <w:t>PL</w:t>
      </w:r>
      <w:r w:rsidR="00974AC4">
        <w:t>, patients may not receive the best clinical product required for their condition and care.</w:t>
      </w:r>
    </w:p>
    <w:p w14:paraId="495EC7D0" w14:textId="77777777" w:rsidR="00974AC4" w:rsidRDefault="00974AC4" w:rsidP="00974AC4">
      <w:pPr>
        <w:pStyle w:val="EYHeading3"/>
        <w:numPr>
          <w:ilvl w:val="0"/>
          <w:numId w:val="0"/>
        </w:numPr>
      </w:pPr>
      <w:r>
        <w:t>Cost Burden on Hospitals</w:t>
      </w:r>
    </w:p>
    <w:p w14:paraId="54244756" w14:textId="20A3BD2D" w:rsidR="00974AC4" w:rsidRDefault="00F51D1E" w:rsidP="00974AC4">
      <w:pPr>
        <w:pStyle w:val="Bodytextwithparaspace"/>
      </w:pPr>
      <w:r>
        <w:t>There was feedback across all stakeholder groups that h</w:t>
      </w:r>
      <w:r w:rsidR="00974AC4">
        <w:t xml:space="preserve">ospitals may be placed under financial pressure without proper transition arrangements for alternative funding. </w:t>
      </w:r>
      <w:r w:rsidR="001721C0">
        <w:t xml:space="preserve">One private hospital group </w:t>
      </w:r>
      <w:r w:rsidR="000F4199">
        <w:t>raised a concern that s</w:t>
      </w:r>
      <w:r w:rsidR="00974AC4">
        <w:t>ome hospitals already have contractual arrangements in place that prohibit the passing of out-of-pocket expense charges to patients. This means that removing items from the list that could not be appropriately funded through other mechanisms may lead to the burden for payment falling on private hospitals. In particular,</w:t>
      </w:r>
      <w:r w:rsidR="001208CD">
        <w:t xml:space="preserve"> </w:t>
      </w:r>
      <w:r w:rsidR="001721C0">
        <w:t>another group</w:t>
      </w:r>
      <w:r w:rsidR="001208CD">
        <w:t xml:space="preserve"> commented that</w:t>
      </w:r>
      <w:r w:rsidR="00974AC4">
        <w:t xml:space="preserve"> smaller hospitals have limited negotiating leverage with private health insurers, making it harder for them to negotiate viable Hospital Purchaser-Provider Agreements (HPPAs) and threatening the closure of some hospitals.</w:t>
      </w:r>
    </w:p>
    <w:p w14:paraId="0ED180BE" w14:textId="77777777" w:rsidR="00974AC4" w:rsidRDefault="00974AC4" w:rsidP="00974AC4">
      <w:pPr>
        <w:pStyle w:val="EYHeading3"/>
        <w:numPr>
          <w:ilvl w:val="0"/>
          <w:numId w:val="0"/>
        </w:numPr>
      </w:pPr>
      <w:r>
        <w:t>Patients Forced into the Public System</w:t>
      </w:r>
    </w:p>
    <w:p w14:paraId="1644ABFA" w14:textId="449D3BF1" w:rsidR="00974AC4" w:rsidRDefault="00B63795" w:rsidP="00974AC4">
      <w:pPr>
        <w:pStyle w:val="Bodytextwithparaspace"/>
      </w:pPr>
      <w:r>
        <w:t xml:space="preserve">Several Private Hospital stakeholders </w:t>
      </w:r>
      <w:r w:rsidR="00B7343B">
        <w:t>indicated that s</w:t>
      </w:r>
      <w:r w:rsidR="00974AC4">
        <w:t xml:space="preserve">ome procedures may become commercially unsustainable in some private hospitals and they may cease to offer these services. For instance, </w:t>
      </w:r>
      <w:r w:rsidR="001721C0">
        <w:t xml:space="preserve">one </w:t>
      </w:r>
      <w:r>
        <w:t>note</w:t>
      </w:r>
      <w:r w:rsidR="001721C0">
        <w:t>d</w:t>
      </w:r>
      <w:r>
        <w:t xml:space="preserve"> that </w:t>
      </w:r>
      <w:r w:rsidR="00974AC4">
        <w:t xml:space="preserve">bariatric surgery and laparoscopic gynaecology procedures typically have low margins. As such, </w:t>
      </w:r>
      <w:r>
        <w:t>they suggest</w:t>
      </w:r>
      <w:r w:rsidR="001721C0">
        <w:t>ed</w:t>
      </w:r>
      <w:r w:rsidR="00974AC4">
        <w:t xml:space="preserve"> patients could be forced to access such treatments through the public system, with potential expansion of public hospital waiting lists. </w:t>
      </w:r>
    </w:p>
    <w:p w14:paraId="63865D13" w14:textId="77777777" w:rsidR="00974AC4" w:rsidRDefault="00974AC4" w:rsidP="00974AC4">
      <w:pPr>
        <w:pStyle w:val="EYHeading3"/>
        <w:numPr>
          <w:ilvl w:val="0"/>
          <w:numId w:val="0"/>
        </w:numPr>
      </w:pPr>
      <w:r>
        <w:t>Administrative Upheaval</w:t>
      </w:r>
    </w:p>
    <w:p w14:paraId="34AD9824" w14:textId="77777777" w:rsidR="00974AC4" w:rsidRDefault="00D15FAC" w:rsidP="00974AC4">
      <w:pPr>
        <w:pStyle w:val="Bodytextwithparaspace"/>
      </w:pPr>
      <w:r>
        <w:t>There was feedback raised across all stakeholder groups that t</w:t>
      </w:r>
      <w:r w:rsidR="00974AC4">
        <w:t xml:space="preserve">he removal of items from the </w:t>
      </w:r>
      <w:r w:rsidR="00F24211">
        <w:t>PL</w:t>
      </w:r>
      <w:r w:rsidR="00974AC4">
        <w:t xml:space="preserve"> will prompt a complex, resource intensive and lengthy process of adjustment brought about by the necessity of hospitals and health insurers needing to negotiate alternative funding arrangements for episode payments. </w:t>
      </w:r>
      <w:r w:rsidR="006F1172">
        <w:t xml:space="preserve">Several </w:t>
      </w:r>
      <w:r w:rsidR="00E40783">
        <w:t xml:space="preserve">Private Health Insurers communicated that many </w:t>
      </w:r>
      <w:r w:rsidR="008801B2">
        <w:t>companies in their industry</w:t>
      </w:r>
      <w:r w:rsidR="00974AC4">
        <w:t xml:space="preserve"> in Australia are currently not contracted with a considerable proportion of private hospitals. </w:t>
      </w:r>
      <w:r w:rsidR="008801B2">
        <w:t>They suggest that n</w:t>
      </w:r>
      <w:r w:rsidR="00974AC4">
        <w:t xml:space="preserve">ew arrangements may require months of implementation to allow for operational adjustments by private hospitals and clinicians, and to allow for sufficient time to determine a funding methodology that will not negatively impact patients or private hospitals. </w:t>
      </w:r>
    </w:p>
    <w:p w14:paraId="02B268AF" w14:textId="5F116929" w:rsidR="00974AC4" w:rsidRDefault="00266C57" w:rsidP="00974AC4">
      <w:pPr>
        <w:pStyle w:val="Bodytextwithparaspace"/>
      </w:pPr>
      <w:r>
        <w:t>There was widespread commentary from stakeholders that t</w:t>
      </w:r>
      <w:r w:rsidR="00974AC4">
        <w:t xml:space="preserve">he National Procedure Banding Committee (NPBC) will also need to revisit the National Procedure Banding Schedule (NPBS) of individual Medicare Benefit Schedule (MBS) items so case payments could accommodate these devices and patient access would be maintained. </w:t>
      </w:r>
      <w:r w:rsidR="001721C0">
        <w:t xml:space="preserve">One private hospital group </w:t>
      </w:r>
      <w:r w:rsidR="005D7A17">
        <w:t>suggested that a</w:t>
      </w:r>
      <w:r w:rsidR="00974AC4">
        <w:t>ny delays arising from the arrangement adjustments mentioned above may impact on the timeliness of patient care.</w:t>
      </w:r>
    </w:p>
    <w:p w14:paraId="1166BF9E" w14:textId="77777777" w:rsidR="00974AC4" w:rsidRDefault="00974AC4" w:rsidP="00974AC4">
      <w:pPr>
        <w:pStyle w:val="EYHeading3"/>
        <w:numPr>
          <w:ilvl w:val="0"/>
          <w:numId w:val="0"/>
        </w:numPr>
      </w:pPr>
      <w:r>
        <w:t>Breach of MTAA Agreement</w:t>
      </w:r>
    </w:p>
    <w:p w14:paraId="2DD1D32A" w14:textId="477F9E76" w:rsidR="00974AC4" w:rsidRDefault="00230EF2" w:rsidP="00974AC4">
      <w:pPr>
        <w:pStyle w:val="Bodytextwithparaspace"/>
      </w:pPr>
      <w:r>
        <w:t>Some m</w:t>
      </w:r>
      <w:r w:rsidR="005C69DA">
        <w:t xml:space="preserve">edical </w:t>
      </w:r>
      <w:r>
        <w:t xml:space="preserve">device manufacturers </w:t>
      </w:r>
      <w:r w:rsidR="00DB5B53">
        <w:t>communicated that i</w:t>
      </w:r>
      <w:r w:rsidR="00974AC4">
        <w:t xml:space="preserve">f removal of products from the </w:t>
      </w:r>
      <w:r w:rsidR="00F24211">
        <w:t>PL</w:t>
      </w:r>
      <w:r w:rsidR="00974AC4">
        <w:t xml:space="preserve"> occurs prior to the expiry of the MTAA Agreement on 31 January 2022, it could be considered a breach of the Government’s commitment to ‘</w:t>
      </w:r>
      <w:r w:rsidR="003537A8">
        <w:t>making no other changes on the Prostheses List during the term of this Agreement without agreement with the MTAA on behalf of the industry</w:t>
      </w:r>
      <w:r w:rsidR="00974AC4">
        <w:t xml:space="preserve">’. </w:t>
      </w:r>
      <w:r w:rsidR="001721C0">
        <w:t>One</w:t>
      </w:r>
      <w:r w:rsidR="00A15842">
        <w:t xml:space="preserve"> commented that t</w:t>
      </w:r>
      <w:r w:rsidR="00974AC4">
        <w:t>his would potentially jeopardise the relationship that exists between the Australian Government and the device sector and put at risk the integrity of all current and future agreements.</w:t>
      </w:r>
    </w:p>
    <w:p w14:paraId="659EB6AA" w14:textId="77777777" w:rsidR="00974AC4" w:rsidRDefault="00974AC4" w:rsidP="00974AC4">
      <w:pPr>
        <w:pStyle w:val="EYHeading3"/>
        <w:numPr>
          <w:ilvl w:val="0"/>
          <w:numId w:val="0"/>
        </w:numPr>
      </w:pPr>
      <w:r>
        <w:t>Contradictions in Other PL Category Listings</w:t>
      </w:r>
    </w:p>
    <w:p w14:paraId="14D291BE" w14:textId="143A6DC4" w:rsidR="00AF1D4E" w:rsidRDefault="00230EF2" w:rsidP="00AF1D4E">
      <w:pPr>
        <w:pStyle w:val="Bodytextwithparaspace"/>
      </w:pPr>
      <w:r>
        <w:t>Some p</w:t>
      </w:r>
      <w:r w:rsidR="00E7246E">
        <w:t xml:space="preserve">rivate </w:t>
      </w:r>
      <w:r>
        <w:t>health i</w:t>
      </w:r>
      <w:r w:rsidR="00E7246E">
        <w:t>nsurers commented that t</w:t>
      </w:r>
      <w:r w:rsidR="00974AC4">
        <w:t xml:space="preserve">he basis for removal of some items may yield anomalies in the listing criteria for other categories on the </w:t>
      </w:r>
      <w:r w:rsidR="00F24211">
        <w:t>PL</w:t>
      </w:r>
      <w:r w:rsidR="00974AC4">
        <w:t>. Therefor</w:t>
      </w:r>
      <w:r w:rsidR="001F2714">
        <w:t>e,</w:t>
      </w:r>
      <w:r w:rsidR="00E7246E">
        <w:t xml:space="preserve"> they suggest</w:t>
      </w:r>
      <w:r w:rsidR="00974AC4">
        <w:t xml:space="preserve"> the rationalisation needs consistent language and clinical indications if it is to set a precedent for reviews of other categories.</w:t>
      </w:r>
    </w:p>
    <w:p w14:paraId="324574C6" w14:textId="77777777" w:rsidR="00945B32" w:rsidRDefault="00945B32" w:rsidP="00AF1D4E">
      <w:pPr>
        <w:pStyle w:val="Bodytextwithparaspace"/>
        <w:sectPr w:rsidR="00945B32" w:rsidSect="00717063">
          <w:headerReference w:type="default" r:id="rId77"/>
          <w:footerReference w:type="default" r:id="rId78"/>
          <w:pgSz w:w="11909" w:h="16834" w:code="9"/>
          <w:pgMar w:top="1440" w:right="1440" w:bottom="1440" w:left="1440" w:header="720" w:footer="720" w:gutter="0"/>
          <w:cols w:space="720"/>
          <w:docGrid w:linePitch="360"/>
        </w:sectPr>
      </w:pPr>
    </w:p>
    <w:p w14:paraId="3F0644A6" w14:textId="26AEF492" w:rsidR="008C51D8" w:rsidRPr="008C51D8" w:rsidRDefault="00AF1D4E" w:rsidP="00FA6F76">
      <w:pPr>
        <w:pStyle w:val="Bodytextwithparaspace"/>
      </w:pPr>
      <w:r>
        <w:rPr>
          <w:b/>
          <w:noProof/>
          <w:lang w:val="en-AU" w:eastAsia="en-AU"/>
        </w:rPr>
        <mc:AlternateContent>
          <mc:Choice Requires="wps">
            <w:drawing>
              <wp:anchor distT="0" distB="0" distL="114300" distR="114300" simplePos="0" relativeHeight="251658241" behindDoc="0" locked="0" layoutInCell="1" allowOverlap="1" wp14:anchorId="632CC075" wp14:editId="46E03201">
                <wp:simplePos x="0" y="0"/>
                <wp:positionH relativeFrom="column">
                  <wp:posOffset>-846455</wp:posOffset>
                </wp:positionH>
                <wp:positionV relativeFrom="paragraph">
                  <wp:posOffset>-847312</wp:posOffset>
                </wp:positionV>
                <wp:extent cx="4622400" cy="5629275"/>
                <wp:effectExtent l="0" t="0" r="0" b="9525"/>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2400" cy="5629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25B2AE" w14:textId="77777777" w:rsidR="00C77FCE" w:rsidRPr="00B22C43" w:rsidRDefault="00C77FCE" w:rsidP="00C1638D">
                            <w:r w:rsidRPr="00B22C43">
                              <w:rPr>
                                <w:b/>
                              </w:rPr>
                              <w:t>EY</w:t>
                            </w:r>
                            <w:r w:rsidRPr="00495497">
                              <w:t xml:space="preserve"> </w:t>
                            </w:r>
                            <w:r w:rsidRPr="00DE24BB">
                              <w:t xml:space="preserve">| </w:t>
                            </w:r>
                            <w:r w:rsidRPr="00B22C43">
                              <w:t>Assurance | Tax | Transactions | Advisory</w:t>
                            </w:r>
                          </w:p>
                          <w:p w14:paraId="5144AF53" w14:textId="77777777" w:rsidR="00C77FCE" w:rsidRPr="00B22C43" w:rsidRDefault="00C77FCE" w:rsidP="00C1638D"/>
                          <w:p w14:paraId="5306F57E" w14:textId="77777777" w:rsidR="00C77FCE" w:rsidRPr="00B22C43" w:rsidRDefault="00C77FCE" w:rsidP="00C1638D">
                            <w:r w:rsidRPr="00B22C43">
                              <w:t>About EY</w:t>
                            </w:r>
                          </w:p>
                          <w:p w14:paraId="4D04C3A8" w14:textId="77777777" w:rsidR="00C77FCE" w:rsidRPr="00B22C43" w:rsidRDefault="00C77FCE" w:rsidP="00C1638D">
                            <w:pPr>
                              <w:spacing w:after="105"/>
                              <w:rPr>
                                <w:rFonts w:cs="Arial"/>
                                <w:sz w:val="16"/>
                              </w:rPr>
                            </w:pPr>
                            <w:r w:rsidRPr="00B22C43">
                              <w:rPr>
                                <w:rFonts w:cs="Arial"/>
                                <w:sz w:val="16"/>
                              </w:rPr>
                              <w:t>EY is a global leader in assurance, tax, transaction and advisory services. The insights and quality services we deliver help build trust and confidence in the capital markets and in economies the world over. We develop outstanding leaders who team to deliver on our promises to all of our stakeholders. In so doing, we play a critical role in building a better working world for our people, for our clients and for our communities.</w:t>
                            </w:r>
                          </w:p>
                          <w:p w14:paraId="4AD2D88D" w14:textId="77777777" w:rsidR="00C77FCE" w:rsidRPr="008D1772" w:rsidRDefault="00C77FCE" w:rsidP="00C1638D">
                            <w:pPr>
                              <w:spacing w:after="105"/>
                              <w:rPr>
                                <w:rFonts w:cs="Arial"/>
                                <w:sz w:val="16"/>
                              </w:rPr>
                            </w:pPr>
                            <w:r w:rsidRPr="0065238E">
                              <w:rPr>
                                <w:rFonts w:cs="Arial"/>
                                <w:sz w:val="16"/>
                              </w:rPr>
                              <w:t xml:space="preserve">EY refers to the global organization, and may refer to one or more, of the member firms of Ernst &amp; Young Global Limited, each of which is a separate legal entity. Ernst &amp; Young Global Limited, a UK company limited by guarantee, does not provide services to clients. Information about how EY collects and uses personal data and a description of the rights individuals have under data protection </w:t>
                            </w:r>
                            <w:r w:rsidRPr="008D1772">
                              <w:rPr>
                                <w:rFonts w:cs="Arial"/>
                                <w:sz w:val="16"/>
                              </w:rPr>
                              <w:t>legislation is available via ey.com/privacy. For more information about our organization, please visit ey.com.</w:t>
                            </w:r>
                          </w:p>
                          <w:p w14:paraId="15CA6EDE" w14:textId="77777777" w:rsidR="00C77FCE" w:rsidRPr="008D1772" w:rsidRDefault="00C77FCE" w:rsidP="00C1638D">
                            <w:pPr>
                              <w:spacing w:after="105"/>
                              <w:rPr>
                                <w:rFonts w:cs="Arial"/>
                                <w:sz w:val="16"/>
                              </w:rPr>
                            </w:pPr>
                            <w:r w:rsidRPr="008D1772">
                              <w:rPr>
                                <w:rFonts w:cs="Arial"/>
                                <w:sz w:val="16"/>
                              </w:rPr>
                              <w:t>© 20</w:t>
                            </w:r>
                            <w:r w:rsidRPr="00AF1D4E">
                              <w:rPr>
                                <w:rFonts w:cs="Arial"/>
                                <w:sz w:val="16"/>
                              </w:rPr>
                              <w:t>20</w:t>
                            </w:r>
                            <w:r w:rsidRPr="008D1772">
                              <w:rPr>
                                <w:rFonts w:cs="Arial"/>
                                <w:sz w:val="16"/>
                              </w:rPr>
                              <w:t xml:space="preserve"> Ernst &amp; Young, Australia</w:t>
                            </w:r>
                            <w:r w:rsidRPr="008D1772">
                              <w:rPr>
                                <w:rFonts w:cs="Arial"/>
                                <w:sz w:val="16"/>
                              </w:rPr>
                              <w:br/>
                              <w:t>All Rights Reserved.</w:t>
                            </w:r>
                          </w:p>
                          <w:p w14:paraId="120C05BB" w14:textId="77777777" w:rsidR="00C77FCE" w:rsidRPr="008D1772" w:rsidRDefault="00C77FCE" w:rsidP="00C1638D">
                            <w:pPr>
                              <w:spacing w:after="105"/>
                              <w:rPr>
                                <w:sz w:val="16"/>
                                <w:szCs w:val="16"/>
                              </w:rPr>
                            </w:pPr>
                            <w:r w:rsidRPr="008D1772">
                              <w:rPr>
                                <w:rFonts w:cs="Arial"/>
                                <w:sz w:val="16"/>
                                <w:szCs w:val="16"/>
                              </w:rPr>
                              <w:t>Liability limited by a scheme approved under Professional Standards Legislation.</w:t>
                            </w:r>
                          </w:p>
                          <w:p w14:paraId="72448A8E" w14:textId="77777777" w:rsidR="00C77FCE" w:rsidRPr="008D1772" w:rsidRDefault="00C77FCE" w:rsidP="00C1638D">
                            <w:pPr>
                              <w:spacing w:after="105"/>
                              <w:rPr>
                                <w:rFonts w:cs="Arial"/>
                                <w:sz w:val="16"/>
                              </w:rPr>
                            </w:pPr>
                            <w:r w:rsidRPr="008D1772">
                              <w:rPr>
                                <w:rFonts w:cs="Arial"/>
                                <w:sz w:val="16"/>
                              </w:rPr>
                              <w:t xml:space="preserve">ED </w:t>
                            </w:r>
                            <w:r w:rsidRPr="00AF1D4E">
                              <w:rPr>
                                <w:rFonts w:cs="Arial"/>
                                <w:sz w:val="16"/>
                              </w:rPr>
                              <w:t>None</w:t>
                            </w:r>
                          </w:p>
                          <w:p w14:paraId="4A846F8F" w14:textId="77777777" w:rsidR="00C77FCE" w:rsidRPr="00B22C43" w:rsidRDefault="00C77FCE" w:rsidP="00C1638D">
                            <w:pPr>
                              <w:spacing w:after="105"/>
                              <w:rPr>
                                <w:rFonts w:cs="Arial"/>
                                <w:sz w:val="16"/>
                              </w:rPr>
                            </w:pPr>
                            <w:r w:rsidRPr="008D1772">
                              <w:rPr>
                                <w:rFonts w:cs="Arial"/>
                                <w:sz w:val="16"/>
                              </w:rPr>
                              <w:t>In line with EY’s</w:t>
                            </w:r>
                            <w:r w:rsidRPr="00B22C43">
                              <w:rPr>
                                <w:rFonts w:cs="Arial"/>
                                <w:sz w:val="16"/>
                              </w:rPr>
                              <w:t xml:space="preserve"> commitment to minimize its impact on the environment, this document has been printed on paper with a high recycled content.</w:t>
                            </w:r>
                          </w:p>
                          <w:p w14:paraId="55B89218" w14:textId="77777777" w:rsidR="00C77FCE" w:rsidRDefault="00C77FCE" w:rsidP="00C1638D">
                            <w:pPr>
                              <w:spacing w:after="105"/>
                              <w:rPr>
                                <w:rFonts w:cs="Arial"/>
                                <w:sz w:val="16"/>
                                <w:szCs w:val="16"/>
                              </w:rPr>
                            </w:pPr>
                            <w:r w:rsidRPr="00B22C43">
                              <w:rPr>
                                <w:rFonts w:cs="Arial"/>
                                <w:sz w:val="16"/>
                                <w:szCs w:val="16"/>
                              </w:rPr>
                              <w:t>Ernst &amp; Y</w:t>
                            </w:r>
                            <w:r>
                              <w:rPr>
                                <w:rFonts w:cs="Arial"/>
                                <w:sz w:val="16"/>
                                <w:szCs w:val="16"/>
                              </w:rPr>
                              <w:t>oung is a registered trademark.</w:t>
                            </w:r>
                          </w:p>
                          <w:p w14:paraId="24C9980F" w14:textId="77777777" w:rsidR="00C77FCE" w:rsidRPr="00B22C43" w:rsidRDefault="00C77FCE" w:rsidP="00C1638D">
                            <w:pPr>
                              <w:spacing w:after="105"/>
                              <w:rPr>
                                <w:rFonts w:cs="Arial"/>
                                <w:sz w:val="16"/>
                                <w:szCs w:val="16"/>
                              </w:rPr>
                            </w:pPr>
                            <w:r w:rsidRPr="00B22C43">
                              <w:rPr>
                                <w:rFonts w:cs="Arial"/>
                                <w:sz w:val="16"/>
                                <w:szCs w:val="16"/>
                              </w:rPr>
                              <w:t xml:space="preserve">Our report may be relied upon by </w:t>
                            </w:r>
                            <w:r w:rsidRPr="00AF1D4E">
                              <w:rPr>
                                <w:rFonts w:cs="Arial"/>
                                <w:sz w:val="16"/>
                                <w:szCs w:val="16"/>
                              </w:rPr>
                              <w:t>the Department of Health</w:t>
                            </w:r>
                            <w:r w:rsidRPr="00B22C43">
                              <w:rPr>
                                <w:rFonts w:cs="Arial"/>
                                <w:sz w:val="16"/>
                                <w:szCs w:val="16"/>
                              </w:rPr>
                              <w:t xml:space="preserve"> for the </w:t>
                            </w:r>
                            <w:r w:rsidRPr="00AF1D4E">
                              <w:rPr>
                                <w:rFonts w:cs="Arial"/>
                                <w:sz w:val="16"/>
                                <w:szCs w:val="16"/>
                              </w:rPr>
                              <w:t>purposes set out in the scope section/proposal pursuant to the terms of our engagement letter dated 7 January 2020</w:t>
                            </w:r>
                            <w:r w:rsidRPr="00B22C43">
                              <w:rPr>
                                <w:rFonts w:cs="Arial"/>
                                <w:sz w:val="16"/>
                                <w:szCs w:val="16"/>
                              </w:rPr>
                              <w:t>. We disclaim all responsibility to any other party for any loss or liability that the other party may suffer or incur arising from or relating to or in any way connected with the contents of our report, the provision of our report to the other party or the reliance upon our report by the other party.</w:t>
                            </w:r>
                          </w:p>
                          <w:p w14:paraId="64DB3C28" w14:textId="77777777" w:rsidR="00C77FCE" w:rsidRPr="00B22C43" w:rsidRDefault="00C77FCE" w:rsidP="00C1638D">
                            <w:r w:rsidRPr="00B22C43">
                              <w:t>ey.com</w:t>
                            </w:r>
                          </w:p>
                        </w:txbxContent>
                      </wps:txbx>
                      <wps:bodyPr rot="0" vert="horz" wrap="square" lIns="685800" tIns="68580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32CC075" id="_x0000_t202" coordsize="21600,21600" o:spt="202" path="m,l,21600r21600,l21600,xe">
                <v:stroke joinstyle="miter"/>
                <v:path gradientshapeok="t" o:connecttype="rect"/>
              </v:shapetype>
              <v:shape id="Text Box 5" o:spid="_x0000_s1026" type="#_x0000_t202" style="position:absolute;margin-left:-66.65pt;margin-top:-66.7pt;width:363.95pt;height:443.2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" filled="f" stroked="f">
                <v:textbox inset="54pt,54pt">
                  <w:txbxContent>
                    <w:p w14:paraId="5025B2AE" w14:textId="77777777" w:rsidR="00C77FCE" w:rsidRPr="00B22C43" w:rsidRDefault="00C77FCE" w:rsidP="00C1638D">
                      <w:r w:rsidRPr="00B22C43">
                        <w:rPr>
                          <w:b/>
                        </w:rPr>
                        <w:t>EY</w:t>
                      </w:r>
                      <w:r w:rsidRPr="00495497">
                        <w:t xml:space="preserve"> </w:t>
                      </w:r>
                      <w:r w:rsidRPr="00DE24BB">
                        <w:t xml:space="preserve">| </w:t>
                      </w:r>
                      <w:r w:rsidRPr="00B22C43">
                        <w:t>Assurance | Tax | Transactions | Advisory</w:t>
                      </w:r>
                    </w:p>
                    <w:p w14:paraId="5144AF53" w14:textId="77777777" w:rsidR="00C77FCE" w:rsidRPr="00B22C43" w:rsidRDefault="00C77FCE" w:rsidP="00C1638D"/>
                    <w:p w14:paraId="5306F57E" w14:textId="77777777" w:rsidR="00C77FCE" w:rsidRPr="00B22C43" w:rsidRDefault="00C77FCE" w:rsidP="00C1638D">
                      <w:r w:rsidRPr="00B22C43">
                        <w:t>About EY</w:t>
                      </w:r>
                    </w:p>
                    <w:p w14:paraId="4D04C3A8" w14:textId="77777777" w:rsidR="00C77FCE" w:rsidRPr="00B22C43" w:rsidRDefault="00C77FCE" w:rsidP="00C1638D">
                      <w:pPr>
                        <w:spacing w:after="105"/>
                        <w:rPr>
                          <w:rFonts w:cs="Arial"/>
                          <w:sz w:val="16"/>
                        </w:rPr>
                      </w:pPr>
                      <w:r w:rsidRPr="00B22C43">
                        <w:rPr>
                          <w:rFonts w:cs="Arial"/>
                          <w:sz w:val="16"/>
                        </w:rPr>
                        <w:t>EY is a global leader in assurance, tax, transaction and advisory services. The insights and quality services we deliver help build trust and confidence in the capital markets and in economies the world over. We develop outstanding leaders who team to deliver on our promises to all of our stakeholders. In so doing, we play a critical role in building a better working world for our people, for our clients and for our communities.</w:t>
                      </w:r>
                    </w:p>
                    <w:p w14:paraId="4AD2D88D" w14:textId="77777777" w:rsidR="00C77FCE" w:rsidRPr="008D1772" w:rsidRDefault="00C77FCE" w:rsidP="00C1638D">
                      <w:pPr>
                        <w:spacing w:after="105"/>
                        <w:rPr>
                          <w:rFonts w:cs="Arial"/>
                          <w:sz w:val="16"/>
                        </w:rPr>
                      </w:pPr>
                      <w:r w:rsidRPr="0065238E">
                        <w:rPr>
                          <w:rFonts w:cs="Arial"/>
                          <w:sz w:val="16"/>
                        </w:rPr>
                        <w:t xml:space="preserve">EY refers to the global organization, and may refer to one or more, of the member firms of Ernst &amp; Young Global Limited, each of which is a separate legal entity. Ernst &amp; Young Global Limited, a UK company limited by guarantee, does not provide services to clients. Information about how EY collects and uses personal data and a description of the rights individuals have under data protection </w:t>
                      </w:r>
                      <w:r w:rsidRPr="008D1772">
                        <w:rPr>
                          <w:rFonts w:cs="Arial"/>
                          <w:sz w:val="16"/>
                        </w:rPr>
                        <w:t>legislation is available via ey.com/privacy. For more information about our organization, please visit ey.com.</w:t>
                      </w:r>
                    </w:p>
                    <w:p w14:paraId="15CA6EDE" w14:textId="77777777" w:rsidR="00C77FCE" w:rsidRPr="008D1772" w:rsidRDefault="00C77FCE" w:rsidP="00C1638D">
                      <w:pPr>
                        <w:spacing w:after="105"/>
                        <w:rPr>
                          <w:rFonts w:cs="Arial"/>
                          <w:sz w:val="16"/>
                        </w:rPr>
                      </w:pPr>
                      <w:r w:rsidRPr="008D1772">
                        <w:rPr>
                          <w:rFonts w:cs="Arial"/>
                          <w:sz w:val="16"/>
                        </w:rPr>
                        <w:t>© 20</w:t>
                      </w:r>
                      <w:r w:rsidRPr="00AF1D4E">
                        <w:rPr>
                          <w:rFonts w:cs="Arial"/>
                          <w:sz w:val="16"/>
                        </w:rPr>
                        <w:t>20</w:t>
                      </w:r>
                      <w:r w:rsidRPr="008D1772">
                        <w:rPr>
                          <w:rFonts w:cs="Arial"/>
                          <w:sz w:val="16"/>
                        </w:rPr>
                        <w:t xml:space="preserve"> Ernst &amp; Young, Australia</w:t>
                      </w:r>
                      <w:r w:rsidRPr="008D1772">
                        <w:rPr>
                          <w:rFonts w:cs="Arial"/>
                          <w:sz w:val="16"/>
                        </w:rPr>
                        <w:br/>
                        <w:t>All Rights Reserved.</w:t>
                      </w:r>
                    </w:p>
                    <w:p w14:paraId="120C05BB" w14:textId="77777777" w:rsidR="00C77FCE" w:rsidRPr="008D1772" w:rsidRDefault="00C77FCE" w:rsidP="00C1638D">
                      <w:pPr>
                        <w:spacing w:after="105"/>
                        <w:rPr>
                          <w:sz w:val="16"/>
                          <w:szCs w:val="16"/>
                        </w:rPr>
                      </w:pPr>
                      <w:r w:rsidRPr="008D1772">
                        <w:rPr>
                          <w:rFonts w:cs="Arial"/>
                          <w:sz w:val="16"/>
                          <w:szCs w:val="16"/>
                        </w:rPr>
                        <w:t>Liability limited by a scheme approved under Professional Standards Legislation.</w:t>
                      </w:r>
                    </w:p>
                    <w:p w14:paraId="72448A8E" w14:textId="77777777" w:rsidR="00C77FCE" w:rsidRPr="008D1772" w:rsidRDefault="00C77FCE" w:rsidP="00C1638D">
                      <w:pPr>
                        <w:spacing w:after="105"/>
                        <w:rPr>
                          <w:rFonts w:cs="Arial"/>
                          <w:sz w:val="16"/>
                        </w:rPr>
                      </w:pPr>
                      <w:r w:rsidRPr="008D1772">
                        <w:rPr>
                          <w:rFonts w:cs="Arial"/>
                          <w:sz w:val="16"/>
                        </w:rPr>
                        <w:t xml:space="preserve">ED </w:t>
                      </w:r>
                      <w:r w:rsidRPr="00AF1D4E">
                        <w:rPr>
                          <w:rFonts w:cs="Arial"/>
                          <w:sz w:val="16"/>
                        </w:rPr>
                        <w:t>None</w:t>
                      </w:r>
                    </w:p>
                    <w:p w14:paraId="4A846F8F" w14:textId="77777777" w:rsidR="00C77FCE" w:rsidRPr="00B22C43" w:rsidRDefault="00C77FCE" w:rsidP="00C1638D">
                      <w:pPr>
                        <w:spacing w:after="105"/>
                        <w:rPr>
                          <w:rFonts w:cs="Arial"/>
                          <w:sz w:val="16"/>
                        </w:rPr>
                      </w:pPr>
                      <w:r w:rsidRPr="008D1772">
                        <w:rPr>
                          <w:rFonts w:cs="Arial"/>
                          <w:sz w:val="16"/>
                        </w:rPr>
                        <w:t>In line with EY’s</w:t>
                      </w:r>
                      <w:r w:rsidRPr="00B22C43">
                        <w:rPr>
                          <w:rFonts w:cs="Arial"/>
                          <w:sz w:val="16"/>
                        </w:rPr>
                        <w:t xml:space="preserve"> commitment to minimize its impact on the environment, this document has been printed on paper with a high recycled content.</w:t>
                      </w:r>
                    </w:p>
                    <w:p w14:paraId="55B89218" w14:textId="77777777" w:rsidR="00C77FCE" w:rsidRDefault="00C77FCE" w:rsidP="00C1638D">
                      <w:pPr>
                        <w:spacing w:after="105"/>
                        <w:rPr>
                          <w:rFonts w:cs="Arial"/>
                          <w:sz w:val="16"/>
                          <w:szCs w:val="16"/>
                        </w:rPr>
                      </w:pPr>
                      <w:r w:rsidRPr="00B22C43">
                        <w:rPr>
                          <w:rFonts w:cs="Arial"/>
                          <w:sz w:val="16"/>
                          <w:szCs w:val="16"/>
                        </w:rPr>
                        <w:t>Ernst &amp; Y</w:t>
                      </w:r>
                      <w:r>
                        <w:rPr>
                          <w:rFonts w:cs="Arial"/>
                          <w:sz w:val="16"/>
                          <w:szCs w:val="16"/>
                        </w:rPr>
                        <w:t>oung is a registered trademark.</w:t>
                      </w:r>
                    </w:p>
                    <w:p w14:paraId="24C9980F" w14:textId="77777777" w:rsidR="00C77FCE" w:rsidRPr="00B22C43" w:rsidRDefault="00C77FCE" w:rsidP="00C1638D">
                      <w:pPr>
                        <w:spacing w:after="105"/>
                        <w:rPr>
                          <w:rFonts w:cs="Arial"/>
                          <w:sz w:val="16"/>
                          <w:szCs w:val="16"/>
                        </w:rPr>
                      </w:pPr>
                      <w:r w:rsidRPr="00B22C43">
                        <w:rPr>
                          <w:rFonts w:cs="Arial"/>
                          <w:sz w:val="16"/>
                          <w:szCs w:val="16"/>
                        </w:rPr>
                        <w:t xml:space="preserve">Our report may be relied upon by </w:t>
                      </w:r>
                      <w:r w:rsidRPr="00AF1D4E">
                        <w:rPr>
                          <w:rFonts w:cs="Arial"/>
                          <w:sz w:val="16"/>
                          <w:szCs w:val="16"/>
                        </w:rPr>
                        <w:t>the Department of Health</w:t>
                      </w:r>
                      <w:r w:rsidRPr="00B22C43">
                        <w:rPr>
                          <w:rFonts w:cs="Arial"/>
                          <w:sz w:val="16"/>
                          <w:szCs w:val="16"/>
                        </w:rPr>
                        <w:t xml:space="preserve"> for the </w:t>
                      </w:r>
                      <w:r w:rsidRPr="00AF1D4E">
                        <w:rPr>
                          <w:rFonts w:cs="Arial"/>
                          <w:sz w:val="16"/>
                          <w:szCs w:val="16"/>
                        </w:rPr>
                        <w:t>purposes set out in the scope section/proposal pursuant to the terms of our engagement letter dated 7 January 2020</w:t>
                      </w:r>
                      <w:r w:rsidRPr="00B22C43">
                        <w:rPr>
                          <w:rFonts w:cs="Arial"/>
                          <w:sz w:val="16"/>
                          <w:szCs w:val="16"/>
                        </w:rPr>
                        <w:t>. We disclaim all responsibility to any other party for any loss or liability that the other party may suffer or incur arising from or relating to or in any way connected with the contents of our report, the provision of our report to the other party or the reliance upon our report by the other party.</w:t>
                      </w:r>
                    </w:p>
                    <w:p w14:paraId="64DB3C28" w14:textId="77777777" w:rsidR="00C77FCE" w:rsidRPr="00B22C43" w:rsidRDefault="00C77FCE" w:rsidP="00C1638D">
                      <w:r w:rsidRPr="00B22C43">
                        <w:t>ey.com</w:t>
                      </w:r>
                    </w:p>
                  </w:txbxContent>
                </v:textbox>
              </v:shape>
            </w:pict>
          </mc:Fallback>
        </mc:AlternateContent>
      </w:r>
    </w:p>
    <w:p w14:paraId="6E846E71" w14:textId="77777777" w:rsidR="0014101F" w:rsidRDefault="0014101F" w:rsidP="00AF1D4E">
      <w:pPr>
        <w:pStyle w:val="Bodytextwithparaspace"/>
      </w:pPr>
    </w:p>
    <w:sectPr w:rsidR="0014101F" w:rsidSect="00717063">
      <w:footerReference w:type="default" r:id="rId79"/>
      <w:pgSz w:w="11909" w:h="16834"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743362" w14:textId="77777777" w:rsidR="00C77FCE" w:rsidRDefault="00C77FCE">
      <w:r>
        <w:separator/>
      </w:r>
    </w:p>
  </w:endnote>
  <w:endnote w:type="continuationSeparator" w:id="0">
    <w:p w14:paraId="55AA137F" w14:textId="77777777" w:rsidR="00C77FCE" w:rsidRDefault="00C77FCE">
      <w:r>
        <w:continuationSeparator/>
      </w:r>
    </w:p>
  </w:endnote>
  <w:endnote w:type="continuationNotice" w:id="1">
    <w:p w14:paraId="322FBFCF" w14:textId="77777777" w:rsidR="00C77FCE" w:rsidRDefault="00C77FC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EYInterstate Light">
    <w:altName w:val="Franklin Gothic Medium Cond"/>
    <w:charset w:val="00"/>
    <w:family w:val="auto"/>
    <w:pitch w:val="variable"/>
    <w:sig w:usb0="A00002AF" w:usb1="5000206A"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Segoe UI Symbol">
    <w:panose1 w:val="020B0502040204020203"/>
    <w:charset w:val="00"/>
    <w:family w:val="swiss"/>
    <w:pitch w:val="variable"/>
    <w:sig w:usb0="800001E3" w:usb1="1200FFEF" w:usb2="00040000" w:usb3="00000000" w:csb0="00000001" w:csb1="00000000"/>
  </w:font>
  <w:font w:name="NotoSans-Regular">
    <w:altName w:val="Calibri"/>
    <w:charset w:val="00"/>
    <w:family w:val="auto"/>
    <w:pitch w:val="default"/>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left w:w="0" w:type="dxa"/>
      </w:tblCellMar>
      <w:tblLook w:val="0000" w:firstRow="0" w:lastRow="0" w:firstColumn="0" w:lastColumn="0" w:noHBand="0" w:noVBand="0"/>
    </w:tblPr>
    <w:tblGrid>
      <w:gridCol w:w="5811"/>
      <w:gridCol w:w="3218"/>
    </w:tblGrid>
    <w:tr w:rsidR="00C77FCE" w14:paraId="035336B1" w14:textId="77777777" w:rsidTr="00B42B76">
      <w:trPr>
        <w:trHeight w:val="187"/>
      </w:trPr>
      <w:tc>
        <w:tcPr>
          <w:tcW w:w="3218" w:type="pct"/>
        </w:tcPr>
        <w:p w14:paraId="495E6492" w14:textId="77777777" w:rsidR="00C77FCE" w:rsidRPr="00063078" w:rsidRDefault="00C77FCE" w:rsidP="00B42B76">
          <w:pPr>
            <w:pStyle w:val="Footer"/>
            <w:rPr>
              <w:szCs w:val="16"/>
            </w:rPr>
          </w:pPr>
          <w:r>
            <w:rPr>
              <w:szCs w:val="16"/>
            </w:rPr>
            <w:t>Department of Health</w:t>
          </w:r>
        </w:p>
      </w:tc>
      <w:tc>
        <w:tcPr>
          <w:tcW w:w="1782" w:type="pct"/>
        </w:tcPr>
        <w:p w14:paraId="45450164" w14:textId="77777777" w:rsidR="00C77FCE" w:rsidRPr="00625D2E" w:rsidRDefault="00C77FCE" w:rsidP="00B42B76">
          <w:pPr>
            <w:pStyle w:val="Footer"/>
            <w:rPr>
              <w:szCs w:val="16"/>
            </w:rPr>
          </w:pPr>
        </w:p>
      </w:tc>
    </w:tr>
    <w:tr w:rsidR="00C77FCE" w14:paraId="323AA3F9" w14:textId="77777777" w:rsidTr="00B42B76">
      <w:trPr>
        <w:trHeight w:val="187"/>
      </w:trPr>
      <w:tc>
        <w:tcPr>
          <w:tcW w:w="3218" w:type="pct"/>
        </w:tcPr>
        <w:p w14:paraId="2A65E437" w14:textId="77777777" w:rsidR="00C77FCE" w:rsidRPr="00063078" w:rsidRDefault="00C77FCE" w:rsidP="00B42B76">
          <w:pPr>
            <w:pStyle w:val="Footer"/>
            <w:rPr>
              <w:szCs w:val="16"/>
            </w:rPr>
          </w:pPr>
          <w:r>
            <w:rPr>
              <w:szCs w:val="16"/>
            </w:rPr>
            <w:t>Review of the General Miscellaneous Category of the Prostheses List</w:t>
          </w:r>
        </w:p>
      </w:tc>
      <w:tc>
        <w:tcPr>
          <w:tcW w:w="1782" w:type="pct"/>
        </w:tcPr>
        <w:p w14:paraId="21F0E980" w14:textId="14CE59A0" w:rsidR="00C77FCE" w:rsidRDefault="00C77FCE" w:rsidP="00B42B76">
          <w:pPr>
            <w:pStyle w:val="Footer"/>
            <w:jc w:val="right"/>
            <w:rPr>
              <w:szCs w:val="16"/>
            </w:rPr>
          </w:pPr>
          <w:r w:rsidRPr="00625D2E">
            <w:rPr>
              <w:rFonts w:ascii="Symbol" w:eastAsia="Symbol" w:hAnsi="Symbol" w:cs="Symbol"/>
              <w:szCs w:val="16"/>
            </w:rPr>
            <w:t></w:t>
          </w:r>
          <w:r w:rsidRPr="00625D2E">
            <w:rPr>
              <w:szCs w:val="16"/>
            </w:rPr>
            <w:t xml:space="preserve"> </w:t>
          </w:r>
          <w:r>
            <w:rPr>
              <w:szCs w:val="16"/>
            </w:rPr>
            <w:t xml:space="preserve"> </w:t>
          </w:r>
          <w:r w:rsidRPr="00D3139D">
            <w:rPr>
              <w:szCs w:val="16"/>
            </w:rPr>
            <w:fldChar w:fldCharType="begin"/>
          </w:r>
          <w:r w:rsidRPr="00D3139D">
            <w:rPr>
              <w:szCs w:val="16"/>
            </w:rPr>
            <w:instrText xml:space="preserve"> PAGE </w:instrText>
          </w:r>
          <w:r w:rsidRPr="00D3139D">
            <w:rPr>
              <w:szCs w:val="16"/>
            </w:rPr>
            <w:fldChar w:fldCharType="separate"/>
          </w:r>
          <w:r w:rsidR="00FC6370">
            <w:rPr>
              <w:noProof/>
              <w:szCs w:val="16"/>
            </w:rPr>
            <w:t>i</w:t>
          </w:r>
          <w:r w:rsidRPr="00D3139D">
            <w:rPr>
              <w:szCs w:val="16"/>
            </w:rPr>
            <w:fldChar w:fldCharType="end"/>
          </w:r>
        </w:p>
      </w:tc>
    </w:tr>
  </w:tbl>
  <w:p w14:paraId="0EB16472" w14:textId="77777777" w:rsidR="00C77FCE" w:rsidRPr="00B42B76" w:rsidRDefault="00C77FCE">
    <w:pPr>
      <w:pStyle w:val="Foote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left w:w="0" w:type="dxa"/>
      </w:tblCellMar>
      <w:tblLook w:val="0000" w:firstRow="0" w:lastRow="0" w:firstColumn="0" w:lastColumn="0" w:noHBand="0" w:noVBand="0"/>
    </w:tblPr>
    <w:tblGrid>
      <w:gridCol w:w="7655"/>
      <w:gridCol w:w="1374"/>
    </w:tblGrid>
    <w:tr w:rsidR="00C77FCE" w14:paraId="05816F0A" w14:textId="77777777" w:rsidTr="00784DE2">
      <w:trPr>
        <w:trHeight w:val="187"/>
      </w:trPr>
      <w:tc>
        <w:tcPr>
          <w:tcW w:w="4239" w:type="pct"/>
        </w:tcPr>
        <w:p w14:paraId="34976D65" w14:textId="77777777" w:rsidR="00C77FCE" w:rsidRPr="00063078" w:rsidRDefault="00C77FCE" w:rsidP="00B42B76">
          <w:pPr>
            <w:pStyle w:val="Footer"/>
            <w:rPr>
              <w:szCs w:val="16"/>
            </w:rPr>
          </w:pPr>
          <w:r>
            <w:rPr>
              <w:szCs w:val="16"/>
            </w:rPr>
            <w:t>Department of Health</w:t>
          </w:r>
        </w:p>
      </w:tc>
      <w:tc>
        <w:tcPr>
          <w:tcW w:w="761" w:type="pct"/>
        </w:tcPr>
        <w:p w14:paraId="304C9874" w14:textId="77777777" w:rsidR="00C77FCE" w:rsidRPr="00625D2E" w:rsidRDefault="00C77FCE" w:rsidP="00B42B76">
          <w:pPr>
            <w:pStyle w:val="Footer"/>
            <w:rPr>
              <w:szCs w:val="16"/>
            </w:rPr>
          </w:pPr>
        </w:p>
      </w:tc>
    </w:tr>
    <w:tr w:rsidR="00C77FCE" w14:paraId="1684EA1F" w14:textId="77777777" w:rsidTr="00784DE2">
      <w:trPr>
        <w:trHeight w:val="187"/>
      </w:trPr>
      <w:tc>
        <w:tcPr>
          <w:tcW w:w="4239" w:type="pct"/>
        </w:tcPr>
        <w:p w14:paraId="518D7E64" w14:textId="77777777" w:rsidR="00C77FCE" w:rsidRPr="00063078" w:rsidRDefault="00C77FCE" w:rsidP="00B42B76">
          <w:pPr>
            <w:pStyle w:val="Footer"/>
            <w:rPr>
              <w:szCs w:val="16"/>
            </w:rPr>
          </w:pPr>
          <w:r>
            <w:rPr>
              <w:szCs w:val="16"/>
            </w:rPr>
            <w:t>Review of the General Miscellaneous Category of the Prostheses List</w:t>
          </w:r>
        </w:p>
      </w:tc>
      <w:tc>
        <w:tcPr>
          <w:tcW w:w="761" w:type="pct"/>
        </w:tcPr>
        <w:p w14:paraId="3C369F2A" w14:textId="3644C0CE" w:rsidR="00C77FCE" w:rsidRDefault="00C77FCE" w:rsidP="00B42B76">
          <w:pPr>
            <w:pStyle w:val="Footer"/>
            <w:jc w:val="right"/>
            <w:rPr>
              <w:szCs w:val="16"/>
            </w:rPr>
          </w:pPr>
          <w:r w:rsidRPr="00625D2E">
            <w:rPr>
              <w:rFonts w:ascii="Symbol" w:eastAsia="Symbol" w:hAnsi="Symbol" w:cs="Symbol"/>
              <w:szCs w:val="16"/>
            </w:rPr>
            <w:t></w:t>
          </w:r>
          <w:r w:rsidRPr="00625D2E">
            <w:rPr>
              <w:szCs w:val="16"/>
            </w:rPr>
            <w:t xml:space="preserve"> </w:t>
          </w:r>
          <w:r>
            <w:rPr>
              <w:szCs w:val="16"/>
            </w:rPr>
            <w:t xml:space="preserve"> </w:t>
          </w:r>
          <w:r w:rsidRPr="00D3139D">
            <w:rPr>
              <w:szCs w:val="16"/>
            </w:rPr>
            <w:fldChar w:fldCharType="begin"/>
          </w:r>
          <w:r w:rsidRPr="00D3139D">
            <w:rPr>
              <w:szCs w:val="16"/>
            </w:rPr>
            <w:instrText xml:space="preserve"> PAGE </w:instrText>
          </w:r>
          <w:r w:rsidRPr="00D3139D">
            <w:rPr>
              <w:szCs w:val="16"/>
            </w:rPr>
            <w:fldChar w:fldCharType="separate"/>
          </w:r>
          <w:r w:rsidR="00FC6370">
            <w:rPr>
              <w:noProof/>
              <w:szCs w:val="16"/>
            </w:rPr>
            <w:t>17</w:t>
          </w:r>
          <w:r w:rsidRPr="00D3139D">
            <w:rPr>
              <w:szCs w:val="16"/>
            </w:rPr>
            <w:fldChar w:fldCharType="end"/>
          </w:r>
        </w:p>
      </w:tc>
    </w:tr>
  </w:tbl>
  <w:p w14:paraId="04167544" w14:textId="77777777" w:rsidR="00C77FCE" w:rsidRPr="00B42B76" w:rsidRDefault="00C77FCE">
    <w:pPr>
      <w:pStyle w:val="Footer"/>
      <w:rPr>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left w:w="0" w:type="dxa"/>
      </w:tblCellMar>
      <w:tblLook w:val="0000" w:firstRow="0" w:lastRow="0" w:firstColumn="0" w:lastColumn="0" w:noHBand="0" w:noVBand="0"/>
    </w:tblPr>
    <w:tblGrid>
      <w:gridCol w:w="12333"/>
      <w:gridCol w:w="1621"/>
    </w:tblGrid>
    <w:tr w:rsidR="00C77FCE" w14:paraId="50292F5B" w14:textId="77777777" w:rsidTr="00BE7613">
      <w:trPr>
        <w:trHeight w:val="187"/>
      </w:trPr>
      <w:tc>
        <w:tcPr>
          <w:tcW w:w="4419" w:type="pct"/>
        </w:tcPr>
        <w:p w14:paraId="0772E636" w14:textId="77777777" w:rsidR="00C77FCE" w:rsidRPr="00063078" w:rsidRDefault="00C77FCE" w:rsidP="00AF1D4E">
          <w:pPr>
            <w:pStyle w:val="Footer"/>
            <w:rPr>
              <w:szCs w:val="16"/>
            </w:rPr>
          </w:pPr>
          <w:r>
            <w:rPr>
              <w:szCs w:val="16"/>
            </w:rPr>
            <w:t>Department of Health</w:t>
          </w:r>
        </w:p>
      </w:tc>
      <w:tc>
        <w:tcPr>
          <w:tcW w:w="581" w:type="pct"/>
        </w:tcPr>
        <w:p w14:paraId="5DF66262" w14:textId="77777777" w:rsidR="00C77FCE" w:rsidRPr="00625D2E" w:rsidRDefault="00C77FCE" w:rsidP="00AF1D4E">
          <w:pPr>
            <w:pStyle w:val="Footer"/>
            <w:rPr>
              <w:szCs w:val="16"/>
            </w:rPr>
          </w:pPr>
        </w:p>
      </w:tc>
    </w:tr>
    <w:tr w:rsidR="00C77FCE" w14:paraId="1934050D" w14:textId="77777777" w:rsidTr="00BE7613">
      <w:trPr>
        <w:trHeight w:val="187"/>
      </w:trPr>
      <w:tc>
        <w:tcPr>
          <w:tcW w:w="4419" w:type="pct"/>
        </w:tcPr>
        <w:p w14:paraId="570A8329" w14:textId="77777777" w:rsidR="00C77FCE" w:rsidRPr="00063078" w:rsidRDefault="00C77FCE" w:rsidP="00AF1D4E">
          <w:pPr>
            <w:pStyle w:val="Footer"/>
            <w:rPr>
              <w:szCs w:val="16"/>
            </w:rPr>
          </w:pPr>
          <w:r>
            <w:rPr>
              <w:szCs w:val="16"/>
            </w:rPr>
            <w:t>Review of the General Miscellaneous Category of the Prostheses List</w:t>
          </w:r>
        </w:p>
      </w:tc>
      <w:tc>
        <w:tcPr>
          <w:tcW w:w="581" w:type="pct"/>
        </w:tcPr>
        <w:p w14:paraId="49569236" w14:textId="36D812AD" w:rsidR="00C77FCE" w:rsidRDefault="00C77FCE" w:rsidP="00AF1D4E">
          <w:pPr>
            <w:pStyle w:val="Footer"/>
            <w:jc w:val="right"/>
            <w:rPr>
              <w:szCs w:val="16"/>
            </w:rPr>
          </w:pPr>
          <w:r w:rsidRPr="00625D2E">
            <w:rPr>
              <w:rFonts w:ascii="Symbol" w:eastAsia="Symbol" w:hAnsi="Symbol" w:cs="Symbol"/>
              <w:szCs w:val="16"/>
            </w:rPr>
            <w:t></w:t>
          </w:r>
          <w:r w:rsidRPr="00625D2E">
            <w:rPr>
              <w:szCs w:val="16"/>
            </w:rPr>
            <w:t xml:space="preserve"> </w:t>
          </w:r>
          <w:r>
            <w:rPr>
              <w:szCs w:val="16"/>
            </w:rPr>
            <w:t xml:space="preserve"> </w:t>
          </w:r>
          <w:r w:rsidRPr="00D3139D">
            <w:rPr>
              <w:szCs w:val="16"/>
            </w:rPr>
            <w:fldChar w:fldCharType="begin"/>
          </w:r>
          <w:r w:rsidRPr="00D3139D">
            <w:rPr>
              <w:szCs w:val="16"/>
            </w:rPr>
            <w:instrText xml:space="preserve"> PAGE </w:instrText>
          </w:r>
          <w:r w:rsidRPr="00D3139D">
            <w:rPr>
              <w:szCs w:val="16"/>
            </w:rPr>
            <w:fldChar w:fldCharType="separate"/>
          </w:r>
          <w:r w:rsidR="00FC6370">
            <w:rPr>
              <w:noProof/>
              <w:szCs w:val="16"/>
            </w:rPr>
            <w:t>24</w:t>
          </w:r>
          <w:r w:rsidRPr="00D3139D">
            <w:rPr>
              <w:szCs w:val="16"/>
            </w:rPr>
            <w:fldChar w:fldCharType="end"/>
          </w:r>
        </w:p>
      </w:tc>
    </w:tr>
  </w:tbl>
  <w:p w14:paraId="7BB2789E" w14:textId="77777777" w:rsidR="00C77FCE" w:rsidRPr="00E462BE" w:rsidRDefault="00C77FCE" w:rsidP="00C73219">
    <w:pPr>
      <w:pStyle w:val="Footer"/>
      <w:rPr>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left w:w="0" w:type="dxa"/>
      </w:tblCellMar>
      <w:tblLook w:val="0000" w:firstRow="0" w:lastRow="0" w:firstColumn="0" w:lastColumn="0" w:noHBand="0" w:noVBand="0"/>
    </w:tblPr>
    <w:tblGrid>
      <w:gridCol w:w="7980"/>
      <w:gridCol w:w="1049"/>
    </w:tblGrid>
    <w:tr w:rsidR="00C77FCE" w14:paraId="0DE7AEF0" w14:textId="77777777" w:rsidTr="00BE7613">
      <w:trPr>
        <w:trHeight w:val="187"/>
      </w:trPr>
      <w:tc>
        <w:tcPr>
          <w:tcW w:w="4419" w:type="pct"/>
        </w:tcPr>
        <w:p w14:paraId="6ACC4A3B" w14:textId="77777777" w:rsidR="00C77FCE" w:rsidRPr="00063078" w:rsidRDefault="00C77FCE" w:rsidP="00AF1D4E">
          <w:pPr>
            <w:pStyle w:val="Footer"/>
            <w:rPr>
              <w:szCs w:val="16"/>
            </w:rPr>
          </w:pPr>
          <w:r>
            <w:rPr>
              <w:szCs w:val="16"/>
            </w:rPr>
            <w:t>Department of Health</w:t>
          </w:r>
        </w:p>
      </w:tc>
      <w:tc>
        <w:tcPr>
          <w:tcW w:w="581" w:type="pct"/>
        </w:tcPr>
        <w:p w14:paraId="3A489778" w14:textId="77777777" w:rsidR="00C77FCE" w:rsidRPr="00625D2E" w:rsidRDefault="00C77FCE" w:rsidP="00AF1D4E">
          <w:pPr>
            <w:pStyle w:val="Footer"/>
            <w:rPr>
              <w:szCs w:val="16"/>
            </w:rPr>
          </w:pPr>
        </w:p>
      </w:tc>
    </w:tr>
    <w:tr w:rsidR="00C77FCE" w14:paraId="7B1121B6" w14:textId="77777777" w:rsidTr="00BE7613">
      <w:trPr>
        <w:trHeight w:val="187"/>
      </w:trPr>
      <w:tc>
        <w:tcPr>
          <w:tcW w:w="4419" w:type="pct"/>
        </w:tcPr>
        <w:p w14:paraId="0C2EE696" w14:textId="77777777" w:rsidR="00C77FCE" w:rsidRPr="00063078" w:rsidRDefault="00C77FCE" w:rsidP="00AF1D4E">
          <w:pPr>
            <w:pStyle w:val="Footer"/>
            <w:rPr>
              <w:szCs w:val="16"/>
            </w:rPr>
          </w:pPr>
          <w:r>
            <w:rPr>
              <w:szCs w:val="16"/>
            </w:rPr>
            <w:t>Review of the General Miscellaneous Category of the Prostheses List</w:t>
          </w:r>
        </w:p>
      </w:tc>
      <w:tc>
        <w:tcPr>
          <w:tcW w:w="581" w:type="pct"/>
        </w:tcPr>
        <w:p w14:paraId="7E50C136" w14:textId="70034F1F" w:rsidR="00C77FCE" w:rsidRDefault="00C77FCE" w:rsidP="00AF1D4E">
          <w:pPr>
            <w:pStyle w:val="Footer"/>
            <w:jc w:val="right"/>
            <w:rPr>
              <w:szCs w:val="16"/>
            </w:rPr>
          </w:pPr>
          <w:r w:rsidRPr="00625D2E">
            <w:rPr>
              <w:rFonts w:ascii="Symbol" w:eastAsia="Symbol" w:hAnsi="Symbol" w:cs="Symbol"/>
              <w:szCs w:val="16"/>
            </w:rPr>
            <w:t></w:t>
          </w:r>
          <w:r w:rsidRPr="00625D2E">
            <w:rPr>
              <w:szCs w:val="16"/>
            </w:rPr>
            <w:t xml:space="preserve"> </w:t>
          </w:r>
          <w:r>
            <w:rPr>
              <w:szCs w:val="16"/>
            </w:rPr>
            <w:t xml:space="preserve"> </w:t>
          </w:r>
          <w:r w:rsidRPr="00D3139D">
            <w:rPr>
              <w:szCs w:val="16"/>
            </w:rPr>
            <w:fldChar w:fldCharType="begin"/>
          </w:r>
          <w:r w:rsidRPr="00D3139D">
            <w:rPr>
              <w:szCs w:val="16"/>
            </w:rPr>
            <w:instrText xml:space="preserve"> PAGE </w:instrText>
          </w:r>
          <w:r w:rsidRPr="00D3139D">
            <w:rPr>
              <w:szCs w:val="16"/>
            </w:rPr>
            <w:fldChar w:fldCharType="separate"/>
          </w:r>
          <w:r w:rsidR="00FC6370">
            <w:rPr>
              <w:noProof/>
              <w:szCs w:val="16"/>
            </w:rPr>
            <w:t>104</w:t>
          </w:r>
          <w:r w:rsidRPr="00D3139D">
            <w:rPr>
              <w:szCs w:val="16"/>
            </w:rPr>
            <w:fldChar w:fldCharType="end"/>
          </w:r>
        </w:p>
      </w:tc>
    </w:tr>
  </w:tbl>
  <w:p w14:paraId="5B472EF0" w14:textId="77777777" w:rsidR="00C77FCE" w:rsidRPr="00E462BE" w:rsidRDefault="00C77FCE" w:rsidP="00C73219">
    <w:pPr>
      <w:pStyle w:val="Footer"/>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BD59A0" w14:textId="77777777" w:rsidR="00C77FCE" w:rsidRPr="00BE7613" w:rsidRDefault="00C77FCE">
    <w:pPr>
      <w:pStyle w:val="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5D93CC" w14:textId="77777777" w:rsidR="00C77FCE" w:rsidRDefault="00C77FCE">
      <w:r>
        <w:separator/>
      </w:r>
    </w:p>
  </w:footnote>
  <w:footnote w:type="continuationSeparator" w:id="0">
    <w:p w14:paraId="5D50E97F" w14:textId="77777777" w:rsidR="00C77FCE" w:rsidRDefault="00C77FCE">
      <w:r>
        <w:continuationSeparator/>
      </w:r>
    </w:p>
  </w:footnote>
  <w:footnote w:type="continuationNotice" w:id="1">
    <w:p w14:paraId="0AC41EF5" w14:textId="77777777" w:rsidR="00C77FCE" w:rsidRDefault="00C77FCE"/>
  </w:footnote>
  <w:footnote w:id="2">
    <w:p w14:paraId="1FF351B6" w14:textId="5F6A10D5" w:rsidR="00C77FCE" w:rsidRDefault="00C77FCE" w:rsidP="00B4269F">
      <w:pPr>
        <w:pStyle w:val="FootnoteText"/>
      </w:pPr>
      <w:r>
        <w:rPr>
          <w:rStyle w:val="FootnoteReference"/>
        </w:rPr>
        <w:footnoteRef/>
      </w:r>
      <w:r>
        <w:t xml:space="preserve"> From the HCP1 dataset, which is 90% complete for FY19 – see Section </w:t>
      </w:r>
      <w:r>
        <w:fldChar w:fldCharType="begin"/>
      </w:r>
      <w:r>
        <w:instrText xml:space="preserve"> REF _Ref39672211 \r \h </w:instrText>
      </w:r>
      <w:r>
        <w:fldChar w:fldCharType="separate"/>
      </w:r>
      <w:r>
        <w:t>3.2.2</w:t>
      </w:r>
      <w:r>
        <w:fldChar w:fldCharType="end"/>
      </w:r>
    </w:p>
  </w:footnote>
  <w:footnote w:id="3">
    <w:p w14:paraId="54928217" w14:textId="486B0E7B" w:rsidR="00C77FCE" w:rsidRDefault="00C77FCE" w:rsidP="00B4269F">
      <w:pPr>
        <w:pStyle w:val="FootnoteText"/>
      </w:pPr>
      <w:r>
        <w:rPr>
          <w:rStyle w:val="FootnoteReference"/>
        </w:rPr>
        <w:footnoteRef/>
      </w:r>
      <w:r>
        <w:t xml:space="preserve"> From the HCP1 dataset, which is 90% complete for FY19 – see Section </w:t>
      </w:r>
      <w:r>
        <w:fldChar w:fldCharType="begin"/>
      </w:r>
      <w:r>
        <w:instrText xml:space="preserve"> REF _Ref39672211 \r \h </w:instrText>
      </w:r>
      <w:r>
        <w:fldChar w:fldCharType="separate"/>
      </w:r>
      <w:r>
        <w:t>3.2.2</w:t>
      </w:r>
      <w:r>
        <w:fldChar w:fldCharType="end"/>
      </w:r>
    </w:p>
  </w:footnote>
  <w:footnote w:id="4">
    <w:p w14:paraId="36D82306" w14:textId="77777777" w:rsidR="00C77FCE" w:rsidRDefault="00C77FCE" w:rsidP="00D74054">
      <w:pPr>
        <w:pStyle w:val="FootnoteText"/>
      </w:pPr>
      <w:r>
        <w:rPr>
          <w:rStyle w:val="FootnoteReference"/>
        </w:rPr>
        <w:footnoteRef/>
      </w:r>
      <w:r>
        <w:t xml:space="preserve"> Activity based funding for Australian public hospitals: Towards a pricing framework (Independent Hospital Pricing Authority, 21 December 2011)</w:t>
      </w:r>
    </w:p>
  </w:footnote>
  <w:footnote w:id="5">
    <w:p w14:paraId="1CC464BD" w14:textId="77777777" w:rsidR="00C77FCE" w:rsidRDefault="00C77FCE" w:rsidP="00D74054">
      <w:pPr>
        <w:pStyle w:val="FootnoteText"/>
      </w:pPr>
      <w:r>
        <w:rPr>
          <w:rStyle w:val="FootnoteReference"/>
        </w:rPr>
        <w:footnoteRef/>
      </w:r>
      <w:r>
        <w:t xml:space="preserve"> A healthier future for all Australians (National Health and Hospitals Reform Commission, June 2009)</w:t>
      </w:r>
    </w:p>
  </w:footnote>
  <w:footnote w:id="6">
    <w:p w14:paraId="53A9E916" w14:textId="47121121" w:rsidR="00C77FCE" w:rsidRDefault="00C77FCE">
      <w:pPr>
        <w:pStyle w:val="FootnoteText"/>
      </w:pPr>
      <w:r>
        <w:rPr>
          <w:rStyle w:val="FootnoteReference"/>
        </w:rPr>
        <w:footnoteRef/>
      </w:r>
      <w:r>
        <w:t xml:space="preserve"> </w:t>
      </w:r>
      <w:r w:rsidRPr="00AB20F8">
        <w:t>https://www.sira.nsw.gov.au/__data/assets/pdf_file/0019/613009/Private-Hospital-Maximum-Rates-Order-2020.pdf</w:t>
      </w:r>
    </w:p>
  </w:footnote>
  <w:footnote w:id="7">
    <w:p w14:paraId="6624BCFC" w14:textId="04244721" w:rsidR="00C77FCE" w:rsidRDefault="00C77FCE">
      <w:pPr>
        <w:pStyle w:val="FootnoteText"/>
      </w:pPr>
      <w:r>
        <w:rPr>
          <w:rStyle w:val="FootnoteReference"/>
        </w:rPr>
        <w:footnoteRef/>
      </w:r>
      <w:r>
        <w:t xml:space="preserve"> </w:t>
      </w:r>
      <w:hyperlink r:id="rId1" w:history="1">
        <w:r w:rsidRPr="00463B2D">
          <w:t>https://www.mtaa.org.au/sites/default/files/uploaded-content/field_f_content_file/affordability_of_medical_devices_agreement_between_government_and_mtaa.pdf</w:t>
        </w:r>
      </w:hyperlink>
    </w:p>
  </w:footnote>
  <w:footnote w:id="8">
    <w:p w14:paraId="1395976E" w14:textId="77777777" w:rsidR="00C77FCE" w:rsidRDefault="00C77FCE" w:rsidP="00C36117">
      <w:pPr>
        <w:pStyle w:val="FootnoteText"/>
      </w:pPr>
      <w:r>
        <w:rPr>
          <w:rStyle w:val="FootnoteReference"/>
        </w:rPr>
        <w:footnoteRef/>
      </w:r>
      <w:r>
        <w:t xml:space="preserve"> </w:t>
      </w:r>
      <w:r w:rsidRPr="00001C0C">
        <w:rPr>
          <w:szCs w:val="16"/>
        </w:rPr>
        <w:t>See</w:t>
      </w:r>
      <w:r>
        <w:t xml:space="preserve"> </w:t>
      </w:r>
      <w:hyperlink r:id="rId2" w:history="1">
        <w:r w:rsidRPr="00001C0C">
          <w:rPr>
            <w:rStyle w:val="Hyperlink"/>
            <w:sz w:val="16"/>
            <w:szCs w:val="16"/>
          </w:rPr>
          <w:t>https://www1.health.gov.au/internet/main/publishing.nsf/Content/health-casemix-data-collections-about-HCP</w:t>
        </w:r>
      </w:hyperlink>
    </w:p>
  </w:footnote>
  <w:footnote w:id="9">
    <w:p w14:paraId="6CDF2017" w14:textId="77777777" w:rsidR="00C77FCE" w:rsidRDefault="00C77FCE">
      <w:pPr>
        <w:pStyle w:val="FootnoteText"/>
      </w:pPr>
      <w:r>
        <w:rPr>
          <w:rStyle w:val="FootnoteReference"/>
        </w:rPr>
        <w:footnoteRef/>
      </w:r>
      <w:r>
        <w:t xml:space="preserve"> Spinal surgery was split out from neurosurgery on the MBS in 2018. They have been combined together in this analysis due to spinal surgery only having a single financial year of data available.</w:t>
      </w:r>
    </w:p>
  </w:footnote>
  <w:footnote w:id="10">
    <w:p w14:paraId="7470CCA9" w14:textId="77777777" w:rsidR="00C77FCE" w:rsidRDefault="00C77FCE" w:rsidP="00AB20F8">
      <w:pPr>
        <w:pStyle w:val="FootnoteText"/>
      </w:pPr>
      <w:r>
        <w:rPr>
          <w:rStyle w:val="FootnoteReference"/>
        </w:rPr>
        <w:footnoteRef/>
      </w:r>
      <w:r>
        <w:t xml:space="preserve"> Activity based funding for Australian public hospitals: Towards a pricing framework (Independent Hospital Pricing Authority, 21 December 2011)</w:t>
      </w:r>
    </w:p>
  </w:footnote>
  <w:footnote w:id="11">
    <w:p w14:paraId="266867A8" w14:textId="77777777" w:rsidR="00C77FCE" w:rsidRDefault="00C77FCE" w:rsidP="00AB20F8">
      <w:pPr>
        <w:pStyle w:val="FootnoteText"/>
      </w:pPr>
      <w:r>
        <w:rPr>
          <w:rStyle w:val="FootnoteReference"/>
        </w:rPr>
        <w:footnoteRef/>
      </w:r>
      <w:r>
        <w:t xml:space="preserve"> A healthier future for all Australians (National Health and Hospitals Reform Commission, June 2009)</w:t>
      </w:r>
    </w:p>
  </w:footnote>
  <w:footnote w:id="12">
    <w:p w14:paraId="03E4270B" w14:textId="77777777" w:rsidR="00C77FCE" w:rsidRDefault="00C77FCE" w:rsidP="00AB20F8">
      <w:pPr>
        <w:pStyle w:val="FootnoteText"/>
      </w:pPr>
      <w:r>
        <w:rPr>
          <w:rStyle w:val="FootnoteReference"/>
        </w:rPr>
        <w:footnoteRef/>
      </w:r>
      <w:r>
        <w:t xml:space="preserve"> </w:t>
      </w:r>
      <w:r w:rsidRPr="00AB20F8">
        <w:t>https://www.sira.nsw.gov.au/__data/assets/pdf_file/0019/613009/Private-Hospital-Maximum-Rates-Order-2020.pdf</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4CC73A" w14:textId="2E878607" w:rsidR="00C77FCE" w:rsidRPr="00E462BE" w:rsidRDefault="00C77FCE" w:rsidP="00463B2D">
    <w:pPr>
      <w:ind w:left="-567"/>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7B91EF" w14:textId="077C2BFD" w:rsidR="00C77FCE" w:rsidRPr="00E462BE" w:rsidRDefault="00C77FCE" w:rsidP="00463B2D"/>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67C773" w14:textId="77777777" w:rsidR="00C77FCE" w:rsidRPr="00094D83" w:rsidRDefault="00C77FCE" w:rsidP="00C73219"/>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40117"/>
    <w:multiLevelType w:val="hybridMultilevel"/>
    <w:tmpl w:val="E3003098"/>
    <w:lvl w:ilvl="0" w:tplc="0C09000F">
      <w:start w:val="1"/>
      <w:numFmt w:val="decimal"/>
      <w:lvlText w:val="%1."/>
      <w:lvlJc w:val="left"/>
      <w:pPr>
        <w:ind w:left="720" w:hanging="360"/>
      </w:pPr>
      <w:rPr>
        <w:rFonts w:hint="default"/>
        <w:color w:val="FFE600"/>
        <w:sz w:val="16"/>
        <w:szCs w:val="1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5C514A8"/>
    <w:multiLevelType w:val="multilevel"/>
    <w:tmpl w:val="5D727B72"/>
    <w:lvl w:ilvl="0">
      <w:start w:val="1"/>
      <w:numFmt w:val="decimal"/>
      <w:lvlRestart w:val="0"/>
      <w:pStyle w:val="EYHeading1"/>
      <w:lvlText w:val="%1."/>
      <w:lvlJc w:val="left"/>
      <w:pPr>
        <w:ind w:left="851" w:hanging="851"/>
      </w:pPr>
      <w:rPr>
        <w:rFonts w:asciiTheme="minorHAnsi" w:hAnsiTheme="minorHAnsi" w:cstheme="minorHAnsi" w:hint="default"/>
        <w:b/>
        <w:i w:val="0"/>
        <w:color w:val="747480"/>
        <w:sz w:val="32"/>
      </w:rPr>
    </w:lvl>
    <w:lvl w:ilvl="1">
      <w:start w:val="1"/>
      <w:numFmt w:val="decimal"/>
      <w:pStyle w:val="EYHeading2"/>
      <w:lvlText w:val="%1.%2"/>
      <w:lvlJc w:val="left"/>
      <w:pPr>
        <w:tabs>
          <w:tab w:val="num" w:pos="1560"/>
        </w:tabs>
        <w:ind w:left="2411" w:hanging="851"/>
      </w:pPr>
      <w:rPr>
        <w:rFonts w:asciiTheme="minorHAnsi" w:hAnsiTheme="minorHAnsi" w:cstheme="minorHAnsi" w:hint="default"/>
        <w:b/>
        <w:i w:val="0"/>
        <w:color w:val="000000"/>
        <w:sz w:val="28"/>
      </w:rPr>
    </w:lvl>
    <w:lvl w:ilvl="2">
      <w:start w:val="1"/>
      <w:numFmt w:val="decimal"/>
      <w:pStyle w:val="EYHeading3"/>
      <w:lvlText w:val="%1.%2.%3"/>
      <w:lvlJc w:val="left"/>
      <w:pPr>
        <w:tabs>
          <w:tab w:val="num" w:pos="2411"/>
        </w:tabs>
        <w:ind w:left="3262" w:hanging="851"/>
      </w:pPr>
      <w:rPr>
        <w:rFonts w:asciiTheme="minorHAnsi" w:hAnsiTheme="minorHAnsi" w:cstheme="minorHAnsi" w:hint="default"/>
        <w:b/>
        <w:i w:val="0"/>
        <w:color w:val="000000"/>
        <w:sz w:val="26"/>
      </w:rPr>
    </w:lvl>
    <w:lvl w:ilvl="3">
      <w:start w:val="1"/>
      <w:numFmt w:val="decimal"/>
      <w:pStyle w:val="EYHeading4"/>
      <w:lvlText w:val="%1.%2.%3.%4"/>
      <w:lvlJc w:val="left"/>
      <w:pPr>
        <w:tabs>
          <w:tab w:val="num" w:pos="284"/>
        </w:tabs>
        <w:ind w:left="1135" w:hanging="851"/>
      </w:pPr>
      <w:rPr>
        <w:rFonts w:asciiTheme="minorHAnsi" w:hAnsiTheme="minorHAnsi" w:cstheme="minorHAnsi" w:hint="default"/>
        <w:b/>
        <w:i w:val="0"/>
        <w:color w:val="000000"/>
        <w:sz w:val="22"/>
      </w:rPr>
    </w:lvl>
    <w:lvl w:ilvl="4">
      <w:start w:val="1"/>
      <w:numFmt w:val="none"/>
      <w:lvlText w:val=""/>
      <w:lvlJc w:val="left"/>
      <w:pPr>
        <w:tabs>
          <w:tab w:val="num" w:pos="0"/>
        </w:tabs>
        <w:ind w:left="851" w:hanging="851"/>
      </w:pPr>
      <w:rPr>
        <w:rFonts w:hint="default"/>
      </w:rPr>
    </w:lvl>
    <w:lvl w:ilvl="5">
      <w:start w:val="1"/>
      <w:numFmt w:val="none"/>
      <w:lvlText w:val=""/>
      <w:lvlJc w:val="left"/>
      <w:pPr>
        <w:tabs>
          <w:tab w:val="num" w:pos="0"/>
        </w:tabs>
        <w:ind w:left="851" w:hanging="851"/>
      </w:pPr>
      <w:rPr>
        <w:rFonts w:hint="default"/>
      </w:rPr>
    </w:lvl>
    <w:lvl w:ilvl="6">
      <w:start w:val="1"/>
      <w:numFmt w:val="none"/>
      <w:lvlText w:val=""/>
      <w:lvlJc w:val="left"/>
      <w:pPr>
        <w:tabs>
          <w:tab w:val="num" w:pos="0"/>
        </w:tabs>
        <w:ind w:left="851" w:hanging="851"/>
      </w:pPr>
      <w:rPr>
        <w:rFonts w:hint="default"/>
      </w:rPr>
    </w:lvl>
    <w:lvl w:ilvl="7">
      <w:start w:val="1"/>
      <w:numFmt w:val="none"/>
      <w:lvlText w:val=""/>
      <w:lvlJc w:val="left"/>
      <w:pPr>
        <w:tabs>
          <w:tab w:val="num" w:pos="0"/>
        </w:tabs>
        <w:ind w:left="851" w:hanging="851"/>
      </w:pPr>
      <w:rPr>
        <w:rFonts w:hint="default"/>
      </w:rPr>
    </w:lvl>
    <w:lvl w:ilvl="8">
      <w:start w:val="1"/>
      <w:numFmt w:val="none"/>
      <w:lvlText w:val=""/>
      <w:lvlJc w:val="left"/>
      <w:pPr>
        <w:tabs>
          <w:tab w:val="num" w:pos="0"/>
        </w:tabs>
        <w:ind w:left="851" w:hanging="851"/>
      </w:pPr>
      <w:rPr>
        <w:rFonts w:hint="default"/>
      </w:rPr>
    </w:lvl>
  </w:abstractNum>
  <w:abstractNum w:abstractNumId="2" w15:restartNumberingAfterBreak="0">
    <w:nsid w:val="08E6149F"/>
    <w:multiLevelType w:val="hybridMultilevel"/>
    <w:tmpl w:val="B7667512"/>
    <w:lvl w:ilvl="0" w:tplc="0C09000F">
      <w:start w:val="1"/>
      <w:numFmt w:val="decimal"/>
      <w:lvlText w:val="%1."/>
      <w:lvlJc w:val="left"/>
      <w:pPr>
        <w:ind w:left="720" w:hanging="360"/>
      </w:pPr>
      <w:rPr>
        <w:rFonts w:hint="default"/>
      </w:rPr>
    </w:lvl>
    <w:lvl w:ilvl="1" w:tplc="D44051B6">
      <w:start w:val="1"/>
      <w:numFmt w:val="bullet"/>
      <w:lvlText w:val="●"/>
      <w:lvlJc w:val="left"/>
      <w:pPr>
        <w:ind w:left="1440" w:hanging="360"/>
      </w:pPr>
      <w:rPr>
        <w:rFonts w:ascii="Calibri" w:hAnsi="Calibri" w:hint="default"/>
        <w:color w:val="FFE600"/>
        <w:sz w:val="16"/>
        <w:szCs w:val="12"/>
      </w:rPr>
    </w:lvl>
    <w:lvl w:ilvl="2" w:tplc="0C09001B">
      <w:start w:val="1"/>
      <w:numFmt w:val="lowerRoman"/>
      <w:lvlText w:val="%3."/>
      <w:lvlJc w:val="right"/>
      <w:pPr>
        <w:ind w:left="2160" w:hanging="180"/>
      </w:pPr>
    </w:lvl>
    <w:lvl w:ilvl="3" w:tplc="A9E44476">
      <w:start w:val="1"/>
      <w:numFmt w:val="decimal"/>
      <w:lvlText w:val="%4."/>
      <w:lvlJc w:val="left"/>
      <w:pPr>
        <w:ind w:left="2880" w:hanging="360"/>
      </w:pPr>
      <w:rPr>
        <w:rFonts w:hint="default"/>
      </w:r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C607A08"/>
    <w:multiLevelType w:val="hybridMultilevel"/>
    <w:tmpl w:val="3766ADF6"/>
    <w:lvl w:ilvl="0" w:tplc="0C09000F">
      <w:start w:val="1"/>
      <w:numFmt w:val="decimal"/>
      <w:lvlText w:val="%1."/>
      <w:lvlJc w:val="left"/>
      <w:pPr>
        <w:ind w:left="720" w:hanging="360"/>
      </w:pPr>
      <w:rPr>
        <w:rFonts w:hint="default"/>
      </w:rPr>
    </w:lvl>
    <w:lvl w:ilvl="1" w:tplc="D44051B6">
      <w:start w:val="1"/>
      <w:numFmt w:val="bullet"/>
      <w:lvlText w:val="●"/>
      <w:lvlJc w:val="left"/>
      <w:pPr>
        <w:ind w:left="1440" w:hanging="360"/>
      </w:pPr>
      <w:rPr>
        <w:rFonts w:ascii="Calibri" w:hAnsi="Calibri" w:hint="default"/>
        <w:color w:val="FFE600"/>
        <w:sz w:val="16"/>
        <w:szCs w:val="12"/>
      </w:rPr>
    </w:lvl>
    <w:lvl w:ilvl="2" w:tplc="0C09001B">
      <w:start w:val="1"/>
      <w:numFmt w:val="lowerRoman"/>
      <w:lvlText w:val="%3."/>
      <w:lvlJc w:val="right"/>
      <w:pPr>
        <w:ind w:left="2160" w:hanging="180"/>
      </w:pPr>
    </w:lvl>
    <w:lvl w:ilvl="3" w:tplc="A9E44476">
      <w:start w:val="1"/>
      <w:numFmt w:val="decimal"/>
      <w:lvlText w:val="%4."/>
      <w:lvlJc w:val="left"/>
      <w:pPr>
        <w:ind w:left="2880" w:hanging="360"/>
      </w:pPr>
      <w:rPr>
        <w:rFonts w:hint="default"/>
      </w:r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3BD7B68"/>
    <w:multiLevelType w:val="hybridMultilevel"/>
    <w:tmpl w:val="CF74411E"/>
    <w:lvl w:ilvl="0" w:tplc="AB08D2AC">
      <w:start w:val="1"/>
      <w:numFmt w:val="decimal"/>
      <w:lvlText w:val="%1."/>
      <w:lvlJc w:val="left"/>
      <w:pPr>
        <w:ind w:left="924" w:hanging="564"/>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9C95747"/>
    <w:multiLevelType w:val="hybridMultilevel"/>
    <w:tmpl w:val="EA4C1D9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C43653B"/>
    <w:multiLevelType w:val="multilevel"/>
    <w:tmpl w:val="DBA260D0"/>
    <w:styleLink w:val="EYPlainBulletList"/>
    <w:lvl w:ilvl="0">
      <w:start w:val="1"/>
      <w:numFmt w:val="bullet"/>
      <w:pStyle w:val="Bulletnoparaspace"/>
      <w:lvlText w:val="●"/>
      <w:lvlJc w:val="left"/>
      <w:pPr>
        <w:ind w:left="425" w:hanging="425"/>
      </w:pPr>
      <w:rPr>
        <w:rFonts w:ascii="Calibri" w:hAnsi="Calibri" w:hint="default"/>
        <w:sz w:val="16"/>
      </w:rPr>
    </w:lvl>
    <w:lvl w:ilvl="1">
      <w:start w:val="1"/>
      <w:numFmt w:val="bullet"/>
      <w:lvlText w:val="●"/>
      <w:lvlJc w:val="left"/>
      <w:pPr>
        <w:ind w:left="850" w:hanging="425"/>
      </w:pPr>
      <w:rPr>
        <w:rFonts w:ascii="Calibri" w:hAnsi="Calibri" w:hint="default"/>
        <w:sz w:val="16"/>
      </w:rPr>
    </w:lvl>
    <w:lvl w:ilvl="2">
      <w:start w:val="1"/>
      <w:numFmt w:val="bullet"/>
      <w:lvlText w:val="●"/>
      <w:lvlJc w:val="left"/>
      <w:pPr>
        <w:ind w:left="1275" w:hanging="425"/>
      </w:pPr>
      <w:rPr>
        <w:rFonts w:ascii="Calibri" w:hAnsi="Calibri" w:hint="default"/>
        <w:sz w:val="16"/>
      </w:rPr>
    </w:lvl>
    <w:lvl w:ilvl="3">
      <w:start w:val="1"/>
      <w:numFmt w:val="bullet"/>
      <w:lvlText w:val="●"/>
      <w:lvlJc w:val="left"/>
      <w:pPr>
        <w:ind w:left="1700" w:hanging="425"/>
      </w:pPr>
      <w:rPr>
        <w:rFonts w:ascii="Calibri" w:hAnsi="Calibri" w:hint="default"/>
        <w:sz w:val="16"/>
      </w:rPr>
    </w:lvl>
    <w:lvl w:ilvl="4">
      <w:start w:val="1"/>
      <w:numFmt w:val="bullet"/>
      <w:lvlText w:val="●"/>
      <w:lvlJc w:val="left"/>
      <w:pPr>
        <w:ind w:left="2125" w:hanging="425"/>
      </w:pPr>
      <w:rPr>
        <w:rFonts w:ascii="Calibri" w:hAnsi="Calibri" w:hint="default"/>
        <w:sz w:val="16"/>
      </w:rPr>
    </w:lvl>
    <w:lvl w:ilvl="5">
      <w:start w:val="1"/>
      <w:numFmt w:val="bullet"/>
      <w:lvlText w:val="●"/>
      <w:lvlJc w:val="left"/>
      <w:pPr>
        <w:ind w:left="2550" w:hanging="425"/>
      </w:pPr>
      <w:rPr>
        <w:rFonts w:ascii="Calibri" w:hAnsi="Calibri" w:hint="default"/>
        <w:sz w:val="16"/>
      </w:rPr>
    </w:lvl>
    <w:lvl w:ilvl="6">
      <w:start w:val="1"/>
      <w:numFmt w:val="bullet"/>
      <w:lvlText w:val="●"/>
      <w:lvlJc w:val="left"/>
      <w:pPr>
        <w:ind w:left="2975" w:hanging="425"/>
      </w:pPr>
      <w:rPr>
        <w:rFonts w:ascii="Calibri" w:hAnsi="Calibri" w:hint="default"/>
        <w:sz w:val="16"/>
      </w:rPr>
    </w:lvl>
    <w:lvl w:ilvl="7">
      <w:start w:val="1"/>
      <w:numFmt w:val="bullet"/>
      <w:lvlText w:val="●"/>
      <w:lvlJc w:val="left"/>
      <w:pPr>
        <w:ind w:left="3400" w:hanging="425"/>
      </w:pPr>
      <w:rPr>
        <w:rFonts w:ascii="Calibri" w:hAnsi="Calibri" w:hint="default"/>
        <w:sz w:val="16"/>
      </w:rPr>
    </w:lvl>
    <w:lvl w:ilvl="8">
      <w:start w:val="1"/>
      <w:numFmt w:val="bullet"/>
      <w:lvlText w:val="●"/>
      <w:lvlJc w:val="left"/>
      <w:pPr>
        <w:ind w:left="3825" w:hanging="425"/>
      </w:pPr>
      <w:rPr>
        <w:rFonts w:ascii="Calibri" w:hAnsi="Calibri" w:hint="default"/>
        <w:sz w:val="16"/>
      </w:rPr>
    </w:lvl>
  </w:abstractNum>
  <w:abstractNum w:abstractNumId="7" w15:restartNumberingAfterBreak="0">
    <w:nsid w:val="1ECF2E98"/>
    <w:multiLevelType w:val="hybridMultilevel"/>
    <w:tmpl w:val="1434732A"/>
    <w:lvl w:ilvl="0" w:tplc="7CE0228E">
      <w:start w:val="1"/>
      <w:numFmt w:val="lowerLetter"/>
      <w:lvlText w:val="(%1)"/>
      <w:lvlJc w:val="left"/>
      <w:pPr>
        <w:ind w:left="1437" w:hanging="87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8" w15:restartNumberingAfterBreak="0">
    <w:nsid w:val="221D5CBC"/>
    <w:multiLevelType w:val="multilevel"/>
    <w:tmpl w:val="553650F2"/>
    <w:lvl w:ilvl="0">
      <w:start w:val="1"/>
      <w:numFmt w:val="decimal"/>
      <w:lvlText w:val="%1."/>
      <w:lvlJc w:val="left"/>
      <w:pPr>
        <w:ind w:left="425" w:hanging="425"/>
      </w:pPr>
      <w:rPr>
        <w:rFonts w:hint="default"/>
      </w:rPr>
    </w:lvl>
    <w:lvl w:ilvl="1">
      <w:start w:val="1"/>
      <w:numFmt w:val="lowerLetter"/>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9" w15:restartNumberingAfterBreak="0">
    <w:nsid w:val="23EE2069"/>
    <w:multiLevelType w:val="multilevel"/>
    <w:tmpl w:val="375C2696"/>
    <w:lvl w:ilvl="0">
      <w:start w:val="1"/>
      <w:numFmt w:val="decimal"/>
      <w:lvlText w:val="%1."/>
      <w:lvlJc w:val="left"/>
      <w:pPr>
        <w:ind w:left="425" w:hanging="425"/>
      </w:pPr>
      <w:rPr>
        <w:rFonts w:hint="default"/>
      </w:rPr>
    </w:lvl>
    <w:lvl w:ilvl="1">
      <w:start w:val="1"/>
      <w:numFmt w:val="lowerLetter"/>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0" w15:restartNumberingAfterBreak="0">
    <w:nsid w:val="2A8A3C47"/>
    <w:multiLevelType w:val="multilevel"/>
    <w:tmpl w:val="3EB4C92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309D2AB6"/>
    <w:multiLevelType w:val="hybridMultilevel"/>
    <w:tmpl w:val="6B74AF1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6476FB8"/>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3A63300C"/>
    <w:multiLevelType w:val="hybridMultilevel"/>
    <w:tmpl w:val="E0C0CC48"/>
    <w:lvl w:ilvl="0" w:tplc="287ED9EE">
      <w:start w:val="1"/>
      <w:numFmt w:val="bullet"/>
      <w:lvlText w:val="►"/>
      <w:lvlJc w:val="left"/>
      <w:pPr>
        <w:ind w:left="720" w:hanging="360"/>
      </w:pPr>
      <w:rPr>
        <w:rFonts w:ascii="Arial" w:hAnsi="Arial" w:hint="default"/>
        <w:color w:val="FFE600"/>
        <w:sz w:val="16"/>
        <w:szCs w:val="1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D2F0766"/>
    <w:multiLevelType w:val="multilevel"/>
    <w:tmpl w:val="E2C0633C"/>
    <w:numStyleLink w:val="EYBulletList"/>
  </w:abstractNum>
  <w:abstractNum w:abstractNumId="15" w15:restartNumberingAfterBreak="0">
    <w:nsid w:val="3E103ACB"/>
    <w:multiLevelType w:val="hybridMultilevel"/>
    <w:tmpl w:val="4246D98C"/>
    <w:lvl w:ilvl="0" w:tplc="7F427496">
      <w:start w:val="8084"/>
      <w:numFmt w:val="bullet"/>
      <w:lvlText w:val="-"/>
      <w:lvlJc w:val="left"/>
      <w:pPr>
        <w:ind w:left="720"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 w15:restartNumberingAfterBreak="0">
    <w:nsid w:val="447E4E06"/>
    <w:multiLevelType w:val="multilevel"/>
    <w:tmpl w:val="E2C0633C"/>
    <w:styleLink w:val="EYBulletList"/>
    <w:lvl w:ilvl="0">
      <w:start w:val="1"/>
      <w:numFmt w:val="bullet"/>
      <w:pStyle w:val="BulletedText1"/>
      <w:lvlText w:val="●"/>
      <w:lvlJc w:val="left"/>
      <w:pPr>
        <w:ind w:left="425" w:hanging="425"/>
      </w:pPr>
      <w:rPr>
        <w:rFonts w:ascii="Calibri" w:hAnsi="Calibri" w:hint="default"/>
        <w:color w:val="auto"/>
        <w:sz w:val="16"/>
        <w:szCs w:val="20"/>
      </w:rPr>
    </w:lvl>
    <w:lvl w:ilvl="1">
      <w:start w:val="1"/>
      <w:numFmt w:val="bullet"/>
      <w:pStyle w:val="BulletedText2"/>
      <w:lvlText w:val="●"/>
      <w:lvlJc w:val="left"/>
      <w:pPr>
        <w:ind w:left="850" w:hanging="425"/>
      </w:pPr>
      <w:rPr>
        <w:rFonts w:ascii="Calibri" w:hAnsi="Calibri" w:hint="default"/>
        <w:sz w:val="16"/>
      </w:rPr>
    </w:lvl>
    <w:lvl w:ilvl="2">
      <w:start w:val="1"/>
      <w:numFmt w:val="bullet"/>
      <w:pStyle w:val="BulletedText3"/>
      <w:lvlText w:val="●"/>
      <w:lvlJc w:val="left"/>
      <w:pPr>
        <w:ind w:left="1275" w:hanging="425"/>
      </w:pPr>
      <w:rPr>
        <w:rFonts w:ascii="Calibri" w:hAnsi="Calibri" w:hint="default"/>
        <w:sz w:val="16"/>
      </w:rPr>
    </w:lvl>
    <w:lvl w:ilvl="3">
      <w:start w:val="1"/>
      <w:numFmt w:val="bullet"/>
      <w:lvlText w:val="●"/>
      <w:lvlJc w:val="left"/>
      <w:pPr>
        <w:ind w:left="1700" w:hanging="425"/>
      </w:pPr>
      <w:rPr>
        <w:rFonts w:ascii="Calibri" w:hAnsi="Calibri" w:hint="default"/>
        <w:sz w:val="16"/>
      </w:rPr>
    </w:lvl>
    <w:lvl w:ilvl="4">
      <w:start w:val="1"/>
      <w:numFmt w:val="bullet"/>
      <w:lvlText w:val="●"/>
      <w:lvlJc w:val="left"/>
      <w:pPr>
        <w:ind w:left="2125" w:hanging="425"/>
      </w:pPr>
      <w:rPr>
        <w:rFonts w:ascii="Calibri" w:hAnsi="Calibri" w:hint="default"/>
        <w:sz w:val="16"/>
      </w:rPr>
    </w:lvl>
    <w:lvl w:ilvl="5">
      <w:start w:val="1"/>
      <w:numFmt w:val="bullet"/>
      <w:lvlText w:val="●"/>
      <w:lvlJc w:val="left"/>
      <w:pPr>
        <w:ind w:left="2550" w:hanging="425"/>
      </w:pPr>
      <w:rPr>
        <w:rFonts w:ascii="Calibri" w:hAnsi="Calibri" w:hint="default"/>
        <w:sz w:val="16"/>
      </w:rPr>
    </w:lvl>
    <w:lvl w:ilvl="6">
      <w:start w:val="1"/>
      <w:numFmt w:val="bullet"/>
      <w:lvlText w:val="●"/>
      <w:lvlJc w:val="left"/>
      <w:pPr>
        <w:ind w:left="2975" w:hanging="425"/>
      </w:pPr>
      <w:rPr>
        <w:rFonts w:ascii="Calibri" w:hAnsi="Calibri" w:hint="default"/>
        <w:sz w:val="16"/>
      </w:rPr>
    </w:lvl>
    <w:lvl w:ilvl="7">
      <w:start w:val="1"/>
      <w:numFmt w:val="bullet"/>
      <w:lvlText w:val="●"/>
      <w:lvlJc w:val="left"/>
      <w:pPr>
        <w:ind w:left="3400" w:hanging="425"/>
      </w:pPr>
      <w:rPr>
        <w:rFonts w:ascii="Calibri" w:hAnsi="Calibri" w:hint="default"/>
        <w:sz w:val="16"/>
      </w:rPr>
    </w:lvl>
    <w:lvl w:ilvl="8">
      <w:start w:val="1"/>
      <w:numFmt w:val="bullet"/>
      <w:lvlText w:val="●"/>
      <w:lvlJc w:val="left"/>
      <w:pPr>
        <w:ind w:left="3825" w:hanging="425"/>
      </w:pPr>
      <w:rPr>
        <w:rFonts w:ascii="Calibri" w:hAnsi="Calibri" w:hint="default"/>
        <w:sz w:val="16"/>
      </w:rPr>
    </w:lvl>
  </w:abstractNum>
  <w:abstractNum w:abstractNumId="17" w15:restartNumberingAfterBreak="0">
    <w:nsid w:val="4C18701D"/>
    <w:multiLevelType w:val="multilevel"/>
    <w:tmpl w:val="553650F2"/>
    <w:styleLink w:val="EYAlphaNumList"/>
    <w:lvl w:ilvl="0">
      <w:start w:val="1"/>
      <w:numFmt w:val="decimal"/>
      <w:lvlText w:val="%1."/>
      <w:lvlJc w:val="left"/>
      <w:pPr>
        <w:ind w:left="425" w:hanging="425"/>
      </w:pPr>
      <w:rPr>
        <w:rFonts w:hint="default"/>
      </w:rPr>
    </w:lvl>
    <w:lvl w:ilvl="1">
      <w:start w:val="1"/>
      <w:numFmt w:val="lowerLetter"/>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8" w15:restartNumberingAfterBreak="0">
    <w:nsid w:val="4F564B42"/>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15:restartNumberingAfterBreak="0">
    <w:nsid w:val="51A86B9E"/>
    <w:multiLevelType w:val="hybridMultilevel"/>
    <w:tmpl w:val="137AB52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80C0A02"/>
    <w:multiLevelType w:val="hybridMultilevel"/>
    <w:tmpl w:val="03728006"/>
    <w:lvl w:ilvl="0" w:tplc="D44051B6">
      <w:start w:val="1"/>
      <w:numFmt w:val="bullet"/>
      <w:lvlText w:val="●"/>
      <w:lvlJc w:val="left"/>
      <w:pPr>
        <w:ind w:left="720" w:hanging="360"/>
      </w:pPr>
      <w:rPr>
        <w:rFonts w:ascii="Calibri" w:hAnsi="Calibri" w:hint="default"/>
        <w:color w:val="FFE600"/>
        <w:sz w:val="16"/>
        <w:szCs w:val="1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0D80B77"/>
    <w:multiLevelType w:val="multilevel"/>
    <w:tmpl w:val="553650F2"/>
    <w:numStyleLink w:val="EYAlphaNumList"/>
  </w:abstractNum>
  <w:abstractNum w:abstractNumId="22" w15:restartNumberingAfterBreak="0">
    <w:nsid w:val="61A715FE"/>
    <w:multiLevelType w:val="multilevel"/>
    <w:tmpl w:val="CB864DA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 w15:restartNumberingAfterBreak="0">
    <w:nsid w:val="640C5D09"/>
    <w:multiLevelType w:val="multilevel"/>
    <w:tmpl w:val="EF7AB2DE"/>
    <w:lvl w:ilvl="0">
      <w:start w:val="1"/>
      <w:numFmt w:val="upperLetter"/>
      <w:pStyle w:val="EYAppendix"/>
      <w:lvlText w:val="Appendix %1"/>
      <w:lvlJc w:val="left"/>
      <w:pPr>
        <w:tabs>
          <w:tab w:val="num" w:pos="11199"/>
        </w:tabs>
        <w:ind w:left="11199" w:hanging="2268"/>
      </w:pPr>
      <w:rPr>
        <w:rFonts w:hint="default"/>
        <w:color w:val="747480"/>
      </w:rPr>
    </w:lvl>
    <w:lvl w:ilvl="1">
      <w:start w:val="1"/>
      <w:numFmt w:val="none"/>
      <w:lvlText w:val=""/>
      <w:lvlJc w:val="left"/>
      <w:pPr>
        <w:tabs>
          <w:tab w:val="num" w:pos="-31680"/>
        </w:tabs>
        <w:ind w:left="-32767" w:firstLine="32767"/>
      </w:pPr>
      <w:rPr>
        <w:rFonts w:hint="default"/>
        <w:b w:val="0"/>
        <w:i w:val="0"/>
        <w:color w:val="auto"/>
        <w:sz w:val="28"/>
        <w:szCs w:val="32"/>
      </w:rPr>
    </w:lvl>
    <w:lvl w:ilvl="2">
      <w:start w:val="1"/>
      <w:numFmt w:val="none"/>
      <w:lvlText w:val=""/>
      <w:lvlJc w:val="left"/>
      <w:pPr>
        <w:tabs>
          <w:tab w:val="num" w:pos="-31680"/>
        </w:tabs>
        <w:ind w:left="-32767" w:firstLine="32767"/>
      </w:pPr>
      <w:rPr>
        <w:rFonts w:hint="default"/>
        <w:b/>
        <w:color w:val="auto"/>
        <w:sz w:val="24"/>
        <w:szCs w:val="32"/>
      </w:rPr>
    </w:lvl>
    <w:lvl w:ilvl="3">
      <w:start w:val="1"/>
      <w:numFmt w:val="decimal"/>
      <w:lvlText w:val="%4%1"/>
      <w:lvlJc w:val="left"/>
      <w:pPr>
        <w:tabs>
          <w:tab w:val="num" w:pos="-31680"/>
        </w:tabs>
        <w:ind w:left="-32767" w:firstLine="32767"/>
      </w:pPr>
      <w:rPr>
        <w:rFonts w:hint="default"/>
        <w:b/>
        <w:color w:val="auto"/>
        <w:sz w:val="20"/>
        <w:szCs w:val="32"/>
      </w:rPr>
    </w:lvl>
    <w:lvl w:ilvl="4">
      <w:start w:val="1"/>
      <w:numFmt w:val="none"/>
      <w:lvlRestart w:val="0"/>
      <w:lvlText w:val=""/>
      <w:lvlJc w:val="left"/>
      <w:pPr>
        <w:tabs>
          <w:tab w:val="num" w:pos="0"/>
        </w:tabs>
        <w:ind w:left="0" w:firstLine="0"/>
      </w:pPr>
      <w:rPr>
        <w:rFonts w:hint="default"/>
        <w:b/>
        <w:i w:val="0"/>
        <w:color w:val="7F7E82"/>
        <w:sz w:val="40"/>
        <w:szCs w:val="20"/>
      </w:rPr>
    </w:lvl>
    <w:lvl w:ilvl="5">
      <w:start w:val="1"/>
      <w:numFmt w:val="none"/>
      <w:lvlRestart w:val="0"/>
      <w:lvlText w:val=""/>
      <w:lvlJc w:val="left"/>
      <w:pPr>
        <w:tabs>
          <w:tab w:val="num" w:pos="0"/>
        </w:tabs>
        <w:ind w:left="0" w:firstLine="0"/>
      </w:pPr>
      <w:rPr>
        <w:rFonts w:hint="default"/>
        <w:b/>
        <w:color w:val="4367C5"/>
        <w:sz w:val="32"/>
        <w:szCs w:val="32"/>
      </w:rPr>
    </w:lvl>
    <w:lvl w:ilvl="6">
      <w:start w:val="1"/>
      <w:numFmt w:val="none"/>
      <w:lvlRestart w:val="0"/>
      <w:lvlText w:val=""/>
      <w:lvlJc w:val="left"/>
      <w:pPr>
        <w:tabs>
          <w:tab w:val="num" w:pos="0"/>
        </w:tabs>
        <w:ind w:left="0" w:firstLine="0"/>
      </w:pPr>
      <w:rPr>
        <w:rFonts w:hint="default"/>
        <w:color w:val="4367C5"/>
        <w:sz w:val="32"/>
        <w:szCs w:val="32"/>
      </w:rPr>
    </w:lvl>
    <w:lvl w:ilvl="7">
      <w:start w:val="1"/>
      <w:numFmt w:val="none"/>
      <w:lvlRestart w:val="0"/>
      <w:lvlText w:val=""/>
      <w:lvlJc w:val="left"/>
      <w:pPr>
        <w:tabs>
          <w:tab w:val="num" w:pos="0"/>
        </w:tabs>
        <w:ind w:left="0" w:firstLine="0"/>
      </w:pPr>
      <w:rPr>
        <w:rFonts w:hint="default"/>
        <w:color w:val="4367C5"/>
      </w:rPr>
    </w:lvl>
    <w:lvl w:ilvl="8">
      <w:numFmt w:val="none"/>
      <w:lvlRestart w:val="0"/>
      <w:lvlText w:val=""/>
      <w:lvlJc w:val="left"/>
      <w:pPr>
        <w:tabs>
          <w:tab w:val="num" w:pos="0"/>
        </w:tabs>
        <w:ind w:left="0" w:firstLine="0"/>
      </w:pPr>
      <w:rPr>
        <w:rFonts w:hint="default"/>
        <w:color w:val="4367C5"/>
      </w:rPr>
    </w:lvl>
  </w:abstractNum>
  <w:abstractNum w:abstractNumId="24" w15:restartNumberingAfterBreak="0">
    <w:nsid w:val="685B3DDB"/>
    <w:multiLevelType w:val="hybridMultilevel"/>
    <w:tmpl w:val="6C3A6DA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D8A25F1"/>
    <w:multiLevelType w:val="multilevel"/>
    <w:tmpl w:val="A660471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6" w15:restartNumberingAfterBreak="0">
    <w:nsid w:val="737239D8"/>
    <w:multiLevelType w:val="multilevel"/>
    <w:tmpl w:val="A5123BCE"/>
    <w:lvl w:ilvl="0">
      <w:start w:val="1"/>
      <w:numFmt w:val="bullet"/>
      <w:lvlText w:val="►"/>
      <w:lvlJc w:val="left"/>
      <w:pPr>
        <w:ind w:left="425" w:hanging="425"/>
      </w:pPr>
      <w:rPr>
        <w:rFonts w:ascii="Arial" w:hAnsi="Arial" w:hint="default"/>
        <w:color w:val="auto"/>
        <w:sz w:val="16"/>
        <w:szCs w:val="20"/>
      </w:rPr>
    </w:lvl>
    <w:lvl w:ilvl="1">
      <w:start w:val="1"/>
      <w:numFmt w:val="bullet"/>
      <w:lvlText w:val="►"/>
      <w:lvlJc w:val="left"/>
      <w:pPr>
        <w:ind w:left="850" w:hanging="425"/>
      </w:pPr>
      <w:rPr>
        <w:rFonts w:ascii="Arial" w:hAnsi="Arial" w:hint="default"/>
        <w:color w:val="FFE600"/>
        <w:sz w:val="16"/>
        <w:szCs w:val="12"/>
      </w:rPr>
    </w:lvl>
    <w:lvl w:ilvl="2">
      <w:start w:val="1"/>
      <w:numFmt w:val="bullet"/>
      <w:lvlText w:val="►"/>
      <w:lvlJc w:val="left"/>
      <w:pPr>
        <w:ind w:left="1275" w:hanging="425"/>
      </w:pPr>
      <w:rPr>
        <w:rFonts w:ascii="Arial" w:hAnsi="Arial" w:hint="default"/>
        <w:sz w:val="16"/>
      </w:rPr>
    </w:lvl>
    <w:lvl w:ilvl="3">
      <w:start w:val="1"/>
      <w:numFmt w:val="bullet"/>
      <w:lvlText w:val="►"/>
      <w:lvlJc w:val="left"/>
      <w:pPr>
        <w:ind w:left="1700" w:hanging="425"/>
      </w:pPr>
      <w:rPr>
        <w:rFonts w:ascii="Arial" w:hAnsi="Arial" w:hint="default"/>
        <w:sz w:val="16"/>
      </w:rPr>
    </w:lvl>
    <w:lvl w:ilvl="4">
      <w:start w:val="1"/>
      <w:numFmt w:val="bullet"/>
      <w:lvlText w:val="►"/>
      <w:lvlJc w:val="left"/>
      <w:pPr>
        <w:ind w:left="2125" w:hanging="425"/>
      </w:pPr>
      <w:rPr>
        <w:rFonts w:ascii="Arial" w:hAnsi="Arial" w:hint="default"/>
        <w:sz w:val="16"/>
      </w:rPr>
    </w:lvl>
    <w:lvl w:ilvl="5">
      <w:start w:val="1"/>
      <w:numFmt w:val="bullet"/>
      <w:lvlText w:val="►"/>
      <w:lvlJc w:val="left"/>
      <w:pPr>
        <w:ind w:left="2550" w:hanging="425"/>
      </w:pPr>
      <w:rPr>
        <w:rFonts w:ascii="Arial" w:hAnsi="Arial" w:hint="default"/>
        <w:sz w:val="16"/>
      </w:rPr>
    </w:lvl>
    <w:lvl w:ilvl="6">
      <w:start w:val="1"/>
      <w:numFmt w:val="bullet"/>
      <w:lvlText w:val="►"/>
      <w:lvlJc w:val="left"/>
      <w:pPr>
        <w:ind w:left="2975" w:hanging="425"/>
      </w:pPr>
      <w:rPr>
        <w:rFonts w:ascii="Arial" w:hAnsi="Arial" w:hint="default"/>
        <w:sz w:val="16"/>
      </w:rPr>
    </w:lvl>
    <w:lvl w:ilvl="7">
      <w:start w:val="1"/>
      <w:numFmt w:val="bullet"/>
      <w:lvlText w:val="►"/>
      <w:lvlJc w:val="left"/>
      <w:pPr>
        <w:ind w:left="3400" w:hanging="425"/>
      </w:pPr>
      <w:rPr>
        <w:rFonts w:ascii="Arial" w:hAnsi="Arial" w:hint="default"/>
        <w:sz w:val="16"/>
      </w:rPr>
    </w:lvl>
    <w:lvl w:ilvl="8">
      <w:start w:val="1"/>
      <w:numFmt w:val="bullet"/>
      <w:lvlText w:val="►"/>
      <w:lvlJc w:val="left"/>
      <w:pPr>
        <w:ind w:left="3825" w:hanging="425"/>
      </w:pPr>
      <w:rPr>
        <w:rFonts w:ascii="Arial" w:hAnsi="Arial" w:hint="default"/>
        <w:sz w:val="16"/>
      </w:rPr>
    </w:lvl>
  </w:abstractNum>
  <w:abstractNum w:abstractNumId="27" w15:restartNumberingAfterBreak="0">
    <w:nsid w:val="73A37718"/>
    <w:multiLevelType w:val="multilevel"/>
    <w:tmpl w:val="B12A2EF4"/>
    <w:lvl w:ilvl="0">
      <w:start w:val="1"/>
      <w:numFmt w:val="bullet"/>
      <w:pStyle w:val="Tablebullet1"/>
      <w:lvlText w:val="►"/>
      <w:lvlJc w:val="left"/>
      <w:pPr>
        <w:tabs>
          <w:tab w:val="num" w:pos="284"/>
        </w:tabs>
        <w:ind w:left="284" w:hanging="284"/>
      </w:pPr>
      <w:rPr>
        <w:rFonts w:ascii="Arial" w:hAnsi="Arial" w:cs="Times New Roman" w:hint="default"/>
        <w:b w:val="0"/>
        <w:bCs/>
        <w:i w:val="0"/>
        <w:color w:val="auto"/>
        <w:sz w:val="12"/>
        <w:szCs w:val="24"/>
      </w:rPr>
    </w:lvl>
    <w:lvl w:ilvl="1">
      <w:start w:val="1"/>
      <w:numFmt w:val="bullet"/>
      <w:pStyle w:val="Tablebullet2"/>
      <w:lvlText w:val="►"/>
      <w:lvlJc w:val="left"/>
      <w:pPr>
        <w:tabs>
          <w:tab w:val="num" w:pos="567"/>
        </w:tabs>
        <w:ind w:left="567" w:hanging="283"/>
      </w:pPr>
      <w:rPr>
        <w:rFonts w:ascii="Arial" w:hAnsi="Arial" w:cs="Times New Roman" w:hint="default"/>
        <w:b w:val="0"/>
        <w:i w:val="0"/>
        <w:color w:val="auto"/>
        <w:sz w:val="12"/>
        <w:szCs w:val="24"/>
      </w:rPr>
    </w:lvl>
    <w:lvl w:ilvl="2">
      <w:start w:val="1"/>
      <w:numFmt w:val="none"/>
      <w:lvlText w:val=""/>
      <w:lvlJc w:val="left"/>
      <w:pPr>
        <w:tabs>
          <w:tab w:val="num" w:pos="0"/>
        </w:tabs>
        <w:ind w:left="0" w:firstLine="0"/>
      </w:pPr>
      <w:rPr>
        <w:rFonts w:hint="default"/>
        <w:color w:val="002261"/>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3240"/>
        </w:tabs>
        <w:ind w:left="2232" w:hanging="792"/>
      </w:pPr>
      <w:rPr>
        <w:rFonts w:hint="default"/>
      </w:rPr>
    </w:lvl>
    <w:lvl w:ilvl="5">
      <w:start w:val="1"/>
      <w:numFmt w:val="none"/>
      <w:lvlText w:val=""/>
      <w:lvlJc w:val="left"/>
      <w:pPr>
        <w:tabs>
          <w:tab w:val="num" w:pos="3960"/>
        </w:tabs>
        <w:ind w:left="2736" w:hanging="936"/>
      </w:pPr>
      <w:rPr>
        <w:rFonts w:hint="default"/>
      </w:rPr>
    </w:lvl>
    <w:lvl w:ilvl="6">
      <w:start w:val="1"/>
      <w:numFmt w:val="none"/>
      <w:lvlText w:val=""/>
      <w:lvlJc w:val="left"/>
      <w:pPr>
        <w:tabs>
          <w:tab w:val="num" w:pos="4680"/>
        </w:tabs>
        <w:ind w:left="3240" w:hanging="1080"/>
      </w:pPr>
      <w:rPr>
        <w:rFonts w:hint="default"/>
      </w:rPr>
    </w:lvl>
    <w:lvl w:ilvl="7">
      <w:start w:val="1"/>
      <w:numFmt w:val="none"/>
      <w:lvlText w:val=""/>
      <w:lvlJc w:val="left"/>
      <w:pPr>
        <w:tabs>
          <w:tab w:val="num" w:pos="5400"/>
        </w:tabs>
        <w:ind w:left="3744" w:hanging="1224"/>
      </w:pPr>
      <w:rPr>
        <w:rFonts w:hint="default"/>
      </w:rPr>
    </w:lvl>
    <w:lvl w:ilvl="8">
      <w:start w:val="1"/>
      <w:numFmt w:val="none"/>
      <w:lvlText w:val=""/>
      <w:lvlJc w:val="left"/>
      <w:pPr>
        <w:tabs>
          <w:tab w:val="num" w:pos="5760"/>
        </w:tabs>
        <w:ind w:left="4320" w:hanging="1440"/>
      </w:pPr>
      <w:rPr>
        <w:rFonts w:hint="default"/>
      </w:rPr>
    </w:lvl>
  </w:abstractNum>
  <w:abstractNum w:abstractNumId="28" w15:restartNumberingAfterBreak="0">
    <w:nsid w:val="74761BCD"/>
    <w:multiLevelType w:val="hybridMultilevel"/>
    <w:tmpl w:val="638EDEFE"/>
    <w:lvl w:ilvl="0" w:tplc="287ED9EE">
      <w:start w:val="1"/>
      <w:numFmt w:val="bullet"/>
      <w:lvlText w:val="►"/>
      <w:lvlJc w:val="left"/>
      <w:pPr>
        <w:ind w:left="720" w:hanging="360"/>
      </w:pPr>
      <w:rPr>
        <w:rFonts w:ascii="Arial" w:hAnsi="Arial" w:hint="default"/>
        <w:color w:val="FFE600"/>
        <w:sz w:val="16"/>
        <w:szCs w:val="1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79730BE"/>
    <w:multiLevelType w:val="multilevel"/>
    <w:tmpl w:val="12209E72"/>
    <w:styleLink w:val="StyleNumbered"/>
    <w:lvl w:ilvl="0">
      <w:start w:val="1"/>
      <w:numFmt w:val="lowerRoman"/>
      <w:lvlText w:val="%1)"/>
      <w:lvlJc w:val="left"/>
      <w:pPr>
        <w:tabs>
          <w:tab w:val="num" w:pos="360"/>
        </w:tabs>
        <w:ind w:left="360" w:hanging="360"/>
      </w:pPr>
      <w:rPr>
        <w:rFonts w:ascii="EYInterstate Light" w:hAnsi="EYInterstate Light" w:hint="default"/>
        <w:sz w:val="24"/>
      </w:rPr>
    </w:lvl>
    <w:lvl w:ilvl="1">
      <w:start w:val="1"/>
      <w:numFmt w:val="lowerLetter"/>
      <w:lvlText w:val="%2."/>
      <w:lvlJc w:val="left"/>
      <w:pPr>
        <w:tabs>
          <w:tab w:val="num" w:pos="1800"/>
        </w:tabs>
        <w:ind w:left="1800" w:hanging="360"/>
      </w:pPr>
      <w:rPr>
        <w:rFonts w:hint="default"/>
      </w:rPr>
    </w:lvl>
    <w:lvl w:ilvl="2">
      <w:start w:val="1"/>
      <w:numFmt w:val="lowerRoman"/>
      <w:lvlText w:val="%3."/>
      <w:lvlJc w:val="right"/>
      <w:pPr>
        <w:tabs>
          <w:tab w:val="num" w:pos="2520"/>
        </w:tabs>
        <w:ind w:left="2520" w:hanging="18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right"/>
      <w:pPr>
        <w:tabs>
          <w:tab w:val="num" w:pos="4680"/>
        </w:tabs>
        <w:ind w:left="4680" w:hanging="180"/>
      </w:pPr>
      <w:rPr>
        <w:rFonts w:hint="default"/>
      </w:rPr>
    </w:lvl>
    <w:lvl w:ilvl="6">
      <w:start w:val="1"/>
      <w:numFmt w:val="decimal"/>
      <w:lvlText w:val="%7."/>
      <w:lvlJc w:val="left"/>
      <w:pPr>
        <w:tabs>
          <w:tab w:val="num" w:pos="5400"/>
        </w:tabs>
        <w:ind w:left="5400" w:hanging="360"/>
      </w:pPr>
      <w:rPr>
        <w:rFonts w:hint="default"/>
      </w:rPr>
    </w:lvl>
    <w:lvl w:ilvl="7">
      <w:start w:val="1"/>
      <w:numFmt w:val="lowerLetter"/>
      <w:lvlText w:val="%8."/>
      <w:lvlJc w:val="left"/>
      <w:pPr>
        <w:tabs>
          <w:tab w:val="num" w:pos="6120"/>
        </w:tabs>
        <w:ind w:left="6120" w:hanging="360"/>
      </w:pPr>
      <w:rPr>
        <w:rFonts w:hint="default"/>
      </w:rPr>
    </w:lvl>
    <w:lvl w:ilvl="8">
      <w:start w:val="1"/>
      <w:numFmt w:val="lowerRoman"/>
      <w:lvlText w:val="%9."/>
      <w:lvlJc w:val="right"/>
      <w:pPr>
        <w:tabs>
          <w:tab w:val="num" w:pos="6840"/>
        </w:tabs>
        <w:ind w:left="6840" w:hanging="180"/>
      </w:pPr>
      <w:rPr>
        <w:rFonts w:hint="default"/>
      </w:rPr>
    </w:lvl>
  </w:abstractNum>
  <w:num w:numId="1">
    <w:abstractNumId w:val="1"/>
  </w:num>
  <w:num w:numId="2">
    <w:abstractNumId w:val="6"/>
  </w:num>
  <w:num w:numId="3">
    <w:abstractNumId w:val="23"/>
  </w:num>
  <w:num w:numId="4">
    <w:abstractNumId w:val="27"/>
  </w:num>
  <w:num w:numId="5">
    <w:abstractNumId w:val="17"/>
  </w:num>
  <w:num w:numId="6">
    <w:abstractNumId w:val="16"/>
  </w:num>
  <w:num w:numId="7">
    <w:abstractNumId w:val="6"/>
    <w:lvlOverride w:ilvl="0">
      <w:lvl w:ilvl="0">
        <w:start w:val="1"/>
        <w:numFmt w:val="bullet"/>
        <w:pStyle w:val="Bulletnoparaspace"/>
        <w:lvlText w:val="►"/>
        <w:lvlJc w:val="left"/>
        <w:pPr>
          <w:ind w:left="425" w:hanging="425"/>
        </w:pPr>
        <w:rPr>
          <w:rFonts w:ascii="Arial" w:hAnsi="Arial" w:hint="default"/>
          <w:sz w:val="16"/>
        </w:rPr>
      </w:lvl>
    </w:lvlOverride>
  </w:num>
  <w:num w:numId="8">
    <w:abstractNumId w:val="29"/>
  </w:num>
  <w:num w:numId="9">
    <w:abstractNumId w:val="19"/>
  </w:num>
  <w:num w:numId="10">
    <w:abstractNumId w:val="20"/>
  </w:num>
  <w:num w:numId="11">
    <w:abstractNumId w:val="3"/>
  </w:num>
  <w:num w:numId="12">
    <w:abstractNumId w:val="24"/>
  </w:num>
  <w:num w:numId="13">
    <w:abstractNumId w:val="28"/>
  </w:num>
  <w:num w:numId="14">
    <w:abstractNumId w:val="26"/>
  </w:num>
  <w:num w:numId="15">
    <w:abstractNumId w:val="21"/>
  </w:num>
  <w:num w:numId="1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
  </w:num>
  <w:num w:numId="18">
    <w:abstractNumId w:val="2"/>
  </w:num>
  <w:num w:numId="19">
    <w:abstractNumId w:val="13"/>
  </w:num>
  <w:num w:numId="20">
    <w:abstractNumId w:val="7"/>
  </w:num>
  <w:num w:numId="21">
    <w:abstractNumId w:val="4"/>
  </w:num>
  <w:num w:numId="22">
    <w:abstractNumId w:val="9"/>
  </w:num>
  <w:num w:numId="23">
    <w:abstractNumId w:val="18"/>
  </w:num>
  <w:num w:numId="2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5"/>
  </w:num>
  <w:num w:numId="3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2"/>
  </w:num>
  <w:num w:numId="4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2"/>
  </w:num>
  <w:num w:numId="4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0"/>
  </w:num>
  <w:num w:numId="5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5"/>
  </w:num>
  <w:num w:numId="64">
    <w:abstractNumId w:val="0"/>
  </w:num>
  <w:num w:numId="65">
    <w:abstractNumId w:val="8"/>
  </w:num>
  <w:num w:numId="66">
    <w:abstractNumId w:val="1"/>
  </w:num>
  <w:num w:numId="67">
    <w:abstractNumId w:val="1"/>
  </w:num>
  <w:num w:numId="68">
    <w:abstractNumId w:val="1"/>
  </w:num>
  <w:num w:numId="69">
    <w:abstractNumId w:val="11"/>
  </w:num>
  <w:num w:numId="70">
    <w:abstractNumId w:val="14"/>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removeDateAndTime/>
  <w:hideSpellingErrors/>
  <w:hideGrammaticalErrors/>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trackRevisions/>
  <w:defaultTabStop w:val="425"/>
  <w:drawingGridHorizontalSpacing w:val="237"/>
  <w:displayVerticalDrawingGridEvery w:val="2"/>
  <w:characterSpacingControl w:val="doNotCompress"/>
  <w:hdrShapeDefaults>
    <o:shapedefaults v:ext="edit" spidmax="2457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744E"/>
    <w:rsid w:val="00000067"/>
    <w:rsid w:val="00000297"/>
    <w:rsid w:val="000002E0"/>
    <w:rsid w:val="00000429"/>
    <w:rsid w:val="00000506"/>
    <w:rsid w:val="00000860"/>
    <w:rsid w:val="00000CEF"/>
    <w:rsid w:val="00000DCA"/>
    <w:rsid w:val="00000E80"/>
    <w:rsid w:val="00000FCB"/>
    <w:rsid w:val="000012C0"/>
    <w:rsid w:val="0000150E"/>
    <w:rsid w:val="0000173C"/>
    <w:rsid w:val="0000176E"/>
    <w:rsid w:val="00001793"/>
    <w:rsid w:val="000018F9"/>
    <w:rsid w:val="00001B84"/>
    <w:rsid w:val="00001C0C"/>
    <w:rsid w:val="00002184"/>
    <w:rsid w:val="000022E7"/>
    <w:rsid w:val="00002304"/>
    <w:rsid w:val="000025DF"/>
    <w:rsid w:val="000027A9"/>
    <w:rsid w:val="00002800"/>
    <w:rsid w:val="00002832"/>
    <w:rsid w:val="000028A1"/>
    <w:rsid w:val="00002B73"/>
    <w:rsid w:val="00002C41"/>
    <w:rsid w:val="00003643"/>
    <w:rsid w:val="000039F1"/>
    <w:rsid w:val="000039FB"/>
    <w:rsid w:val="00003B6D"/>
    <w:rsid w:val="00003BCF"/>
    <w:rsid w:val="00003CCE"/>
    <w:rsid w:val="00003E8C"/>
    <w:rsid w:val="000042A5"/>
    <w:rsid w:val="000046C5"/>
    <w:rsid w:val="00004757"/>
    <w:rsid w:val="00004784"/>
    <w:rsid w:val="00004C19"/>
    <w:rsid w:val="00004EF8"/>
    <w:rsid w:val="00004FED"/>
    <w:rsid w:val="0000505F"/>
    <w:rsid w:val="0000518B"/>
    <w:rsid w:val="000051D7"/>
    <w:rsid w:val="000051DC"/>
    <w:rsid w:val="000051E5"/>
    <w:rsid w:val="00005258"/>
    <w:rsid w:val="00005332"/>
    <w:rsid w:val="00005387"/>
    <w:rsid w:val="00005538"/>
    <w:rsid w:val="000056BD"/>
    <w:rsid w:val="000057AC"/>
    <w:rsid w:val="000057B8"/>
    <w:rsid w:val="00005B6D"/>
    <w:rsid w:val="00005C37"/>
    <w:rsid w:val="00005CF3"/>
    <w:rsid w:val="0000602C"/>
    <w:rsid w:val="00006186"/>
    <w:rsid w:val="0000638B"/>
    <w:rsid w:val="000064FA"/>
    <w:rsid w:val="000065EA"/>
    <w:rsid w:val="000068C1"/>
    <w:rsid w:val="000068FD"/>
    <w:rsid w:val="00006C5B"/>
    <w:rsid w:val="00006DAF"/>
    <w:rsid w:val="00006E7A"/>
    <w:rsid w:val="00006EDF"/>
    <w:rsid w:val="00007117"/>
    <w:rsid w:val="000072B1"/>
    <w:rsid w:val="000101B4"/>
    <w:rsid w:val="000101D1"/>
    <w:rsid w:val="000103AF"/>
    <w:rsid w:val="00010543"/>
    <w:rsid w:val="000106C1"/>
    <w:rsid w:val="00010795"/>
    <w:rsid w:val="000109C6"/>
    <w:rsid w:val="00010A22"/>
    <w:rsid w:val="00010B6C"/>
    <w:rsid w:val="00010BB4"/>
    <w:rsid w:val="0001159B"/>
    <w:rsid w:val="000115FE"/>
    <w:rsid w:val="00011611"/>
    <w:rsid w:val="000116CB"/>
    <w:rsid w:val="000117AF"/>
    <w:rsid w:val="00011AC7"/>
    <w:rsid w:val="00011E3F"/>
    <w:rsid w:val="00011FB1"/>
    <w:rsid w:val="0001205F"/>
    <w:rsid w:val="00012294"/>
    <w:rsid w:val="000122BF"/>
    <w:rsid w:val="00012475"/>
    <w:rsid w:val="00012558"/>
    <w:rsid w:val="000127DC"/>
    <w:rsid w:val="000128BD"/>
    <w:rsid w:val="00012D77"/>
    <w:rsid w:val="00012E3A"/>
    <w:rsid w:val="00012F6C"/>
    <w:rsid w:val="000131DE"/>
    <w:rsid w:val="0001324B"/>
    <w:rsid w:val="0001328A"/>
    <w:rsid w:val="00013539"/>
    <w:rsid w:val="00013A65"/>
    <w:rsid w:val="00013B4E"/>
    <w:rsid w:val="00013D43"/>
    <w:rsid w:val="00013DD5"/>
    <w:rsid w:val="00013E28"/>
    <w:rsid w:val="00013EA8"/>
    <w:rsid w:val="00013EF7"/>
    <w:rsid w:val="00014092"/>
    <w:rsid w:val="000141C1"/>
    <w:rsid w:val="0001420D"/>
    <w:rsid w:val="00014274"/>
    <w:rsid w:val="00014295"/>
    <w:rsid w:val="00014336"/>
    <w:rsid w:val="00014396"/>
    <w:rsid w:val="000144A1"/>
    <w:rsid w:val="000144AA"/>
    <w:rsid w:val="000144DE"/>
    <w:rsid w:val="00014502"/>
    <w:rsid w:val="0001453A"/>
    <w:rsid w:val="0001455D"/>
    <w:rsid w:val="0001492F"/>
    <w:rsid w:val="000149B2"/>
    <w:rsid w:val="00014FAC"/>
    <w:rsid w:val="00015216"/>
    <w:rsid w:val="0001548A"/>
    <w:rsid w:val="0001568D"/>
    <w:rsid w:val="000156E6"/>
    <w:rsid w:val="00015D00"/>
    <w:rsid w:val="00015D49"/>
    <w:rsid w:val="000162F5"/>
    <w:rsid w:val="00016346"/>
    <w:rsid w:val="000163E2"/>
    <w:rsid w:val="00016402"/>
    <w:rsid w:val="000169E7"/>
    <w:rsid w:val="00016BE6"/>
    <w:rsid w:val="00016D30"/>
    <w:rsid w:val="00016EDE"/>
    <w:rsid w:val="00017040"/>
    <w:rsid w:val="000171AD"/>
    <w:rsid w:val="0001727C"/>
    <w:rsid w:val="00017389"/>
    <w:rsid w:val="00017429"/>
    <w:rsid w:val="000174AD"/>
    <w:rsid w:val="00017A87"/>
    <w:rsid w:val="00017C7C"/>
    <w:rsid w:val="0002021C"/>
    <w:rsid w:val="000205BD"/>
    <w:rsid w:val="00020ABE"/>
    <w:rsid w:val="00020CFA"/>
    <w:rsid w:val="00020D94"/>
    <w:rsid w:val="00020E6A"/>
    <w:rsid w:val="00021206"/>
    <w:rsid w:val="00021336"/>
    <w:rsid w:val="00021353"/>
    <w:rsid w:val="00021491"/>
    <w:rsid w:val="00021AD2"/>
    <w:rsid w:val="00021D84"/>
    <w:rsid w:val="00021F74"/>
    <w:rsid w:val="00021FAA"/>
    <w:rsid w:val="000220A0"/>
    <w:rsid w:val="00022442"/>
    <w:rsid w:val="000224EE"/>
    <w:rsid w:val="0002282F"/>
    <w:rsid w:val="000229F4"/>
    <w:rsid w:val="00022AA8"/>
    <w:rsid w:val="00023447"/>
    <w:rsid w:val="00023477"/>
    <w:rsid w:val="000234C2"/>
    <w:rsid w:val="00023594"/>
    <w:rsid w:val="00023815"/>
    <w:rsid w:val="000238D6"/>
    <w:rsid w:val="00023989"/>
    <w:rsid w:val="00023BFF"/>
    <w:rsid w:val="00023EA8"/>
    <w:rsid w:val="00023FCB"/>
    <w:rsid w:val="000241D1"/>
    <w:rsid w:val="00024324"/>
    <w:rsid w:val="000244FC"/>
    <w:rsid w:val="00024733"/>
    <w:rsid w:val="0002473F"/>
    <w:rsid w:val="00024A9C"/>
    <w:rsid w:val="00024C5A"/>
    <w:rsid w:val="00025222"/>
    <w:rsid w:val="0002548C"/>
    <w:rsid w:val="00025CFB"/>
    <w:rsid w:val="00025E77"/>
    <w:rsid w:val="00025F24"/>
    <w:rsid w:val="000260E7"/>
    <w:rsid w:val="000260F3"/>
    <w:rsid w:val="00026128"/>
    <w:rsid w:val="00026293"/>
    <w:rsid w:val="0002641F"/>
    <w:rsid w:val="00026EAD"/>
    <w:rsid w:val="00027468"/>
    <w:rsid w:val="0002764E"/>
    <w:rsid w:val="0002774D"/>
    <w:rsid w:val="0002777F"/>
    <w:rsid w:val="000277EA"/>
    <w:rsid w:val="000304B0"/>
    <w:rsid w:val="00030691"/>
    <w:rsid w:val="000306CA"/>
    <w:rsid w:val="00030820"/>
    <w:rsid w:val="00030915"/>
    <w:rsid w:val="00030B03"/>
    <w:rsid w:val="00030C1D"/>
    <w:rsid w:val="00031296"/>
    <w:rsid w:val="0003132F"/>
    <w:rsid w:val="0003187E"/>
    <w:rsid w:val="00031AA7"/>
    <w:rsid w:val="00031DC3"/>
    <w:rsid w:val="00031F1B"/>
    <w:rsid w:val="000321CC"/>
    <w:rsid w:val="000325B7"/>
    <w:rsid w:val="00032861"/>
    <w:rsid w:val="00032DED"/>
    <w:rsid w:val="00032F01"/>
    <w:rsid w:val="0003311F"/>
    <w:rsid w:val="000334A3"/>
    <w:rsid w:val="00033766"/>
    <w:rsid w:val="00033AD4"/>
    <w:rsid w:val="00033C2D"/>
    <w:rsid w:val="00033CCE"/>
    <w:rsid w:val="0003411B"/>
    <w:rsid w:val="000341DE"/>
    <w:rsid w:val="00034463"/>
    <w:rsid w:val="00034617"/>
    <w:rsid w:val="000347BC"/>
    <w:rsid w:val="0003493F"/>
    <w:rsid w:val="00034AD3"/>
    <w:rsid w:val="000350F9"/>
    <w:rsid w:val="00035169"/>
    <w:rsid w:val="00035460"/>
    <w:rsid w:val="000356CC"/>
    <w:rsid w:val="00035796"/>
    <w:rsid w:val="00035B0B"/>
    <w:rsid w:val="00035B93"/>
    <w:rsid w:val="00035EFD"/>
    <w:rsid w:val="00036256"/>
    <w:rsid w:val="000366A1"/>
    <w:rsid w:val="00037269"/>
    <w:rsid w:val="00037315"/>
    <w:rsid w:val="000373B9"/>
    <w:rsid w:val="00037425"/>
    <w:rsid w:val="0003797C"/>
    <w:rsid w:val="00037AAA"/>
    <w:rsid w:val="00037DF7"/>
    <w:rsid w:val="00040015"/>
    <w:rsid w:val="0004054B"/>
    <w:rsid w:val="00040974"/>
    <w:rsid w:val="00040B31"/>
    <w:rsid w:val="00040BDC"/>
    <w:rsid w:val="00040BF1"/>
    <w:rsid w:val="00040C56"/>
    <w:rsid w:val="00040D9D"/>
    <w:rsid w:val="000410C2"/>
    <w:rsid w:val="00041143"/>
    <w:rsid w:val="00041350"/>
    <w:rsid w:val="00041474"/>
    <w:rsid w:val="000417A4"/>
    <w:rsid w:val="00041976"/>
    <w:rsid w:val="00041DFE"/>
    <w:rsid w:val="00041EE0"/>
    <w:rsid w:val="0004229B"/>
    <w:rsid w:val="0004236E"/>
    <w:rsid w:val="000423F6"/>
    <w:rsid w:val="00042412"/>
    <w:rsid w:val="0004248D"/>
    <w:rsid w:val="00042635"/>
    <w:rsid w:val="00042886"/>
    <w:rsid w:val="000429DB"/>
    <w:rsid w:val="000429DE"/>
    <w:rsid w:val="00042B5D"/>
    <w:rsid w:val="00042B8C"/>
    <w:rsid w:val="00042E11"/>
    <w:rsid w:val="00042E61"/>
    <w:rsid w:val="00042E8F"/>
    <w:rsid w:val="00042EBB"/>
    <w:rsid w:val="00042F7A"/>
    <w:rsid w:val="0004350E"/>
    <w:rsid w:val="00043709"/>
    <w:rsid w:val="0004378C"/>
    <w:rsid w:val="000437A8"/>
    <w:rsid w:val="00043D4F"/>
    <w:rsid w:val="00043ED6"/>
    <w:rsid w:val="00044041"/>
    <w:rsid w:val="00044084"/>
    <w:rsid w:val="0004413F"/>
    <w:rsid w:val="000447E5"/>
    <w:rsid w:val="000448B5"/>
    <w:rsid w:val="000449DA"/>
    <w:rsid w:val="00044A3A"/>
    <w:rsid w:val="00044D9C"/>
    <w:rsid w:val="00044E04"/>
    <w:rsid w:val="00044E11"/>
    <w:rsid w:val="00045325"/>
    <w:rsid w:val="0004532A"/>
    <w:rsid w:val="0004546A"/>
    <w:rsid w:val="00045730"/>
    <w:rsid w:val="000457CC"/>
    <w:rsid w:val="000459F9"/>
    <w:rsid w:val="00045CED"/>
    <w:rsid w:val="00045DD4"/>
    <w:rsid w:val="00046596"/>
    <w:rsid w:val="000466EB"/>
    <w:rsid w:val="00046E8D"/>
    <w:rsid w:val="00046FB0"/>
    <w:rsid w:val="00046FCC"/>
    <w:rsid w:val="000472B7"/>
    <w:rsid w:val="000473EC"/>
    <w:rsid w:val="000476D4"/>
    <w:rsid w:val="000479B0"/>
    <w:rsid w:val="00047AC3"/>
    <w:rsid w:val="00047EC5"/>
    <w:rsid w:val="000500C4"/>
    <w:rsid w:val="000502D6"/>
    <w:rsid w:val="0005058E"/>
    <w:rsid w:val="000506FF"/>
    <w:rsid w:val="00050767"/>
    <w:rsid w:val="000507D6"/>
    <w:rsid w:val="000507E7"/>
    <w:rsid w:val="00050B52"/>
    <w:rsid w:val="00050D00"/>
    <w:rsid w:val="00050DC7"/>
    <w:rsid w:val="0005124A"/>
    <w:rsid w:val="000513C4"/>
    <w:rsid w:val="000516DF"/>
    <w:rsid w:val="0005170E"/>
    <w:rsid w:val="00051F69"/>
    <w:rsid w:val="000521E0"/>
    <w:rsid w:val="00052210"/>
    <w:rsid w:val="0005223F"/>
    <w:rsid w:val="0005266D"/>
    <w:rsid w:val="00052883"/>
    <w:rsid w:val="0005293C"/>
    <w:rsid w:val="00052BD8"/>
    <w:rsid w:val="0005326D"/>
    <w:rsid w:val="00053347"/>
    <w:rsid w:val="00053488"/>
    <w:rsid w:val="00053788"/>
    <w:rsid w:val="00053AD1"/>
    <w:rsid w:val="00053B2C"/>
    <w:rsid w:val="00053DA0"/>
    <w:rsid w:val="00053FFD"/>
    <w:rsid w:val="00054005"/>
    <w:rsid w:val="0005421D"/>
    <w:rsid w:val="00054760"/>
    <w:rsid w:val="000549A6"/>
    <w:rsid w:val="00054AAC"/>
    <w:rsid w:val="00054B60"/>
    <w:rsid w:val="00054E15"/>
    <w:rsid w:val="00054E69"/>
    <w:rsid w:val="00055497"/>
    <w:rsid w:val="00055726"/>
    <w:rsid w:val="00055867"/>
    <w:rsid w:val="00055ABE"/>
    <w:rsid w:val="00056070"/>
    <w:rsid w:val="00056268"/>
    <w:rsid w:val="000562A3"/>
    <w:rsid w:val="000568AB"/>
    <w:rsid w:val="0005696A"/>
    <w:rsid w:val="000569A4"/>
    <w:rsid w:val="00056A01"/>
    <w:rsid w:val="00056BC9"/>
    <w:rsid w:val="00056C6A"/>
    <w:rsid w:val="00056F22"/>
    <w:rsid w:val="000570F5"/>
    <w:rsid w:val="00057227"/>
    <w:rsid w:val="000572A7"/>
    <w:rsid w:val="00057357"/>
    <w:rsid w:val="0005742E"/>
    <w:rsid w:val="000578A8"/>
    <w:rsid w:val="00057B31"/>
    <w:rsid w:val="00057B9A"/>
    <w:rsid w:val="00057CBA"/>
    <w:rsid w:val="00057D0C"/>
    <w:rsid w:val="0006005A"/>
    <w:rsid w:val="000603A6"/>
    <w:rsid w:val="000603F0"/>
    <w:rsid w:val="00060643"/>
    <w:rsid w:val="0006094A"/>
    <w:rsid w:val="00060C2A"/>
    <w:rsid w:val="00060F76"/>
    <w:rsid w:val="00061006"/>
    <w:rsid w:val="0006101A"/>
    <w:rsid w:val="000610C0"/>
    <w:rsid w:val="000618F6"/>
    <w:rsid w:val="000619B3"/>
    <w:rsid w:val="00061AC4"/>
    <w:rsid w:val="00061AF7"/>
    <w:rsid w:val="00061B03"/>
    <w:rsid w:val="00061CAA"/>
    <w:rsid w:val="00061DC1"/>
    <w:rsid w:val="000623A6"/>
    <w:rsid w:val="00062497"/>
    <w:rsid w:val="000625DB"/>
    <w:rsid w:val="000626F6"/>
    <w:rsid w:val="00062AA4"/>
    <w:rsid w:val="00062CAC"/>
    <w:rsid w:val="00063088"/>
    <w:rsid w:val="000631FD"/>
    <w:rsid w:val="00063302"/>
    <w:rsid w:val="00063711"/>
    <w:rsid w:val="00063717"/>
    <w:rsid w:val="00063775"/>
    <w:rsid w:val="00063AA3"/>
    <w:rsid w:val="00063D44"/>
    <w:rsid w:val="00063EC3"/>
    <w:rsid w:val="00063F3B"/>
    <w:rsid w:val="000642DC"/>
    <w:rsid w:val="000644C1"/>
    <w:rsid w:val="000644FC"/>
    <w:rsid w:val="000646BF"/>
    <w:rsid w:val="0006485D"/>
    <w:rsid w:val="00064889"/>
    <w:rsid w:val="00064D92"/>
    <w:rsid w:val="00064D9C"/>
    <w:rsid w:val="000650E1"/>
    <w:rsid w:val="0006517D"/>
    <w:rsid w:val="000652A0"/>
    <w:rsid w:val="00065473"/>
    <w:rsid w:val="00065497"/>
    <w:rsid w:val="000657BB"/>
    <w:rsid w:val="0006587B"/>
    <w:rsid w:val="000664DD"/>
    <w:rsid w:val="00066521"/>
    <w:rsid w:val="0006658D"/>
    <w:rsid w:val="000665D0"/>
    <w:rsid w:val="00066C41"/>
    <w:rsid w:val="00066E7F"/>
    <w:rsid w:val="000671E8"/>
    <w:rsid w:val="000671F1"/>
    <w:rsid w:val="000672E5"/>
    <w:rsid w:val="00067379"/>
    <w:rsid w:val="000677B7"/>
    <w:rsid w:val="00067975"/>
    <w:rsid w:val="00067C03"/>
    <w:rsid w:val="00067E16"/>
    <w:rsid w:val="00067EC6"/>
    <w:rsid w:val="000701A8"/>
    <w:rsid w:val="000702DF"/>
    <w:rsid w:val="000702FB"/>
    <w:rsid w:val="00070341"/>
    <w:rsid w:val="000704E6"/>
    <w:rsid w:val="000706E9"/>
    <w:rsid w:val="000707D8"/>
    <w:rsid w:val="00070A33"/>
    <w:rsid w:val="00070CEA"/>
    <w:rsid w:val="00070FC5"/>
    <w:rsid w:val="00071166"/>
    <w:rsid w:val="0007160C"/>
    <w:rsid w:val="0007168A"/>
    <w:rsid w:val="0007191F"/>
    <w:rsid w:val="00071ACC"/>
    <w:rsid w:val="00071B31"/>
    <w:rsid w:val="00071B50"/>
    <w:rsid w:val="00071CDA"/>
    <w:rsid w:val="00071E69"/>
    <w:rsid w:val="00071EE2"/>
    <w:rsid w:val="000722B7"/>
    <w:rsid w:val="00072515"/>
    <w:rsid w:val="00072592"/>
    <w:rsid w:val="000726B5"/>
    <w:rsid w:val="000729EA"/>
    <w:rsid w:val="00072B39"/>
    <w:rsid w:val="00072ED3"/>
    <w:rsid w:val="00073120"/>
    <w:rsid w:val="00073324"/>
    <w:rsid w:val="0007338C"/>
    <w:rsid w:val="000733CC"/>
    <w:rsid w:val="000734FD"/>
    <w:rsid w:val="000735A9"/>
    <w:rsid w:val="000736A8"/>
    <w:rsid w:val="00073A88"/>
    <w:rsid w:val="00073BFD"/>
    <w:rsid w:val="00073D21"/>
    <w:rsid w:val="0007412A"/>
    <w:rsid w:val="0007414D"/>
    <w:rsid w:val="0007480D"/>
    <w:rsid w:val="0007487F"/>
    <w:rsid w:val="000748FA"/>
    <w:rsid w:val="00074C0C"/>
    <w:rsid w:val="00074D8A"/>
    <w:rsid w:val="0007506C"/>
    <w:rsid w:val="00075161"/>
    <w:rsid w:val="00075263"/>
    <w:rsid w:val="00075452"/>
    <w:rsid w:val="00075589"/>
    <w:rsid w:val="000755FF"/>
    <w:rsid w:val="00075B3F"/>
    <w:rsid w:val="00075B99"/>
    <w:rsid w:val="00075C1C"/>
    <w:rsid w:val="00075C89"/>
    <w:rsid w:val="00075EF0"/>
    <w:rsid w:val="00076278"/>
    <w:rsid w:val="00076507"/>
    <w:rsid w:val="0007672E"/>
    <w:rsid w:val="000767E0"/>
    <w:rsid w:val="00076814"/>
    <w:rsid w:val="00076C36"/>
    <w:rsid w:val="00076C58"/>
    <w:rsid w:val="00076DE0"/>
    <w:rsid w:val="00076E43"/>
    <w:rsid w:val="00077056"/>
    <w:rsid w:val="000773E6"/>
    <w:rsid w:val="00077534"/>
    <w:rsid w:val="00077724"/>
    <w:rsid w:val="000778CD"/>
    <w:rsid w:val="000778E0"/>
    <w:rsid w:val="00077952"/>
    <w:rsid w:val="00077AFE"/>
    <w:rsid w:val="00077B32"/>
    <w:rsid w:val="00077F80"/>
    <w:rsid w:val="00077FA6"/>
    <w:rsid w:val="000801C6"/>
    <w:rsid w:val="0008029F"/>
    <w:rsid w:val="000803FE"/>
    <w:rsid w:val="00080B41"/>
    <w:rsid w:val="00080E41"/>
    <w:rsid w:val="000811E2"/>
    <w:rsid w:val="0008123A"/>
    <w:rsid w:val="00081455"/>
    <w:rsid w:val="00081809"/>
    <w:rsid w:val="00081C4C"/>
    <w:rsid w:val="00081E40"/>
    <w:rsid w:val="00081F87"/>
    <w:rsid w:val="00081FEF"/>
    <w:rsid w:val="00082049"/>
    <w:rsid w:val="00082185"/>
    <w:rsid w:val="000822EB"/>
    <w:rsid w:val="000823D4"/>
    <w:rsid w:val="00082715"/>
    <w:rsid w:val="0008278E"/>
    <w:rsid w:val="00082811"/>
    <w:rsid w:val="00082C48"/>
    <w:rsid w:val="0008325B"/>
    <w:rsid w:val="00083261"/>
    <w:rsid w:val="00083614"/>
    <w:rsid w:val="00083728"/>
    <w:rsid w:val="000839B7"/>
    <w:rsid w:val="00083B94"/>
    <w:rsid w:val="00083BCC"/>
    <w:rsid w:val="00083D1F"/>
    <w:rsid w:val="00083E75"/>
    <w:rsid w:val="00084141"/>
    <w:rsid w:val="000849EC"/>
    <w:rsid w:val="0008505F"/>
    <w:rsid w:val="000856A2"/>
    <w:rsid w:val="00085CA2"/>
    <w:rsid w:val="00085D03"/>
    <w:rsid w:val="00085FFE"/>
    <w:rsid w:val="00086370"/>
    <w:rsid w:val="000864AE"/>
    <w:rsid w:val="00086D37"/>
    <w:rsid w:val="00086E72"/>
    <w:rsid w:val="00086EDB"/>
    <w:rsid w:val="00086FE8"/>
    <w:rsid w:val="00087342"/>
    <w:rsid w:val="00087488"/>
    <w:rsid w:val="000874DE"/>
    <w:rsid w:val="00087DC2"/>
    <w:rsid w:val="00090037"/>
    <w:rsid w:val="0009028B"/>
    <w:rsid w:val="000907D9"/>
    <w:rsid w:val="00090825"/>
    <w:rsid w:val="0009086C"/>
    <w:rsid w:val="00090948"/>
    <w:rsid w:val="00090C7A"/>
    <w:rsid w:val="00090F00"/>
    <w:rsid w:val="00090F0A"/>
    <w:rsid w:val="000912B9"/>
    <w:rsid w:val="0009148F"/>
    <w:rsid w:val="0009176D"/>
    <w:rsid w:val="000917B0"/>
    <w:rsid w:val="000917ED"/>
    <w:rsid w:val="00091A1C"/>
    <w:rsid w:val="00091B78"/>
    <w:rsid w:val="00091C48"/>
    <w:rsid w:val="00091FC6"/>
    <w:rsid w:val="00092202"/>
    <w:rsid w:val="000923FA"/>
    <w:rsid w:val="0009241D"/>
    <w:rsid w:val="0009276F"/>
    <w:rsid w:val="000930FA"/>
    <w:rsid w:val="000931A8"/>
    <w:rsid w:val="0009334D"/>
    <w:rsid w:val="0009349A"/>
    <w:rsid w:val="00093714"/>
    <w:rsid w:val="0009384C"/>
    <w:rsid w:val="00093C66"/>
    <w:rsid w:val="00093FA7"/>
    <w:rsid w:val="000941A5"/>
    <w:rsid w:val="00094284"/>
    <w:rsid w:val="000943D8"/>
    <w:rsid w:val="00094561"/>
    <w:rsid w:val="000947EF"/>
    <w:rsid w:val="0009488C"/>
    <w:rsid w:val="00094973"/>
    <w:rsid w:val="00094AEA"/>
    <w:rsid w:val="00094BED"/>
    <w:rsid w:val="00094C64"/>
    <w:rsid w:val="00094D04"/>
    <w:rsid w:val="00095456"/>
    <w:rsid w:val="00095485"/>
    <w:rsid w:val="00095595"/>
    <w:rsid w:val="000957DE"/>
    <w:rsid w:val="0009586A"/>
    <w:rsid w:val="000958F1"/>
    <w:rsid w:val="00095B8F"/>
    <w:rsid w:val="00095D0C"/>
    <w:rsid w:val="00095E8D"/>
    <w:rsid w:val="00095FC5"/>
    <w:rsid w:val="00096011"/>
    <w:rsid w:val="00096343"/>
    <w:rsid w:val="0009677A"/>
    <w:rsid w:val="00096781"/>
    <w:rsid w:val="00096C6F"/>
    <w:rsid w:val="00096CE8"/>
    <w:rsid w:val="00096D58"/>
    <w:rsid w:val="00096D59"/>
    <w:rsid w:val="00096EC3"/>
    <w:rsid w:val="0009727A"/>
    <w:rsid w:val="000974CD"/>
    <w:rsid w:val="000977A8"/>
    <w:rsid w:val="000977C8"/>
    <w:rsid w:val="000978EB"/>
    <w:rsid w:val="00097A84"/>
    <w:rsid w:val="00097B5D"/>
    <w:rsid w:val="00097C0F"/>
    <w:rsid w:val="00097DA0"/>
    <w:rsid w:val="00097F1F"/>
    <w:rsid w:val="000A0244"/>
    <w:rsid w:val="000A0726"/>
    <w:rsid w:val="000A083C"/>
    <w:rsid w:val="000A08AA"/>
    <w:rsid w:val="000A09DE"/>
    <w:rsid w:val="000A0A72"/>
    <w:rsid w:val="000A0EBB"/>
    <w:rsid w:val="000A1273"/>
    <w:rsid w:val="000A14CC"/>
    <w:rsid w:val="000A176A"/>
    <w:rsid w:val="000A1A41"/>
    <w:rsid w:val="000A1BBA"/>
    <w:rsid w:val="000A2008"/>
    <w:rsid w:val="000A2214"/>
    <w:rsid w:val="000A26B1"/>
    <w:rsid w:val="000A2B96"/>
    <w:rsid w:val="000A2CB8"/>
    <w:rsid w:val="000A2E0C"/>
    <w:rsid w:val="000A2E67"/>
    <w:rsid w:val="000A2F2B"/>
    <w:rsid w:val="000A2F94"/>
    <w:rsid w:val="000A3550"/>
    <w:rsid w:val="000A3C52"/>
    <w:rsid w:val="000A3D65"/>
    <w:rsid w:val="000A3DA2"/>
    <w:rsid w:val="000A3F27"/>
    <w:rsid w:val="000A3F58"/>
    <w:rsid w:val="000A402E"/>
    <w:rsid w:val="000A4052"/>
    <w:rsid w:val="000A40DC"/>
    <w:rsid w:val="000A4201"/>
    <w:rsid w:val="000A42FB"/>
    <w:rsid w:val="000A4332"/>
    <w:rsid w:val="000A44C9"/>
    <w:rsid w:val="000A4A1B"/>
    <w:rsid w:val="000A4A48"/>
    <w:rsid w:val="000A4A8C"/>
    <w:rsid w:val="000A4ADE"/>
    <w:rsid w:val="000A4B3F"/>
    <w:rsid w:val="000A4B74"/>
    <w:rsid w:val="000A4B75"/>
    <w:rsid w:val="000A4DBC"/>
    <w:rsid w:val="000A4E3D"/>
    <w:rsid w:val="000A4E92"/>
    <w:rsid w:val="000A5006"/>
    <w:rsid w:val="000A54EA"/>
    <w:rsid w:val="000A58B0"/>
    <w:rsid w:val="000A5EA7"/>
    <w:rsid w:val="000A5EC3"/>
    <w:rsid w:val="000A5EEE"/>
    <w:rsid w:val="000A6059"/>
    <w:rsid w:val="000A60CC"/>
    <w:rsid w:val="000A62AA"/>
    <w:rsid w:val="000A63A6"/>
    <w:rsid w:val="000A63B2"/>
    <w:rsid w:val="000A65C0"/>
    <w:rsid w:val="000A6649"/>
    <w:rsid w:val="000A67D4"/>
    <w:rsid w:val="000A6851"/>
    <w:rsid w:val="000A6943"/>
    <w:rsid w:val="000A6999"/>
    <w:rsid w:val="000A6C64"/>
    <w:rsid w:val="000A6D2D"/>
    <w:rsid w:val="000A6D48"/>
    <w:rsid w:val="000A6F53"/>
    <w:rsid w:val="000A6F81"/>
    <w:rsid w:val="000A71D3"/>
    <w:rsid w:val="000A767F"/>
    <w:rsid w:val="000A7879"/>
    <w:rsid w:val="000A795D"/>
    <w:rsid w:val="000A79B8"/>
    <w:rsid w:val="000A7B44"/>
    <w:rsid w:val="000A7C01"/>
    <w:rsid w:val="000A7E3B"/>
    <w:rsid w:val="000B0133"/>
    <w:rsid w:val="000B033A"/>
    <w:rsid w:val="000B041F"/>
    <w:rsid w:val="000B0438"/>
    <w:rsid w:val="000B0670"/>
    <w:rsid w:val="000B0925"/>
    <w:rsid w:val="000B09D9"/>
    <w:rsid w:val="000B0BE7"/>
    <w:rsid w:val="000B1022"/>
    <w:rsid w:val="000B11E3"/>
    <w:rsid w:val="000B1318"/>
    <w:rsid w:val="000B13C0"/>
    <w:rsid w:val="000B1608"/>
    <w:rsid w:val="000B181F"/>
    <w:rsid w:val="000B1F22"/>
    <w:rsid w:val="000B2042"/>
    <w:rsid w:val="000B26AF"/>
    <w:rsid w:val="000B277A"/>
    <w:rsid w:val="000B28B2"/>
    <w:rsid w:val="000B29B9"/>
    <w:rsid w:val="000B2E7C"/>
    <w:rsid w:val="000B2E8C"/>
    <w:rsid w:val="000B2EC6"/>
    <w:rsid w:val="000B312B"/>
    <w:rsid w:val="000B3286"/>
    <w:rsid w:val="000B33D0"/>
    <w:rsid w:val="000B3489"/>
    <w:rsid w:val="000B3657"/>
    <w:rsid w:val="000B375B"/>
    <w:rsid w:val="000B3822"/>
    <w:rsid w:val="000B3856"/>
    <w:rsid w:val="000B39E3"/>
    <w:rsid w:val="000B3E28"/>
    <w:rsid w:val="000B3EDA"/>
    <w:rsid w:val="000B415E"/>
    <w:rsid w:val="000B4192"/>
    <w:rsid w:val="000B43CF"/>
    <w:rsid w:val="000B44A6"/>
    <w:rsid w:val="000B47B6"/>
    <w:rsid w:val="000B4879"/>
    <w:rsid w:val="000B4A3C"/>
    <w:rsid w:val="000B4C06"/>
    <w:rsid w:val="000B4E27"/>
    <w:rsid w:val="000B5139"/>
    <w:rsid w:val="000B52B8"/>
    <w:rsid w:val="000B5399"/>
    <w:rsid w:val="000B5440"/>
    <w:rsid w:val="000B5935"/>
    <w:rsid w:val="000B5B4A"/>
    <w:rsid w:val="000B5F20"/>
    <w:rsid w:val="000B68CD"/>
    <w:rsid w:val="000B6A24"/>
    <w:rsid w:val="000B6B3D"/>
    <w:rsid w:val="000B6C4E"/>
    <w:rsid w:val="000B6F7D"/>
    <w:rsid w:val="000B705D"/>
    <w:rsid w:val="000B70AF"/>
    <w:rsid w:val="000B75C6"/>
    <w:rsid w:val="000B7889"/>
    <w:rsid w:val="000B7932"/>
    <w:rsid w:val="000B79A7"/>
    <w:rsid w:val="000B7D92"/>
    <w:rsid w:val="000B7FB6"/>
    <w:rsid w:val="000C097C"/>
    <w:rsid w:val="000C0D5E"/>
    <w:rsid w:val="000C0D94"/>
    <w:rsid w:val="000C0D98"/>
    <w:rsid w:val="000C0FED"/>
    <w:rsid w:val="000C1881"/>
    <w:rsid w:val="000C18BE"/>
    <w:rsid w:val="000C1961"/>
    <w:rsid w:val="000C19C1"/>
    <w:rsid w:val="000C1CA9"/>
    <w:rsid w:val="000C1D27"/>
    <w:rsid w:val="000C1EDB"/>
    <w:rsid w:val="000C1FD8"/>
    <w:rsid w:val="000C229D"/>
    <w:rsid w:val="000C2388"/>
    <w:rsid w:val="000C2471"/>
    <w:rsid w:val="000C248A"/>
    <w:rsid w:val="000C2495"/>
    <w:rsid w:val="000C2A99"/>
    <w:rsid w:val="000C2C76"/>
    <w:rsid w:val="000C2D81"/>
    <w:rsid w:val="000C2E63"/>
    <w:rsid w:val="000C31E7"/>
    <w:rsid w:val="000C371B"/>
    <w:rsid w:val="000C3746"/>
    <w:rsid w:val="000C37F3"/>
    <w:rsid w:val="000C3A13"/>
    <w:rsid w:val="000C3A73"/>
    <w:rsid w:val="000C3A75"/>
    <w:rsid w:val="000C3AE9"/>
    <w:rsid w:val="000C3EE7"/>
    <w:rsid w:val="000C4165"/>
    <w:rsid w:val="000C444A"/>
    <w:rsid w:val="000C457A"/>
    <w:rsid w:val="000C45EC"/>
    <w:rsid w:val="000C4632"/>
    <w:rsid w:val="000C4A34"/>
    <w:rsid w:val="000C4C8D"/>
    <w:rsid w:val="000C521F"/>
    <w:rsid w:val="000C5275"/>
    <w:rsid w:val="000C56F6"/>
    <w:rsid w:val="000C59DA"/>
    <w:rsid w:val="000C5A5B"/>
    <w:rsid w:val="000C5B3F"/>
    <w:rsid w:val="000C5B50"/>
    <w:rsid w:val="000C5B6A"/>
    <w:rsid w:val="000C5D04"/>
    <w:rsid w:val="000C5D7F"/>
    <w:rsid w:val="000C5D8B"/>
    <w:rsid w:val="000C5EC8"/>
    <w:rsid w:val="000C6589"/>
    <w:rsid w:val="000C65B6"/>
    <w:rsid w:val="000C688B"/>
    <w:rsid w:val="000C690B"/>
    <w:rsid w:val="000C697F"/>
    <w:rsid w:val="000C69EA"/>
    <w:rsid w:val="000C6B61"/>
    <w:rsid w:val="000C6C8E"/>
    <w:rsid w:val="000C70BF"/>
    <w:rsid w:val="000C72BB"/>
    <w:rsid w:val="000C72C7"/>
    <w:rsid w:val="000C7493"/>
    <w:rsid w:val="000C77BF"/>
    <w:rsid w:val="000C7D1B"/>
    <w:rsid w:val="000C7E58"/>
    <w:rsid w:val="000C7EA2"/>
    <w:rsid w:val="000C7ECB"/>
    <w:rsid w:val="000C7FC5"/>
    <w:rsid w:val="000D01B7"/>
    <w:rsid w:val="000D0508"/>
    <w:rsid w:val="000D09B7"/>
    <w:rsid w:val="000D0C35"/>
    <w:rsid w:val="000D1163"/>
    <w:rsid w:val="000D11F1"/>
    <w:rsid w:val="000D143B"/>
    <w:rsid w:val="000D185A"/>
    <w:rsid w:val="000D1911"/>
    <w:rsid w:val="000D1A32"/>
    <w:rsid w:val="000D1C50"/>
    <w:rsid w:val="000D1FBE"/>
    <w:rsid w:val="000D2210"/>
    <w:rsid w:val="000D2286"/>
    <w:rsid w:val="000D2560"/>
    <w:rsid w:val="000D26FF"/>
    <w:rsid w:val="000D27AE"/>
    <w:rsid w:val="000D291C"/>
    <w:rsid w:val="000D2B7D"/>
    <w:rsid w:val="000D2BA3"/>
    <w:rsid w:val="000D2D98"/>
    <w:rsid w:val="000D2E0F"/>
    <w:rsid w:val="000D3061"/>
    <w:rsid w:val="000D33B5"/>
    <w:rsid w:val="000D34F7"/>
    <w:rsid w:val="000D3709"/>
    <w:rsid w:val="000D3874"/>
    <w:rsid w:val="000D387B"/>
    <w:rsid w:val="000D3AF2"/>
    <w:rsid w:val="000D3C28"/>
    <w:rsid w:val="000D3DA8"/>
    <w:rsid w:val="000D3F7F"/>
    <w:rsid w:val="000D3FB1"/>
    <w:rsid w:val="000D40B8"/>
    <w:rsid w:val="000D43DC"/>
    <w:rsid w:val="000D461C"/>
    <w:rsid w:val="000D481A"/>
    <w:rsid w:val="000D4823"/>
    <w:rsid w:val="000D4845"/>
    <w:rsid w:val="000D4D47"/>
    <w:rsid w:val="000D4DD8"/>
    <w:rsid w:val="000D51CD"/>
    <w:rsid w:val="000D53FB"/>
    <w:rsid w:val="000D54CC"/>
    <w:rsid w:val="000D56AC"/>
    <w:rsid w:val="000D5864"/>
    <w:rsid w:val="000D5B1C"/>
    <w:rsid w:val="000D5BB6"/>
    <w:rsid w:val="000D5DC8"/>
    <w:rsid w:val="000D628E"/>
    <w:rsid w:val="000D6449"/>
    <w:rsid w:val="000D64A4"/>
    <w:rsid w:val="000D64B5"/>
    <w:rsid w:val="000D64F8"/>
    <w:rsid w:val="000D66FE"/>
    <w:rsid w:val="000D689F"/>
    <w:rsid w:val="000D6947"/>
    <w:rsid w:val="000D6B41"/>
    <w:rsid w:val="000D6C15"/>
    <w:rsid w:val="000D6CC6"/>
    <w:rsid w:val="000D6D8E"/>
    <w:rsid w:val="000D6E76"/>
    <w:rsid w:val="000D705F"/>
    <w:rsid w:val="000D7E90"/>
    <w:rsid w:val="000D7ED3"/>
    <w:rsid w:val="000E0138"/>
    <w:rsid w:val="000E0335"/>
    <w:rsid w:val="000E083B"/>
    <w:rsid w:val="000E0907"/>
    <w:rsid w:val="000E0E3F"/>
    <w:rsid w:val="000E102C"/>
    <w:rsid w:val="000E1172"/>
    <w:rsid w:val="000E11AB"/>
    <w:rsid w:val="000E11EA"/>
    <w:rsid w:val="000E1550"/>
    <w:rsid w:val="000E164D"/>
    <w:rsid w:val="000E16CB"/>
    <w:rsid w:val="000E19C2"/>
    <w:rsid w:val="000E1A75"/>
    <w:rsid w:val="000E1ABF"/>
    <w:rsid w:val="000E1C7B"/>
    <w:rsid w:val="000E1CE0"/>
    <w:rsid w:val="000E2032"/>
    <w:rsid w:val="000E204C"/>
    <w:rsid w:val="000E20EE"/>
    <w:rsid w:val="000E2176"/>
    <w:rsid w:val="000E21CE"/>
    <w:rsid w:val="000E233C"/>
    <w:rsid w:val="000E26E3"/>
    <w:rsid w:val="000E290C"/>
    <w:rsid w:val="000E2C47"/>
    <w:rsid w:val="000E2E07"/>
    <w:rsid w:val="000E36C8"/>
    <w:rsid w:val="000E37E7"/>
    <w:rsid w:val="000E39EC"/>
    <w:rsid w:val="000E3B3F"/>
    <w:rsid w:val="000E3CA8"/>
    <w:rsid w:val="000E3CDC"/>
    <w:rsid w:val="000E42F7"/>
    <w:rsid w:val="000E4628"/>
    <w:rsid w:val="000E469D"/>
    <w:rsid w:val="000E46B8"/>
    <w:rsid w:val="000E4932"/>
    <w:rsid w:val="000E4D30"/>
    <w:rsid w:val="000E4E0B"/>
    <w:rsid w:val="000E4FE2"/>
    <w:rsid w:val="000E524E"/>
    <w:rsid w:val="000E5775"/>
    <w:rsid w:val="000E5A7B"/>
    <w:rsid w:val="000E5A82"/>
    <w:rsid w:val="000E5B8A"/>
    <w:rsid w:val="000E5C3D"/>
    <w:rsid w:val="000E5F0E"/>
    <w:rsid w:val="000E5F58"/>
    <w:rsid w:val="000E6017"/>
    <w:rsid w:val="000E6215"/>
    <w:rsid w:val="000E6538"/>
    <w:rsid w:val="000E65FA"/>
    <w:rsid w:val="000E67FF"/>
    <w:rsid w:val="000E69CC"/>
    <w:rsid w:val="000E6A24"/>
    <w:rsid w:val="000E737C"/>
    <w:rsid w:val="000E76FC"/>
    <w:rsid w:val="000E77B9"/>
    <w:rsid w:val="000E7880"/>
    <w:rsid w:val="000E7C08"/>
    <w:rsid w:val="000E7C7C"/>
    <w:rsid w:val="000E7CBE"/>
    <w:rsid w:val="000E7E0A"/>
    <w:rsid w:val="000F001E"/>
    <w:rsid w:val="000F0433"/>
    <w:rsid w:val="000F059C"/>
    <w:rsid w:val="000F0636"/>
    <w:rsid w:val="000F0AC4"/>
    <w:rsid w:val="000F0BC3"/>
    <w:rsid w:val="000F0BC8"/>
    <w:rsid w:val="000F0D59"/>
    <w:rsid w:val="000F0D98"/>
    <w:rsid w:val="000F1496"/>
    <w:rsid w:val="000F15D9"/>
    <w:rsid w:val="000F1600"/>
    <w:rsid w:val="000F1710"/>
    <w:rsid w:val="000F1809"/>
    <w:rsid w:val="000F195D"/>
    <w:rsid w:val="000F1F08"/>
    <w:rsid w:val="000F1F41"/>
    <w:rsid w:val="000F20FA"/>
    <w:rsid w:val="000F24D6"/>
    <w:rsid w:val="000F287A"/>
    <w:rsid w:val="000F2B76"/>
    <w:rsid w:val="000F2C91"/>
    <w:rsid w:val="000F2F2E"/>
    <w:rsid w:val="000F3100"/>
    <w:rsid w:val="000F35AA"/>
    <w:rsid w:val="000F3EE7"/>
    <w:rsid w:val="000F4199"/>
    <w:rsid w:val="000F4287"/>
    <w:rsid w:val="000F4401"/>
    <w:rsid w:val="000F4442"/>
    <w:rsid w:val="000F4539"/>
    <w:rsid w:val="000F45BA"/>
    <w:rsid w:val="000F45BF"/>
    <w:rsid w:val="000F4717"/>
    <w:rsid w:val="000F4784"/>
    <w:rsid w:val="000F4A22"/>
    <w:rsid w:val="000F4A44"/>
    <w:rsid w:val="000F4B09"/>
    <w:rsid w:val="000F4C77"/>
    <w:rsid w:val="000F5416"/>
    <w:rsid w:val="000F55A9"/>
    <w:rsid w:val="000F56D5"/>
    <w:rsid w:val="000F56EC"/>
    <w:rsid w:val="000F572B"/>
    <w:rsid w:val="000F594E"/>
    <w:rsid w:val="000F5D5D"/>
    <w:rsid w:val="000F5DD0"/>
    <w:rsid w:val="000F62B5"/>
    <w:rsid w:val="000F69FD"/>
    <w:rsid w:val="000F6B12"/>
    <w:rsid w:val="000F6D3B"/>
    <w:rsid w:val="000F727A"/>
    <w:rsid w:val="000F73C4"/>
    <w:rsid w:val="000F76A5"/>
    <w:rsid w:val="000F7775"/>
    <w:rsid w:val="000F77BB"/>
    <w:rsid w:val="000F7A87"/>
    <w:rsid w:val="000F7CAF"/>
    <w:rsid w:val="000F7F19"/>
    <w:rsid w:val="001000D7"/>
    <w:rsid w:val="001001CF"/>
    <w:rsid w:val="001001ED"/>
    <w:rsid w:val="00100753"/>
    <w:rsid w:val="0010077A"/>
    <w:rsid w:val="001007D8"/>
    <w:rsid w:val="0010098B"/>
    <w:rsid w:val="00100A48"/>
    <w:rsid w:val="00100B90"/>
    <w:rsid w:val="00100E27"/>
    <w:rsid w:val="00100ED4"/>
    <w:rsid w:val="00100F70"/>
    <w:rsid w:val="00100F7F"/>
    <w:rsid w:val="00101066"/>
    <w:rsid w:val="00101187"/>
    <w:rsid w:val="0010129D"/>
    <w:rsid w:val="001014F0"/>
    <w:rsid w:val="00101663"/>
    <w:rsid w:val="001016BF"/>
    <w:rsid w:val="00101A5F"/>
    <w:rsid w:val="00101A6F"/>
    <w:rsid w:val="00101B92"/>
    <w:rsid w:val="001025BE"/>
    <w:rsid w:val="001025E1"/>
    <w:rsid w:val="00102784"/>
    <w:rsid w:val="00102862"/>
    <w:rsid w:val="00102BD4"/>
    <w:rsid w:val="00102DAA"/>
    <w:rsid w:val="0010332B"/>
    <w:rsid w:val="00103462"/>
    <w:rsid w:val="00103590"/>
    <w:rsid w:val="00103892"/>
    <w:rsid w:val="001038E8"/>
    <w:rsid w:val="00103A81"/>
    <w:rsid w:val="001041A9"/>
    <w:rsid w:val="001041CE"/>
    <w:rsid w:val="00104C52"/>
    <w:rsid w:val="00104C9A"/>
    <w:rsid w:val="00104E54"/>
    <w:rsid w:val="00105266"/>
    <w:rsid w:val="0010538A"/>
    <w:rsid w:val="001055DE"/>
    <w:rsid w:val="0010579A"/>
    <w:rsid w:val="0010588F"/>
    <w:rsid w:val="001059C8"/>
    <w:rsid w:val="00105DB3"/>
    <w:rsid w:val="001060DE"/>
    <w:rsid w:val="001061B6"/>
    <w:rsid w:val="00106262"/>
    <w:rsid w:val="00106273"/>
    <w:rsid w:val="001064F4"/>
    <w:rsid w:val="001066D8"/>
    <w:rsid w:val="001067FF"/>
    <w:rsid w:val="0010681F"/>
    <w:rsid w:val="0010687E"/>
    <w:rsid w:val="001068CB"/>
    <w:rsid w:val="00107550"/>
    <w:rsid w:val="001076FF"/>
    <w:rsid w:val="00107B0B"/>
    <w:rsid w:val="00107C7D"/>
    <w:rsid w:val="0011009D"/>
    <w:rsid w:val="001101CA"/>
    <w:rsid w:val="001101CD"/>
    <w:rsid w:val="00110337"/>
    <w:rsid w:val="001107F0"/>
    <w:rsid w:val="00110E5D"/>
    <w:rsid w:val="00110E77"/>
    <w:rsid w:val="00110FD2"/>
    <w:rsid w:val="00111064"/>
    <w:rsid w:val="0011109F"/>
    <w:rsid w:val="001110A7"/>
    <w:rsid w:val="001111A3"/>
    <w:rsid w:val="001113E8"/>
    <w:rsid w:val="0011152F"/>
    <w:rsid w:val="00111753"/>
    <w:rsid w:val="0011182B"/>
    <w:rsid w:val="001118CD"/>
    <w:rsid w:val="00111969"/>
    <w:rsid w:val="00111A7C"/>
    <w:rsid w:val="00111BCB"/>
    <w:rsid w:val="00111F05"/>
    <w:rsid w:val="0011210A"/>
    <w:rsid w:val="00112300"/>
    <w:rsid w:val="0011236B"/>
    <w:rsid w:val="001123DA"/>
    <w:rsid w:val="001124D3"/>
    <w:rsid w:val="0011279C"/>
    <w:rsid w:val="001129D4"/>
    <w:rsid w:val="001129FF"/>
    <w:rsid w:val="00112AA3"/>
    <w:rsid w:val="00112ACB"/>
    <w:rsid w:val="00112BEE"/>
    <w:rsid w:val="00112C0A"/>
    <w:rsid w:val="00112C11"/>
    <w:rsid w:val="001130B1"/>
    <w:rsid w:val="0011324F"/>
    <w:rsid w:val="001135B2"/>
    <w:rsid w:val="001135D3"/>
    <w:rsid w:val="001138E6"/>
    <w:rsid w:val="00113A04"/>
    <w:rsid w:val="00113A32"/>
    <w:rsid w:val="00113AFA"/>
    <w:rsid w:val="00113C55"/>
    <w:rsid w:val="00113DED"/>
    <w:rsid w:val="00114097"/>
    <w:rsid w:val="001142DC"/>
    <w:rsid w:val="001149EF"/>
    <w:rsid w:val="00114A36"/>
    <w:rsid w:val="00114B2A"/>
    <w:rsid w:val="00114C4C"/>
    <w:rsid w:val="00114E3A"/>
    <w:rsid w:val="00114EDE"/>
    <w:rsid w:val="00114F83"/>
    <w:rsid w:val="001150BB"/>
    <w:rsid w:val="001155E6"/>
    <w:rsid w:val="001157A2"/>
    <w:rsid w:val="001158BC"/>
    <w:rsid w:val="0011596E"/>
    <w:rsid w:val="00115985"/>
    <w:rsid w:val="001159CC"/>
    <w:rsid w:val="00115F41"/>
    <w:rsid w:val="001165CD"/>
    <w:rsid w:val="001166B9"/>
    <w:rsid w:val="00116784"/>
    <w:rsid w:val="001168FB"/>
    <w:rsid w:val="00116CD8"/>
    <w:rsid w:val="00116D40"/>
    <w:rsid w:val="00116FDF"/>
    <w:rsid w:val="0011717F"/>
    <w:rsid w:val="00117225"/>
    <w:rsid w:val="0011726F"/>
    <w:rsid w:val="0011768A"/>
    <w:rsid w:val="001177AD"/>
    <w:rsid w:val="00117833"/>
    <w:rsid w:val="001178BD"/>
    <w:rsid w:val="0011798F"/>
    <w:rsid w:val="00117C50"/>
    <w:rsid w:val="00117DB5"/>
    <w:rsid w:val="00120122"/>
    <w:rsid w:val="001203A6"/>
    <w:rsid w:val="0012046A"/>
    <w:rsid w:val="00120539"/>
    <w:rsid w:val="001207E8"/>
    <w:rsid w:val="001208CD"/>
    <w:rsid w:val="00120F7A"/>
    <w:rsid w:val="00120FBA"/>
    <w:rsid w:val="00120FEB"/>
    <w:rsid w:val="001214F5"/>
    <w:rsid w:val="00121579"/>
    <w:rsid w:val="001215C9"/>
    <w:rsid w:val="001217AB"/>
    <w:rsid w:val="00121A96"/>
    <w:rsid w:val="00121C01"/>
    <w:rsid w:val="00121CE7"/>
    <w:rsid w:val="00121DB9"/>
    <w:rsid w:val="00121E78"/>
    <w:rsid w:val="00122243"/>
    <w:rsid w:val="00122330"/>
    <w:rsid w:val="0012281C"/>
    <w:rsid w:val="00122834"/>
    <w:rsid w:val="0012293B"/>
    <w:rsid w:val="00122F28"/>
    <w:rsid w:val="00122FD1"/>
    <w:rsid w:val="0012317D"/>
    <w:rsid w:val="001234B2"/>
    <w:rsid w:val="00123667"/>
    <w:rsid w:val="00123850"/>
    <w:rsid w:val="00123868"/>
    <w:rsid w:val="0012398A"/>
    <w:rsid w:val="001239F8"/>
    <w:rsid w:val="001242EC"/>
    <w:rsid w:val="001243C3"/>
    <w:rsid w:val="001246D5"/>
    <w:rsid w:val="00124ABE"/>
    <w:rsid w:val="00124CA8"/>
    <w:rsid w:val="00124D39"/>
    <w:rsid w:val="00124D44"/>
    <w:rsid w:val="00124EC2"/>
    <w:rsid w:val="00124F5A"/>
    <w:rsid w:val="00125086"/>
    <w:rsid w:val="00125284"/>
    <w:rsid w:val="00125B4E"/>
    <w:rsid w:val="00125D92"/>
    <w:rsid w:val="00125D9E"/>
    <w:rsid w:val="00125E32"/>
    <w:rsid w:val="0012609A"/>
    <w:rsid w:val="001260C6"/>
    <w:rsid w:val="001262B1"/>
    <w:rsid w:val="001265E7"/>
    <w:rsid w:val="001265FE"/>
    <w:rsid w:val="00126AA8"/>
    <w:rsid w:val="00126B19"/>
    <w:rsid w:val="00126DBC"/>
    <w:rsid w:val="00127060"/>
    <w:rsid w:val="0012739D"/>
    <w:rsid w:val="001274A3"/>
    <w:rsid w:val="001274C9"/>
    <w:rsid w:val="001275C5"/>
    <w:rsid w:val="001275D3"/>
    <w:rsid w:val="00127646"/>
    <w:rsid w:val="00127654"/>
    <w:rsid w:val="00127B6A"/>
    <w:rsid w:val="00130102"/>
    <w:rsid w:val="001301C4"/>
    <w:rsid w:val="00130408"/>
    <w:rsid w:val="00130530"/>
    <w:rsid w:val="001308D4"/>
    <w:rsid w:val="00130C27"/>
    <w:rsid w:val="00130EF0"/>
    <w:rsid w:val="001310F7"/>
    <w:rsid w:val="00131173"/>
    <w:rsid w:val="0013136F"/>
    <w:rsid w:val="0013155C"/>
    <w:rsid w:val="00131748"/>
    <w:rsid w:val="001318A1"/>
    <w:rsid w:val="001319C8"/>
    <w:rsid w:val="00131C69"/>
    <w:rsid w:val="00131DC3"/>
    <w:rsid w:val="001321F7"/>
    <w:rsid w:val="001322A6"/>
    <w:rsid w:val="00132624"/>
    <w:rsid w:val="001326C6"/>
    <w:rsid w:val="00132711"/>
    <w:rsid w:val="00132731"/>
    <w:rsid w:val="0013275E"/>
    <w:rsid w:val="0013288A"/>
    <w:rsid w:val="00132B36"/>
    <w:rsid w:val="00132EFA"/>
    <w:rsid w:val="001339F0"/>
    <w:rsid w:val="00133C97"/>
    <w:rsid w:val="0013421C"/>
    <w:rsid w:val="00134327"/>
    <w:rsid w:val="001344ED"/>
    <w:rsid w:val="0013469D"/>
    <w:rsid w:val="001346B0"/>
    <w:rsid w:val="001348C4"/>
    <w:rsid w:val="00134C5D"/>
    <w:rsid w:val="00134E1F"/>
    <w:rsid w:val="00134E8F"/>
    <w:rsid w:val="00134E93"/>
    <w:rsid w:val="00135169"/>
    <w:rsid w:val="001351DB"/>
    <w:rsid w:val="00135210"/>
    <w:rsid w:val="001352C8"/>
    <w:rsid w:val="00135627"/>
    <w:rsid w:val="00135889"/>
    <w:rsid w:val="0013595A"/>
    <w:rsid w:val="001359D3"/>
    <w:rsid w:val="00135A4F"/>
    <w:rsid w:val="00135CC7"/>
    <w:rsid w:val="00135E52"/>
    <w:rsid w:val="00135F2B"/>
    <w:rsid w:val="001362CC"/>
    <w:rsid w:val="001363C7"/>
    <w:rsid w:val="001363EF"/>
    <w:rsid w:val="001368B7"/>
    <w:rsid w:val="00136956"/>
    <w:rsid w:val="00136C71"/>
    <w:rsid w:val="00136E4C"/>
    <w:rsid w:val="00136E54"/>
    <w:rsid w:val="00136E77"/>
    <w:rsid w:val="00137178"/>
    <w:rsid w:val="0013721C"/>
    <w:rsid w:val="0013769B"/>
    <w:rsid w:val="0013786E"/>
    <w:rsid w:val="001378A9"/>
    <w:rsid w:val="00137A71"/>
    <w:rsid w:val="00137E09"/>
    <w:rsid w:val="00137E9C"/>
    <w:rsid w:val="00137F85"/>
    <w:rsid w:val="0014004D"/>
    <w:rsid w:val="00140164"/>
    <w:rsid w:val="0014020A"/>
    <w:rsid w:val="001402B2"/>
    <w:rsid w:val="0014058D"/>
    <w:rsid w:val="00140880"/>
    <w:rsid w:val="00140E87"/>
    <w:rsid w:val="0014101F"/>
    <w:rsid w:val="00141025"/>
    <w:rsid w:val="00141128"/>
    <w:rsid w:val="001411F4"/>
    <w:rsid w:val="00141498"/>
    <w:rsid w:val="001416C3"/>
    <w:rsid w:val="001417F8"/>
    <w:rsid w:val="00141A75"/>
    <w:rsid w:val="00141FBD"/>
    <w:rsid w:val="00141FC3"/>
    <w:rsid w:val="0014207B"/>
    <w:rsid w:val="00142138"/>
    <w:rsid w:val="00142266"/>
    <w:rsid w:val="00142411"/>
    <w:rsid w:val="0014277C"/>
    <w:rsid w:val="00142B26"/>
    <w:rsid w:val="00142D52"/>
    <w:rsid w:val="0014309E"/>
    <w:rsid w:val="0014311D"/>
    <w:rsid w:val="0014334E"/>
    <w:rsid w:val="0014367F"/>
    <w:rsid w:val="0014373B"/>
    <w:rsid w:val="00143908"/>
    <w:rsid w:val="00143949"/>
    <w:rsid w:val="00143B65"/>
    <w:rsid w:val="00143E0F"/>
    <w:rsid w:val="00143EBF"/>
    <w:rsid w:val="00143F1C"/>
    <w:rsid w:val="00143F92"/>
    <w:rsid w:val="00144014"/>
    <w:rsid w:val="001442E4"/>
    <w:rsid w:val="001443D3"/>
    <w:rsid w:val="001443E6"/>
    <w:rsid w:val="001444CD"/>
    <w:rsid w:val="001447BD"/>
    <w:rsid w:val="00144A5B"/>
    <w:rsid w:val="00144E4E"/>
    <w:rsid w:val="00145144"/>
    <w:rsid w:val="00145500"/>
    <w:rsid w:val="0014589F"/>
    <w:rsid w:val="00145971"/>
    <w:rsid w:val="00145986"/>
    <w:rsid w:val="00145AA0"/>
    <w:rsid w:val="00145CB0"/>
    <w:rsid w:val="001460ED"/>
    <w:rsid w:val="001461A9"/>
    <w:rsid w:val="00146278"/>
    <w:rsid w:val="00146337"/>
    <w:rsid w:val="001463D0"/>
    <w:rsid w:val="00146559"/>
    <w:rsid w:val="001465B3"/>
    <w:rsid w:val="001465D7"/>
    <w:rsid w:val="001466E0"/>
    <w:rsid w:val="00146715"/>
    <w:rsid w:val="00146A4B"/>
    <w:rsid w:val="00146BEF"/>
    <w:rsid w:val="00146D0D"/>
    <w:rsid w:val="001470F8"/>
    <w:rsid w:val="0014718E"/>
    <w:rsid w:val="0014756A"/>
    <w:rsid w:val="0014769C"/>
    <w:rsid w:val="00147A16"/>
    <w:rsid w:val="00147A80"/>
    <w:rsid w:val="00147B8E"/>
    <w:rsid w:val="00150066"/>
    <w:rsid w:val="001501EE"/>
    <w:rsid w:val="00150745"/>
    <w:rsid w:val="00150937"/>
    <w:rsid w:val="001509B8"/>
    <w:rsid w:val="00150A4A"/>
    <w:rsid w:val="00150ADF"/>
    <w:rsid w:val="00150BAD"/>
    <w:rsid w:val="00151130"/>
    <w:rsid w:val="0015114C"/>
    <w:rsid w:val="00151385"/>
    <w:rsid w:val="00151627"/>
    <w:rsid w:val="0015180F"/>
    <w:rsid w:val="00151861"/>
    <w:rsid w:val="00151869"/>
    <w:rsid w:val="00151B8E"/>
    <w:rsid w:val="00151BAF"/>
    <w:rsid w:val="001521C0"/>
    <w:rsid w:val="00152211"/>
    <w:rsid w:val="0015228B"/>
    <w:rsid w:val="0015237A"/>
    <w:rsid w:val="00152879"/>
    <w:rsid w:val="00152ACD"/>
    <w:rsid w:val="00152C3C"/>
    <w:rsid w:val="00152DFC"/>
    <w:rsid w:val="00152FEA"/>
    <w:rsid w:val="00153060"/>
    <w:rsid w:val="0015309B"/>
    <w:rsid w:val="001530E7"/>
    <w:rsid w:val="001531CC"/>
    <w:rsid w:val="001532E0"/>
    <w:rsid w:val="001534BB"/>
    <w:rsid w:val="00153874"/>
    <w:rsid w:val="001539B3"/>
    <w:rsid w:val="00153C24"/>
    <w:rsid w:val="00153C33"/>
    <w:rsid w:val="00153C9C"/>
    <w:rsid w:val="00153DAA"/>
    <w:rsid w:val="00153F8E"/>
    <w:rsid w:val="001547E7"/>
    <w:rsid w:val="0015490A"/>
    <w:rsid w:val="00154969"/>
    <w:rsid w:val="00154C38"/>
    <w:rsid w:val="00154FF7"/>
    <w:rsid w:val="0015514C"/>
    <w:rsid w:val="001554B3"/>
    <w:rsid w:val="00155A0D"/>
    <w:rsid w:val="00155D39"/>
    <w:rsid w:val="00155DBE"/>
    <w:rsid w:val="00156221"/>
    <w:rsid w:val="0015627C"/>
    <w:rsid w:val="0015632C"/>
    <w:rsid w:val="001563DC"/>
    <w:rsid w:val="00156753"/>
    <w:rsid w:val="001570D0"/>
    <w:rsid w:val="0015716A"/>
    <w:rsid w:val="00157248"/>
    <w:rsid w:val="00157418"/>
    <w:rsid w:val="00157516"/>
    <w:rsid w:val="0015790B"/>
    <w:rsid w:val="00157959"/>
    <w:rsid w:val="001579FC"/>
    <w:rsid w:val="00157CD4"/>
    <w:rsid w:val="00157EB8"/>
    <w:rsid w:val="001602DB"/>
    <w:rsid w:val="001605FE"/>
    <w:rsid w:val="0016069C"/>
    <w:rsid w:val="00160977"/>
    <w:rsid w:val="00160D74"/>
    <w:rsid w:val="00160F25"/>
    <w:rsid w:val="00161251"/>
    <w:rsid w:val="001613AD"/>
    <w:rsid w:val="001614E0"/>
    <w:rsid w:val="001617BE"/>
    <w:rsid w:val="001624DD"/>
    <w:rsid w:val="00162A4B"/>
    <w:rsid w:val="0016300A"/>
    <w:rsid w:val="001631AD"/>
    <w:rsid w:val="00163206"/>
    <w:rsid w:val="001633FB"/>
    <w:rsid w:val="00163414"/>
    <w:rsid w:val="00163538"/>
    <w:rsid w:val="00163A59"/>
    <w:rsid w:val="00163D48"/>
    <w:rsid w:val="00163EF3"/>
    <w:rsid w:val="001644A5"/>
    <w:rsid w:val="00164DA0"/>
    <w:rsid w:val="00165005"/>
    <w:rsid w:val="001650CC"/>
    <w:rsid w:val="0016527E"/>
    <w:rsid w:val="00165497"/>
    <w:rsid w:val="001654E0"/>
    <w:rsid w:val="001656A4"/>
    <w:rsid w:val="001658B2"/>
    <w:rsid w:val="001659E0"/>
    <w:rsid w:val="00166039"/>
    <w:rsid w:val="001660ED"/>
    <w:rsid w:val="001661DC"/>
    <w:rsid w:val="00166288"/>
    <w:rsid w:val="0016639A"/>
    <w:rsid w:val="001664A4"/>
    <w:rsid w:val="00166787"/>
    <w:rsid w:val="00166BDD"/>
    <w:rsid w:val="00166D23"/>
    <w:rsid w:val="00166EA6"/>
    <w:rsid w:val="00166F32"/>
    <w:rsid w:val="0016700D"/>
    <w:rsid w:val="00167434"/>
    <w:rsid w:val="001675E2"/>
    <w:rsid w:val="00167896"/>
    <w:rsid w:val="00167A5B"/>
    <w:rsid w:val="00167C78"/>
    <w:rsid w:val="00167E22"/>
    <w:rsid w:val="00167EBC"/>
    <w:rsid w:val="00167EE9"/>
    <w:rsid w:val="00170002"/>
    <w:rsid w:val="00170183"/>
    <w:rsid w:val="0017048B"/>
    <w:rsid w:val="001705EC"/>
    <w:rsid w:val="00170A83"/>
    <w:rsid w:val="00171220"/>
    <w:rsid w:val="00171260"/>
    <w:rsid w:val="00171509"/>
    <w:rsid w:val="001717D0"/>
    <w:rsid w:val="00171B70"/>
    <w:rsid w:val="00171CEA"/>
    <w:rsid w:val="00171FAF"/>
    <w:rsid w:val="001721C0"/>
    <w:rsid w:val="001723FC"/>
    <w:rsid w:val="001726BC"/>
    <w:rsid w:val="0017291A"/>
    <w:rsid w:val="00172EDA"/>
    <w:rsid w:val="001731EA"/>
    <w:rsid w:val="00173558"/>
    <w:rsid w:val="001738F5"/>
    <w:rsid w:val="001739DF"/>
    <w:rsid w:val="00173B34"/>
    <w:rsid w:val="00173C06"/>
    <w:rsid w:val="00173C6A"/>
    <w:rsid w:val="0017426D"/>
    <w:rsid w:val="001742F8"/>
    <w:rsid w:val="00174446"/>
    <w:rsid w:val="001746F9"/>
    <w:rsid w:val="0017485F"/>
    <w:rsid w:val="00174897"/>
    <w:rsid w:val="00174985"/>
    <w:rsid w:val="00174A0E"/>
    <w:rsid w:val="00174D51"/>
    <w:rsid w:val="0017520E"/>
    <w:rsid w:val="00175778"/>
    <w:rsid w:val="001757C7"/>
    <w:rsid w:val="00175A04"/>
    <w:rsid w:val="00175D34"/>
    <w:rsid w:val="00176165"/>
    <w:rsid w:val="001761F7"/>
    <w:rsid w:val="001765F0"/>
    <w:rsid w:val="00176733"/>
    <w:rsid w:val="001767BD"/>
    <w:rsid w:val="00176801"/>
    <w:rsid w:val="00176AEF"/>
    <w:rsid w:val="00176D00"/>
    <w:rsid w:val="00176F77"/>
    <w:rsid w:val="001772A7"/>
    <w:rsid w:val="001772B8"/>
    <w:rsid w:val="001777B0"/>
    <w:rsid w:val="0017780A"/>
    <w:rsid w:val="0017789F"/>
    <w:rsid w:val="00177AD1"/>
    <w:rsid w:val="00177E23"/>
    <w:rsid w:val="00177E3E"/>
    <w:rsid w:val="00177ECD"/>
    <w:rsid w:val="00180E1E"/>
    <w:rsid w:val="00180F62"/>
    <w:rsid w:val="0018113A"/>
    <w:rsid w:val="00181201"/>
    <w:rsid w:val="0018149E"/>
    <w:rsid w:val="00181E30"/>
    <w:rsid w:val="00182163"/>
    <w:rsid w:val="001822E7"/>
    <w:rsid w:val="001823B0"/>
    <w:rsid w:val="00182593"/>
    <w:rsid w:val="0018274A"/>
    <w:rsid w:val="00182FC8"/>
    <w:rsid w:val="0018310C"/>
    <w:rsid w:val="00183329"/>
    <w:rsid w:val="001837E2"/>
    <w:rsid w:val="00183831"/>
    <w:rsid w:val="00183AEC"/>
    <w:rsid w:val="00183B41"/>
    <w:rsid w:val="00183B7B"/>
    <w:rsid w:val="00183D16"/>
    <w:rsid w:val="00183E36"/>
    <w:rsid w:val="00183F23"/>
    <w:rsid w:val="00183FF4"/>
    <w:rsid w:val="001840B7"/>
    <w:rsid w:val="0018414A"/>
    <w:rsid w:val="0018422A"/>
    <w:rsid w:val="001842D7"/>
    <w:rsid w:val="00184388"/>
    <w:rsid w:val="0018444B"/>
    <w:rsid w:val="00184623"/>
    <w:rsid w:val="001846F8"/>
    <w:rsid w:val="001847C5"/>
    <w:rsid w:val="0018483A"/>
    <w:rsid w:val="001849C2"/>
    <w:rsid w:val="00184A33"/>
    <w:rsid w:val="00184CEC"/>
    <w:rsid w:val="00184D7C"/>
    <w:rsid w:val="001852AB"/>
    <w:rsid w:val="001852AD"/>
    <w:rsid w:val="0018548C"/>
    <w:rsid w:val="0018577E"/>
    <w:rsid w:val="001857AA"/>
    <w:rsid w:val="00185856"/>
    <w:rsid w:val="00185BC2"/>
    <w:rsid w:val="00185EC7"/>
    <w:rsid w:val="00185F3F"/>
    <w:rsid w:val="00186B9E"/>
    <w:rsid w:val="00186BFF"/>
    <w:rsid w:val="00186CE7"/>
    <w:rsid w:val="0018711D"/>
    <w:rsid w:val="001873B8"/>
    <w:rsid w:val="001874A1"/>
    <w:rsid w:val="001876D8"/>
    <w:rsid w:val="0018783A"/>
    <w:rsid w:val="00187A28"/>
    <w:rsid w:val="00187ACF"/>
    <w:rsid w:val="00187C97"/>
    <w:rsid w:val="00187CE1"/>
    <w:rsid w:val="00187ED8"/>
    <w:rsid w:val="00187F22"/>
    <w:rsid w:val="00190054"/>
    <w:rsid w:val="00190165"/>
    <w:rsid w:val="0019024B"/>
    <w:rsid w:val="00190A92"/>
    <w:rsid w:val="00190AF8"/>
    <w:rsid w:val="00190B0F"/>
    <w:rsid w:val="00190BD4"/>
    <w:rsid w:val="00190FFE"/>
    <w:rsid w:val="00191570"/>
    <w:rsid w:val="001915C0"/>
    <w:rsid w:val="001916EC"/>
    <w:rsid w:val="001917E6"/>
    <w:rsid w:val="00191BA4"/>
    <w:rsid w:val="00192619"/>
    <w:rsid w:val="00192892"/>
    <w:rsid w:val="00192A75"/>
    <w:rsid w:val="00192C21"/>
    <w:rsid w:val="00192DB9"/>
    <w:rsid w:val="00193001"/>
    <w:rsid w:val="001931D8"/>
    <w:rsid w:val="0019328E"/>
    <w:rsid w:val="00193A20"/>
    <w:rsid w:val="00193AC1"/>
    <w:rsid w:val="00193C6F"/>
    <w:rsid w:val="0019435A"/>
    <w:rsid w:val="00194391"/>
    <w:rsid w:val="0019444D"/>
    <w:rsid w:val="001944A0"/>
    <w:rsid w:val="00194554"/>
    <w:rsid w:val="001945B1"/>
    <w:rsid w:val="00194641"/>
    <w:rsid w:val="0019464D"/>
    <w:rsid w:val="001948D6"/>
    <w:rsid w:val="00194A2D"/>
    <w:rsid w:val="00194A32"/>
    <w:rsid w:val="00194AD6"/>
    <w:rsid w:val="00194BC3"/>
    <w:rsid w:val="00194D5D"/>
    <w:rsid w:val="00195262"/>
    <w:rsid w:val="001956A0"/>
    <w:rsid w:val="00195712"/>
    <w:rsid w:val="0019576B"/>
    <w:rsid w:val="00195C6B"/>
    <w:rsid w:val="00195C92"/>
    <w:rsid w:val="00195D28"/>
    <w:rsid w:val="00195D30"/>
    <w:rsid w:val="00195E5E"/>
    <w:rsid w:val="00196039"/>
    <w:rsid w:val="0019624C"/>
    <w:rsid w:val="00196355"/>
    <w:rsid w:val="00196421"/>
    <w:rsid w:val="0019652D"/>
    <w:rsid w:val="00196682"/>
    <w:rsid w:val="00196753"/>
    <w:rsid w:val="001968AF"/>
    <w:rsid w:val="001968E3"/>
    <w:rsid w:val="001968FB"/>
    <w:rsid w:val="0019690C"/>
    <w:rsid w:val="00196E73"/>
    <w:rsid w:val="00196EC9"/>
    <w:rsid w:val="00197068"/>
    <w:rsid w:val="0019718B"/>
    <w:rsid w:val="0019735D"/>
    <w:rsid w:val="0019741C"/>
    <w:rsid w:val="0019753F"/>
    <w:rsid w:val="001976D5"/>
    <w:rsid w:val="001978F6"/>
    <w:rsid w:val="00197934"/>
    <w:rsid w:val="001A0060"/>
    <w:rsid w:val="001A00B7"/>
    <w:rsid w:val="001A0702"/>
    <w:rsid w:val="001A0867"/>
    <w:rsid w:val="001A0932"/>
    <w:rsid w:val="001A0CC7"/>
    <w:rsid w:val="001A0DD0"/>
    <w:rsid w:val="001A0E11"/>
    <w:rsid w:val="001A0E5C"/>
    <w:rsid w:val="001A0EBA"/>
    <w:rsid w:val="001A1018"/>
    <w:rsid w:val="001A14DC"/>
    <w:rsid w:val="001A1F90"/>
    <w:rsid w:val="001A20F8"/>
    <w:rsid w:val="001A2421"/>
    <w:rsid w:val="001A24AB"/>
    <w:rsid w:val="001A2597"/>
    <w:rsid w:val="001A269C"/>
    <w:rsid w:val="001A26C9"/>
    <w:rsid w:val="001A2A98"/>
    <w:rsid w:val="001A2CA2"/>
    <w:rsid w:val="001A2E8E"/>
    <w:rsid w:val="001A33EE"/>
    <w:rsid w:val="001A3599"/>
    <w:rsid w:val="001A3809"/>
    <w:rsid w:val="001A395B"/>
    <w:rsid w:val="001A3987"/>
    <w:rsid w:val="001A3988"/>
    <w:rsid w:val="001A3F58"/>
    <w:rsid w:val="001A425C"/>
    <w:rsid w:val="001A4386"/>
    <w:rsid w:val="001A475D"/>
    <w:rsid w:val="001A47CC"/>
    <w:rsid w:val="001A496D"/>
    <w:rsid w:val="001A4DC7"/>
    <w:rsid w:val="001A4E6B"/>
    <w:rsid w:val="001A514E"/>
    <w:rsid w:val="001A5264"/>
    <w:rsid w:val="001A531C"/>
    <w:rsid w:val="001A532D"/>
    <w:rsid w:val="001A5ADC"/>
    <w:rsid w:val="001A5B3E"/>
    <w:rsid w:val="001A5C4E"/>
    <w:rsid w:val="001A5D2D"/>
    <w:rsid w:val="001A5DB0"/>
    <w:rsid w:val="001A5E4D"/>
    <w:rsid w:val="001A5FF1"/>
    <w:rsid w:val="001A613C"/>
    <w:rsid w:val="001A6236"/>
    <w:rsid w:val="001A6259"/>
    <w:rsid w:val="001A62E4"/>
    <w:rsid w:val="001A6361"/>
    <w:rsid w:val="001A63CB"/>
    <w:rsid w:val="001A6460"/>
    <w:rsid w:val="001A6744"/>
    <w:rsid w:val="001A676A"/>
    <w:rsid w:val="001A6C82"/>
    <w:rsid w:val="001A6F4A"/>
    <w:rsid w:val="001A70FA"/>
    <w:rsid w:val="001A740C"/>
    <w:rsid w:val="001A7B8D"/>
    <w:rsid w:val="001B0368"/>
    <w:rsid w:val="001B036B"/>
    <w:rsid w:val="001B0921"/>
    <w:rsid w:val="001B0DB7"/>
    <w:rsid w:val="001B0EE3"/>
    <w:rsid w:val="001B0F07"/>
    <w:rsid w:val="001B1155"/>
    <w:rsid w:val="001B1440"/>
    <w:rsid w:val="001B176E"/>
    <w:rsid w:val="001B19BF"/>
    <w:rsid w:val="001B1A89"/>
    <w:rsid w:val="001B1B39"/>
    <w:rsid w:val="001B20D9"/>
    <w:rsid w:val="001B2198"/>
    <w:rsid w:val="001B228F"/>
    <w:rsid w:val="001B246D"/>
    <w:rsid w:val="001B250B"/>
    <w:rsid w:val="001B26D2"/>
    <w:rsid w:val="001B26F0"/>
    <w:rsid w:val="001B2803"/>
    <w:rsid w:val="001B2B6D"/>
    <w:rsid w:val="001B2D82"/>
    <w:rsid w:val="001B308D"/>
    <w:rsid w:val="001B3163"/>
    <w:rsid w:val="001B31E5"/>
    <w:rsid w:val="001B355C"/>
    <w:rsid w:val="001B3765"/>
    <w:rsid w:val="001B38D8"/>
    <w:rsid w:val="001B3BF7"/>
    <w:rsid w:val="001B40F4"/>
    <w:rsid w:val="001B41D3"/>
    <w:rsid w:val="001B43DD"/>
    <w:rsid w:val="001B4459"/>
    <w:rsid w:val="001B46A5"/>
    <w:rsid w:val="001B4C04"/>
    <w:rsid w:val="001B4EF6"/>
    <w:rsid w:val="001B50DE"/>
    <w:rsid w:val="001B54CB"/>
    <w:rsid w:val="001B5AB4"/>
    <w:rsid w:val="001B5E4F"/>
    <w:rsid w:val="001B618F"/>
    <w:rsid w:val="001B62F2"/>
    <w:rsid w:val="001B658B"/>
    <w:rsid w:val="001B6596"/>
    <w:rsid w:val="001B6695"/>
    <w:rsid w:val="001B6ADF"/>
    <w:rsid w:val="001B6BE5"/>
    <w:rsid w:val="001B6C1B"/>
    <w:rsid w:val="001B6DE6"/>
    <w:rsid w:val="001B7055"/>
    <w:rsid w:val="001B7494"/>
    <w:rsid w:val="001B75E8"/>
    <w:rsid w:val="001B762D"/>
    <w:rsid w:val="001B7794"/>
    <w:rsid w:val="001B7868"/>
    <w:rsid w:val="001B7C33"/>
    <w:rsid w:val="001B7C47"/>
    <w:rsid w:val="001B7DF7"/>
    <w:rsid w:val="001B7EB0"/>
    <w:rsid w:val="001B7F3C"/>
    <w:rsid w:val="001C001F"/>
    <w:rsid w:val="001C0069"/>
    <w:rsid w:val="001C0111"/>
    <w:rsid w:val="001C017C"/>
    <w:rsid w:val="001C01E6"/>
    <w:rsid w:val="001C0477"/>
    <w:rsid w:val="001C0775"/>
    <w:rsid w:val="001C082C"/>
    <w:rsid w:val="001C0AD2"/>
    <w:rsid w:val="001C0BF6"/>
    <w:rsid w:val="001C0DE4"/>
    <w:rsid w:val="001C0FB6"/>
    <w:rsid w:val="001C10C4"/>
    <w:rsid w:val="001C1704"/>
    <w:rsid w:val="001C181A"/>
    <w:rsid w:val="001C1A34"/>
    <w:rsid w:val="001C1E4E"/>
    <w:rsid w:val="001C1E72"/>
    <w:rsid w:val="001C1F7B"/>
    <w:rsid w:val="001C241A"/>
    <w:rsid w:val="001C284A"/>
    <w:rsid w:val="001C2BD6"/>
    <w:rsid w:val="001C2CD5"/>
    <w:rsid w:val="001C30B8"/>
    <w:rsid w:val="001C3118"/>
    <w:rsid w:val="001C3186"/>
    <w:rsid w:val="001C38E5"/>
    <w:rsid w:val="001C393A"/>
    <w:rsid w:val="001C3948"/>
    <w:rsid w:val="001C3E9B"/>
    <w:rsid w:val="001C40D6"/>
    <w:rsid w:val="001C40E6"/>
    <w:rsid w:val="001C41B8"/>
    <w:rsid w:val="001C43EB"/>
    <w:rsid w:val="001C46AF"/>
    <w:rsid w:val="001C4724"/>
    <w:rsid w:val="001C47C8"/>
    <w:rsid w:val="001C4966"/>
    <w:rsid w:val="001C4975"/>
    <w:rsid w:val="001C4D29"/>
    <w:rsid w:val="001C4FFE"/>
    <w:rsid w:val="001C52FB"/>
    <w:rsid w:val="001C5377"/>
    <w:rsid w:val="001C5420"/>
    <w:rsid w:val="001C5426"/>
    <w:rsid w:val="001C579D"/>
    <w:rsid w:val="001C5914"/>
    <w:rsid w:val="001C5AF6"/>
    <w:rsid w:val="001C5C13"/>
    <w:rsid w:val="001C5CEB"/>
    <w:rsid w:val="001C6161"/>
    <w:rsid w:val="001C6187"/>
    <w:rsid w:val="001C6225"/>
    <w:rsid w:val="001C6361"/>
    <w:rsid w:val="001C64CF"/>
    <w:rsid w:val="001C65A7"/>
    <w:rsid w:val="001C65FB"/>
    <w:rsid w:val="001C672A"/>
    <w:rsid w:val="001C6897"/>
    <w:rsid w:val="001C68D2"/>
    <w:rsid w:val="001C6AD3"/>
    <w:rsid w:val="001C6D1D"/>
    <w:rsid w:val="001C6D52"/>
    <w:rsid w:val="001C6F7A"/>
    <w:rsid w:val="001C7079"/>
    <w:rsid w:val="001C7146"/>
    <w:rsid w:val="001C72D8"/>
    <w:rsid w:val="001C72D9"/>
    <w:rsid w:val="001C7532"/>
    <w:rsid w:val="001C7584"/>
    <w:rsid w:val="001C76B2"/>
    <w:rsid w:val="001C7859"/>
    <w:rsid w:val="001C790D"/>
    <w:rsid w:val="001C7C37"/>
    <w:rsid w:val="001C7E78"/>
    <w:rsid w:val="001C7E8A"/>
    <w:rsid w:val="001C7EAD"/>
    <w:rsid w:val="001C7F5C"/>
    <w:rsid w:val="001D0505"/>
    <w:rsid w:val="001D07AE"/>
    <w:rsid w:val="001D0AA2"/>
    <w:rsid w:val="001D0DCE"/>
    <w:rsid w:val="001D0EB5"/>
    <w:rsid w:val="001D182E"/>
    <w:rsid w:val="001D1D2D"/>
    <w:rsid w:val="001D1FB3"/>
    <w:rsid w:val="001D1FED"/>
    <w:rsid w:val="001D2293"/>
    <w:rsid w:val="001D22BB"/>
    <w:rsid w:val="001D240E"/>
    <w:rsid w:val="001D2426"/>
    <w:rsid w:val="001D266B"/>
    <w:rsid w:val="001D29F0"/>
    <w:rsid w:val="001D2C79"/>
    <w:rsid w:val="001D2CC6"/>
    <w:rsid w:val="001D2DC8"/>
    <w:rsid w:val="001D2E0D"/>
    <w:rsid w:val="001D2F2B"/>
    <w:rsid w:val="001D30E3"/>
    <w:rsid w:val="001D334C"/>
    <w:rsid w:val="001D3C58"/>
    <w:rsid w:val="001D3E4A"/>
    <w:rsid w:val="001D4044"/>
    <w:rsid w:val="001D42E5"/>
    <w:rsid w:val="001D4795"/>
    <w:rsid w:val="001D49F6"/>
    <w:rsid w:val="001D4A3B"/>
    <w:rsid w:val="001D4FF7"/>
    <w:rsid w:val="001D4FFD"/>
    <w:rsid w:val="001D519E"/>
    <w:rsid w:val="001D51E3"/>
    <w:rsid w:val="001D549A"/>
    <w:rsid w:val="001D560E"/>
    <w:rsid w:val="001D56CF"/>
    <w:rsid w:val="001D5806"/>
    <w:rsid w:val="001D5B39"/>
    <w:rsid w:val="001D6036"/>
    <w:rsid w:val="001D607C"/>
    <w:rsid w:val="001D60A1"/>
    <w:rsid w:val="001D6225"/>
    <w:rsid w:val="001D65E8"/>
    <w:rsid w:val="001D6792"/>
    <w:rsid w:val="001D6800"/>
    <w:rsid w:val="001D6B52"/>
    <w:rsid w:val="001D6C2E"/>
    <w:rsid w:val="001D6D70"/>
    <w:rsid w:val="001D6E0F"/>
    <w:rsid w:val="001D6EEF"/>
    <w:rsid w:val="001D70FD"/>
    <w:rsid w:val="001D7152"/>
    <w:rsid w:val="001D72BE"/>
    <w:rsid w:val="001D7445"/>
    <w:rsid w:val="001D7817"/>
    <w:rsid w:val="001D783E"/>
    <w:rsid w:val="001D7912"/>
    <w:rsid w:val="001D7B9B"/>
    <w:rsid w:val="001D7CB5"/>
    <w:rsid w:val="001E0308"/>
    <w:rsid w:val="001E055F"/>
    <w:rsid w:val="001E066E"/>
    <w:rsid w:val="001E08A4"/>
    <w:rsid w:val="001E0A09"/>
    <w:rsid w:val="001E0A3B"/>
    <w:rsid w:val="001E0C13"/>
    <w:rsid w:val="001E0D5F"/>
    <w:rsid w:val="001E0E14"/>
    <w:rsid w:val="001E0EDB"/>
    <w:rsid w:val="001E14E5"/>
    <w:rsid w:val="001E1680"/>
    <w:rsid w:val="001E168D"/>
    <w:rsid w:val="001E1810"/>
    <w:rsid w:val="001E1B90"/>
    <w:rsid w:val="001E20AD"/>
    <w:rsid w:val="001E219B"/>
    <w:rsid w:val="001E2375"/>
    <w:rsid w:val="001E2397"/>
    <w:rsid w:val="001E23BC"/>
    <w:rsid w:val="001E23E8"/>
    <w:rsid w:val="001E27F8"/>
    <w:rsid w:val="001E2C64"/>
    <w:rsid w:val="001E2D9A"/>
    <w:rsid w:val="001E2FC4"/>
    <w:rsid w:val="001E3040"/>
    <w:rsid w:val="001E30E2"/>
    <w:rsid w:val="001E329A"/>
    <w:rsid w:val="001E334C"/>
    <w:rsid w:val="001E3412"/>
    <w:rsid w:val="001E36F0"/>
    <w:rsid w:val="001E3A53"/>
    <w:rsid w:val="001E3AB6"/>
    <w:rsid w:val="001E3D55"/>
    <w:rsid w:val="001E3DF5"/>
    <w:rsid w:val="001E41D6"/>
    <w:rsid w:val="001E42A9"/>
    <w:rsid w:val="001E4529"/>
    <w:rsid w:val="001E46C2"/>
    <w:rsid w:val="001E4719"/>
    <w:rsid w:val="001E4778"/>
    <w:rsid w:val="001E4C9B"/>
    <w:rsid w:val="001E522D"/>
    <w:rsid w:val="001E52E8"/>
    <w:rsid w:val="001E5515"/>
    <w:rsid w:val="001E55F3"/>
    <w:rsid w:val="001E5954"/>
    <w:rsid w:val="001E5DCC"/>
    <w:rsid w:val="001E5EAE"/>
    <w:rsid w:val="001E6084"/>
    <w:rsid w:val="001E60BC"/>
    <w:rsid w:val="001E651E"/>
    <w:rsid w:val="001E6B16"/>
    <w:rsid w:val="001E6C03"/>
    <w:rsid w:val="001E6C36"/>
    <w:rsid w:val="001E6CD5"/>
    <w:rsid w:val="001E7054"/>
    <w:rsid w:val="001E7193"/>
    <w:rsid w:val="001E71DA"/>
    <w:rsid w:val="001E7261"/>
    <w:rsid w:val="001E79C8"/>
    <w:rsid w:val="001E7A6A"/>
    <w:rsid w:val="001E7BE1"/>
    <w:rsid w:val="001E7D29"/>
    <w:rsid w:val="001E7D89"/>
    <w:rsid w:val="001E7E6C"/>
    <w:rsid w:val="001E7EE4"/>
    <w:rsid w:val="001F050A"/>
    <w:rsid w:val="001F0523"/>
    <w:rsid w:val="001F05CA"/>
    <w:rsid w:val="001F07E4"/>
    <w:rsid w:val="001F097A"/>
    <w:rsid w:val="001F097C"/>
    <w:rsid w:val="001F09A9"/>
    <w:rsid w:val="001F09DC"/>
    <w:rsid w:val="001F0FD5"/>
    <w:rsid w:val="001F11B7"/>
    <w:rsid w:val="001F124B"/>
    <w:rsid w:val="001F136B"/>
    <w:rsid w:val="001F1531"/>
    <w:rsid w:val="001F16B5"/>
    <w:rsid w:val="001F1A72"/>
    <w:rsid w:val="001F1B0A"/>
    <w:rsid w:val="001F1B2A"/>
    <w:rsid w:val="001F1CA6"/>
    <w:rsid w:val="001F221B"/>
    <w:rsid w:val="001F2319"/>
    <w:rsid w:val="001F2714"/>
    <w:rsid w:val="001F276F"/>
    <w:rsid w:val="001F2B92"/>
    <w:rsid w:val="001F2D28"/>
    <w:rsid w:val="001F304B"/>
    <w:rsid w:val="001F31BA"/>
    <w:rsid w:val="001F3467"/>
    <w:rsid w:val="001F362A"/>
    <w:rsid w:val="001F3D3B"/>
    <w:rsid w:val="001F403F"/>
    <w:rsid w:val="001F41A8"/>
    <w:rsid w:val="001F43E2"/>
    <w:rsid w:val="001F47DA"/>
    <w:rsid w:val="001F4A55"/>
    <w:rsid w:val="001F4F9D"/>
    <w:rsid w:val="001F502B"/>
    <w:rsid w:val="001F52E8"/>
    <w:rsid w:val="001F56E9"/>
    <w:rsid w:val="001F5865"/>
    <w:rsid w:val="001F5931"/>
    <w:rsid w:val="001F5C8A"/>
    <w:rsid w:val="001F5C8B"/>
    <w:rsid w:val="001F5D21"/>
    <w:rsid w:val="001F5D5C"/>
    <w:rsid w:val="001F60D6"/>
    <w:rsid w:val="001F666C"/>
    <w:rsid w:val="001F67B7"/>
    <w:rsid w:val="001F681F"/>
    <w:rsid w:val="001F6CB5"/>
    <w:rsid w:val="001F6E7E"/>
    <w:rsid w:val="001F6FA7"/>
    <w:rsid w:val="001F6FB3"/>
    <w:rsid w:val="001F7381"/>
    <w:rsid w:val="001F7762"/>
    <w:rsid w:val="001F7803"/>
    <w:rsid w:val="001F7B2E"/>
    <w:rsid w:val="001F7DDE"/>
    <w:rsid w:val="001F7EC4"/>
    <w:rsid w:val="00200115"/>
    <w:rsid w:val="002004FE"/>
    <w:rsid w:val="00200553"/>
    <w:rsid w:val="00200894"/>
    <w:rsid w:val="00200A69"/>
    <w:rsid w:val="00201193"/>
    <w:rsid w:val="002011B4"/>
    <w:rsid w:val="002012D7"/>
    <w:rsid w:val="002014AF"/>
    <w:rsid w:val="002014EF"/>
    <w:rsid w:val="0020161A"/>
    <w:rsid w:val="002016C7"/>
    <w:rsid w:val="00201823"/>
    <w:rsid w:val="00201B29"/>
    <w:rsid w:val="00201B36"/>
    <w:rsid w:val="00201EA4"/>
    <w:rsid w:val="0020219B"/>
    <w:rsid w:val="00202254"/>
    <w:rsid w:val="00202334"/>
    <w:rsid w:val="002024D0"/>
    <w:rsid w:val="00202B0F"/>
    <w:rsid w:val="00202F78"/>
    <w:rsid w:val="00203152"/>
    <w:rsid w:val="00203679"/>
    <w:rsid w:val="002038D5"/>
    <w:rsid w:val="002039A3"/>
    <w:rsid w:val="00203B9A"/>
    <w:rsid w:val="00203F74"/>
    <w:rsid w:val="002041D9"/>
    <w:rsid w:val="002043D6"/>
    <w:rsid w:val="002043F1"/>
    <w:rsid w:val="00204881"/>
    <w:rsid w:val="00204947"/>
    <w:rsid w:val="00204AF8"/>
    <w:rsid w:val="00204B6C"/>
    <w:rsid w:val="00204C93"/>
    <w:rsid w:val="00204EFF"/>
    <w:rsid w:val="00204FB7"/>
    <w:rsid w:val="00205086"/>
    <w:rsid w:val="0020520C"/>
    <w:rsid w:val="00205341"/>
    <w:rsid w:val="0020557C"/>
    <w:rsid w:val="00205AFD"/>
    <w:rsid w:val="00205B7B"/>
    <w:rsid w:val="00205EE9"/>
    <w:rsid w:val="0020628E"/>
    <w:rsid w:val="00206493"/>
    <w:rsid w:val="0020650C"/>
    <w:rsid w:val="002065C2"/>
    <w:rsid w:val="00206632"/>
    <w:rsid w:val="0020675C"/>
    <w:rsid w:val="002067BA"/>
    <w:rsid w:val="002067EE"/>
    <w:rsid w:val="00206A5A"/>
    <w:rsid w:val="00206DF6"/>
    <w:rsid w:val="00207290"/>
    <w:rsid w:val="002072F2"/>
    <w:rsid w:val="002072FB"/>
    <w:rsid w:val="00207402"/>
    <w:rsid w:val="00207B3E"/>
    <w:rsid w:val="00207CB1"/>
    <w:rsid w:val="00207FDD"/>
    <w:rsid w:val="002100CA"/>
    <w:rsid w:val="002100F9"/>
    <w:rsid w:val="00210395"/>
    <w:rsid w:val="0021042A"/>
    <w:rsid w:val="002104FA"/>
    <w:rsid w:val="0021089A"/>
    <w:rsid w:val="00210A59"/>
    <w:rsid w:val="00211018"/>
    <w:rsid w:val="0021103E"/>
    <w:rsid w:val="00211258"/>
    <w:rsid w:val="002114FA"/>
    <w:rsid w:val="00211B01"/>
    <w:rsid w:val="00211D63"/>
    <w:rsid w:val="00212307"/>
    <w:rsid w:val="00212623"/>
    <w:rsid w:val="00212BA9"/>
    <w:rsid w:val="00212CB9"/>
    <w:rsid w:val="00212E5F"/>
    <w:rsid w:val="00212F68"/>
    <w:rsid w:val="00213000"/>
    <w:rsid w:val="002131B9"/>
    <w:rsid w:val="0021325B"/>
    <w:rsid w:val="002138E0"/>
    <w:rsid w:val="00213B8B"/>
    <w:rsid w:val="00213C4D"/>
    <w:rsid w:val="00213DF0"/>
    <w:rsid w:val="00214189"/>
    <w:rsid w:val="00214402"/>
    <w:rsid w:val="0021477C"/>
    <w:rsid w:val="00214B4A"/>
    <w:rsid w:val="00214BDC"/>
    <w:rsid w:val="0021571D"/>
    <w:rsid w:val="0021582D"/>
    <w:rsid w:val="00215D4E"/>
    <w:rsid w:val="00216021"/>
    <w:rsid w:val="00216034"/>
    <w:rsid w:val="0021615D"/>
    <w:rsid w:val="00216542"/>
    <w:rsid w:val="00216615"/>
    <w:rsid w:val="00216784"/>
    <w:rsid w:val="00216B7E"/>
    <w:rsid w:val="00216CE3"/>
    <w:rsid w:val="002172DA"/>
    <w:rsid w:val="0021735E"/>
    <w:rsid w:val="002174FA"/>
    <w:rsid w:val="00217D5B"/>
    <w:rsid w:val="00217F00"/>
    <w:rsid w:val="00217F12"/>
    <w:rsid w:val="00217F42"/>
    <w:rsid w:val="002201DA"/>
    <w:rsid w:val="00220230"/>
    <w:rsid w:val="002207B3"/>
    <w:rsid w:val="002207E1"/>
    <w:rsid w:val="0022095E"/>
    <w:rsid w:val="00220CFE"/>
    <w:rsid w:val="00221156"/>
    <w:rsid w:val="00221503"/>
    <w:rsid w:val="00221557"/>
    <w:rsid w:val="00221777"/>
    <w:rsid w:val="00221A0A"/>
    <w:rsid w:val="00221A2E"/>
    <w:rsid w:val="00221B43"/>
    <w:rsid w:val="00221C8F"/>
    <w:rsid w:val="00221CEF"/>
    <w:rsid w:val="00221E93"/>
    <w:rsid w:val="002220D3"/>
    <w:rsid w:val="00222162"/>
    <w:rsid w:val="00222489"/>
    <w:rsid w:val="002225EB"/>
    <w:rsid w:val="002226DE"/>
    <w:rsid w:val="00222945"/>
    <w:rsid w:val="00222B67"/>
    <w:rsid w:val="00222C72"/>
    <w:rsid w:val="00222D41"/>
    <w:rsid w:val="00222EAE"/>
    <w:rsid w:val="002232B3"/>
    <w:rsid w:val="00223306"/>
    <w:rsid w:val="00223331"/>
    <w:rsid w:val="00223391"/>
    <w:rsid w:val="00223B05"/>
    <w:rsid w:val="00223EB3"/>
    <w:rsid w:val="00223F00"/>
    <w:rsid w:val="00223F58"/>
    <w:rsid w:val="00223F77"/>
    <w:rsid w:val="00224214"/>
    <w:rsid w:val="00224393"/>
    <w:rsid w:val="002245BA"/>
    <w:rsid w:val="002245E7"/>
    <w:rsid w:val="00224679"/>
    <w:rsid w:val="002246AC"/>
    <w:rsid w:val="00224825"/>
    <w:rsid w:val="00224D90"/>
    <w:rsid w:val="002250EC"/>
    <w:rsid w:val="00225123"/>
    <w:rsid w:val="00225131"/>
    <w:rsid w:val="002251FC"/>
    <w:rsid w:val="0022522C"/>
    <w:rsid w:val="002252D3"/>
    <w:rsid w:val="00225574"/>
    <w:rsid w:val="0022584A"/>
    <w:rsid w:val="002259B6"/>
    <w:rsid w:val="002259F5"/>
    <w:rsid w:val="00225EAC"/>
    <w:rsid w:val="00226321"/>
    <w:rsid w:val="00226347"/>
    <w:rsid w:val="0022670B"/>
    <w:rsid w:val="00226B44"/>
    <w:rsid w:val="00226E93"/>
    <w:rsid w:val="00226F20"/>
    <w:rsid w:val="00226F52"/>
    <w:rsid w:val="00226F6B"/>
    <w:rsid w:val="002270CC"/>
    <w:rsid w:val="00227257"/>
    <w:rsid w:val="00227598"/>
    <w:rsid w:val="002278A1"/>
    <w:rsid w:val="002278D4"/>
    <w:rsid w:val="00227AEC"/>
    <w:rsid w:val="00227AFB"/>
    <w:rsid w:val="00227AFC"/>
    <w:rsid w:val="00227B67"/>
    <w:rsid w:val="00227C5F"/>
    <w:rsid w:val="00227C72"/>
    <w:rsid w:val="00227D29"/>
    <w:rsid w:val="00227D46"/>
    <w:rsid w:val="00227E27"/>
    <w:rsid w:val="00227F5E"/>
    <w:rsid w:val="0023002C"/>
    <w:rsid w:val="002302A8"/>
    <w:rsid w:val="002303A9"/>
    <w:rsid w:val="002304DC"/>
    <w:rsid w:val="002304FB"/>
    <w:rsid w:val="002305F3"/>
    <w:rsid w:val="002306C5"/>
    <w:rsid w:val="002308D5"/>
    <w:rsid w:val="0023095B"/>
    <w:rsid w:val="002309DD"/>
    <w:rsid w:val="00230C8B"/>
    <w:rsid w:val="00230D94"/>
    <w:rsid w:val="00230EF2"/>
    <w:rsid w:val="00231206"/>
    <w:rsid w:val="0023122E"/>
    <w:rsid w:val="00231533"/>
    <w:rsid w:val="00231EC2"/>
    <w:rsid w:val="00232AB3"/>
    <w:rsid w:val="00232BCD"/>
    <w:rsid w:val="00232C33"/>
    <w:rsid w:val="00232D9B"/>
    <w:rsid w:val="00232EB0"/>
    <w:rsid w:val="0023306C"/>
    <w:rsid w:val="002331CB"/>
    <w:rsid w:val="0023326F"/>
    <w:rsid w:val="002334F0"/>
    <w:rsid w:val="002338FA"/>
    <w:rsid w:val="00233BAC"/>
    <w:rsid w:val="002341C8"/>
    <w:rsid w:val="002341CF"/>
    <w:rsid w:val="00234564"/>
    <w:rsid w:val="002346BA"/>
    <w:rsid w:val="00234751"/>
    <w:rsid w:val="00234863"/>
    <w:rsid w:val="00234878"/>
    <w:rsid w:val="0023493C"/>
    <w:rsid w:val="00234AFB"/>
    <w:rsid w:val="00234C07"/>
    <w:rsid w:val="00234E16"/>
    <w:rsid w:val="00235611"/>
    <w:rsid w:val="002359FE"/>
    <w:rsid w:val="00235ACD"/>
    <w:rsid w:val="0023608A"/>
    <w:rsid w:val="002364A3"/>
    <w:rsid w:val="00236A26"/>
    <w:rsid w:val="00236E10"/>
    <w:rsid w:val="00236E25"/>
    <w:rsid w:val="00236E7B"/>
    <w:rsid w:val="00236F24"/>
    <w:rsid w:val="002375CE"/>
    <w:rsid w:val="0023768F"/>
    <w:rsid w:val="002376AD"/>
    <w:rsid w:val="0023777F"/>
    <w:rsid w:val="002377C1"/>
    <w:rsid w:val="00237857"/>
    <w:rsid w:val="00237876"/>
    <w:rsid w:val="00237A15"/>
    <w:rsid w:val="00237A62"/>
    <w:rsid w:val="00237B2D"/>
    <w:rsid w:val="00237BBF"/>
    <w:rsid w:val="00237DB5"/>
    <w:rsid w:val="00237DC8"/>
    <w:rsid w:val="00240073"/>
    <w:rsid w:val="002403FE"/>
    <w:rsid w:val="0024075C"/>
    <w:rsid w:val="00240802"/>
    <w:rsid w:val="00240869"/>
    <w:rsid w:val="0024096C"/>
    <w:rsid w:val="00240DEB"/>
    <w:rsid w:val="00240E8B"/>
    <w:rsid w:val="00240F74"/>
    <w:rsid w:val="002410C3"/>
    <w:rsid w:val="002411F6"/>
    <w:rsid w:val="0024135E"/>
    <w:rsid w:val="0024185A"/>
    <w:rsid w:val="002418B7"/>
    <w:rsid w:val="00241C02"/>
    <w:rsid w:val="00241C2D"/>
    <w:rsid w:val="00241CE8"/>
    <w:rsid w:val="00241E44"/>
    <w:rsid w:val="00241F6B"/>
    <w:rsid w:val="00241FAD"/>
    <w:rsid w:val="0024223F"/>
    <w:rsid w:val="0024238D"/>
    <w:rsid w:val="0024239D"/>
    <w:rsid w:val="0024246E"/>
    <w:rsid w:val="00242C4C"/>
    <w:rsid w:val="002433BA"/>
    <w:rsid w:val="0024357D"/>
    <w:rsid w:val="0024370A"/>
    <w:rsid w:val="00243734"/>
    <w:rsid w:val="00243A67"/>
    <w:rsid w:val="00243D8E"/>
    <w:rsid w:val="00243E56"/>
    <w:rsid w:val="0024405C"/>
    <w:rsid w:val="0024432B"/>
    <w:rsid w:val="002443B8"/>
    <w:rsid w:val="002443DC"/>
    <w:rsid w:val="00244437"/>
    <w:rsid w:val="0024448B"/>
    <w:rsid w:val="002444E5"/>
    <w:rsid w:val="00244638"/>
    <w:rsid w:val="002448C2"/>
    <w:rsid w:val="002448FA"/>
    <w:rsid w:val="0024496C"/>
    <w:rsid w:val="00244B8A"/>
    <w:rsid w:val="00244C9D"/>
    <w:rsid w:val="00244DB8"/>
    <w:rsid w:val="002454B2"/>
    <w:rsid w:val="002454FE"/>
    <w:rsid w:val="002455C4"/>
    <w:rsid w:val="00245707"/>
    <w:rsid w:val="00245930"/>
    <w:rsid w:val="00245BB7"/>
    <w:rsid w:val="00245BE5"/>
    <w:rsid w:val="00245FD2"/>
    <w:rsid w:val="002460C8"/>
    <w:rsid w:val="002464CB"/>
    <w:rsid w:val="002466AF"/>
    <w:rsid w:val="002466D9"/>
    <w:rsid w:val="00246789"/>
    <w:rsid w:val="002467AE"/>
    <w:rsid w:val="00246A9A"/>
    <w:rsid w:val="00246C45"/>
    <w:rsid w:val="002471A8"/>
    <w:rsid w:val="00247693"/>
    <w:rsid w:val="0024795B"/>
    <w:rsid w:val="00247A6A"/>
    <w:rsid w:val="00247B24"/>
    <w:rsid w:val="00247F92"/>
    <w:rsid w:val="002506C3"/>
    <w:rsid w:val="00250811"/>
    <w:rsid w:val="00250841"/>
    <w:rsid w:val="00250C7C"/>
    <w:rsid w:val="002511FE"/>
    <w:rsid w:val="00251362"/>
    <w:rsid w:val="002514FD"/>
    <w:rsid w:val="002517D6"/>
    <w:rsid w:val="00251A89"/>
    <w:rsid w:val="00251DEE"/>
    <w:rsid w:val="00251FED"/>
    <w:rsid w:val="00252249"/>
    <w:rsid w:val="002522A8"/>
    <w:rsid w:val="0025275C"/>
    <w:rsid w:val="00252DAD"/>
    <w:rsid w:val="00252DD2"/>
    <w:rsid w:val="00253000"/>
    <w:rsid w:val="0025314B"/>
    <w:rsid w:val="002531A6"/>
    <w:rsid w:val="0025341C"/>
    <w:rsid w:val="00253694"/>
    <w:rsid w:val="002536F3"/>
    <w:rsid w:val="002537ED"/>
    <w:rsid w:val="00253E86"/>
    <w:rsid w:val="00253ECB"/>
    <w:rsid w:val="00254311"/>
    <w:rsid w:val="00254433"/>
    <w:rsid w:val="0025458E"/>
    <w:rsid w:val="002545AB"/>
    <w:rsid w:val="002546A4"/>
    <w:rsid w:val="00254784"/>
    <w:rsid w:val="00254966"/>
    <w:rsid w:val="002549F0"/>
    <w:rsid w:val="00254A4F"/>
    <w:rsid w:val="00254AE6"/>
    <w:rsid w:val="00254D94"/>
    <w:rsid w:val="00254F19"/>
    <w:rsid w:val="0025502C"/>
    <w:rsid w:val="002552E3"/>
    <w:rsid w:val="0025531D"/>
    <w:rsid w:val="00255643"/>
    <w:rsid w:val="00255694"/>
    <w:rsid w:val="00255734"/>
    <w:rsid w:val="0025585E"/>
    <w:rsid w:val="00255C9B"/>
    <w:rsid w:val="00255E8F"/>
    <w:rsid w:val="00255F22"/>
    <w:rsid w:val="002561F4"/>
    <w:rsid w:val="00256701"/>
    <w:rsid w:val="00256789"/>
    <w:rsid w:val="002567F2"/>
    <w:rsid w:val="002568E4"/>
    <w:rsid w:val="00256D3B"/>
    <w:rsid w:val="00256FAE"/>
    <w:rsid w:val="00257204"/>
    <w:rsid w:val="00257581"/>
    <w:rsid w:val="002577BB"/>
    <w:rsid w:val="00257CD8"/>
    <w:rsid w:val="00257E29"/>
    <w:rsid w:val="00257FE0"/>
    <w:rsid w:val="00257FE7"/>
    <w:rsid w:val="002600E1"/>
    <w:rsid w:val="00260111"/>
    <w:rsid w:val="00260238"/>
    <w:rsid w:val="00260435"/>
    <w:rsid w:val="002604A5"/>
    <w:rsid w:val="002604B0"/>
    <w:rsid w:val="002604BC"/>
    <w:rsid w:val="00260537"/>
    <w:rsid w:val="002605A0"/>
    <w:rsid w:val="00260666"/>
    <w:rsid w:val="002607E3"/>
    <w:rsid w:val="00260992"/>
    <w:rsid w:val="00260F94"/>
    <w:rsid w:val="0026111E"/>
    <w:rsid w:val="00261B25"/>
    <w:rsid w:val="00261FCB"/>
    <w:rsid w:val="00262187"/>
    <w:rsid w:val="0026243B"/>
    <w:rsid w:val="0026250E"/>
    <w:rsid w:val="0026259C"/>
    <w:rsid w:val="002625BE"/>
    <w:rsid w:val="002625ED"/>
    <w:rsid w:val="002626E7"/>
    <w:rsid w:val="0026276E"/>
    <w:rsid w:val="0026278B"/>
    <w:rsid w:val="002627DF"/>
    <w:rsid w:val="00262890"/>
    <w:rsid w:val="002629D2"/>
    <w:rsid w:val="00262EC0"/>
    <w:rsid w:val="00262FA8"/>
    <w:rsid w:val="0026305C"/>
    <w:rsid w:val="0026311A"/>
    <w:rsid w:val="0026340D"/>
    <w:rsid w:val="002635E7"/>
    <w:rsid w:val="002636B4"/>
    <w:rsid w:val="0026382C"/>
    <w:rsid w:val="0026387E"/>
    <w:rsid w:val="00263A25"/>
    <w:rsid w:val="00263A80"/>
    <w:rsid w:val="00263B08"/>
    <w:rsid w:val="00263D9C"/>
    <w:rsid w:val="00263EE5"/>
    <w:rsid w:val="002641B1"/>
    <w:rsid w:val="00264213"/>
    <w:rsid w:val="0026434F"/>
    <w:rsid w:val="00264427"/>
    <w:rsid w:val="0026454C"/>
    <w:rsid w:val="002646E9"/>
    <w:rsid w:val="00264924"/>
    <w:rsid w:val="00264C6E"/>
    <w:rsid w:val="00264D88"/>
    <w:rsid w:val="00264E31"/>
    <w:rsid w:val="00264FEE"/>
    <w:rsid w:val="00265055"/>
    <w:rsid w:val="00265315"/>
    <w:rsid w:val="002653E4"/>
    <w:rsid w:val="00265583"/>
    <w:rsid w:val="0026567B"/>
    <w:rsid w:val="002656B4"/>
    <w:rsid w:val="002657F9"/>
    <w:rsid w:val="00265F7C"/>
    <w:rsid w:val="00265FCD"/>
    <w:rsid w:val="002660CE"/>
    <w:rsid w:val="00266318"/>
    <w:rsid w:val="00266411"/>
    <w:rsid w:val="00266848"/>
    <w:rsid w:val="002669F9"/>
    <w:rsid w:val="00266BA6"/>
    <w:rsid w:val="00266C57"/>
    <w:rsid w:val="00267024"/>
    <w:rsid w:val="00267554"/>
    <w:rsid w:val="00267615"/>
    <w:rsid w:val="0026774C"/>
    <w:rsid w:val="0026775D"/>
    <w:rsid w:val="00267827"/>
    <w:rsid w:val="002679E3"/>
    <w:rsid w:val="002679EA"/>
    <w:rsid w:val="002679EF"/>
    <w:rsid w:val="00267B58"/>
    <w:rsid w:val="002700A8"/>
    <w:rsid w:val="00270129"/>
    <w:rsid w:val="0027035D"/>
    <w:rsid w:val="0027038E"/>
    <w:rsid w:val="0027054A"/>
    <w:rsid w:val="00270597"/>
    <w:rsid w:val="00270631"/>
    <w:rsid w:val="002707F2"/>
    <w:rsid w:val="00270805"/>
    <w:rsid w:val="00270CCE"/>
    <w:rsid w:val="00270F5C"/>
    <w:rsid w:val="0027108C"/>
    <w:rsid w:val="002710C5"/>
    <w:rsid w:val="00271582"/>
    <w:rsid w:val="00271786"/>
    <w:rsid w:val="00271AA5"/>
    <w:rsid w:val="00271DA0"/>
    <w:rsid w:val="00271E3E"/>
    <w:rsid w:val="00271EDC"/>
    <w:rsid w:val="00272056"/>
    <w:rsid w:val="00272436"/>
    <w:rsid w:val="00272493"/>
    <w:rsid w:val="00272561"/>
    <w:rsid w:val="002725FF"/>
    <w:rsid w:val="0027267B"/>
    <w:rsid w:val="00272BDA"/>
    <w:rsid w:val="00272E65"/>
    <w:rsid w:val="00272F94"/>
    <w:rsid w:val="00272F9E"/>
    <w:rsid w:val="00273062"/>
    <w:rsid w:val="0027307E"/>
    <w:rsid w:val="002730D8"/>
    <w:rsid w:val="002733AD"/>
    <w:rsid w:val="002736FD"/>
    <w:rsid w:val="00273C75"/>
    <w:rsid w:val="00274133"/>
    <w:rsid w:val="002741ED"/>
    <w:rsid w:val="00274678"/>
    <w:rsid w:val="002747E8"/>
    <w:rsid w:val="002748D6"/>
    <w:rsid w:val="00274B44"/>
    <w:rsid w:val="00274B5A"/>
    <w:rsid w:val="00274E4A"/>
    <w:rsid w:val="00274E76"/>
    <w:rsid w:val="002750E3"/>
    <w:rsid w:val="00275604"/>
    <w:rsid w:val="00275884"/>
    <w:rsid w:val="00275955"/>
    <w:rsid w:val="00275BAB"/>
    <w:rsid w:val="00275BDF"/>
    <w:rsid w:val="00275E5C"/>
    <w:rsid w:val="00275F8B"/>
    <w:rsid w:val="00276006"/>
    <w:rsid w:val="00276091"/>
    <w:rsid w:val="002765D4"/>
    <w:rsid w:val="0027664D"/>
    <w:rsid w:val="002766B2"/>
    <w:rsid w:val="00276731"/>
    <w:rsid w:val="002769DD"/>
    <w:rsid w:val="00276C58"/>
    <w:rsid w:val="00276C8A"/>
    <w:rsid w:val="00276F62"/>
    <w:rsid w:val="00277128"/>
    <w:rsid w:val="0027717C"/>
    <w:rsid w:val="00277227"/>
    <w:rsid w:val="00277515"/>
    <w:rsid w:val="00277725"/>
    <w:rsid w:val="00277902"/>
    <w:rsid w:val="00277C96"/>
    <w:rsid w:val="00277CCA"/>
    <w:rsid w:val="00277D60"/>
    <w:rsid w:val="00277F93"/>
    <w:rsid w:val="002800FF"/>
    <w:rsid w:val="002801B7"/>
    <w:rsid w:val="002802D3"/>
    <w:rsid w:val="0028039D"/>
    <w:rsid w:val="002803D8"/>
    <w:rsid w:val="00280466"/>
    <w:rsid w:val="00280575"/>
    <w:rsid w:val="002807A3"/>
    <w:rsid w:val="00280876"/>
    <w:rsid w:val="00280987"/>
    <w:rsid w:val="00280A3A"/>
    <w:rsid w:val="00280A7C"/>
    <w:rsid w:val="00280AA9"/>
    <w:rsid w:val="00280CEF"/>
    <w:rsid w:val="00280DC3"/>
    <w:rsid w:val="00280E27"/>
    <w:rsid w:val="0028105E"/>
    <w:rsid w:val="002813B9"/>
    <w:rsid w:val="002814B5"/>
    <w:rsid w:val="002815C7"/>
    <w:rsid w:val="00281CCD"/>
    <w:rsid w:val="00281E82"/>
    <w:rsid w:val="0028265E"/>
    <w:rsid w:val="0028267B"/>
    <w:rsid w:val="002827F8"/>
    <w:rsid w:val="002828F1"/>
    <w:rsid w:val="00282A21"/>
    <w:rsid w:val="00282A53"/>
    <w:rsid w:val="00282F40"/>
    <w:rsid w:val="00283030"/>
    <w:rsid w:val="00283457"/>
    <w:rsid w:val="00283649"/>
    <w:rsid w:val="002837FE"/>
    <w:rsid w:val="002838AE"/>
    <w:rsid w:val="0028399C"/>
    <w:rsid w:val="00283D1B"/>
    <w:rsid w:val="00283E60"/>
    <w:rsid w:val="00283FC5"/>
    <w:rsid w:val="00284125"/>
    <w:rsid w:val="0028412D"/>
    <w:rsid w:val="0028433A"/>
    <w:rsid w:val="002844B5"/>
    <w:rsid w:val="002844B8"/>
    <w:rsid w:val="002845C0"/>
    <w:rsid w:val="0028465F"/>
    <w:rsid w:val="00284729"/>
    <w:rsid w:val="00284A8A"/>
    <w:rsid w:val="00284E5C"/>
    <w:rsid w:val="002850F6"/>
    <w:rsid w:val="00285155"/>
    <w:rsid w:val="0028518E"/>
    <w:rsid w:val="00285273"/>
    <w:rsid w:val="00285287"/>
    <w:rsid w:val="0028529C"/>
    <w:rsid w:val="00285589"/>
    <w:rsid w:val="002855E6"/>
    <w:rsid w:val="00285684"/>
    <w:rsid w:val="00285E70"/>
    <w:rsid w:val="00286188"/>
    <w:rsid w:val="002861BF"/>
    <w:rsid w:val="0028623B"/>
    <w:rsid w:val="0028623F"/>
    <w:rsid w:val="002864A4"/>
    <w:rsid w:val="0028692E"/>
    <w:rsid w:val="002869F3"/>
    <w:rsid w:val="00286AED"/>
    <w:rsid w:val="00286D5E"/>
    <w:rsid w:val="00286DA3"/>
    <w:rsid w:val="0028706B"/>
    <w:rsid w:val="00287452"/>
    <w:rsid w:val="00287587"/>
    <w:rsid w:val="00287AF1"/>
    <w:rsid w:val="00287FC2"/>
    <w:rsid w:val="00290033"/>
    <w:rsid w:val="00290252"/>
    <w:rsid w:val="00290334"/>
    <w:rsid w:val="002903FE"/>
    <w:rsid w:val="002907B1"/>
    <w:rsid w:val="0029089F"/>
    <w:rsid w:val="002908E6"/>
    <w:rsid w:val="0029098F"/>
    <w:rsid w:val="00290D37"/>
    <w:rsid w:val="00290E19"/>
    <w:rsid w:val="00290EDC"/>
    <w:rsid w:val="00290F20"/>
    <w:rsid w:val="002911AE"/>
    <w:rsid w:val="002913C1"/>
    <w:rsid w:val="0029166E"/>
    <w:rsid w:val="00291699"/>
    <w:rsid w:val="00291B5A"/>
    <w:rsid w:val="0029211A"/>
    <w:rsid w:val="00292307"/>
    <w:rsid w:val="00292427"/>
    <w:rsid w:val="00292C90"/>
    <w:rsid w:val="00293202"/>
    <w:rsid w:val="0029360B"/>
    <w:rsid w:val="00293769"/>
    <w:rsid w:val="00293A22"/>
    <w:rsid w:val="00293C15"/>
    <w:rsid w:val="00293C65"/>
    <w:rsid w:val="00293D27"/>
    <w:rsid w:val="00293E8C"/>
    <w:rsid w:val="00294312"/>
    <w:rsid w:val="00294327"/>
    <w:rsid w:val="0029445C"/>
    <w:rsid w:val="0029571D"/>
    <w:rsid w:val="0029574B"/>
    <w:rsid w:val="002957B0"/>
    <w:rsid w:val="00295B4B"/>
    <w:rsid w:val="00295DF6"/>
    <w:rsid w:val="00295E8F"/>
    <w:rsid w:val="00295F01"/>
    <w:rsid w:val="00296310"/>
    <w:rsid w:val="0029639E"/>
    <w:rsid w:val="002964D4"/>
    <w:rsid w:val="0029660F"/>
    <w:rsid w:val="00296638"/>
    <w:rsid w:val="0029686D"/>
    <w:rsid w:val="0029699C"/>
    <w:rsid w:val="00296FB6"/>
    <w:rsid w:val="002970D4"/>
    <w:rsid w:val="002979C3"/>
    <w:rsid w:val="002979D9"/>
    <w:rsid w:val="00297B63"/>
    <w:rsid w:val="00297C1C"/>
    <w:rsid w:val="00297CE6"/>
    <w:rsid w:val="00297CF1"/>
    <w:rsid w:val="00297D36"/>
    <w:rsid w:val="002A0243"/>
    <w:rsid w:val="002A0683"/>
    <w:rsid w:val="002A084B"/>
    <w:rsid w:val="002A0AC9"/>
    <w:rsid w:val="002A0DCF"/>
    <w:rsid w:val="002A0FC6"/>
    <w:rsid w:val="002A1040"/>
    <w:rsid w:val="002A1112"/>
    <w:rsid w:val="002A157A"/>
    <w:rsid w:val="002A1A53"/>
    <w:rsid w:val="002A1CEF"/>
    <w:rsid w:val="002A1F6B"/>
    <w:rsid w:val="002A1FC8"/>
    <w:rsid w:val="002A1FE8"/>
    <w:rsid w:val="002A1FED"/>
    <w:rsid w:val="002A2090"/>
    <w:rsid w:val="002A2B15"/>
    <w:rsid w:val="002A2C9C"/>
    <w:rsid w:val="002A2D07"/>
    <w:rsid w:val="002A2D4E"/>
    <w:rsid w:val="002A2FF1"/>
    <w:rsid w:val="002A3049"/>
    <w:rsid w:val="002A3063"/>
    <w:rsid w:val="002A31E3"/>
    <w:rsid w:val="002A3229"/>
    <w:rsid w:val="002A3360"/>
    <w:rsid w:val="002A36CF"/>
    <w:rsid w:val="002A3880"/>
    <w:rsid w:val="002A3E30"/>
    <w:rsid w:val="002A3E3F"/>
    <w:rsid w:val="002A40F6"/>
    <w:rsid w:val="002A4142"/>
    <w:rsid w:val="002A43B2"/>
    <w:rsid w:val="002A457F"/>
    <w:rsid w:val="002A464F"/>
    <w:rsid w:val="002A46D7"/>
    <w:rsid w:val="002A47B2"/>
    <w:rsid w:val="002A4B17"/>
    <w:rsid w:val="002A4DDD"/>
    <w:rsid w:val="002A4EB6"/>
    <w:rsid w:val="002A5066"/>
    <w:rsid w:val="002A50B1"/>
    <w:rsid w:val="002A51A4"/>
    <w:rsid w:val="002A52DE"/>
    <w:rsid w:val="002A56E0"/>
    <w:rsid w:val="002A5899"/>
    <w:rsid w:val="002A5A78"/>
    <w:rsid w:val="002A5F3B"/>
    <w:rsid w:val="002A61B6"/>
    <w:rsid w:val="002A620B"/>
    <w:rsid w:val="002A62B2"/>
    <w:rsid w:val="002A6347"/>
    <w:rsid w:val="002A64E6"/>
    <w:rsid w:val="002A6637"/>
    <w:rsid w:val="002A68E7"/>
    <w:rsid w:val="002A69F2"/>
    <w:rsid w:val="002A6C72"/>
    <w:rsid w:val="002A6DAF"/>
    <w:rsid w:val="002A6FC6"/>
    <w:rsid w:val="002A7114"/>
    <w:rsid w:val="002A7284"/>
    <w:rsid w:val="002A76E0"/>
    <w:rsid w:val="002A78DA"/>
    <w:rsid w:val="002A7A4B"/>
    <w:rsid w:val="002B0258"/>
    <w:rsid w:val="002B0624"/>
    <w:rsid w:val="002B071C"/>
    <w:rsid w:val="002B087D"/>
    <w:rsid w:val="002B0954"/>
    <w:rsid w:val="002B0A09"/>
    <w:rsid w:val="002B0A56"/>
    <w:rsid w:val="002B0C14"/>
    <w:rsid w:val="002B0C2F"/>
    <w:rsid w:val="002B0F83"/>
    <w:rsid w:val="002B1156"/>
    <w:rsid w:val="002B17B0"/>
    <w:rsid w:val="002B1800"/>
    <w:rsid w:val="002B1928"/>
    <w:rsid w:val="002B1A54"/>
    <w:rsid w:val="002B1B37"/>
    <w:rsid w:val="002B1E5B"/>
    <w:rsid w:val="002B1F5D"/>
    <w:rsid w:val="002B212A"/>
    <w:rsid w:val="002B21CA"/>
    <w:rsid w:val="002B2259"/>
    <w:rsid w:val="002B243C"/>
    <w:rsid w:val="002B24AC"/>
    <w:rsid w:val="002B26B5"/>
    <w:rsid w:val="002B27C7"/>
    <w:rsid w:val="002B2858"/>
    <w:rsid w:val="002B2937"/>
    <w:rsid w:val="002B2A31"/>
    <w:rsid w:val="002B2BF4"/>
    <w:rsid w:val="002B31EA"/>
    <w:rsid w:val="002B32A0"/>
    <w:rsid w:val="002B333C"/>
    <w:rsid w:val="002B3683"/>
    <w:rsid w:val="002B3697"/>
    <w:rsid w:val="002B3866"/>
    <w:rsid w:val="002B387B"/>
    <w:rsid w:val="002B38E7"/>
    <w:rsid w:val="002B3A83"/>
    <w:rsid w:val="002B3B4D"/>
    <w:rsid w:val="002B3D0B"/>
    <w:rsid w:val="002B3FCB"/>
    <w:rsid w:val="002B434E"/>
    <w:rsid w:val="002B4532"/>
    <w:rsid w:val="002B456D"/>
    <w:rsid w:val="002B47E8"/>
    <w:rsid w:val="002B480A"/>
    <w:rsid w:val="002B49DD"/>
    <w:rsid w:val="002B4BD6"/>
    <w:rsid w:val="002B4E0A"/>
    <w:rsid w:val="002B5174"/>
    <w:rsid w:val="002B54B2"/>
    <w:rsid w:val="002B58EA"/>
    <w:rsid w:val="002B5945"/>
    <w:rsid w:val="002B5AE2"/>
    <w:rsid w:val="002B5CF6"/>
    <w:rsid w:val="002B5ECB"/>
    <w:rsid w:val="002B6571"/>
    <w:rsid w:val="002B65A9"/>
    <w:rsid w:val="002B699F"/>
    <w:rsid w:val="002B6F64"/>
    <w:rsid w:val="002B6FDA"/>
    <w:rsid w:val="002B715E"/>
    <w:rsid w:val="002B7162"/>
    <w:rsid w:val="002B7274"/>
    <w:rsid w:val="002B732D"/>
    <w:rsid w:val="002B7451"/>
    <w:rsid w:val="002B74FD"/>
    <w:rsid w:val="002B7587"/>
    <w:rsid w:val="002B7590"/>
    <w:rsid w:val="002B759C"/>
    <w:rsid w:val="002B765A"/>
    <w:rsid w:val="002B7681"/>
    <w:rsid w:val="002B7848"/>
    <w:rsid w:val="002B799A"/>
    <w:rsid w:val="002B7B14"/>
    <w:rsid w:val="002B7B32"/>
    <w:rsid w:val="002B7D2A"/>
    <w:rsid w:val="002B7E78"/>
    <w:rsid w:val="002C0241"/>
    <w:rsid w:val="002C0623"/>
    <w:rsid w:val="002C080F"/>
    <w:rsid w:val="002C0A10"/>
    <w:rsid w:val="002C0A16"/>
    <w:rsid w:val="002C0C16"/>
    <w:rsid w:val="002C0E0B"/>
    <w:rsid w:val="002C13FF"/>
    <w:rsid w:val="002C160E"/>
    <w:rsid w:val="002C1693"/>
    <w:rsid w:val="002C17AA"/>
    <w:rsid w:val="002C19AA"/>
    <w:rsid w:val="002C1B04"/>
    <w:rsid w:val="002C1EC5"/>
    <w:rsid w:val="002C1F64"/>
    <w:rsid w:val="002C1FE5"/>
    <w:rsid w:val="002C2022"/>
    <w:rsid w:val="002C202C"/>
    <w:rsid w:val="002C230F"/>
    <w:rsid w:val="002C23A3"/>
    <w:rsid w:val="002C25BA"/>
    <w:rsid w:val="002C25FC"/>
    <w:rsid w:val="002C291F"/>
    <w:rsid w:val="002C2D9E"/>
    <w:rsid w:val="002C2EC9"/>
    <w:rsid w:val="002C2F24"/>
    <w:rsid w:val="002C318E"/>
    <w:rsid w:val="002C3334"/>
    <w:rsid w:val="002C3855"/>
    <w:rsid w:val="002C38BE"/>
    <w:rsid w:val="002C3AB3"/>
    <w:rsid w:val="002C3BEC"/>
    <w:rsid w:val="002C3E9C"/>
    <w:rsid w:val="002C3F62"/>
    <w:rsid w:val="002C3F66"/>
    <w:rsid w:val="002C42B5"/>
    <w:rsid w:val="002C454F"/>
    <w:rsid w:val="002C4555"/>
    <w:rsid w:val="002C4CDF"/>
    <w:rsid w:val="002C4E6E"/>
    <w:rsid w:val="002C5164"/>
    <w:rsid w:val="002C5376"/>
    <w:rsid w:val="002C557E"/>
    <w:rsid w:val="002C573F"/>
    <w:rsid w:val="002C5A8D"/>
    <w:rsid w:val="002C5AA4"/>
    <w:rsid w:val="002C5B17"/>
    <w:rsid w:val="002C5E7D"/>
    <w:rsid w:val="002C61CE"/>
    <w:rsid w:val="002C64D6"/>
    <w:rsid w:val="002C662C"/>
    <w:rsid w:val="002C6E05"/>
    <w:rsid w:val="002C70D5"/>
    <w:rsid w:val="002C7269"/>
    <w:rsid w:val="002C72B1"/>
    <w:rsid w:val="002C7703"/>
    <w:rsid w:val="002C77C6"/>
    <w:rsid w:val="002C7839"/>
    <w:rsid w:val="002C7B9B"/>
    <w:rsid w:val="002C7BF9"/>
    <w:rsid w:val="002D0224"/>
    <w:rsid w:val="002D022F"/>
    <w:rsid w:val="002D0499"/>
    <w:rsid w:val="002D0957"/>
    <w:rsid w:val="002D0C04"/>
    <w:rsid w:val="002D0C6D"/>
    <w:rsid w:val="002D0FB9"/>
    <w:rsid w:val="002D1045"/>
    <w:rsid w:val="002D194F"/>
    <w:rsid w:val="002D1B16"/>
    <w:rsid w:val="002D1C80"/>
    <w:rsid w:val="002D1E55"/>
    <w:rsid w:val="002D1EA3"/>
    <w:rsid w:val="002D1F87"/>
    <w:rsid w:val="002D217F"/>
    <w:rsid w:val="002D231F"/>
    <w:rsid w:val="002D23FB"/>
    <w:rsid w:val="002D295E"/>
    <w:rsid w:val="002D2A6D"/>
    <w:rsid w:val="002D2B0C"/>
    <w:rsid w:val="002D2D93"/>
    <w:rsid w:val="002D2DEF"/>
    <w:rsid w:val="002D2F01"/>
    <w:rsid w:val="002D3000"/>
    <w:rsid w:val="002D317A"/>
    <w:rsid w:val="002D3245"/>
    <w:rsid w:val="002D331A"/>
    <w:rsid w:val="002D3614"/>
    <w:rsid w:val="002D4213"/>
    <w:rsid w:val="002D4257"/>
    <w:rsid w:val="002D42C6"/>
    <w:rsid w:val="002D43C7"/>
    <w:rsid w:val="002D43FC"/>
    <w:rsid w:val="002D43FE"/>
    <w:rsid w:val="002D46E4"/>
    <w:rsid w:val="002D4769"/>
    <w:rsid w:val="002D48AD"/>
    <w:rsid w:val="002D4C01"/>
    <w:rsid w:val="002D4E10"/>
    <w:rsid w:val="002D4FAB"/>
    <w:rsid w:val="002D506A"/>
    <w:rsid w:val="002D50BD"/>
    <w:rsid w:val="002D50D2"/>
    <w:rsid w:val="002D511F"/>
    <w:rsid w:val="002D55BA"/>
    <w:rsid w:val="002D587E"/>
    <w:rsid w:val="002D59AA"/>
    <w:rsid w:val="002D5D3E"/>
    <w:rsid w:val="002D60C2"/>
    <w:rsid w:val="002D6119"/>
    <w:rsid w:val="002D63AC"/>
    <w:rsid w:val="002D6408"/>
    <w:rsid w:val="002D671A"/>
    <w:rsid w:val="002D6895"/>
    <w:rsid w:val="002D68A1"/>
    <w:rsid w:val="002D68DE"/>
    <w:rsid w:val="002D6B01"/>
    <w:rsid w:val="002D6C10"/>
    <w:rsid w:val="002D6CD6"/>
    <w:rsid w:val="002D7160"/>
    <w:rsid w:val="002D7172"/>
    <w:rsid w:val="002D732D"/>
    <w:rsid w:val="002D73DF"/>
    <w:rsid w:val="002D748F"/>
    <w:rsid w:val="002D7503"/>
    <w:rsid w:val="002D7588"/>
    <w:rsid w:val="002D764F"/>
    <w:rsid w:val="002D7926"/>
    <w:rsid w:val="002D7A6E"/>
    <w:rsid w:val="002D7B30"/>
    <w:rsid w:val="002D7C4C"/>
    <w:rsid w:val="002D7C54"/>
    <w:rsid w:val="002D7D4C"/>
    <w:rsid w:val="002D7D99"/>
    <w:rsid w:val="002D7E42"/>
    <w:rsid w:val="002D7F35"/>
    <w:rsid w:val="002E00B6"/>
    <w:rsid w:val="002E00CF"/>
    <w:rsid w:val="002E011C"/>
    <w:rsid w:val="002E03C9"/>
    <w:rsid w:val="002E03E8"/>
    <w:rsid w:val="002E044B"/>
    <w:rsid w:val="002E072B"/>
    <w:rsid w:val="002E0BE8"/>
    <w:rsid w:val="002E0D05"/>
    <w:rsid w:val="002E0DF1"/>
    <w:rsid w:val="002E1209"/>
    <w:rsid w:val="002E1480"/>
    <w:rsid w:val="002E14AC"/>
    <w:rsid w:val="002E16CB"/>
    <w:rsid w:val="002E1702"/>
    <w:rsid w:val="002E1738"/>
    <w:rsid w:val="002E1770"/>
    <w:rsid w:val="002E178C"/>
    <w:rsid w:val="002E180A"/>
    <w:rsid w:val="002E18CF"/>
    <w:rsid w:val="002E1A0E"/>
    <w:rsid w:val="002E23D9"/>
    <w:rsid w:val="002E2809"/>
    <w:rsid w:val="002E2894"/>
    <w:rsid w:val="002E2FBD"/>
    <w:rsid w:val="002E3528"/>
    <w:rsid w:val="002E352B"/>
    <w:rsid w:val="002E3584"/>
    <w:rsid w:val="002E39CF"/>
    <w:rsid w:val="002E3B65"/>
    <w:rsid w:val="002E3CFD"/>
    <w:rsid w:val="002E3DF2"/>
    <w:rsid w:val="002E3EC9"/>
    <w:rsid w:val="002E3F77"/>
    <w:rsid w:val="002E425F"/>
    <w:rsid w:val="002E46BA"/>
    <w:rsid w:val="002E477F"/>
    <w:rsid w:val="002E4A3B"/>
    <w:rsid w:val="002E4B1F"/>
    <w:rsid w:val="002E4C3F"/>
    <w:rsid w:val="002E514B"/>
    <w:rsid w:val="002E58E5"/>
    <w:rsid w:val="002E5918"/>
    <w:rsid w:val="002E5B8A"/>
    <w:rsid w:val="002E5D60"/>
    <w:rsid w:val="002E5ED9"/>
    <w:rsid w:val="002E5EEE"/>
    <w:rsid w:val="002E61DC"/>
    <w:rsid w:val="002E61E1"/>
    <w:rsid w:val="002E6327"/>
    <w:rsid w:val="002E6447"/>
    <w:rsid w:val="002E65A0"/>
    <w:rsid w:val="002E65D3"/>
    <w:rsid w:val="002E6801"/>
    <w:rsid w:val="002E6965"/>
    <w:rsid w:val="002E6A20"/>
    <w:rsid w:val="002E6E54"/>
    <w:rsid w:val="002E7058"/>
    <w:rsid w:val="002E70A8"/>
    <w:rsid w:val="002E7111"/>
    <w:rsid w:val="002E71D6"/>
    <w:rsid w:val="002E739D"/>
    <w:rsid w:val="002E74D9"/>
    <w:rsid w:val="002E75D5"/>
    <w:rsid w:val="002E776D"/>
    <w:rsid w:val="002E794D"/>
    <w:rsid w:val="002E7970"/>
    <w:rsid w:val="002E79BF"/>
    <w:rsid w:val="002E79CA"/>
    <w:rsid w:val="002E7A21"/>
    <w:rsid w:val="002E7A2C"/>
    <w:rsid w:val="002E7C2B"/>
    <w:rsid w:val="002E7DF5"/>
    <w:rsid w:val="002E7E2F"/>
    <w:rsid w:val="002F073E"/>
    <w:rsid w:val="002F0976"/>
    <w:rsid w:val="002F0F1A"/>
    <w:rsid w:val="002F10B6"/>
    <w:rsid w:val="002F1253"/>
    <w:rsid w:val="002F168F"/>
    <w:rsid w:val="002F16BA"/>
    <w:rsid w:val="002F1880"/>
    <w:rsid w:val="002F1989"/>
    <w:rsid w:val="002F1C53"/>
    <w:rsid w:val="002F1C8F"/>
    <w:rsid w:val="002F1D1B"/>
    <w:rsid w:val="002F212F"/>
    <w:rsid w:val="002F231D"/>
    <w:rsid w:val="002F2395"/>
    <w:rsid w:val="002F24CB"/>
    <w:rsid w:val="002F25F4"/>
    <w:rsid w:val="002F2618"/>
    <w:rsid w:val="002F26F6"/>
    <w:rsid w:val="002F2758"/>
    <w:rsid w:val="002F28AB"/>
    <w:rsid w:val="002F2AA1"/>
    <w:rsid w:val="002F2F04"/>
    <w:rsid w:val="002F2FAE"/>
    <w:rsid w:val="002F31D2"/>
    <w:rsid w:val="002F3313"/>
    <w:rsid w:val="002F3574"/>
    <w:rsid w:val="002F3667"/>
    <w:rsid w:val="002F3A4F"/>
    <w:rsid w:val="002F3D15"/>
    <w:rsid w:val="002F3D1E"/>
    <w:rsid w:val="002F3F6B"/>
    <w:rsid w:val="002F4001"/>
    <w:rsid w:val="002F42DB"/>
    <w:rsid w:val="002F444B"/>
    <w:rsid w:val="002F459F"/>
    <w:rsid w:val="002F47AE"/>
    <w:rsid w:val="002F484C"/>
    <w:rsid w:val="002F48F1"/>
    <w:rsid w:val="002F49A9"/>
    <w:rsid w:val="002F4DC9"/>
    <w:rsid w:val="002F4F68"/>
    <w:rsid w:val="002F503D"/>
    <w:rsid w:val="002F50C1"/>
    <w:rsid w:val="002F547D"/>
    <w:rsid w:val="002F5D12"/>
    <w:rsid w:val="002F5ED5"/>
    <w:rsid w:val="002F5F64"/>
    <w:rsid w:val="002F6105"/>
    <w:rsid w:val="002F6157"/>
    <w:rsid w:val="002F65CE"/>
    <w:rsid w:val="002F6706"/>
    <w:rsid w:val="002F6978"/>
    <w:rsid w:val="002F6B07"/>
    <w:rsid w:val="002F6B2D"/>
    <w:rsid w:val="002F6BA9"/>
    <w:rsid w:val="002F6BB6"/>
    <w:rsid w:val="002F6CA3"/>
    <w:rsid w:val="002F6D2C"/>
    <w:rsid w:val="002F6F94"/>
    <w:rsid w:val="002F7251"/>
    <w:rsid w:val="002F72FA"/>
    <w:rsid w:val="002F7333"/>
    <w:rsid w:val="002F7637"/>
    <w:rsid w:val="002F7B4F"/>
    <w:rsid w:val="002F7E0C"/>
    <w:rsid w:val="0030005E"/>
    <w:rsid w:val="0030011A"/>
    <w:rsid w:val="00300141"/>
    <w:rsid w:val="003004CE"/>
    <w:rsid w:val="0030054C"/>
    <w:rsid w:val="00300581"/>
    <w:rsid w:val="0030093F"/>
    <w:rsid w:val="0030097F"/>
    <w:rsid w:val="00300B66"/>
    <w:rsid w:val="00300CAA"/>
    <w:rsid w:val="00300EFA"/>
    <w:rsid w:val="00301402"/>
    <w:rsid w:val="003015D2"/>
    <w:rsid w:val="003016EE"/>
    <w:rsid w:val="003017A9"/>
    <w:rsid w:val="00301D08"/>
    <w:rsid w:val="00302023"/>
    <w:rsid w:val="00302136"/>
    <w:rsid w:val="00302288"/>
    <w:rsid w:val="003022D0"/>
    <w:rsid w:val="00302569"/>
    <w:rsid w:val="0030290A"/>
    <w:rsid w:val="00302925"/>
    <w:rsid w:val="00302A64"/>
    <w:rsid w:val="00302D59"/>
    <w:rsid w:val="00302EAD"/>
    <w:rsid w:val="003031AB"/>
    <w:rsid w:val="0030323E"/>
    <w:rsid w:val="00303CDA"/>
    <w:rsid w:val="00303EA0"/>
    <w:rsid w:val="00303F78"/>
    <w:rsid w:val="003042F9"/>
    <w:rsid w:val="00304436"/>
    <w:rsid w:val="00304590"/>
    <w:rsid w:val="003045DA"/>
    <w:rsid w:val="003047EE"/>
    <w:rsid w:val="003047FE"/>
    <w:rsid w:val="00304DC4"/>
    <w:rsid w:val="0030537F"/>
    <w:rsid w:val="00305508"/>
    <w:rsid w:val="003057E5"/>
    <w:rsid w:val="003058F6"/>
    <w:rsid w:val="003059D7"/>
    <w:rsid w:val="00305AB5"/>
    <w:rsid w:val="00305C5B"/>
    <w:rsid w:val="00305D7D"/>
    <w:rsid w:val="0030659C"/>
    <w:rsid w:val="0030697C"/>
    <w:rsid w:val="00306CED"/>
    <w:rsid w:val="00306D6C"/>
    <w:rsid w:val="00306E64"/>
    <w:rsid w:val="003071B0"/>
    <w:rsid w:val="003071B2"/>
    <w:rsid w:val="0030749E"/>
    <w:rsid w:val="0030785B"/>
    <w:rsid w:val="0030796F"/>
    <w:rsid w:val="0030799D"/>
    <w:rsid w:val="00307AD6"/>
    <w:rsid w:val="00307E6F"/>
    <w:rsid w:val="00307FE9"/>
    <w:rsid w:val="00310165"/>
    <w:rsid w:val="003101B5"/>
    <w:rsid w:val="00310248"/>
    <w:rsid w:val="0031029C"/>
    <w:rsid w:val="0031057C"/>
    <w:rsid w:val="003105C6"/>
    <w:rsid w:val="0031086A"/>
    <w:rsid w:val="0031086E"/>
    <w:rsid w:val="003108A2"/>
    <w:rsid w:val="00310A56"/>
    <w:rsid w:val="00310BD6"/>
    <w:rsid w:val="00310C1C"/>
    <w:rsid w:val="00310CC9"/>
    <w:rsid w:val="00310DC2"/>
    <w:rsid w:val="00310FAE"/>
    <w:rsid w:val="00311195"/>
    <w:rsid w:val="0031136B"/>
    <w:rsid w:val="003113F5"/>
    <w:rsid w:val="003114C1"/>
    <w:rsid w:val="00311822"/>
    <w:rsid w:val="003118B7"/>
    <w:rsid w:val="0031196B"/>
    <w:rsid w:val="00311BEE"/>
    <w:rsid w:val="00311DA4"/>
    <w:rsid w:val="00311F80"/>
    <w:rsid w:val="00311FAD"/>
    <w:rsid w:val="003121CD"/>
    <w:rsid w:val="003128A4"/>
    <w:rsid w:val="00312BDD"/>
    <w:rsid w:val="00312F13"/>
    <w:rsid w:val="00313124"/>
    <w:rsid w:val="003137E3"/>
    <w:rsid w:val="00313876"/>
    <w:rsid w:val="00313C24"/>
    <w:rsid w:val="00313C54"/>
    <w:rsid w:val="00313CEC"/>
    <w:rsid w:val="00313DDF"/>
    <w:rsid w:val="0031415E"/>
    <w:rsid w:val="00314342"/>
    <w:rsid w:val="00314656"/>
    <w:rsid w:val="00314B99"/>
    <w:rsid w:val="00314EAC"/>
    <w:rsid w:val="00314FBE"/>
    <w:rsid w:val="00315497"/>
    <w:rsid w:val="00315555"/>
    <w:rsid w:val="0031556D"/>
    <w:rsid w:val="00315612"/>
    <w:rsid w:val="00315851"/>
    <w:rsid w:val="003159D0"/>
    <w:rsid w:val="003159D2"/>
    <w:rsid w:val="003159F3"/>
    <w:rsid w:val="00315AAE"/>
    <w:rsid w:val="003165A9"/>
    <w:rsid w:val="0031674D"/>
    <w:rsid w:val="003167A8"/>
    <w:rsid w:val="00316A1E"/>
    <w:rsid w:val="00316A36"/>
    <w:rsid w:val="00316C05"/>
    <w:rsid w:val="00316CA4"/>
    <w:rsid w:val="00316EE8"/>
    <w:rsid w:val="0031707F"/>
    <w:rsid w:val="00317121"/>
    <w:rsid w:val="00317389"/>
    <w:rsid w:val="00317523"/>
    <w:rsid w:val="00317A07"/>
    <w:rsid w:val="00317BB6"/>
    <w:rsid w:val="00317D5B"/>
    <w:rsid w:val="00320202"/>
    <w:rsid w:val="00320523"/>
    <w:rsid w:val="00320AC0"/>
    <w:rsid w:val="00320B20"/>
    <w:rsid w:val="00320E52"/>
    <w:rsid w:val="003212B3"/>
    <w:rsid w:val="003219BC"/>
    <w:rsid w:val="00321E31"/>
    <w:rsid w:val="003220DA"/>
    <w:rsid w:val="00322161"/>
    <w:rsid w:val="003227FE"/>
    <w:rsid w:val="00322BDC"/>
    <w:rsid w:val="00322BE0"/>
    <w:rsid w:val="00322DE0"/>
    <w:rsid w:val="00322EA4"/>
    <w:rsid w:val="003231F1"/>
    <w:rsid w:val="003234AD"/>
    <w:rsid w:val="00323FDD"/>
    <w:rsid w:val="0032400C"/>
    <w:rsid w:val="003240FF"/>
    <w:rsid w:val="003247E9"/>
    <w:rsid w:val="0032482A"/>
    <w:rsid w:val="00324B48"/>
    <w:rsid w:val="003255C2"/>
    <w:rsid w:val="0032568B"/>
    <w:rsid w:val="00325716"/>
    <w:rsid w:val="00325766"/>
    <w:rsid w:val="003258C1"/>
    <w:rsid w:val="00325A46"/>
    <w:rsid w:val="00325AFC"/>
    <w:rsid w:val="003260C6"/>
    <w:rsid w:val="0032615A"/>
    <w:rsid w:val="003261B5"/>
    <w:rsid w:val="00326404"/>
    <w:rsid w:val="00326BF8"/>
    <w:rsid w:val="00327377"/>
    <w:rsid w:val="003273B8"/>
    <w:rsid w:val="003273F8"/>
    <w:rsid w:val="0032757A"/>
    <w:rsid w:val="003275C6"/>
    <w:rsid w:val="003277AE"/>
    <w:rsid w:val="00327892"/>
    <w:rsid w:val="0032798F"/>
    <w:rsid w:val="00327AF3"/>
    <w:rsid w:val="00327F11"/>
    <w:rsid w:val="00330547"/>
    <w:rsid w:val="00330648"/>
    <w:rsid w:val="00330681"/>
    <w:rsid w:val="0033076C"/>
    <w:rsid w:val="003307EB"/>
    <w:rsid w:val="003309D6"/>
    <w:rsid w:val="00330A04"/>
    <w:rsid w:val="00330BDC"/>
    <w:rsid w:val="00331054"/>
    <w:rsid w:val="003310F1"/>
    <w:rsid w:val="003314DA"/>
    <w:rsid w:val="0033197B"/>
    <w:rsid w:val="003319B3"/>
    <w:rsid w:val="00331C0E"/>
    <w:rsid w:val="00331D63"/>
    <w:rsid w:val="00332268"/>
    <w:rsid w:val="003322A6"/>
    <w:rsid w:val="00332370"/>
    <w:rsid w:val="00332471"/>
    <w:rsid w:val="0033264C"/>
    <w:rsid w:val="003326FF"/>
    <w:rsid w:val="00332723"/>
    <w:rsid w:val="00332770"/>
    <w:rsid w:val="00332845"/>
    <w:rsid w:val="0033294A"/>
    <w:rsid w:val="00332A02"/>
    <w:rsid w:val="00332BB7"/>
    <w:rsid w:val="00332C84"/>
    <w:rsid w:val="00332F35"/>
    <w:rsid w:val="003333D3"/>
    <w:rsid w:val="003338C0"/>
    <w:rsid w:val="003338C5"/>
    <w:rsid w:val="00333EB3"/>
    <w:rsid w:val="00334161"/>
    <w:rsid w:val="00334224"/>
    <w:rsid w:val="00334413"/>
    <w:rsid w:val="003344E0"/>
    <w:rsid w:val="00334A1B"/>
    <w:rsid w:val="00334D19"/>
    <w:rsid w:val="00335050"/>
    <w:rsid w:val="003350DD"/>
    <w:rsid w:val="0033565C"/>
    <w:rsid w:val="00335C05"/>
    <w:rsid w:val="00335C32"/>
    <w:rsid w:val="00335EFA"/>
    <w:rsid w:val="003362FF"/>
    <w:rsid w:val="00336341"/>
    <w:rsid w:val="00336463"/>
    <w:rsid w:val="00336480"/>
    <w:rsid w:val="003366BB"/>
    <w:rsid w:val="003366F4"/>
    <w:rsid w:val="00336888"/>
    <w:rsid w:val="00336901"/>
    <w:rsid w:val="00336A3E"/>
    <w:rsid w:val="00336C01"/>
    <w:rsid w:val="00336D61"/>
    <w:rsid w:val="00336DFE"/>
    <w:rsid w:val="00337049"/>
    <w:rsid w:val="00337318"/>
    <w:rsid w:val="0033748F"/>
    <w:rsid w:val="003378D0"/>
    <w:rsid w:val="00337968"/>
    <w:rsid w:val="00337A6F"/>
    <w:rsid w:val="00337C6B"/>
    <w:rsid w:val="00337D09"/>
    <w:rsid w:val="00337E1A"/>
    <w:rsid w:val="00337E72"/>
    <w:rsid w:val="00337F26"/>
    <w:rsid w:val="0034018F"/>
    <w:rsid w:val="003401D8"/>
    <w:rsid w:val="00340435"/>
    <w:rsid w:val="0034078B"/>
    <w:rsid w:val="00340924"/>
    <w:rsid w:val="00340A3F"/>
    <w:rsid w:val="00340C68"/>
    <w:rsid w:val="00340C80"/>
    <w:rsid w:val="00340DBA"/>
    <w:rsid w:val="0034108E"/>
    <w:rsid w:val="003410A5"/>
    <w:rsid w:val="003410BD"/>
    <w:rsid w:val="003410D0"/>
    <w:rsid w:val="00341356"/>
    <w:rsid w:val="0034173D"/>
    <w:rsid w:val="003417B8"/>
    <w:rsid w:val="003418DE"/>
    <w:rsid w:val="003418F5"/>
    <w:rsid w:val="00341C79"/>
    <w:rsid w:val="00341DE1"/>
    <w:rsid w:val="00341E85"/>
    <w:rsid w:val="00341EAB"/>
    <w:rsid w:val="00341FCB"/>
    <w:rsid w:val="0034247C"/>
    <w:rsid w:val="00342559"/>
    <w:rsid w:val="0034273B"/>
    <w:rsid w:val="00342768"/>
    <w:rsid w:val="00342793"/>
    <w:rsid w:val="00342882"/>
    <w:rsid w:val="00342C0F"/>
    <w:rsid w:val="00342D06"/>
    <w:rsid w:val="00343323"/>
    <w:rsid w:val="00343607"/>
    <w:rsid w:val="00343613"/>
    <w:rsid w:val="003439D3"/>
    <w:rsid w:val="00343A48"/>
    <w:rsid w:val="00343E52"/>
    <w:rsid w:val="00343F8D"/>
    <w:rsid w:val="003440F9"/>
    <w:rsid w:val="0034411F"/>
    <w:rsid w:val="0034417E"/>
    <w:rsid w:val="00344B6F"/>
    <w:rsid w:val="00344CC9"/>
    <w:rsid w:val="00344D31"/>
    <w:rsid w:val="00344F88"/>
    <w:rsid w:val="003452BF"/>
    <w:rsid w:val="00345329"/>
    <w:rsid w:val="00345445"/>
    <w:rsid w:val="003455A3"/>
    <w:rsid w:val="0034574F"/>
    <w:rsid w:val="003457D4"/>
    <w:rsid w:val="003457E4"/>
    <w:rsid w:val="0034581F"/>
    <w:rsid w:val="00345936"/>
    <w:rsid w:val="00345A8F"/>
    <w:rsid w:val="00345DBC"/>
    <w:rsid w:val="003464BD"/>
    <w:rsid w:val="003467B0"/>
    <w:rsid w:val="00346869"/>
    <w:rsid w:val="00346942"/>
    <w:rsid w:val="00346B71"/>
    <w:rsid w:val="00346B72"/>
    <w:rsid w:val="00346C3B"/>
    <w:rsid w:val="00346E56"/>
    <w:rsid w:val="00346F2B"/>
    <w:rsid w:val="00346F5C"/>
    <w:rsid w:val="00347088"/>
    <w:rsid w:val="0034708D"/>
    <w:rsid w:val="003472AC"/>
    <w:rsid w:val="00347444"/>
    <w:rsid w:val="003474F8"/>
    <w:rsid w:val="00347671"/>
    <w:rsid w:val="00347740"/>
    <w:rsid w:val="00347849"/>
    <w:rsid w:val="0034799D"/>
    <w:rsid w:val="00347CA7"/>
    <w:rsid w:val="00347DCF"/>
    <w:rsid w:val="00350042"/>
    <w:rsid w:val="003512C7"/>
    <w:rsid w:val="00351356"/>
    <w:rsid w:val="003513A5"/>
    <w:rsid w:val="00351479"/>
    <w:rsid w:val="003515DF"/>
    <w:rsid w:val="003517E7"/>
    <w:rsid w:val="003519BE"/>
    <w:rsid w:val="00351A9E"/>
    <w:rsid w:val="00351AF6"/>
    <w:rsid w:val="00351E7D"/>
    <w:rsid w:val="003520DB"/>
    <w:rsid w:val="0035279A"/>
    <w:rsid w:val="003528A0"/>
    <w:rsid w:val="003528D8"/>
    <w:rsid w:val="003529E1"/>
    <w:rsid w:val="00352FD3"/>
    <w:rsid w:val="00353559"/>
    <w:rsid w:val="003537A8"/>
    <w:rsid w:val="0035383D"/>
    <w:rsid w:val="003539E9"/>
    <w:rsid w:val="003539FE"/>
    <w:rsid w:val="00353CDC"/>
    <w:rsid w:val="00353DDE"/>
    <w:rsid w:val="00353EA2"/>
    <w:rsid w:val="003542B0"/>
    <w:rsid w:val="00354353"/>
    <w:rsid w:val="003545AB"/>
    <w:rsid w:val="00354D25"/>
    <w:rsid w:val="00354D47"/>
    <w:rsid w:val="00354D7C"/>
    <w:rsid w:val="00354EDD"/>
    <w:rsid w:val="00355278"/>
    <w:rsid w:val="003552D4"/>
    <w:rsid w:val="0035542B"/>
    <w:rsid w:val="00355560"/>
    <w:rsid w:val="0035557A"/>
    <w:rsid w:val="00355682"/>
    <w:rsid w:val="00355851"/>
    <w:rsid w:val="00355A5E"/>
    <w:rsid w:val="00355B0E"/>
    <w:rsid w:val="00355D2B"/>
    <w:rsid w:val="00355E86"/>
    <w:rsid w:val="00355EA3"/>
    <w:rsid w:val="003560E3"/>
    <w:rsid w:val="0035647D"/>
    <w:rsid w:val="0035651E"/>
    <w:rsid w:val="00356658"/>
    <w:rsid w:val="0035680D"/>
    <w:rsid w:val="0035696C"/>
    <w:rsid w:val="00356A5A"/>
    <w:rsid w:val="00356ACA"/>
    <w:rsid w:val="00356B04"/>
    <w:rsid w:val="00356DB7"/>
    <w:rsid w:val="00357064"/>
    <w:rsid w:val="003575FA"/>
    <w:rsid w:val="0035771F"/>
    <w:rsid w:val="0035772E"/>
    <w:rsid w:val="00357AD0"/>
    <w:rsid w:val="00357B64"/>
    <w:rsid w:val="00357BDF"/>
    <w:rsid w:val="00357DBA"/>
    <w:rsid w:val="00357E47"/>
    <w:rsid w:val="00357FCC"/>
    <w:rsid w:val="00357FE9"/>
    <w:rsid w:val="00360034"/>
    <w:rsid w:val="00360C58"/>
    <w:rsid w:val="0036102C"/>
    <w:rsid w:val="003612A9"/>
    <w:rsid w:val="003617F0"/>
    <w:rsid w:val="00361849"/>
    <w:rsid w:val="0036187B"/>
    <w:rsid w:val="0036192C"/>
    <w:rsid w:val="00361E92"/>
    <w:rsid w:val="003620A3"/>
    <w:rsid w:val="00362446"/>
    <w:rsid w:val="00362556"/>
    <w:rsid w:val="00362813"/>
    <w:rsid w:val="003629D4"/>
    <w:rsid w:val="003629E4"/>
    <w:rsid w:val="003629FC"/>
    <w:rsid w:val="00362A27"/>
    <w:rsid w:val="00362B51"/>
    <w:rsid w:val="00362BCF"/>
    <w:rsid w:val="00363054"/>
    <w:rsid w:val="0036314C"/>
    <w:rsid w:val="003634F4"/>
    <w:rsid w:val="00363A7C"/>
    <w:rsid w:val="00363CEE"/>
    <w:rsid w:val="00363D07"/>
    <w:rsid w:val="0036411E"/>
    <w:rsid w:val="0036415E"/>
    <w:rsid w:val="0036417E"/>
    <w:rsid w:val="003641BC"/>
    <w:rsid w:val="00364256"/>
    <w:rsid w:val="0036432D"/>
    <w:rsid w:val="003643B1"/>
    <w:rsid w:val="003643D7"/>
    <w:rsid w:val="0036458D"/>
    <w:rsid w:val="00364620"/>
    <w:rsid w:val="00364703"/>
    <w:rsid w:val="00364899"/>
    <w:rsid w:val="0036492E"/>
    <w:rsid w:val="003649A1"/>
    <w:rsid w:val="00364A90"/>
    <w:rsid w:val="00364CF0"/>
    <w:rsid w:val="00364F8C"/>
    <w:rsid w:val="00365079"/>
    <w:rsid w:val="0036508D"/>
    <w:rsid w:val="003650FC"/>
    <w:rsid w:val="00365158"/>
    <w:rsid w:val="00365603"/>
    <w:rsid w:val="00365790"/>
    <w:rsid w:val="003657C3"/>
    <w:rsid w:val="00365964"/>
    <w:rsid w:val="003659D1"/>
    <w:rsid w:val="00365D7A"/>
    <w:rsid w:val="00365E39"/>
    <w:rsid w:val="00366436"/>
    <w:rsid w:val="0036649B"/>
    <w:rsid w:val="003668B3"/>
    <w:rsid w:val="00366CD7"/>
    <w:rsid w:val="00367130"/>
    <w:rsid w:val="003672E0"/>
    <w:rsid w:val="00367737"/>
    <w:rsid w:val="00367BD4"/>
    <w:rsid w:val="00367D38"/>
    <w:rsid w:val="00367DC8"/>
    <w:rsid w:val="00367F19"/>
    <w:rsid w:val="00370089"/>
    <w:rsid w:val="0037012A"/>
    <w:rsid w:val="00370252"/>
    <w:rsid w:val="00370482"/>
    <w:rsid w:val="003706CE"/>
    <w:rsid w:val="00370973"/>
    <w:rsid w:val="00370BB4"/>
    <w:rsid w:val="00370C0B"/>
    <w:rsid w:val="00370D13"/>
    <w:rsid w:val="00370E91"/>
    <w:rsid w:val="003710BA"/>
    <w:rsid w:val="003711D1"/>
    <w:rsid w:val="003713E6"/>
    <w:rsid w:val="00371527"/>
    <w:rsid w:val="00371788"/>
    <w:rsid w:val="003718F4"/>
    <w:rsid w:val="00371902"/>
    <w:rsid w:val="0037192B"/>
    <w:rsid w:val="003719D7"/>
    <w:rsid w:val="00371B73"/>
    <w:rsid w:val="00371CDE"/>
    <w:rsid w:val="00372234"/>
    <w:rsid w:val="0037224A"/>
    <w:rsid w:val="003722BF"/>
    <w:rsid w:val="003722E8"/>
    <w:rsid w:val="003723F6"/>
    <w:rsid w:val="00372603"/>
    <w:rsid w:val="003727FC"/>
    <w:rsid w:val="003728E9"/>
    <w:rsid w:val="00372BBB"/>
    <w:rsid w:val="00372D7B"/>
    <w:rsid w:val="00372E8B"/>
    <w:rsid w:val="00372F91"/>
    <w:rsid w:val="00373248"/>
    <w:rsid w:val="00373310"/>
    <w:rsid w:val="00373644"/>
    <w:rsid w:val="00373714"/>
    <w:rsid w:val="00373776"/>
    <w:rsid w:val="003738D2"/>
    <w:rsid w:val="003739D1"/>
    <w:rsid w:val="00373AEE"/>
    <w:rsid w:val="00373D0B"/>
    <w:rsid w:val="003741BB"/>
    <w:rsid w:val="003742AA"/>
    <w:rsid w:val="003744AB"/>
    <w:rsid w:val="00374704"/>
    <w:rsid w:val="003747A8"/>
    <w:rsid w:val="0037493F"/>
    <w:rsid w:val="003749E8"/>
    <w:rsid w:val="00374A94"/>
    <w:rsid w:val="00374CE5"/>
    <w:rsid w:val="00374D33"/>
    <w:rsid w:val="00375122"/>
    <w:rsid w:val="003753FA"/>
    <w:rsid w:val="00375528"/>
    <w:rsid w:val="003759D8"/>
    <w:rsid w:val="00375AD4"/>
    <w:rsid w:val="00375B6D"/>
    <w:rsid w:val="00375C6F"/>
    <w:rsid w:val="00375CEC"/>
    <w:rsid w:val="00375FC6"/>
    <w:rsid w:val="003761CD"/>
    <w:rsid w:val="00376544"/>
    <w:rsid w:val="00376649"/>
    <w:rsid w:val="00376B88"/>
    <w:rsid w:val="00376C37"/>
    <w:rsid w:val="00376C3D"/>
    <w:rsid w:val="00376C84"/>
    <w:rsid w:val="00376F23"/>
    <w:rsid w:val="003770E9"/>
    <w:rsid w:val="00377454"/>
    <w:rsid w:val="00377916"/>
    <w:rsid w:val="00377CA0"/>
    <w:rsid w:val="00377D53"/>
    <w:rsid w:val="00377EC0"/>
    <w:rsid w:val="00377EF0"/>
    <w:rsid w:val="003802E6"/>
    <w:rsid w:val="003804FA"/>
    <w:rsid w:val="003805E8"/>
    <w:rsid w:val="00380981"/>
    <w:rsid w:val="00380EE0"/>
    <w:rsid w:val="00381258"/>
    <w:rsid w:val="00381446"/>
    <w:rsid w:val="0038168E"/>
    <w:rsid w:val="00381820"/>
    <w:rsid w:val="00381A9D"/>
    <w:rsid w:val="00381D50"/>
    <w:rsid w:val="00381E5B"/>
    <w:rsid w:val="00381EB1"/>
    <w:rsid w:val="003820F9"/>
    <w:rsid w:val="003823AD"/>
    <w:rsid w:val="003823CA"/>
    <w:rsid w:val="00382BAA"/>
    <w:rsid w:val="00382C92"/>
    <w:rsid w:val="00382EEF"/>
    <w:rsid w:val="00383373"/>
    <w:rsid w:val="0038338E"/>
    <w:rsid w:val="00383438"/>
    <w:rsid w:val="003834BB"/>
    <w:rsid w:val="00383879"/>
    <w:rsid w:val="00383D58"/>
    <w:rsid w:val="00383DBC"/>
    <w:rsid w:val="00383EFC"/>
    <w:rsid w:val="00384198"/>
    <w:rsid w:val="003842AC"/>
    <w:rsid w:val="003843B3"/>
    <w:rsid w:val="003845FB"/>
    <w:rsid w:val="00384BE8"/>
    <w:rsid w:val="00384C65"/>
    <w:rsid w:val="00384CA0"/>
    <w:rsid w:val="00384E5F"/>
    <w:rsid w:val="00384F71"/>
    <w:rsid w:val="003850A0"/>
    <w:rsid w:val="00385254"/>
    <w:rsid w:val="00385496"/>
    <w:rsid w:val="00385AF0"/>
    <w:rsid w:val="00385AFC"/>
    <w:rsid w:val="00386049"/>
    <w:rsid w:val="003860F5"/>
    <w:rsid w:val="003862A6"/>
    <w:rsid w:val="00386935"/>
    <w:rsid w:val="00386FBC"/>
    <w:rsid w:val="003870BB"/>
    <w:rsid w:val="00387309"/>
    <w:rsid w:val="00387586"/>
    <w:rsid w:val="00387D13"/>
    <w:rsid w:val="00387DBC"/>
    <w:rsid w:val="00390748"/>
    <w:rsid w:val="0039099B"/>
    <w:rsid w:val="00390A3F"/>
    <w:rsid w:val="003910D9"/>
    <w:rsid w:val="00391288"/>
    <w:rsid w:val="003916C6"/>
    <w:rsid w:val="003917DE"/>
    <w:rsid w:val="00391922"/>
    <w:rsid w:val="00391CD2"/>
    <w:rsid w:val="00391D0B"/>
    <w:rsid w:val="00391F69"/>
    <w:rsid w:val="00391FBD"/>
    <w:rsid w:val="0039208F"/>
    <w:rsid w:val="003925A8"/>
    <w:rsid w:val="0039262E"/>
    <w:rsid w:val="00392900"/>
    <w:rsid w:val="003931BF"/>
    <w:rsid w:val="00393288"/>
    <w:rsid w:val="003934F6"/>
    <w:rsid w:val="0039355D"/>
    <w:rsid w:val="0039356B"/>
    <w:rsid w:val="0039382E"/>
    <w:rsid w:val="0039386C"/>
    <w:rsid w:val="00393936"/>
    <w:rsid w:val="00393BB4"/>
    <w:rsid w:val="00394099"/>
    <w:rsid w:val="003943B2"/>
    <w:rsid w:val="00394407"/>
    <w:rsid w:val="0039444B"/>
    <w:rsid w:val="00394586"/>
    <w:rsid w:val="0039484E"/>
    <w:rsid w:val="00394875"/>
    <w:rsid w:val="00394A01"/>
    <w:rsid w:val="00394A0B"/>
    <w:rsid w:val="00394A7D"/>
    <w:rsid w:val="00394AA8"/>
    <w:rsid w:val="00394B16"/>
    <w:rsid w:val="00394E74"/>
    <w:rsid w:val="00394EB5"/>
    <w:rsid w:val="00394F05"/>
    <w:rsid w:val="0039501E"/>
    <w:rsid w:val="0039528E"/>
    <w:rsid w:val="00395412"/>
    <w:rsid w:val="003955B7"/>
    <w:rsid w:val="003956E7"/>
    <w:rsid w:val="003959FF"/>
    <w:rsid w:val="003961C1"/>
    <w:rsid w:val="003961F7"/>
    <w:rsid w:val="003963BA"/>
    <w:rsid w:val="00396550"/>
    <w:rsid w:val="003965DA"/>
    <w:rsid w:val="00396603"/>
    <w:rsid w:val="0039676E"/>
    <w:rsid w:val="00396880"/>
    <w:rsid w:val="003968B6"/>
    <w:rsid w:val="00396CD0"/>
    <w:rsid w:val="00396D92"/>
    <w:rsid w:val="00396F68"/>
    <w:rsid w:val="00396FD5"/>
    <w:rsid w:val="00397023"/>
    <w:rsid w:val="00397041"/>
    <w:rsid w:val="003970DB"/>
    <w:rsid w:val="003970E4"/>
    <w:rsid w:val="0039725A"/>
    <w:rsid w:val="003973AD"/>
    <w:rsid w:val="00397438"/>
    <w:rsid w:val="003976D5"/>
    <w:rsid w:val="00397B52"/>
    <w:rsid w:val="00397D84"/>
    <w:rsid w:val="003A00AC"/>
    <w:rsid w:val="003A00F3"/>
    <w:rsid w:val="003A0365"/>
    <w:rsid w:val="003A0445"/>
    <w:rsid w:val="003A051B"/>
    <w:rsid w:val="003A0692"/>
    <w:rsid w:val="003A0AA6"/>
    <w:rsid w:val="003A0CED"/>
    <w:rsid w:val="003A0D0A"/>
    <w:rsid w:val="003A0E2A"/>
    <w:rsid w:val="003A10D8"/>
    <w:rsid w:val="003A11AA"/>
    <w:rsid w:val="003A13DE"/>
    <w:rsid w:val="003A1531"/>
    <w:rsid w:val="003A18E3"/>
    <w:rsid w:val="003A1A02"/>
    <w:rsid w:val="003A1DA9"/>
    <w:rsid w:val="003A1EF9"/>
    <w:rsid w:val="003A229E"/>
    <w:rsid w:val="003A2521"/>
    <w:rsid w:val="003A29EA"/>
    <w:rsid w:val="003A2CB8"/>
    <w:rsid w:val="003A2D0C"/>
    <w:rsid w:val="003A32FA"/>
    <w:rsid w:val="003A3572"/>
    <w:rsid w:val="003A358E"/>
    <w:rsid w:val="003A38B1"/>
    <w:rsid w:val="003A391F"/>
    <w:rsid w:val="003A3C40"/>
    <w:rsid w:val="003A3EF6"/>
    <w:rsid w:val="003A423A"/>
    <w:rsid w:val="003A43C3"/>
    <w:rsid w:val="003A47A2"/>
    <w:rsid w:val="003A47CE"/>
    <w:rsid w:val="003A4A05"/>
    <w:rsid w:val="003A4A3C"/>
    <w:rsid w:val="003A4C95"/>
    <w:rsid w:val="003A4DB4"/>
    <w:rsid w:val="003A5297"/>
    <w:rsid w:val="003A55A1"/>
    <w:rsid w:val="003A55DD"/>
    <w:rsid w:val="003A56F1"/>
    <w:rsid w:val="003A5AAE"/>
    <w:rsid w:val="003A5AE2"/>
    <w:rsid w:val="003A5C4D"/>
    <w:rsid w:val="003A5C79"/>
    <w:rsid w:val="003A5D21"/>
    <w:rsid w:val="003A6189"/>
    <w:rsid w:val="003A6502"/>
    <w:rsid w:val="003A672D"/>
    <w:rsid w:val="003A6921"/>
    <w:rsid w:val="003A6E68"/>
    <w:rsid w:val="003A7039"/>
    <w:rsid w:val="003A7111"/>
    <w:rsid w:val="003A72BF"/>
    <w:rsid w:val="003A7395"/>
    <w:rsid w:val="003A74E3"/>
    <w:rsid w:val="003A750C"/>
    <w:rsid w:val="003A770E"/>
    <w:rsid w:val="003A7C2C"/>
    <w:rsid w:val="003A7D7B"/>
    <w:rsid w:val="003A7F5F"/>
    <w:rsid w:val="003A7FCE"/>
    <w:rsid w:val="003B023F"/>
    <w:rsid w:val="003B0247"/>
    <w:rsid w:val="003B059F"/>
    <w:rsid w:val="003B07BB"/>
    <w:rsid w:val="003B07CC"/>
    <w:rsid w:val="003B08F9"/>
    <w:rsid w:val="003B0904"/>
    <w:rsid w:val="003B0951"/>
    <w:rsid w:val="003B0C80"/>
    <w:rsid w:val="003B0E8B"/>
    <w:rsid w:val="003B0EDB"/>
    <w:rsid w:val="003B137D"/>
    <w:rsid w:val="003B18D6"/>
    <w:rsid w:val="003B1A08"/>
    <w:rsid w:val="003B1AEF"/>
    <w:rsid w:val="003B1C51"/>
    <w:rsid w:val="003B1C8A"/>
    <w:rsid w:val="003B1C97"/>
    <w:rsid w:val="003B1D51"/>
    <w:rsid w:val="003B1F0E"/>
    <w:rsid w:val="003B1FC6"/>
    <w:rsid w:val="003B200C"/>
    <w:rsid w:val="003B29AE"/>
    <w:rsid w:val="003B29C4"/>
    <w:rsid w:val="003B2A18"/>
    <w:rsid w:val="003B33DC"/>
    <w:rsid w:val="003B34D5"/>
    <w:rsid w:val="003B3578"/>
    <w:rsid w:val="003B3628"/>
    <w:rsid w:val="003B37E8"/>
    <w:rsid w:val="003B3A46"/>
    <w:rsid w:val="003B3A58"/>
    <w:rsid w:val="003B3BD7"/>
    <w:rsid w:val="003B3C5E"/>
    <w:rsid w:val="003B3D9D"/>
    <w:rsid w:val="003B4311"/>
    <w:rsid w:val="003B4535"/>
    <w:rsid w:val="003B4F06"/>
    <w:rsid w:val="003B4FDA"/>
    <w:rsid w:val="003B5098"/>
    <w:rsid w:val="003B52B5"/>
    <w:rsid w:val="003B5442"/>
    <w:rsid w:val="003B5462"/>
    <w:rsid w:val="003B5483"/>
    <w:rsid w:val="003B5617"/>
    <w:rsid w:val="003B5641"/>
    <w:rsid w:val="003B5AE5"/>
    <w:rsid w:val="003B5C7C"/>
    <w:rsid w:val="003B5FAB"/>
    <w:rsid w:val="003B6087"/>
    <w:rsid w:val="003B60F2"/>
    <w:rsid w:val="003B6247"/>
    <w:rsid w:val="003B6253"/>
    <w:rsid w:val="003B6320"/>
    <w:rsid w:val="003B634F"/>
    <w:rsid w:val="003B649D"/>
    <w:rsid w:val="003B6507"/>
    <w:rsid w:val="003B6708"/>
    <w:rsid w:val="003B6756"/>
    <w:rsid w:val="003B6942"/>
    <w:rsid w:val="003B69D0"/>
    <w:rsid w:val="003B6A79"/>
    <w:rsid w:val="003B6CB5"/>
    <w:rsid w:val="003B6CF5"/>
    <w:rsid w:val="003B6D31"/>
    <w:rsid w:val="003B6E02"/>
    <w:rsid w:val="003B6F3C"/>
    <w:rsid w:val="003B739A"/>
    <w:rsid w:val="003B7841"/>
    <w:rsid w:val="003B7846"/>
    <w:rsid w:val="003C00CF"/>
    <w:rsid w:val="003C023C"/>
    <w:rsid w:val="003C030E"/>
    <w:rsid w:val="003C048A"/>
    <w:rsid w:val="003C04C8"/>
    <w:rsid w:val="003C063B"/>
    <w:rsid w:val="003C0745"/>
    <w:rsid w:val="003C07E1"/>
    <w:rsid w:val="003C08AE"/>
    <w:rsid w:val="003C15A0"/>
    <w:rsid w:val="003C17FF"/>
    <w:rsid w:val="003C183F"/>
    <w:rsid w:val="003C188D"/>
    <w:rsid w:val="003C19F7"/>
    <w:rsid w:val="003C1B2D"/>
    <w:rsid w:val="003C1F9E"/>
    <w:rsid w:val="003C2051"/>
    <w:rsid w:val="003C24FA"/>
    <w:rsid w:val="003C2638"/>
    <w:rsid w:val="003C26AF"/>
    <w:rsid w:val="003C27D4"/>
    <w:rsid w:val="003C29BF"/>
    <w:rsid w:val="003C2B3F"/>
    <w:rsid w:val="003C2BF8"/>
    <w:rsid w:val="003C2DF2"/>
    <w:rsid w:val="003C3460"/>
    <w:rsid w:val="003C35FC"/>
    <w:rsid w:val="003C3826"/>
    <w:rsid w:val="003C386A"/>
    <w:rsid w:val="003C3966"/>
    <w:rsid w:val="003C3A28"/>
    <w:rsid w:val="003C3D1D"/>
    <w:rsid w:val="003C3DDA"/>
    <w:rsid w:val="003C3EF7"/>
    <w:rsid w:val="003C3FDF"/>
    <w:rsid w:val="003C4135"/>
    <w:rsid w:val="003C4868"/>
    <w:rsid w:val="003C4A5B"/>
    <w:rsid w:val="003C4AFC"/>
    <w:rsid w:val="003C4B36"/>
    <w:rsid w:val="003C4EF7"/>
    <w:rsid w:val="003C5140"/>
    <w:rsid w:val="003C5189"/>
    <w:rsid w:val="003C52AE"/>
    <w:rsid w:val="003C57D4"/>
    <w:rsid w:val="003C586B"/>
    <w:rsid w:val="003C587A"/>
    <w:rsid w:val="003C59AA"/>
    <w:rsid w:val="003C5B43"/>
    <w:rsid w:val="003C60CD"/>
    <w:rsid w:val="003C60E2"/>
    <w:rsid w:val="003C6280"/>
    <w:rsid w:val="003C6444"/>
    <w:rsid w:val="003C6447"/>
    <w:rsid w:val="003C646B"/>
    <w:rsid w:val="003C65B3"/>
    <w:rsid w:val="003C6711"/>
    <w:rsid w:val="003C677C"/>
    <w:rsid w:val="003C68B0"/>
    <w:rsid w:val="003C699E"/>
    <w:rsid w:val="003C69B4"/>
    <w:rsid w:val="003C6D11"/>
    <w:rsid w:val="003C6E29"/>
    <w:rsid w:val="003C6F2F"/>
    <w:rsid w:val="003C7157"/>
    <w:rsid w:val="003C72EC"/>
    <w:rsid w:val="003C74B8"/>
    <w:rsid w:val="003C79C2"/>
    <w:rsid w:val="003C7E25"/>
    <w:rsid w:val="003D0089"/>
    <w:rsid w:val="003D0167"/>
    <w:rsid w:val="003D0273"/>
    <w:rsid w:val="003D03B2"/>
    <w:rsid w:val="003D0539"/>
    <w:rsid w:val="003D083E"/>
    <w:rsid w:val="003D0ADF"/>
    <w:rsid w:val="003D0C20"/>
    <w:rsid w:val="003D10D2"/>
    <w:rsid w:val="003D157C"/>
    <w:rsid w:val="003D1652"/>
    <w:rsid w:val="003D17E7"/>
    <w:rsid w:val="003D1910"/>
    <w:rsid w:val="003D1E39"/>
    <w:rsid w:val="003D2228"/>
    <w:rsid w:val="003D245D"/>
    <w:rsid w:val="003D2461"/>
    <w:rsid w:val="003D251A"/>
    <w:rsid w:val="003D2575"/>
    <w:rsid w:val="003D27C0"/>
    <w:rsid w:val="003D28C7"/>
    <w:rsid w:val="003D2A40"/>
    <w:rsid w:val="003D2B22"/>
    <w:rsid w:val="003D2C82"/>
    <w:rsid w:val="003D316B"/>
    <w:rsid w:val="003D324B"/>
    <w:rsid w:val="003D3BBB"/>
    <w:rsid w:val="003D4565"/>
    <w:rsid w:val="003D4EAE"/>
    <w:rsid w:val="003D50C3"/>
    <w:rsid w:val="003D51D8"/>
    <w:rsid w:val="003D537E"/>
    <w:rsid w:val="003D540A"/>
    <w:rsid w:val="003D56CE"/>
    <w:rsid w:val="003D5A13"/>
    <w:rsid w:val="003D5B56"/>
    <w:rsid w:val="003D5C71"/>
    <w:rsid w:val="003D5E8A"/>
    <w:rsid w:val="003D5F5A"/>
    <w:rsid w:val="003D6308"/>
    <w:rsid w:val="003D644D"/>
    <w:rsid w:val="003D6484"/>
    <w:rsid w:val="003D6673"/>
    <w:rsid w:val="003D66D0"/>
    <w:rsid w:val="003D6D03"/>
    <w:rsid w:val="003D7030"/>
    <w:rsid w:val="003D70FF"/>
    <w:rsid w:val="003D7352"/>
    <w:rsid w:val="003D75B1"/>
    <w:rsid w:val="003D77E7"/>
    <w:rsid w:val="003D7A4F"/>
    <w:rsid w:val="003D7BAB"/>
    <w:rsid w:val="003D7BFD"/>
    <w:rsid w:val="003D7DED"/>
    <w:rsid w:val="003E0097"/>
    <w:rsid w:val="003E00C2"/>
    <w:rsid w:val="003E010A"/>
    <w:rsid w:val="003E0402"/>
    <w:rsid w:val="003E04A6"/>
    <w:rsid w:val="003E08BF"/>
    <w:rsid w:val="003E0AF8"/>
    <w:rsid w:val="003E0B6B"/>
    <w:rsid w:val="003E0DD4"/>
    <w:rsid w:val="003E0F1B"/>
    <w:rsid w:val="003E10AB"/>
    <w:rsid w:val="003E12FF"/>
    <w:rsid w:val="003E13FC"/>
    <w:rsid w:val="003E1551"/>
    <w:rsid w:val="003E158A"/>
    <w:rsid w:val="003E1624"/>
    <w:rsid w:val="003E1832"/>
    <w:rsid w:val="003E19A7"/>
    <w:rsid w:val="003E1A1C"/>
    <w:rsid w:val="003E1FDE"/>
    <w:rsid w:val="003E22FB"/>
    <w:rsid w:val="003E25D3"/>
    <w:rsid w:val="003E273F"/>
    <w:rsid w:val="003E2B6E"/>
    <w:rsid w:val="003E2C37"/>
    <w:rsid w:val="003E2E14"/>
    <w:rsid w:val="003E2E92"/>
    <w:rsid w:val="003E3036"/>
    <w:rsid w:val="003E306B"/>
    <w:rsid w:val="003E32CD"/>
    <w:rsid w:val="003E3598"/>
    <w:rsid w:val="003E3A29"/>
    <w:rsid w:val="003E3BE0"/>
    <w:rsid w:val="003E3C0D"/>
    <w:rsid w:val="003E3D24"/>
    <w:rsid w:val="003E3D94"/>
    <w:rsid w:val="003E3DFC"/>
    <w:rsid w:val="003E3EAD"/>
    <w:rsid w:val="003E3ED1"/>
    <w:rsid w:val="003E3F29"/>
    <w:rsid w:val="003E4211"/>
    <w:rsid w:val="003E42CB"/>
    <w:rsid w:val="003E46F5"/>
    <w:rsid w:val="003E49C7"/>
    <w:rsid w:val="003E4EB6"/>
    <w:rsid w:val="003E4F5D"/>
    <w:rsid w:val="003E50EA"/>
    <w:rsid w:val="003E5237"/>
    <w:rsid w:val="003E53BB"/>
    <w:rsid w:val="003E53DD"/>
    <w:rsid w:val="003E5BCE"/>
    <w:rsid w:val="003E617D"/>
    <w:rsid w:val="003E6328"/>
    <w:rsid w:val="003E6462"/>
    <w:rsid w:val="003E650B"/>
    <w:rsid w:val="003E65A9"/>
    <w:rsid w:val="003E6710"/>
    <w:rsid w:val="003E6A17"/>
    <w:rsid w:val="003E6F1A"/>
    <w:rsid w:val="003E6F20"/>
    <w:rsid w:val="003E6F39"/>
    <w:rsid w:val="003E7275"/>
    <w:rsid w:val="003E73B2"/>
    <w:rsid w:val="003E79D8"/>
    <w:rsid w:val="003E7AD5"/>
    <w:rsid w:val="003E7BF3"/>
    <w:rsid w:val="003E7C27"/>
    <w:rsid w:val="003E7C98"/>
    <w:rsid w:val="003E7CE1"/>
    <w:rsid w:val="003E7DB6"/>
    <w:rsid w:val="003E7F6B"/>
    <w:rsid w:val="003F05FF"/>
    <w:rsid w:val="003F066A"/>
    <w:rsid w:val="003F06D7"/>
    <w:rsid w:val="003F0819"/>
    <w:rsid w:val="003F08C0"/>
    <w:rsid w:val="003F0AFB"/>
    <w:rsid w:val="003F0E79"/>
    <w:rsid w:val="003F107D"/>
    <w:rsid w:val="003F1458"/>
    <w:rsid w:val="003F1794"/>
    <w:rsid w:val="003F1C97"/>
    <w:rsid w:val="003F1F29"/>
    <w:rsid w:val="003F1FD1"/>
    <w:rsid w:val="003F2020"/>
    <w:rsid w:val="003F2138"/>
    <w:rsid w:val="003F23BF"/>
    <w:rsid w:val="003F27E4"/>
    <w:rsid w:val="003F2C0E"/>
    <w:rsid w:val="003F2D85"/>
    <w:rsid w:val="003F2F93"/>
    <w:rsid w:val="003F2FA5"/>
    <w:rsid w:val="003F346A"/>
    <w:rsid w:val="003F3679"/>
    <w:rsid w:val="003F399F"/>
    <w:rsid w:val="003F3B00"/>
    <w:rsid w:val="003F3B0B"/>
    <w:rsid w:val="003F43CB"/>
    <w:rsid w:val="003F45A8"/>
    <w:rsid w:val="003F46DF"/>
    <w:rsid w:val="003F4B43"/>
    <w:rsid w:val="003F4EB6"/>
    <w:rsid w:val="003F5285"/>
    <w:rsid w:val="003F5300"/>
    <w:rsid w:val="003F55BC"/>
    <w:rsid w:val="003F5666"/>
    <w:rsid w:val="003F5AF4"/>
    <w:rsid w:val="003F5B7F"/>
    <w:rsid w:val="003F5BDA"/>
    <w:rsid w:val="003F61D9"/>
    <w:rsid w:val="003F6482"/>
    <w:rsid w:val="003F64E8"/>
    <w:rsid w:val="003F68F7"/>
    <w:rsid w:val="003F6933"/>
    <w:rsid w:val="003F69A7"/>
    <w:rsid w:val="003F6BEB"/>
    <w:rsid w:val="003F6CA6"/>
    <w:rsid w:val="003F715C"/>
    <w:rsid w:val="003F71C5"/>
    <w:rsid w:val="003F7234"/>
    <w:rsid w:val="003F7397"/>
    <w:rsid w:val="003F7514"/>
    <w:rsid w:val="003F753E"/>
    <w:rsid w:val="003F7710"/>
    <w:rsid w:val="003F77C6"/>
    <w:rsid w:val="003F799B"/>
    <w:rsid w:val="003F7A37"/>
    <w:rsid w:val="003F7ABB"/>
    <w:rsid w:val="003F7CBE"/>
    <w:rsid w:val="003F7F42"/>
    <w:rsid w:val="003F7F69"/>
    <w:rsid w:val="003F7FC8"/>
    <w:rsid w:val="004002FF"/>
    <w:rsid w:val="004003B1"/>
    <w:rsid w:val="00400609"/>
    <w:rsid w:val="0040065B"/>
    <w:rsid w:val="004006D8"/>
    <w:rsid w:val="004007C7"/>
    <w:rsid w:val="00400A8A"/>
    <w:rsid w:val="00400DD1"/>
    <w:rsid w:val="00400E15"/>
    <w:rsid w:val="00400F64"/>
    <w:rsid w:val="00401091"/>
    <w:rsid w:val="0040128B"/>
    <w:rsid w:val="0040129A"/>
    <w:rsid w:val="004012DC"/>
    <w:rsid w:val="004013EE"/>
    <w:rsid w:val="004014F3"/>
    <w:rsid w:val="00401867"/>
    <w:rsid w:val="00401AA0"/>
    <w:rsid w:val="00401CCC"/>
    <w:rsid w:val="00401D9D"/>
    <w:rsid w:val="00401DE0"/>
    <w:rsid w:val="00401DF8"/>
    <w:rsid w:val="00401F25"/>
    <w:rsid w:val="00402294"/>
    <w:rsid w:val="004024F5"/>
    <w:rsid w:val="004025AC"/>
    <w:rsid w:val="00402B2B"/>
    <w:rsid w:val="00402C66"/>
    <w:rsid w:val="00402F82"/>
    <w:rsid w:val="0040301B"/>
    <w:rsid w:val="00403439"/>
    <w:rsid w:val="00403A70"/>
    <w:rsid w:val="00403D76"/>
    <w:rsid w:val="00403DA7"/>
    <w:rsid w:val="00403FAB"/>
    <w:rsid w:val="0040409D"/>
    <w:rsid w:val="00404112"/>
    <w:rsid w:val="00404362"/>
    <w:rsid w:val="0040444E"/>
    <w:rsid w:val="00404542"/>
    <w:rsid w:val="00404670"/>
    <w:rsid w:val="00404702"/>
    <w:rsid w:val="00404731"/>
    <w:rsid w:val="00404A62"/>
    <w:rsid w:val="00404E33"/>
    <w:rsid w:val="00404F54"/>
    <w:rsid w:val="0040511C"/>
    <w:rsid w:val="004051ED"/>
    <w:rsid w:val="004052AE"/>
    <w:rsid w:val="004053AF"/>
    <w:rsid w:val="0040547D"/>
    <w:rsid w:val="00405A65"/>
    <w:rsid w:val="00405BF4"/>
    <w:rsid w:val="0040632B"/>
    <w:rsid w:val="00406353"/>
    <w:rsid w:val="0040640F"/>
    <w:rsid w:val="00406623"/>
    <w:rsid w:val="0040669F"/>
    <w:rsid w:val="004069B5"/>
    <w:rsid w:val="00406E0A"/>
    <w:rsid w:val="004072E0"/>
    <w:rsid w:val="00407521"/>
    <w:rsid w:val="00407554"/>
    <w:rsid w:val="004075F1"/>
    <w:rsid w:val="004078CC"/>
    <w:rsid w:val="00407E8B"/>
    <w:rsid w:val="004100BC"/>
    <w:rsid w:val="0041052F"/>
    <w:rsid w:val="0041097D"/>
    <w:rsid w:val="00410A29"/>
    <w:rsid w:val="00410D14"/>
    <w:rsid w:val="00411035"/>
    <w:rsid w:val="00411156"/>
    <w:rsid w:val="00411375"/>
    <w:rsid w:val="00411464"/>
    <w:rsid w:val="0041166C"/>
    <w:rsid w:val="0041175A"/>
    <w:rsid w:val="00411818"/>
    <w:rsid w:val="0041189D"/>
    <w:rsid w:val="00411963"/>
    <w:rsid w:val="00411B11"/>
    <w:rsid w:val="00411CC2"/>
    <w:rsid w:val="00411F04"/>
    <w:rsid w:val="00411FDF"/>
    <w:rsid w:val="004121D1"/>
    <w:rsid w:val="004125DA"/>
    <w:rsid w:val="00412699"/>
    <w:rsid w:val="00412A13"/>
    <w:rsid w:val="00412BA2"/>
    <w:rsid w:val="00412BE2"/>
    <w:rsid w:val="00412E63"/>
    <w:rsid w:val="004131DA"/>
    <w:rsid w:val="0041320F"/>
    <w:rsid w:val="0041345A"/>
    <w:rsid w:val="00413615"/>
    <w:rsid w:val="004136E3"/>
    <w:rsid w:val="00414025"/>
    <w:rsid w:val="004141EC"/>
    <w:rsid w:val="004142C5"/>
    <w:rsid w:val="004145B8"/>
    <w:rsid w:val="00414780"/>
    <w:rsid w:val="00414939"/>
    <w:rsid w:val="00414A7D"/>
    <w:rsid w:val="00414AC8"/>
    <w:rsid w:val="00414BDF"/>
    <w:rsid w:val="00414CB2"/>
    <w:rsid w:val="00414CD0"/>
    <w:rsid w:val="00414DE4"/>
    <w:rsid w:val="00414EAD"/>
    <w:rsid w:val="00414EAE"/>
    <w:rsid w:val="00415119"/>
    <w:rsid w:val="00415415"/>
    <w:rsid w:val="0041562E"/>
    <w:rsid w:val="00415704"/>
    <w:rsid w:val="00415812"/>
    <w:rsid w:val="00415ACD"/>
    <w:rsid w:val="00415C76"/>
    <w:rsid w:val="00415CF2"/>
    <w:rsid w:val="0041607A"/>
    <w:rsid w:val="0041635C"/>
    <w:rsid w:val="00416391"/>
    <w:rsid w:val="00416392"/>
    <w:rsid w:val="004163DC"/>
    <w:rsid w:val="00416436"/>
    <w:rsid w:val="00416511"/>
    <w:rsid w:val="00416574"/>
    <w:rsid w:val="00416674"/>
    <w:rsid w:val="00416B3F"/>
    <w:rsid w:val="00416BA5"/>
    <w:rsid w:val="00416C26"/>
    <w:rsid w:val="00416CEF"/>
    <w:rsid w:val="00416ECD"/>
    <w:rsid w:val="00417016"/>
    <w:rsid w:val="004171EE"/>
    <w:rsid w:val="00417311"/>
    <w:rsid w:val="00417596"/>
    <w:rsid w:val="00417609"/>
    <w:rsid w:val="004176E1"/>
    <w:rsid w:val="00417B5D"/>
    <w:rsid w:val="00417ECA"/>
    <w:rsid w:val="00417F17"/>
    <w:rsid w:val="00417F8D"/>
    <w:rsid w:val="00417FDB"/>
    <w:rsid w:val="00420351"/>
    <w:rsid w:val="00420546"/>
    <w:rsid w:val="004206B0"/>
    <w:rsid w:val="00420704"/>
    <w:rsid w:val="00420AFE"/>
    <w:rsid w:val="00420BC7"/>
    <w:rsid w:val="00421044"/>
    <w:rsid w:val="004210F0"/>
    <w:rsid w:val="004213EC"/>
    <w:rsid w:val="00421683"/>
    <w:rsid w:val="0042234D"/>
    <w:rsid w:val="00422380"/>
    <w:rsid w:val="0042247C"/>
    <w:rsid w:val="004224E5"/>
    <w:rsid w:val="00422622"/>
    <w:rsid w:val="004226D9"/>
    <w:rsid w:val="00422703"/>
    <w:rsid w:val="00422793"/>
    <w:rsid w:val="00422A85"/>
    <w:rsid w:val="00422D15"/>
    <w:rsid w:val="00422E6B"/>
    <w:rsid w:val="00422EB3"/>
    <w:rsid w:val="00422FFA"/>
    <w:rsid w:val="00423033"/>
    <w:rsid w:val="00423077"/>
    <w:rsid w:val="004230A9"/>
    <w:rsid w:val="00423152"/>
    <w:rsid w:val="00423188"/>
    <w:rsid w:val="004232A3"/>
    <w:rsid w:val="00423308"/>
    <w:rsid w:val="00423447"/>
    <w:rsid w:val="004235A4"/>
    <w:rsid w:val="00423902"/>
    <w:rsid w:val="00423CFF"/>
    <w:rsid w:val="00423E6F"/>
    <w:rsid w:val="0042427E"/>
    <w:rsid w:val="004246C2"/>
    <w:rsid w:val="00424DA3"/>
    <w:rsid w:val="00424E32"/>
    <w:rsid w:val="00425025"/>
    <w:rsid w:val="00425098"/>
    <w:rsid w:val="004250BA"/>
    <w:rsid w:val="00425234"/>
    <w:rsid w:val="00425257"/>
    <w:rsid w:val="0042530F"/>
    <w:rsid w:val="004254A2"/>
    <w:rsid w:val="004254C2"/>
    <w:rsid w:val="00425839"/>
    <w:rsid w:val="00425A9C"/>
    <w:rsid w:val="00426032"/>
    <w:rsid w:val="00426280"/>
    <w:rsid w:val="004264B5"/>
    <w:rsid w:val="004266E1"/>
    <w:rsid w:val="0042699D"/>
    <w:rsid w:val="00426D0F"/>
    <w:rsid w:val="00427052"/>
    <w:rsid w:val="00427309"/>
    <w:rsid w:val="0042775A"/>
    <w:rsid w:val="004279B6"/>
    <w:rsid w:val="00427D70"/>
    <w:rsid w:val="00427EB5"/>
    <w:rsid w:val="00430470"/>
    <w:rsid w:val="004306D8"/>
    <w:rsid w:val="0043087F"/>
    <w:rsid w:val="00430D13"/>
    <w:rsid w:val="00431061"/>
    <w:rsid w:val="004314BA"/>
    <w:rsid w:val="00431AED"/>
    <w:rsid w:val="00431B52"/>
    <w:rsid w:val="00432058"/>
    <w:rsid w:val="00432410"/>
    <w:rsid w:val="0043263A"/>
    <w:rsid w:val="0043293F"/>
    <w:rsid w:val="004330A1"/>
    <w:rsid w:val="0043318F"/>
    <w:rsid w:val="00433195"/>
    <w:rsid w:val="00433598"/>
    <w:rsid w:val="00433635"/>
    <w:rsid w:val="0043387E"/>
    <w:rsid w:val="004338B2"/>
    <w:rsid w:val="00433B23"/>
    <w:rsid w:val="00433F0B"/>
    <w:rsid w:val="00434374"/>
    <w:rsid w:val="004345D9"/>
    <w:rsid w:val="004346F1"/>
    <w:rsid w:val="00434789"/>
    <w:rsid w:val="004348C8"/>
    <w:rsid w:val="004349CB"/>
    <w:rsid w:val="00434AE4"/>
    <w:rsid w:val="00434B0B"/>
    <w:rsid w:val="004358D2"/>
    <w:rsid w:val="00435A50"/>
    <w:rsid w:val="00435B81"/>
    <w:rsid w:val="00436006"/>
    <w:rsid w:val="0043616F"/>
    <w:rsid w:val="0043639D"/>
    <w:rsid w:val="00436432"/>
    <w:rsid w:val="004365D4"/>
    <w:rsid w:val="004367F2"/>
    <w:rsid w:val="0043735D"/>
    <w:rsid w:val="0043740E"/>
    <w:rsid w:val="00437575"/>
    <w:rsid w:val="00437654"/>
    <w:rsid w:val="00437E71"/>
    <w:rsid w:val="00437F0B"/>
    <w:rsid w:val="00440035"/>
    <w:rsid w:val="0044004F"/>
    <w:rsid w:val="004402A7"/>
    <w:rsid w:val="00440352"/>
    <w:rsid w:val="004403B9"/>
    <w:rsid w:val="004407F6"/>
    <w:rsid w:val="00440871"/>
    <w:rsid w:val="00440A52"/>
    <w:rsid w:val="00440B4D"/>
    <w:rsid w:val="00440DAE"/>
    <w:rsid w:val="00440E52"/>
    <w:rsid w:val="004412CC"/>
    <w:rsid w:val="0044179D"/>
    <w:rsid w:val="004418CB"/>
    <w:rsid w:val="004419C6"/>
    <w:rsid w:val="004419F5"/>
    <w:rsid w:val="00441CC0"/>
    <w:rsid w:val="00441DEC"/>
    <w:rsid w:val="00442267"/>
    <w:rsid w:val="004423E3"/>
    <w:rsid w:val="0044247F"/>
    <w:rsid w:val="0044322B"/>
    <w:rsid w:val="0044352A"/>
    <w:rsid w:val="004435BA"/>
    <w:rsid w:val="00443661"/>
    <w:rsid w:val="004436D3"/>
    <w:rsid w:val="00443750"/>
    <w:rsid w:val="004438EA"/>
    <w:rsid w:val="00443A9E"/>
    <w:rsid w:val="00443C22"/>
    <w:rsid w:val="00443F11"/>
    <w:rsid w:val="0044400C"/>
    <w:rsid w:val="0044414C"/>
    <w:rsid w:val="00444232"/>
    <w:rsid w:val="0044425F"/>
    <w:rsid w:val="004442BF"/>
    <w:rsid w:val="00444373"/>
    <w:rsid w:val="0044458E"/>
    <w:rsid w:val="004445E0"/>
    <w:rsid w:val="004446E7"/>
    <w:rsid w:val="0044487D"/>
    <w:rsid w:val="00444E3A"/>
    <w:rsid w:val="00445265"/>
    <w:rsid w:val="00445379"/>
    <w:rsid w:val="004455B2"/>
    <w:rsid w:val="0044589B"/>
    <w:rsid w:val="0044590A"/>
    <w:rsid w:val="004459A6"/>
    <w:rsid w:val="004459F8"/>
    <w:rsid w:val="00445AE9"/>
    <w:rsid w:val="00445B1A"/>
    <w:rsid w:val="00445C41"/>
    <w:rsid w:val="00445DCD"/>
    <w:rsid w:val="00445F40"/>
    <w:rsid w:val="004461F0"/>
    <w:rsid w:val="004461FF"/>
    <w:rsid w:val="00446337"/>
    <w:rsid w:val="00446A74"/>
    <w:rsid w:val="00446BA8"/>
    <w:rsid w:val="00446BFC"/>
    <w:rsid w:val="00446CDF"/>
    <w:rsid w:val="00446D60"/>
    <w:rsid w:val="00447209"/>
    <w:rsid w:val="00447248"/>
    <w:rsid w:val="004473FA"/>
    <w:rsid w:val="00447479"/>
    <w:rsid w:val="004476A9"/>
    <w:rsid w:val="0044777D"/>
    <w:rsid w:val="00447BDB"/>
    <w:rsid w:val="00447D19"/>
    <w:rsid w:val="00447E14"/>
    <w:rsid w:val="004500BA"/>
    <w:rsid w:val="00450191"/>
    <w:rsid w:val="004502D3"/>
    <w:rsid w:val="00450882"/>
    <w:rsid w:val="0045091D"/>
    <w:rsid w:val="00450A41"/>
    <w:rsid w:val="00450AC1"/>
    <w:rsid w:val="00450E9C"/>
    <w:rsid w:val="00450F18"/>
    <w:rsid w:val="00450F21"/>
    <w:rsid w:val="00450F99"/>
    <w:rsid w:val="004512FB"/>
    <w:rsid w:val="00451756"/>
    <w:rsid w:val="00451887"/>
    <w:rsid w:val="00451B82"/>
    <w:rsid w:val="00451D6E"/>
    <w:rsid w:val="00451E86"/>
    <w:rsid w:val="00451EBA"/>
    <w:rsid w:val="00451F2C"/>
    <w:rsid w:val="004520BD"/>
    <w:rsid w:val="004520C0"/>
    <w:rsid w:val="00452313"/>
    <w:rsid w:val="00452370"/>
    <w:rsid w:val="00452501"/>
    <w:rsid w:val="00452586"/>
    <w:rsid w:val="004528E0"/>
    <w:rsid w:val="004529E9"/>
    <w:rsid w:val="00452A01"/>
    <w:rsid w:val="00452D4A"/>
    <w:rsid w:val="00452F64"/>
    <w:rsid w:val="004530CA"/>
    <w:rsid w:val="00453368"/>
    <w:rsid w:val="0045346A"/>
    <w:rsid w:val="00453800"/>
    <w:rsid w:val="00453900"/>
    <w:rsid w:val="0045398A"/>
    <w:rsid w:val="00453D28"/>
    <w:rsid w:val="00453E49"/>
    <w:rsid w:val="004546A9"/>
    <w:rsid w:val="00454784"/>
    <w:rsid w:val="004547C5"/>
    <w:rsid w:val="00454900"/>
    <w:rsid w:val="00454A78"/>
    <w:rsid w:val="00454F2E"/>
    <w:rsid w:val="004552DC"/>
    <w:rsid w:val="00455352"/>
    <w:rsid w:val="00455362"/>
    <w:rsid w:val="00455881"/>
    <w:rsid w:val="004558E3"/>
    <w:rsid w:val="00455A0C"/>
    <w:rsid w:val="00455F21"/>
    <w:rsid w:val="00456B1D"/>
    <w:rsid w:val="00456B9A"/>
    <w:rsid w:val="00456FCA"/>
    <w:rsid w:val="00456FE3"/>
    <w:rsid w:val="00457369"/>
    <w:rsid w:val="004576F1"/>
    <w:rsid w:val="00457720"/>
    <w:rsid w:val="004578AE"/>
    <w:rsid w:val="004578E8"/>
    <w:rsid w:val="0045796C"/>
    <w:rsid w:val="0045798F"/>
    <w:rsid w:val="00457A55"/>
    <w:rsid w:val="00457BB6"/>
    <w:rsid w:val="00457EEB"/>
    <w:rsid w:val="004601DE"/>
    <w:rsid w:val="004601EC"/>
    <w:rsid w:val="00460306"/>
    <w:rsid w:val="00460331"/>
    <w:rsid w:val="0046049B"/>
    <w:rsid w:val="0046054D"/>
    <w:rsid w:val="00460553"/>
    <w:rsid w:val="00460AC6"/>
    <w:rsid w:val="00460DA9"/>
    <w:rsid w:val="00460DB0"/>
    <w:rsid w:val="00460F70"/>
    <w:rsid w:val="004611FC"/>
    <w:rsid w:val="004612AB"/>
    <w:rsid w:val="00461481"/>
    <w:rsid w:val="0046152D"/>
    <w:rsid w:val="004617C1"/>
    <w:rsid w:val="004618CA"/>
    <w:rsid w:val="00461B75"/>
    <w:rsid w:val="00461F42"/>
    <w:rsid w:val="0046238C"/>
    <w:rsid w:val="0046239E"/>
    <w:rsid w:val="004625D1"/>
    <w:rsid w:val="00462668"/>
    <w:rsid w:val="00462E8C"/>
    <w:rsid w:val="004636DB"/>
    <w:rsid w:val="00463743"/>
    <w:rsid w:val="0046393B"/>
    <w:rsid w:val="00463977"/>
    <w:rsid w:val="00463B2D"/>
    <w:rsid w:val="00463CA6"/>
    <w:rsid w:val="00463E99"/>
    <w:rsid w:val="0046462A"/>
    <w:rsid w:val="00464653"/>
    <w:rsid w:val="00464820"/>
    <w:rsid w:val="00464ADF"/>
    <w:rsid w:val="00464DAA"/>
    <w:rsid w:val="00464DCA"/>
    <w:rsid w:val="00464EEA"/>
    <w:rsid w:val="00464F3D"/>
    <w:rsid w:val="004652B5"/>
    <w:rsid w:val="00465471"/>
    <w:rsid w:val="004654EC"/>
    <w:rsid w:val="0046620A"/>
    <w:rsid w:val="00466263"/>
    <w:rsid w:val="00466540"/>
    <w:rsid w:val="0046660A"/>
    <w:rsid w:val="0046666C"/>
    <w:rsid w:val="00466985"/>
    <w:rsid w:val="00466F47"/>
    <w:rsid w:val="00466FDF"/>
    <w:rsid w:val="00467016"/>
    <w:rsid w:val="0046751C"/>
    <w:rsid w:val="0046755B"/>
    <w:rsid w:val="004675A0"/>
    <w:rsid w:val="00467AA4"/>
    <w:rsid w:val="00467C4F"/>
    <w:rsid w:val="00467CB4"/>
    <w:rsid w:val="00467D47"/>
    <w:rsid w:val="004700D1"/>
    <w:rsid w:val="004706ED"/>
    <w:rsid w:val="004708CC"/>
    <w:rsid w:val="00470C47"/>
    <w:rsid w:val="00470C8A"/>
    <w:rsid w:val="00471036"/>
    <w:rsid w:val="004713DD"/>
    <w:rsid w:val="004713FE"/>
    <w:rsid w:val="00471606"/>
    <w:rsid w:val="004717BF"/>
    <w:rsid w:val="0047185B"/>
    <w:rsid w:val="004718F3"/>
    <w:rsid w:val="00472124"/>
    <w:rsid w:val="004721FD"/>
    <w:rsid w:val="00472213"/>
    <w:rsid w:val="004723DF"/>
    <w:rsid w:val="00472660"/>
    <w:rsid w:val="004728AA"/>
    <w:rsid w:val="00472C70"/>
    <w:rsid w:val="00472CE2"/>
    <w:rsid w:val="00472F4C"/>
    <w:rsid w:val="00472F73"/>
    <w:rsid w:val="00472FB6"/>
    <w:rsid w:val="004730B1"/>
    <w:rsid w:val="0047346D"/>
    <w:rsid w:val="00473690"/>
    <w:rsid w:val="00473734"/>
    <w:rsid w:val="004737E6"/>
    <w:rsid w:val="0047396A"/>
    <w:rsid w:val="00473B25"/>
    <w:rsid w:val="00473B96"/>
    <w:rsid w:val="004742BB"/>
    <w:rsid w:val="00474396"/>
    <w:rsid w:val="004743FC"/>
    <w:rsid w:val="00474470"/>
    <w:rsid w:val="004744B1"/>
    <w:rsid w:val="004746D1"/>
    <w:rsid w:val="00474856"/>
    <w:rsid w:val="00474907"/>
    <w:rsid w:val="00474C39"/>
    <w:rsid w:val="00474DD6"/>
    <w:rsid w:val="00474E27"/>
    <w:rsid w:val="00474F67"/>
    <w:rsid w:val="004753DE"/>
    <w:rsid w:val="00475697"/>
    <w:rsid w:val="004759CE"/>
    <w:rsid w:val="0047644F"/>
    <w:rsid w:val="004764C6"/>
    <w:rsid w:val="00476BA4"/>
    <w:rsid w:val="00476BEA"/>
    <w:rsid w:val="00476D5C"/>
    <w:rsid w:val="00476FC3"/>
    <w:rsid w:val="00477114"/>
    <w:rsid w:val="00477198"/>
    <w:rsid w:val="00477318"/>
    <w:rsid w:val="004775CC"/>
    <w:rsid w:val="00477A8A"/>
    <w:rsid w:val="00477AFA"/>
    <w:rsid w:val="00477C8E"/>
    <w:rsid w:val="0048021D"/>
    <w:rsid w:val="0048038A"/>
    <w:rsid w:val="0048059B"/>
    <w:rsid w:val="00480792"/>
    <w:rsid w:val="00480DC3"/>
    <w:rsid w:val="00480E3D"/>
    <w:rsid w:val="00480FD3"/>
    <w:rsid w:val="00481895"/>
    <w:rsid w:val="00481949"/>
    <w:rsid w:val="00481AE2"/>
    <w:rsid w:val="00481EC7"/>
    <w:rsid w:val="00482049"/>
    <w:rsid w:val="004820FB"/>
    <w:rsid w:val="00482174"/>
    <w:rsid w:val="004821B5"/>
    <w:rsid w:val="00482463"/>
    <w:rsid w:val="0048253F"/>
    <w:rsid w:val="00482754"/>
    <w:rsid w:val="0048277D"/>
    <w:rsid w:val="00482A40"/>
    <w:rsid w:val="00482BA9"/>
    <w:rsid w:val="00482C3C"/>
    <w:rsid w:val="00482CB1"/>
    <w:rsid w:val="00482CDE"/>
    <w:rsid w:val="004837EE"/>
    <w:rsid w:val="00483A09"/>
    <w:rsid w:val="00483AFE"/>
    <w:rsid w:val="00483E5B"/>
    <w:rsid w:val="00483F68"/>
    <w:rsid w:val="00483F9D"/>
    <w:rsid w:val="00484109"/>
    <w:rsid w:val="0048412C"/>
    <w:rsid w:val="004846C2"/>
    <w:rsid w:val="004848E7"/>
    <w:rsid w:val="00484D10"/>
    <w:rsid w:val="00484EF2"/>
    <w:rsid w:val="00484FBA"/>
    <w:rsid w:val="00485284"/>
    <w:rsid w:val="004853CC"/>
    <w:rsid w:val="00485617"/>
    <w:rsid w:val="004856C9"/>
    <w:rsid w:val="004857F2"/>
    <w:rsid w:val="00485870"/>
    <w:rsid w:val="00485923"/>
    <w:rsid w:val="00485935"/>
    <w:rsid w:val="00485D15"/>
    <w:rsid w:val="004860E0"/>
    <w:rsid w:val="004862BD"/>
    <w:rsid w:val="0048667B"/>
    <w:rsid w:val="00486A48"/>
    <w:rsid w:val="00486CB0"/>
    <w:rsid w:val="00486EB0"/>
    <w:rsid w:val="00486F29"/>
    <w:rsid w:val="004875FE"/>
    <w:rsid w:val="00487A6B"/>
    <w:rsid w:val="00487B38"/>
    <w:rsid w:val="00487C05"/>
    <w:rsid w:val="004900AB"/>
    <w:rsid w:val="004901F8"/>
    <w:rsid w:val="00490517"/>
    <w:rsid w:val="0049056B"/>
    <w:rsid w:val="0049061F"/>
    <w:rsid w:val="0049081B"/>
    <w:rsid w:val="0049105F"/>
    <w:rsid w:val="0049137B"/>
    <w:rsid w:val="004918AA"/>
    <w:rsid w:val="00491965"/>
    <w:rsid w:val="00491989"/>
    <w:rsid w:val="00491BEB"/>
    <w:rsid w:val="00492004"/>
    <w:rsid w:val="00492167"/>
    <w:rsid w:val="004921A1"/>
    <w:rsid w:val="004922C8"/>
    <w:rsid w:val="00492611"/>
    <w:rsid w:val="0049273C"/>
    <w:rsid w:val="0049276C"/>
    <w:rsid w:val="00492785"/>
    <w:rsid w:val="004927AF"/>
    <w:rsid w:val="0049288B"/>
    <w:rsid w:val="00492931"/>
    <w:rsid w:val="0049298F"/>
    <w:rsid w:val="00492BA6"/>
    <w:rsid w:val="00492BD4"/>
    <w:rsid w:val="00492CFA"/>
    <w:rsid w:val="00492D0C"/>
    <w:rsid w:val="00492F17"/>
    <w:rsid w:val="00492FCC"/>
    <w:rsid w:val="0049301D"/>
    <w:rsid w:val="00493188"/>
    <w:rsid w:val="00493377"/>
    <w:rsid w:val="0049348C"/>
    <w:rsid w:val="0049352D"/>
    <w:rsid w:val="0049367B"/>
    <w:rsid w:val="00493760"/>
    <w:rsid w:val="004937C3"/>
    <w:rsid w:val="004938B9"/>
    <w:rsid w:val="00493AD0"/>
    <w:rsid w:val="00493B12"/>
    <w:rsid w:val="00493F3E"/>
    <w:rsid w:val="00494009"/>
    <w:rsid w:val="004940CF"/>
    <w:rsid w:val="0049416F"/>
    <w:rsid w:val="00494239"/>
    <w:rsid w:val="004943CA"/>
    <w:rsid w:val="004944DE"/>
    <w:rsid w:val="004946AB"/>
    <w:rsid w:val="004946ED"/>
    <w:rsid w:val="004948E5"/>
    <w:rsid w:val="0049499B"/>
    <w:rsid w:val="00494B2C"/>
    <w:rsid w:val="004950D9"/>
    <w:rsid w:val="004959AE"/>
    <w:rsid w:val="00495FC3"/>
    <w:rsid w:val="00496340"/>
    <w:rsid w:val="004964DF"/>
    <w:rsid w:val="004967AF"/>
    <w:rsid w:val="004969C5"/>
    <w:rsid w:val="00497351"/>
    <w:rsid w:val="0049755F"/>
    <w:rsid w:val="0049768B"/>
    <w:rsid w:val="004976F6"/>
    <w:rsid w:val="00497848"/>
    <w:rsid w:val="00497879"/>
    <w:rsid w:val="00497A06"/>
    <w:rsid w:val="00497A8B"/>
    <w:rsid w:val="00497C2F"/>
    <w:rsid w:val="00497D7A"/>
    <w:rsid w:val="00497EE0"/>
    <w:rsid w:val="004A008F"/>
    <w:rsid w:val="004A033B"/>
    <w:rsid w:val="004A0628"/>
    <w:rsid w:val="004A079A"/>
    <w:rsid w:val="004A0A05"/>
    <w:rsid w:val="004A0C34"/>
    <w:rsid w:val="004A0F2E"/>
    <w:rsid w:val="004A1218"/>
    <w:rsid w:val="004A13DF"/>
    <w:rsid w:val="004A1757"/>
    <w:rsid w:val="004A1B8F"/>
    <w:rsid w:val="004A1C48"/>
    <w:rsid w:val="004A1D3C"/>
    <w:rsid w:val="004A21D8"/>
    <w:rsid w:val="004A2354"/>
    <w:rsid w:val="004A245A"/>
    <w:rsid w:val="004A25D1"/>
    <w:rsid w:val="004A2660"/>
    <w:rsid w:val="004A287A"/>
    <w:rsid w:val="004A2977"/>
    <w:rsid w:val="004A2A1F"/>
    <w:rsid w:val="004A2CE9"/>
    <w:rsid w:val="004A2E57"/>
    <w:rsid w:val="004A311A"/>
    <w:rsid w:val="004A31DF"/>
    <w:rsid w:val="004A31F1"/>
    <w:rsid w:val="004A3381"/>
    <w:rsid w:val="004A3823"/>
    <w:rsid w:val="004A382C"/>
    <w:rsid w:val="004A38B4"/>
    <w:rsid w:val="004A38F2"/>
    <w:rsid w:val="004A3B98"/>
    <w:rsid w:val="004A3CA9"/>
    <w:rsid w:val="004A3CB9"/>
    <w:rsid w:val="004A3DF5"/>
    <w:rsid w:val="004A40C0"/>
    <w:rsid w:val="004A4255"/>
    <w:rsid w:val="004A426A"/>
    <w:rsid w:val="004A43DE"/>
    <w:rsid w:val="004A449D"/>
    <w:rsid w:val="004A4506"/>
    <w:rsid w:val="004A4527"/>
    <w:rsid w:val="004A4962"/>
    <w:rsid w:val="004A498C"/>
    <w:rsid w:val="004A4E61"/>
    <w:rsid w:val="004A4F21"/>
    <w:rsid w:val="004A4F83"/>
    <w:rsid w:val="004A5054"/>
    <w:rsid w:val="004A52CE"/>
    <w:rsid w:val="004A52FE"/>
    <w:rsid w:val="004A5343"/>
    <w:rsid w:val="004A5564"/>
    <w:rsid w:val="004A5938"/>
    <w:rsid w:val="004A5BF9"/>
    <w:rsid w:val="004A5D75"/>
    <w:rsid w:val="004A5E43"/>
    <w:rsid w:val="004A60C1"/>
    <w:rsid w:val="004A61C3"/>
    <w:rsid w:val="004A62A8"/>
    <w:rsid w:val="004A68E4"/>
    <w:rsid w:val="004A6BCC"/>
    <w:rsid w:val="004A6CDD"/>
    <w:rsid w:val="004A7007"/>
    <w:rsid w:val="004A70BA"/>
    <w:rsid w:val="004A721C"/>
    <w:rsid w:val="004A74C9"/>
    <w:rsid w:val="004A7526"/>
    <w:rsid w:val="004A7665"/>
    <w:rsid w:val="004A7981"/>
    <w:rsid w:val="004A798D"/>
    <w:rsid w:val="004A7FD4"/>
    <w:rsid w:val="004B003F"/>
    <w:rsid w:val="004B017C"/>
    <w:rsid w:val="004B01F3"/>
    <w:rsid w:val="004B03E4"/>
    <w:rsid w:val="004B0C9D"/>
    <w:rsid w:val="004B0E73"/>
    <w:rsid w:val="004B1016"/>
    <w:rsid w:val="004B15CC"/>
    <w:rsid w:val="004B1696"/>
    <w:rsid w:val="004B16F4"/>
    <w:rsid w:val="004B16F7"/>
    <w:rsid w:val="004B1881"/>
    <w:rsid w:val="004B18D1"/>
    <w:rsid w:val="004B18F6"/>
    <w:rsid w:val="004B1B5A"/>
    <w:rsid w:val="004B1D71"/>
    <w:rsid w:val="004B1F65"/>
    <w:rsid w:val="004B23DB"/>
    <w:rsid w:val="004B23FB"/>
    <w:rsid w:val="004B2694"/>
    <w:rsid w:val="004B27CC"/>
    <w:rsid w:val="004B28C9"/>
    <w:rsid w:val="004B2C0A"/>
    <w:rsid w:val="004B2D61"/>
    <w:rsid w:val="004B3145"/>
    <w:rsid w:val="004B319B"/>
    <w:rsid w:val="004B3234"/>
    <w:rsid w:val="004B35A5"/>
    <w:rsid w:val="004B3831"/>
    <w:rsid w:val="004B3979"/>
    <w:rsid w:val="004B3F41"/>
    <w:rsid w:val="004B406C"/>
    <w:rsid w:val="004B439F"/>
    <w:rsid w:val="004B4543"/>
    <w:rsid w:val="004B47E7"/>
    <w:rsid w:val="004B4A88"/>
    <w:rsid w:val="004B4A89"/>
    <w:rsid w:val="004B4E8D"/>
    <w:rsid w:val="004B4F34"/>
    <w:rsid w:val="004B51C6"/>
    <w:rsid w:val="004B528E"/>
    <w:rsid w:val="004B554A"/>
    <w:rsid w:val="004B555D"/>
    <w:rsid w:val="004B5802"/>
    <w:rsid w:val="004B5D6E"/>
    <w:rsid w:val="004B5E87"/>
    <w:rsid w:val="004B5F0D"/>
    <w:rsid w:val="004B5F0F"/>
    <w:rsid w:val="004B604C"/>
    <w:rsid w:val="004B60CF"/>
    <w:rsid w:val="004B64D6"/>
    <w:rsid w:val="004B64FF"/>
    <w:rsid w:val="004B65AF"/>
    <w:rsid w:val="004B65FF"/>
    <w:rsid w:val="004B6703"/>
    <w:rsid w:val="004B6B1D"/>
    <w:rsid w:val="004B6BCD"/>
    <w:rsid w:val="004B6D10"/>
    <w:rsid w:val="004B6E63"/>
    <w:rsid w:val="004B6F2E"/>
    <w:rsid w:val="004B7404"/>
    <w:rsid w:val="004B75DD"/>
    <w:rsid w:val="004B7712"/>
    <w:rsid w:val="004B79E5"/>
    <w:rsid w:val="004B7AA0"/>
    <w:rsid w:val="004B7BB1"/>
    <w:rsid w:val="004C0039"/>
    <w:rsid w:val="004C02B6"/>
    <w:rsid w:val="004C037A"/>
    <w:rsid w:val="004C080E"/>
    <w:rsid w:val="004C0970"/>
    <w:rsid w:val="004C0BD9"/>
    <w:rsid w:val="004C0C26"/>
    <w:rsid w:val="004C0D05"/>
    <w:rsid w:val="004C0DA4"/>
    <w:rsid w:val="004C1214"/>
    <w:rsid w:val="004C161E"/>
    <w:rsid w:val="004C1CC3"/>
    <w:rsid w:val="004C1FB5"/>
    <w:rsid w:val="004C201A"/>
    <w:rsid w:val="004C21CC"/>
    <w:rsid w:val="004C2680"/>
    <w:rsid w:val="004C2767"/>
    <w:rsid w:val="004C2943"/>
    <w:rsid w:val="004C2EFE"/>
    <w:rsid w:val="004C3195"/>
    <w:rsid w:val="004C3364"/>
    <w:rsid w:val="004C3670"/>
    <w:rsid w:val="004C367F"/>
    <w:rsid w:val="004C37D6"/>
    <w:rsid w:val="004C3CF2"/>
    <w:rsid w:val="004C3D78"/>
    <w:rsid w:val="004C3E58"/>
    <w:rsid w:val="004C42A9"/>
    <w:rsid w:val="004C42E3"/>
    <w:rsid w:val="004C448B"/>
    <w:rsid w:val="004C496E"/>
    <w:rsid w:val="004C49E5"/>
    <w:rsid w:val="004C4E13"/>
    <w:rsid w:val="004C4E5A"/>
    <w:rsid w:val="004C505E"/>
    <w:rsid w:val="004C54B6"/>
    <w:rsid w:val="004C56A5"/>
    <w:rsid w:val="004C5972"/>
    <w:rsid w:val="004C605F"/>
    <w:rsid w:val="004C6260"/>
    <w:rsid w:val="004C6539"/>
    <w:rsid w:val="004C653F"/>
    <w:rsid w:val="004C6CC3"/>
    <w:rsid w:val="004C6E51"/>
    <w:rsid w:val="004C70D2"/>
    <w:rsid w:val="004C74E4"/>
    <w:rsid w:val="004C7632"/>
    <w:rsid w:val="004C76DA"/>
    <w:rsid w:val="004C7CA7"/>
    <w:rsid w:val="004C7DCA"/>
    <w:rsid w:val="004C7E67"/>
    <w:rsid w:val="004D042C"/>
    <w:rsid w:val="004D0503"/>
    <w:rsid w:val="004D0832"/>
    <w:rsid w:val="004D0840"/>
    <w:rsid w:val="004D09A8"/>
    <w:rsid w:val="004D0A5C"/>
    <w:rsid w:val="004D0BBC"/>
    <w:rsid w:val="004D0EBD"/>
    <w:rsid w:val="004D10EC"/>
    <w:rsid w:val="004D1421"/>
    <w:rsid w:val="004D16B7"/>
    <w:rsid w:val="004D1AF9"/>
    <w:rsid w:val="004D1DED"/>
    <w:rsid w:val="004D1E5C"/>
    <w:rsid w:val="004D2356"/>
    <w:rsid w:val="004D245F"/>
    <w:rsid w:val="004D285C"/>
    <w:rsid w:val="004D29D1"/>
    <w:rsid w:val="004D2C5B"/>
    <w:rsid w:val="004D2D69"/>
    <w:rsid w:val="004D2EEB"/>
    <w:rsid w:val="004D2F09"/>
    <w:rsid w:val="004D2FC4"/>
    <w:rsid w:val="004D3324"/>
    <w:rsid w:val="004D34BB"/>
    <w:rsid w:val="004D362A"/>
    <w:rsid w:val="004D37ED"/>
    <w:rsid w:val="004D3813"/>
    <w:rsid w:val="004D38E2"/>
    <w:rsid w:val="004D3A2E"/>
    <w:rsid w:val="004D3DD8"/>
    <w:rsid w:val="004D3E3A"/>
    <w:rsid w:val="004D3ECE"/>
    <w:rsid w:val="004D4138"/>
    <w:rsid w:val="004D43BA"/>
    <w:rsid w:val="004D442E"/>
    <w:rsid w:val="004D4659"/>
    <w:rsid w:val="004D4AD3"/>
    <w:rsid w:val="004D4C55"/>
    <w:rsid w:val="004D4F27"/>
    <w:rsid w:val="004D4FB0"/>
    <w:rsid w:val="004D50AA"/>
    <w:rsid w:val="004D5288"/>
    <w:rsid w:val="004D5342"/>
    <w:rsid w:val="004D5895"/>
    <w:rsid w:val="004D599F"/>
    <w:rsid w:val="004D5E88"/>
    <w:rsid w:val="004D5EBB"/>
    <w:rsid w:val="004D6014"/>
    <w:rsid w:val="004D6039"/>
    <w:rsid w:val="004D6189"/>
    <w:rsid w:val="004D65D3"/>
    <w:rsid w:val="004D6606"/>
    <w:rsid w:val="004D6979"/>
    <w:rsid w:val="004D6A5C"/>
    <w:rsid w:val="004D6CD3"/>
    <w:rsid w:val="004D6D6E"/>
    <w:rsid w:val="004D6E7C"/>
    <w:rsid w:val="004D6EA0"/>
    <w:rsid w:val="004D7361"/>
    <w:rsid w:val="004D756D"/>
    <w:rsid w:val="004D757C"/>
    <w:rsid w:val="004D766A"/>
    <w:rsid w:val="004D76F4"/>
    <w:rsid w:val="004D77A1"/>
    <w:rsid w:val="004D79BE"/>
    <w:rsid w:val="004D7E25"/>
    <w:rsid w:val="004D7F33"/>
    <w:rsid w:val="004D7FC1"/>
    <w:rsid w:val="004E0125"/>
    <w:rsid w:val="004E0323"/>
    <w:rsid w:val="004E0677"/>
    <w:rsid w:val="004E085E"/>
    <w:rsid w:val="004E0917"/>
    <w:rsid w:val="004E0B3D"/>
    <w:rsid w:val="004E11C4"/>
    <w:rsid w:val="004E12E5"/>
    <w:rsid w:val="004E13EC"/>
    <w:rsid w:val="004E1420"/>
    <w:rsid w:val="004E1878"/>
    <w:rsid w:val="004E1D05"/>
    <w:rsid w:val="004E1D7C"/>
    <w:rsid w:val="004E1FED"/>
    <w:rsid w:val="004E2319"/>
    <w:rsid w:val="004E2356"/>
    <w:rsid w:val="004E2535"/>
    <w:rsid w:val="004E277A"/>
    <w:rsid w:val="004E27EA"/>
    <w:rsid w:val="004E2902"/>
    <w:rsid w:val="004E2BDD"/>
    <w:rsid w:val="004E2BE0"/>
    <w:rsid w:val="004E2C89"/>
    <w:rsid w:val="004E2F1D"/>
    <w:rsid w:val="004E3140"/>
    <w:rsid w:val="004E32DB"/>
    <w:rsid w:val="004E33E5"/>
    <w:rsid w:val="004E3495"/>
    <w:rsid w:val="004E3589"/>
    <w:rsid w:val="004E379F"/>
    <w:rsid w:val="004E3F6E"/>
    <w:rsid w:val="004E41CD"/>
    <w:rsid w:val="004E41FE"/>
    <w:rsid w:val="004E4312"/>
    <w:rsid w:val="004E4412"/>
    <w:rsid w:val="004E459A"/>
    <w:rsid w:val="004E4722"/>
    <w:rsid w:val="004E4A7D"/>
    <w:rsid w:val="004E4DF7"/>
    <w:rsid w:val="004E50E7"/>
    <w:rsid w:val="004E51D3"/>
    <w:rsid w:val="004E5764"/>
    <w:rsid w:val="004E5795"/>
    <w:rsid w:val="004E5946"/>
    <w:rsid w:val="004E5A92"/>
    <w:rsid w:val="004E67F0"/>
    <w:rsid w:val="004E6A31"/>
    <w:rsid w:val="004E6B7A"/>
    <w:rsid w:val="004E6C87"/>
    <w:rsid w:val="004E6E1D"/>
    <w:rsid w:val="004E6E68"/>
    <w:rsid w:val="004E6FC6"/>
    <w:rsid w:val="004E740B"/>
    <w:rsid w:val="004E7563"/>
    <w:rsid w:val="004E761B"/>
    <w:rsid w:val="004E779C"/>
    <w:rsid w:val="004E7852"/>
    <w:rsid w:val="004E7997"/>
    <w:rsid w:val="004E7A40"/>
    <w:rsid w:val="004E7B5E"/>
    <w:rsid w:val="004E7D2D"/>
    <w:rsid w:val="004E7F6D"/>
    <w:rsid w:val="004F023F"/>
    <w:rsid w:val="004F0741"/>
    <w:rsid w:val="004F081F"/>
    <w:rsid w:val="004F0904"/>
    <w:rsid w:val="004F093E"/>
    <w:rsid w:val="004F0C21"/>
    <w:rsid w:val="004F0E84"/>
    <w:rsid w:val="004F0ED1"/>
    <w:rsid w:val="004F0F43"/>
    <w:rsid w:val="004F109F"/>
    <w:rsid w:val="004F156A"/>
    <w:rsid w:val="004F1A60"/>
    <w:rsid w:val="004F1AFD"/>
    <w:rsid w:val="004F1B4D"/>
    <w:rsid w:val="004F1E6D"/>
    <w:rsid w:val="004F1EA9"/>
    <w:rsid w:val="004F2010"/>
    <w:rsid w:val="004F21B9"/>
    <w:rsid w:val="004F2463"/>
    <w:rsid w:val="004F25BB"/>
    <w:rsid w:val="004F28C5"/>
    <w:rsid w:val="004F2AAE"/>
    <w:rsid w:val="004F2B16"/>
    <w:rsid w:val="004F2C17"/>
    <w:rsid w:val="004F2DD9"/>
    <w:rsid w:val="004F2FD8"/>
    <w:rsid w:val="004F3859"/>
    <w:rsid w:val="004F40C4"/>
    <w:rsid w:val="004F410E"/>
    <w:rsid w:val="004F41FF"/>
    <w:rsid w:val="004F441C"/>
    <w:rsid w:val="004F44C5"/>
    <w:rsid w:val="004F4514"/>
    <w:rsid w:val="004F45BB"/>
    <w:rsid w:val="004F4658"/>
    <w:rsid w:val="004F4832"/>
    <w:rsid w:val="004F48D3"/>
    <w:rsid w:val="004F4927"/>
    <w:rsid w:val="004F4EA2"/>
    <w:rsid w:val="004F4F19"/>
    <w:rsid w:val="004F4FC6"/>
    <w:rsid w:val="004F508D"/>
    <w:rsid w:val="004F50CE"/>
    <w:rsid w:val="004F5552"/>
    <w:rsid w:val="004F5637"/>
    <w:rsid w:val="004F568E"/>
    <w:rsid w:val="004F5A66"/>
    <w:rsid w:val="004F5B47"/>
    <w:rsid w:val="004F5B5E"/>
    <w:rsid w:val="004F5F48"/>
    <w:rsid w:val="004F5F9A"/>
    <w:rsid w:val="004F6129"/>
    <w:rsid w:val="004F61E6"/>
    <w:rsid w:val="004F620D"/>
    <w:rsid w:val="004F626E"/>
    <w:rsid w:val="004F658D"/>
    <w:rsid w:val="004F660B"/>
    <w:rsid w:val="004F696B"/>
    <w:rsid w:val="004F6BB1"/>
    <w:rsid w:val="004F6D24"/>
    <w:rsid w:val="004F6E16"/>
    <w:rsid w:val="004F70D1"/>
    <w:rsid w:val="004F7232"/>
    <w:rsid w:val="004F77FC"/>
    <w:rsid w:val="004F79B0"/>
    <w:rsid w:val="004F79E7"/>
    <w:rsid w:val="004F7BD4"/>
    <w:rsid w:val="004F7C62"/>
    <w:rsid w:val="004F7E51"/>
    <w:rsid w:val="004F7E81"/>
    <w:rsid w:val="004F7F4D"/>
    <w:rsid w:val="00500157"/>
    <w:rsid w:val="005001E2"/>
    <w:rsid w:val="005001F3"/>
    <w:rsid w:val="005004B9"/>
    <w:rsid w:val="00500511"/>
    <w:rsid w:val="00500574"/>
    <w:rsid w:val="005006A9"/>
    <w:rsid w:val="00500A12"/>
    <w:rsid w:val="0050111E"/>
    <w:rsid w:val="00501172"/>
    <w:rsid w:val="00501444"/>
    <w:rsid w:val="0050144A"/>
    <w:rsid w:val="005015AF"/>
    <w:rsid w:val="00501711"/>
    <w:rsid w:val="005018C4"/>
    <w:rsid w:val="005019D0"/>
    <w:rsid w:val="00501A9A"/>
    <w:rsid w:val="00501C68"/>
    <w:rsid w:val="00501CA7"/>
    <w:rsid w:val="00501E4B"/>
    <w:rsid w:val="00501E69"/>
    <w:rsid w:val="00502175"/>
    <w:rsid w:val="0050242F"/>
    <w:rsid w:val="00502646"/>
    <w:rsid w:val="005033AD"/>
    <w:rsid w:val="00503A71"/>
    <w:rsid w:val="00503C28"/>
    <w:rsid w:val="00503CE2"/>
    <w:rsid w:val="00503D86"/>
    <w:rsid w:val="00503E6A"/>
    <w:rsid w:val="00504A83"/>
    <w:rsid w:val="00505423"/>
    <w:rsid w:val="0050554E"/>
    <w:rsid w:val="005057A2"/>
    <w:rsid w:val="00505B62"/>
    <w:rsid w:val="00505E3C"/>
    <w:rsid w:val="00505F83"/>
    <w:rsid w:val="005061B4"/>
    <w:rsid w:val="00506219"/>
    <w:rsid w:val="00506416"/>
    <w:rsid w:val="0050645A"/>
    <w:rsid w:val="00506620"/>
    <w:rsid w:val="005069A7"/>
    <w:rsid w:val="00506DBA"/>
    <w:rsid w:val="00507307"/>
    <w:rsid w:val="0050734C"/>
    <w:rsid w:val="00507588"/>
    <w:rsid w:val="0050791A"/>
    <w:rsid w:val="00507A42"/>
    <w:rsid w:val="00507C61"/>
    <w:rsid w:val="00507E17"/>
    <w:rsid w:val="0051050A"/>
    <w:rsid w:val="005105F4"/>
    <w:rsid w:val="00510A31"/>
    <w:rsid w:val="00510B1C"/>
    <w:rsid w:val="00510C3D"/>
    <w:rsid w:val="00510C83"/>
    <w:rsid w:val="00510CE6"/>
    <w:rsid w:val="00510D09"/>
    <w:rsid w:val="00510F56"/>
    <w:rsid w:val="0051107C"/>
    <w:rsid w:val="0051129E"/>
    <w:rsid w:val="00511300"/>
    <w:rsid w:val="0051130D"/>
    <w:rsid w:val="0051136D"/>
    <w:rsid w:val="00511506"/>
    <w:rsid w:val="005116F4"/>
    <w:rsid w:val="00511AB2"/>
    <w:rsid w:val="00511AC5"/>
    <w:rsid w:val="00511BFA"/>
    <w:rsid w:val="00511CEF"/>
    <w:rsid w:val="00511E15"/>
    <w:rsid w:val="00512282"/>
    <w:rsid w:val="005122D5"/>
    <w:rsid w:val="005124C7"/>
    <w:rsid w:val="00512A00"/>
    <w:rsid w:val="00512B1C"/>
    <w:rsid w:val="00512B7B"/>
    <w:rsid w:val="00513120"/>
    <w:rsid w:val="00513197"/>
    <w:rsid w:val="00513392"/>
    <w:rsid w:val="00513B16"/>
    <w:rsid w:val="00513D6A"/>
    <w:rsid w:val="005141A0"/>
    <w:rsid w:val="00514793"/>
    <w:rsid w:val="005147CC"/>
    <w:rsid w:val="005147E9"/>
    <w:rsid w:val="005148AE"/>
    <w:rsid w:val="00514A8A"/>
    <w:rsid w:val="00514CDD"/>
    <w:rsid w:val="00515211"/>
    <w:rsid w:val="0051567E"/>
    <w:rsid w:val="00515ABD"/>
    <w:rsid w:val="00515B0D"/>
    <w:rsid w:val="00515C9F"/>
    <w:rsid w:val="00515FAD"/>
    <w:rsid w:val="005164E7"/>
    <w:rsid w:val="00516722"/>
    <w:rsid w:val="005167A4"/>
    <w:rsid w:val="0051682E"/>
    <w:rsid w:val="005168B9"/>
    <w:rsid w:val="005168EE"/>
    <w:rsid w:val="005169DC"/>
    <w:rsid w:val="00516A12"/>
    <w:rsid w:val="00516ABE"/>
    <w:rsid w:val="005174A6"/>
    <w:rsid w:val="0051784D"/>
    <w:rsid w:val="00517AD9"/>
    <w:rsid w:val="00517B0F"/>
    <w:rsid w:val="005200BD"/>
    <w:rsid w:val="0052025E"/>
    <w:rsid w:val="005205D9"/>
    <w:rsid w:val="00520BD7"/>
    <w:rsid w:val="00520EB9"/>
    <w:rsid w:val="005210A3"/>
    <w:rsid w:val="005210AF"/>
    <w:rsid w:val="005217F3"/>
    <w:rsid w:val="00521CE0"/>
    <w:rsid w:val="00521F8B"/>
    <w:rsid w:val="00521FDE"/>
    <w:rsid w:val="005222CA"/>
    <w:rsid w:val="00522352"/>
    <w:rsid w:val="005224C0"/>
    <w:rsid w:val="005224F9"/>
    <w:rsid w:val="00522830"/>
    <w:rsid w:val="00522959"/>
    <w:rsid w:val="00522DE6"/>
    <w:rsid w:val="00522EDD"/>
    <w:rsid w:val="00523062"/>
    <w:rsid w:val="00523176"/>
    <w:rsid w:val="00523443"/>
    <w:rsid w:val="00523B39"/>
    <w:rsid w:val="00523BDD"/>
    <w:rsid w:val="00523C69"/>
    <w:rsid w:val="00523C86"/>
    <w:rsid w:val="00523EE5"/>
    <w:rsid w:val="0052442B"/>
    <w:rsid w:val="0052456E"/>
    <w:rsid w:val="005247E2"/>
    <w:rsid w:val="00524803"/>
    <w:rsid w:val="005248BB"/>
    <w:rsid w:val="00524A9F"/>
    <w:rsid w:val="00524B78"/>
    <w:rsid w:val="00524ED1"/>
    <w:rsid w:val="00524EDC"/>
    <w:rsid w:val="005251C2"/>
    <w:rsid w:val="00525416"/>
    <w:rsid w:val="00525750"/>
    <w:rsid w:val="005258C3"/>
    <w:rsid w:val="00525D7E"/>
    <w:rsid w:val="00525DFB"/>
    <w:rsid w:val="00525F3C"/>
    <w:rsid w:val="00525F71"/>
    <w:rsid w:val="00525FF9"/>
    <w:rsid w:val="005260DF"/>
    <w:rsid w:val="00526259"/>
    <w:rsid w:val="00526527"/>
    <w:rsid w:val="00526603"/>
    <w:rsid w:val="00526724"/>
    <w:rsid w:val="005267D3"/>
    <w:rsid w:val="00526ABD"/>
    <w:rsid w:val="00526AE8"/>
    <w:rsid w:val="00526C50"/>
    <w:rsid w:val="00526F68"/>
    <w:rsid w:val="00526FBF"/>
    <w:rsid w:val="00527233"/>
    <w:rsid w:val="00527418"/>
    <w:rsid w:val="005274F0"/>
    <w:rsid w:val="0052778C"/>
    <w:rsid w:val="00527822"/>
    <w:rsid w:val="00527DD9"/>
    <w:rsid w:val="00527F85"/>
    <w:rsid w:val="00527FDB"/>
    <w:rsid w:val="00530407"/>
    <w:rsid w:val="00530456"/>
    <w:rsid w:val="0053072D"/>
    <w:rsid w:val="0053086D"/>
    <w:rsid w:val="0053099C"/>
    <w:rsid w:val="00530DD0"/>
    <w:rsid w:val="00530F05"/>
    <w:rsid w:val="005310F8"/>
    <w:rsid w:val="00531112"/>
    <w:rsid w:val="0053126B"/>
    <w:rsid w:val="0053144E"/>
    <w:rsid w:val="00531693"/>
    <w:rsid w:val="005319F7"/>
    <w:rsid w:val="00531D12"/>
    <w:rsid w:val="00532191"/>
    <w:rsid w:val="00532233"/>
    <w:rsid w:val="00532320"/>
    <w:rsid w:val="0053235C"/>
    <w:rsid w:val="0053281C"/>
    <w:rsid w:val="005329B3"/>
    <w:rsid w:val="005332C6"/>
    <w:rsid w:val="0053368C"/>
    <w:rsid w:val="005337D6"/>
    <w:rsid w:val="005338C0"/>
    <w:rsid w:val="00533B71"/>
    <w:rsid w:val="00533B8F"/>
    <w:rsid w:val="00533DBF"/>
    <w:rsid w:val="00534163"/>
    <w:rsid w:val="005347C2"/>
    <w:rsid w:val="0053482D"/>
    <w:rsid w:val="00535023"/>
    <w:rsid w:val="00535B45"/>
    <w:rsid w:val="00535D25"/>
    <w:rsid w:val="00536375"/>
    <w:rsid w:val="00536685"/>
    <w:rsid w:val="00536852"/>
    <w:rsid w:val="005369B8"/>
    <w:rsid w:val="00536B4D"/>
    <w:rsid w:val="00536F01"/>
    <w:rsid w:val="0053706F"/>
    <w:rsid w:val="00537109"/>
    <w:rsid w:val="0053710D"/>
    <w:rsid w:val="0053739C"/>
    <w:rsid w:val="005373AA"/>
    <w:rsid w:val="00537495"/>
    <w:rsid w:val="005376E8"/>
    <w:rsid w:val="00537777"/>
    <w:rsid w:val="0053791E"/>
    <w:rsid w:val="00537962"/>
    <w:rsid w:val="00537AA0"/>
    <w:rsid w:val="00537C41"/>
    <w:rsid w:val="005403B1"/>
    <w:rsid w:val="005404E9"/>
    <w:rsid w:val="005407A4"/>
    <w:rsid w:val="00540849"/>
    <w:rsid w:val="00540C56"/>
    <w:rsid w:val="00540C60"/>
    <w:rsid w:val="00540C8D"/>
    <w:rsid w:val="00540FFF"/>
    <w:rsid w:val="005414FD"/>
    <w:rsid w:val="00541735"/>
    <w:rsid w:val="00541C38"/>
    <w:rsid w:val="00541C92"/>
    <w:rsid w:val="00541DE9"/>
    <w:rsid w:val="00541E21"/>
    <w:rsid w:val="00542038"/>
    <w:rsid w:val="005420B8"/>
    <w:rsid w:val="005421D6"/>
    <w:rsid w:val="005423E3"/>
    <w:rsid w:val="00542463"/>
    <w:rsid w:val="005424B2"/>
    <w:rsid w:val="005425AE"/>
    <w:rsid w:val="00542790"/>
    <w:rsid w:val="00542940"/>
    <w:rsid w:val="00542A49"/>
    <w:rsid w:val="00542A74"/>
    <w:rsid w:val="00542B59"/>
    <w:rsid w:val="00542E81"/>
    <w:rsid w:val="00543227"/>
    <w:rsid w:val="00543312"/>
    <w:rsid w:val="005435BE"/>
    <w:rsid w:val="00543DD9"/>
    <w:rsid w:val="00543F59"/>
    <w:rsid w:val="00543FA9"/>
    <w:rsid w:val="0054431E"/>
    <w:rsid w:val="00544B1E"/>
    <w:rsid w:val="00544E09"/>
    <w:rsid w:val="00544F84"/>
    <w:rsid w:val="0054503F"/>
    <w:rsid w:val="00545636"/>
    <w:rsid w:val="00545F18"/>
    <w:rsid w:val="005460DB"/>
    <w:rsid w:val="00546106"/>
    <w:rsid w:val="005469E7"/>
    <w:rsid w:val="00546C31"/>
    <w:rsid w:val="00546CED"/>
    <w:rsid w:val="0054748D"/>
    <w:rsid w:val="00547E6F"/>
    <w:rsid w:val="00547F86"/>
    <w:rsid w:val="00550004"/>
    <w:rsid w:val="0055021B"/>
    <w:rsid w:val="005504E0"/>
    <w:rsid w:val="00550AC9"/>
    <w:rsid w:val="00550FE5"/>
    <w:rsid w:val="005512E6"/>
    <w:rsid w:val="00551330"/>
    <w:rsid w:val="00551358"/>
    <w:rsid w:val="005513D5"/>
    <w:rsid w:val="005514B4"/>
    <w:rsid w:val="0055150C"/>
    <w:rsid w:val="0055160A"/>
    <w:rsid w:val="00551813"/>
    <w:rsid w:val="0055189A"/>
    <w:rsid w:val="005518CE"/>
    <w:rsid w:val="00551966"/>
    <w:rsid w:val="00551A14"/>
    <w:rsid w:val="00551AB5"/>
    <w:rsid w:val="00551C55"/>
    <w:rsid w:val="00551DA8"/>
    <w:rsid w:val="00551DE3"/>
    <w:rsid w:val="00551FA3"/>
    <w:rsid w:val="0055255B"/>
    <w:rsid w:val="00552B1B"/>
    <w:rsid w:val="00552CE7"/>
    <w:rsid w:val="00552E94"/>
    <w:rsid w:val="0055303F"/>
    <w:rsid w:val="00553359"/>
    <w:rsid w:val="0055348B"/>
    <w:rsid w:val="005536E1"/>
    <w:rsid w:val="005539D8"/>
    <w:rsid w:val="00553A26"/>
    <w:rsid w:val="00553C04"/>
    <w:rsid w:val="00554062"/>
    <w:rsid w:val="00554207"/>
    <w:rsid w:val="00554451"/>
    <w:rsid w:val="0055457E"/>
    <w:rsid w:val="005546C1"/>
    <w:rsid w:val="005547B5"/>
    <w:rsid w:val="005547C1"/>
    <w:rsid w:val="0055499E"/>
    <w:rsid w:val="00554A35"/>
    <w:rsid w:val="00554D52"/>
    <w:rsid w:val="00554D70"/>
    <w:rsid w:val="00554DF1"/>
    <w:rsid w:val="00554F28"/>
    <w:rsid w:val="00554F4E"/>
    <w:rsid w:val="0055505D"/>
    <w:rsid w:val="0055546A"/>
    <w:rsid w:val="0055552D"/>
    <w:rsid w:val="00555796"/>
    <w:rsid w:val="00555911"/>
    <w:rsid w:val="00555A7C"/>
    <w:rsid w:val="00555AB1"/>
    <w:rsid w:val="00555BDC"/>
    <w:rsid w:val="0055615E"/>
    <w:rsid w:val="005561AD"/>
    <w:rsid w:val="0055706E"/>
    <w:rsid w:val="0055711B"/>
    <w:rsid w:val="00557291"/>
    <w:rsid w:val="00557783"/>
    <w:rsid w:val="00557A69"/>
    <w:rsid w:val="00557AFF"/>
    <w:rsid w:val="00557E80"/>
    <w:rsid w:val="0056037D"/>
    <w:rsid w:val="0056039E"/>
    <w:rsid w:val="005605E7"/>
    <w:rsid w:val="005606BA"/>
    <w:rsid w:val="0056121C"/>
    <w:rsid w:val="00561792"/>
    <w:rsid w:val="005617D6"/>
    <w:rsid w:val="005618E5"/>
    <w:rsid w:val="00561A5E"/>
    <w:rsid w:val="00561D13"/>
    <w:rsid w:val="0056232C"/>
    <w:rsid w:val="005623E9"/>
    <w:rsid w:val="00562748"/>
    <w:rsid w:val="00562844"/>
    <w:rsid w:val="00562B02"/>
    <w:rsid w:val="00562E11"/>
    <w:rsid w:val="0056307F"/>
    <w:rsid w:val="0056324D"/>
    <w:rsid w:val="005632A4"/>
    <w:rsid w:val="0056356D"/>
    <w:rsid w:val="0056364A"/>
    <w:rsid w:val="0056389D"/>
    <w:rsid w:val="00563AA9"/>
    <w:rsid w:val="00563D8F"/>
    <w:rsid w:val="00563E53"/>
    <w:rsid w:val="00564030"/>
    <w:rsid w:val="00564353"/>
    <w:rsid w:val="005644D3"/>
    <w:rsid w:val="00564678"/>
    <w:rsid w:val="00564828"/>
    <w:rsid w:val="00564D92"/>
    <w:rsid w:val="005650B4"/>
    <w:rsid w:val="00565133"/>
    <w:rsid w:val="00565E86"/>
    <w:rsid w:val="00566728"/>
    <w:rsid w:val="00566735"/>
    <w:rsid w:val="00566ACB"/>
    <w:rsid w:val="00566C23"/>
    <w:rsid w:val="00566CCD"/>
    <w:rsid w:val="0056728F"/>
    <w:rsid w:val="0056747C"/>
    <w:rsid w:val="0056756B"/>
    <w:rsid w:val="005675AD"/>
    <w:rsid w:val="005675D9"/>
    <w:rsid w:val="00567ACF"/>
    <w:rsid w:val="00567BBD"/>
    <w:rsid w:val="00567C27"/>
    <w:rsid w:val="00567E0C"/>
    <w:rsid w:val="00570105"/>
    <w:rsid w:val="005701B5"/>
    <w:rsid w:val="00570479"/>
    <w:rsid w:val="00570532"/>
    <w:rsid w:val="00570624"/>
    <w:rsid w:val="005708AC"/>
    <w:rsid w:val="00570945"/>
    <w:rsid w:val="00570A43"/>
    <w:rsid w:val="00570B1D"/>
    <w:rsid w:val="00570D3F"/>
    <w:rsid w:val="00570F0F"/>
    <w:rsid w:val="00570F49"/>
    <w:rsid w:val="00571086"/>
    <w:rsid w:val="00571163"/>
    <w:rsid w:val="005714BA"/>
    <w:rsid w:val="00571560"/>
    <w:rsid w:val="00571709"/>
    <w:rsid w:val="0057177E"/>
    <w:rsid w:val="00571930"/>
    <w:rsid w:val="00571B01"/>
    <w:rsid w:val="00571D81"/>
    <w:rsid w:val="00571F9C"/>
    <w:rsid w:val="00571FFE"/>
    <w:rsid w:val="00572243"/>
    <w:rsid w:val="00572339"/>
    <w:rsid w:val="005725B1"/>
    <w:rsid w:val="00572958"/>
    <w:rsid w:val="005729DE"/>
    <w:rsid w:val="00572BB2"/>
    <w:rsid w:val="00572D80"/>
    <w:rsid w:val="00573244"/>
    <w:rsid w:val="0057326C"/>
    <w:rsid w:val="00573627"/>
    <w:rsid w:val="00573747"/>
    <w:rsid w:val="00573827"/>
    <w:rsid w:val="00573889"/>
    <w:rsid w:val="00573938"/>
    <w:rsid w:val="005739BF"/>
    <w:rsid w:val="00573A34"/>
    <w:rsid w:val="00573BC2"/>
    <w:rsid w:val="00573DE5"/>
    <w:rsid w:val="00573E3C"/>
    <w:rsid w:val="00574016"/>
    <w:rsid w:val="00574404"/>
    <w:rsid w:val="00574408"/>
    <w:rsid w:val="00574565"/>
    <w:rsid w:val="00574AF6"/>
    <w:rsid w:val="00574B56"/>
    <w:rsid w:val="00574DFC"/>
    <w:rsid w:val="00574F92"/>
    <w:rsid w:val="005750A0"/>
    <w:rsid w:val="005750ED"/>
    <w:rsid w:val="00575593"/>
    <w:rsid w:val="0057584A"/>
    <w:rsid w:val="00575867"/>
    <w:rsid w:val="00575AE2"/>
    <w:rsid w:val="00575DAF"/>
    <w:rsid w:val="00575DFB"/>
    <w:rsid w:val="005761E7"/>
    <w:rsid w:val="0057637D"/>
    <w:rsid w:val="005764E9"/>
    <w:rsid w:val="005764FB"/>
    <w:rsid w:val="005766FF"/>
    <w:rsid w:val="00576758"/>
    <w:rsid w:val="005767D0"/>
    <w:rsid w:val="0057699F"/>
    <w:rsid w:val="00576BC9"/>
    <w:rsid w:val="00576F7F"/>
    <w:rsid w:val="005773C8"/>
    <w:rsid w:val="005773F1"/>
    <w:rsid w:val="005774AB"/>
    <w:rsid w:val="005776C4"/>
    <w:rsid w:val="005776ED"/>
    <w:rsid w:val="00577844"/>
    <w:rsid w:val="00577883"/>
    <w:rsid w:val="0057799A"/>
    <w:rsid w:val="00577ADB"/>
    <w:rsid w:val="00577B81"/>
    <w:rsid w:val="00577ECD"/>
    <w:rsid w:val="00577F1C"/>
    <w:rsid w:val="00577F65"/>
    <w:rsid w:val="00577FFA"/>
    <w:rsid w:val="00580109"/>
    <w:rsid w:val="0058011D"/>
    <w:rsid w:val="00580470"/>
    <w:rsid w:val="005805E3"/>
    <w:rsid w:val="005807B2"/>
    <w:rsid w:val="00580A9D"/>
    <w:rsid w:val="00580B10"/>
    <w:rsid w:val="00580DC1"/>
    <w:rsid w:val="00580E31"/>
    <w:rsid w:val="00580F31"/>
    <w:rsid w:val="00581405"/>
    <w:rsid w:val="00581475"/>
    <w:rsid w:val="00581502"/>
    <w:rsid w:val="005817A7"/>
    <w:rsid w:val="00581881"/>
    <w:rsid w:val="005818E1"/>
    <w:rsid w:val="00581986"/>
    <w:rsid w:val="00581B29"/>
    <w:rsid w:val="00581D96"/>
    <w:rsid w:val="00581ECE"/>
    <w:rsid w:val="00582120"/>
    <w:rsid w:val="005824A9"/>
    <w:rsid w:val="00582558"/>
    <w:rsid w:val="0058258F"/>
    <w:rsid w:val="005826E5"/>
    <w:rsid w:val="00582B27"/>
    <w:rsid w:val="00582CDB"/>
    <w:rsid w:val="00582DB6"/>
    <w:rsid w:val="00582EA1"/>
    <w:rsid w:val="00582ED6"/>
    <w:rsid w:val="005834D5"/>
    <w:rsid w:val="00583536"/>
    <w:rsid w:val="00583689"/>
    <w:rsid w:val="005838B3"/>
    <w:rsid w:val="00583BA9"/>
    <w:rsid w:val="00583CD9"/>
    <w:rsid w:val="00584397"/>
    <w:rsid w:val="00584795"/>
    <w:rsid w:val="00584853"/>
    <w:rsid w:val="005849C4"/>
    <w:rsid w:val="00584CEB"/>
    <w:rsid w:val="00584D84"/>
    <w:rsid w:val="0058503A"/>
    <w:rsid w:val="005850BC"/>
    <w:rsid w:val="00585239"/>
    <w:rsid w:val="005853AB"/>
    <w:rsid w:val="005853D6"/>
    <w:rsid w:val="00585695"/>
    <w:rsid w:val="00585858"/>
    <w:rsid w:val="00585BEB"/>
    <w:rsid w:val="00585EB9"/>
    <w:rsid w:val="00585F29"/>
    <w:rsid w:val="00585FA1"/>
    <w:rsid w:val="00585FE5"/>
    <w:rsid w:val="00586698"/>
    <w:rsid w:val="00586A45"/>
    <w:rsid w:val="00586AFD"/>
    <w:rsid w:val="00586C51"/>
    <w:rsid w:val="00586D92"/>
    <w:rsid w:val="0058733F"/>
    <w:rsid w:val="0058762F"/>
    <w:rsid w:val="00587670"/>
    <w:rsid w:val="00587740"/>
    <w:rsid w:val="00587A34"/>
    <w:rsid w:val="00587B1D"/>
    <w:rsid w:val="00587B41"/>
    <w:rsid w:val="00587B71"/>
    <w:rsid w:val="00587BC4"/>
    <w:rsid w:val="00587CD7"/>
    <w:rsid w:val="00587E2B"/>
    <w:rsid w:val="00587E4C"/>
    <w:rsid w:val="00590160"/>
    <w:rsid w:val="005901E6"/>
    <w:rsid w:val="00590233"/>
    <w:rsid w:val="005904F6"/>
    <w:rsid w:val="0059087E"/>
    <w:rsid w:val="00590964"/>
    <w:rsid w:val="00590B6B"/>
    <w:rsid w:val="00590CD3"/>
    <w:rsid w:val="00590FB0"/>
    <w:rsid w:val="0059122E"/>
    <w:rsid w:val="005917DC"/>
    <w:rsid w:val="00591EAB"/>
    <w:rsid w:val="00592150"/>
    <w:rsid w:val="0059232B"/>
    <w:rsid w:val="0059244E"/>
    <w:rsid w:val="0059256B"/>
    <w:rsid w:val="00592681"/>
    <w:rsid w:val="00592855"/>
    <w:rsid w:val="00592A16"/>
    <w:rsid w:val="00592A4D"/>
    <w:rsid w:val="00592C1B"/>
    <w:rsid w:val="00593245"/>
    <w:rsid w:val="005932DB"/>
    <w:rsid w:val="00593420"/>
    <w:rsid w:val="005934F0"/>
    <w:rsid w:val="005935AA"/>
    <w:rsid w:val="00593696"/>
    <w:rsid w:val="005936A6"/>
    <w:rsid w:val="00593709"/>
    <w:rsid w:val="0059379F"/>
    <w:rsid w:val="005938E0"/>
    <w:rsid w:val="00593928"/>
    <w:rsid w:val="00593D0A"/>
    <w:rsid w:val="00593EC2"/>
    <w:rsid w:val="00593FFB"/>
    <w:rsid w:val="005940E9"/>
    <w:rsid w:val="00594213"/>
    <w:rsid w:val="0059443C"/>
    <w:rsid w:val="00594605"/>
    <w:rsid w:val="005947E2"/>
    <w:rsid w:val="00595166"/>
    <w:rsid w:val="005951DA"/>
    <w:rsid w:val="005951DD"/>
    <w:rsid w:val="005955AD"/>
    <w:rsid w:val="005955B0"/>
    <w:rsid w:val="005955D2"/>
    <w:rsid w:val="0059560C"/>
    <w:rsid w:val="00595680"/>
    <w:rsid w:val="00595699"/>
    <w:rsid w:val="005956E0"/>
    <w:rsid w:val="00595AD3"/>
    <w:rsid w:val="00595D3C"/>
    <w:rsid w:val="00595F69"/>
    <w:rsid w:val="005960E3"/>
    <w:rsid w:val="005960E5"/>
    <w:rsid w:val="005962CE"/>
    <w:rsid w:val="00596300"/>
    <w:rsid w:val="00596749"/>
    <w:rsid w:val="005969A0"/>
    <w:rsid w:val="005969E6"/>
    <w:rsid w:val="00596AB9"/>
    <w:rsid w:val="005970F1"/>
    <w:rsid w:val="00597144"/>
    <w:rsid w:val="00597463"/>
    <w:rsid w:val="005979E9"/>
    <w:rsid w:val="00597A46"/>
    <w:rsid w:val="00597B72"/>
    <w:rsid w:val="00597C0D"/>
    <w:rsid w:val="00597E24"/>
    <w:rsid w:val="00597EEC"/>
    <w:rsid w:val="005A038D"/>
    <w:rsid w:val="005A0606"/>
    <w:rsid w:val="005A06D9"/>
    <w:rsid w:val="005A06F2"/>
    <w:rsid w:val="005A07F4"/>
    <w:rsid w:val="005A083B"/>
    <w:rsid w:val="005A0848"/>
    <w:rsid w:val="005A09ED"/>
    <w:rsid w:val="005A0A71"/>
    <w:rsid w:val="005A106E"/>
    <w:rsid w:val="005A10AD"/>
    <w:rsid w:val="005A1184"/>
    <w:rsid w:val="005A124B"/>
    <w:rsid w:val="005A14B5"/>
    <w:rsid w:val="005A1825"/>
    <w:rsid w:val="005A1CB0"/>
    <w:rsid w:val="005A21F8"/>
    <w:rsid w:val="005A23D1"/>
    <w:rsid w:val="005A2572"/>
    <w:rsid w:val="005A2813"/>
    <w:rsid w:val="005A288D"/>
    <w:rsid w:val="005A2902"/>
    <w:rsid w:val="005A2AEE"/>
    <w:rsid w:val="005A2CA1"/>
    <w:rsid w:val="005A2D03"/>
    <w:rsid w:val="005A2D9D"/>
    <w:rsid w:val="005A328F"/>
    <w:rsid w:val="005A33E7"/>
    <w:rsid w:val="005A34D1"/>
    <w:rsid w:val="005A3669"/>
    <w:rsid w:val="005A37AD"/>
    <w:rsid w:val="005A38D2"/>
    <w:rsid w:val="005A3975"/>
    <w:rsid w:val="005A3A5B"/>
    <w:rsid w:val="005A3B13"/>
    <w:rsid w:val="005A3E43"/>
    <w:rsid w:val="005A4032"/>
    <w:rsid w:val="005A403D"/>
    <w:rsid w:val="005A42EF"/>
    <w:rsid w:val="005A459E"/>
    <w:rsid w:val="005A468A"/>
    <w:rsid w:val="005A46BB"/>
    <w:rsid w:val="005A48DF"/>
    <w:rsid w:val="005A49A5"/>
    <w:rsid w:val="005A4AA3"/>
    <w:rsid w:val="005A4F09"/>
    <w:rsid w:val="005A53A4"/>
    <w:rsid w:val="005A54D6"/>
    <w:rsid w:val="005A573D"/>
    <w:rsid w:val="005A5E75"/>
    <w:rsid w:val="005A5EAC"/>
    <w:rsid w:val="005A5ED2"/>
    <w:rsid w:val="005A619E"/>
    <w:rsid w:val="005A653E"/>
    <w:rsid w:val="005A6696"/>
    <w:rsid w:val="005A66CF"/>
    <w:rsid w:val="005A690D"/>
    <w:rsid w:val="005A6E0B"/>
    <w:rsid w:val="005A6E98"/>
    <w:rsid w:val="005A7542"/>
    <w:rsid w:val="005A75AE"/>
    <w:rsid w:val="005A78F8"/>
    <w:rsid w:val="005A7A0D"/>
    <w:rsid w:val="005A7F2B"/>
    <w:rsid w:val="005B01C3"/>
    <w:rsid w:val="005B0838"/>
    <w:rsid w:val="005B0855"/>
    <w:rsid w:val="005B08A2"/>
    <w:rsid w:val="005B0A07"/>
    <w:rsid w:val="005B0A5D"/>
    <w:rsid w:val="005B0C04"/>
    <w:rsid w:val="005B0E10"/>
    <w:rsid w:val="005B0E2C"/>
    <w:rsid w:val="005B1017"/>
    <w:rsid w:val="005B1332"/>
    <w:rsid w:val="005B1510"/>
    <w:rsid w:val="005B174E"/>
    <w:rsid w:val="005B1B5D"/>
    <w:rsid w:val="005B1FF1"/>
    <w:rsid w:val="005B26B1"/>
    <w:rsid w:val="005B26E2"/>
    <w:rsid w:val="005B27B8"/>
    <w:rsid w:val="005B2857"/>
    <w:rsid w:val="005B29A3"/>
    <w:rsid w:val="005B2E1B"/>
    <w:rsid w:val="005B2E2D"/>
    <w:rsid w:val="005B2E5C"/>
    <w:rsid w:val="005B30AF"/>
    <w:rsid w:val="005B325C"/>
    <w:rsid w:val="005B336E"/>
    <w:rsid w:val="005B33DA"/>
    <w:rsid w:val="005B342E"/>
    <w:rsid w:val="005B3465"/>
    <w:rsid w:val="005B3502"/>
    <w:rsid w:val="005B367E"/>
    <w:rsid w:val="005B36B3"/>
    <w:rsid w:val="005B387D"/>
    <w:rsid w:val="005B38B1"/>
    <w:rsid w:val="005B3B05"/>
    <w:rsid w:val="005B3BC6"/>
    <w:rsid w:val="005B3C86"/>
    <w:rsid w:val="005B3C99"/>
    <w:rsid w:val="005B512B"/>
    <w:rsid w:val="005B517C"/>
    <w:rsid w:val="005B51B2"/>
    <w:rsid w:val="005B51F5"/>
    <w:rsid w:val="005B522B"/>
    <w:rsid w:val="005B543B"/>
    <w:rsid w:val="005B5460"/>
    <w:rsid w:val="005B5997"/>
    <w:rsid w:val="005B5E56"/>
    <w:rsid w:val="005B5F76"/>
    <w:rsid w:val="005B5FD1"/>
    <w:rsid w:val="005B62BC"/>
    <w:rsid w:val="005B637D"/>
    <w:rsid w:val="005B6622"/>
    <w:rsid w:val="005B66CC"/>
    <w:rsid w:val="005B6BD2"/>
    <w:rsid w:val="005B6DC7"/>
    <w:rsid w:val="005B6F19"/>
    <w:rsid w:val="005B70E3"/>
    <w:rsid w:val="005B7518"/>
    <w:rsid w:val="005B7746"/>
    <w:rsid w:val="005B7747"/>
    <w:rsid w:val="005B7A73"/>
    <w:rsid w:val="005B7BAF"/>
    <w:rsid w:val="005B7D41"/>
    <w:rsid w:val="005C01D9"/>
    <w:rsid w:val="005C0477"/>
    <w:rsid w:val="005C0926"/>
    <w:rsid w:val="005C0B1A"/>
    <w:rsid w:val="005C0D72"/>
    <w:rsid w:val="005C0EFA"/>
    <w:rsid w:val="005C0F55"/>
    <w:rsid w:val="005C0FEB"/>
    <w:rsid w:val="005C135E"/>
    <w:rsid w:val="005C1454"/>
    <w:rsid w:val="005C1CF0"/>
    <w:rsid w:val="005C1E46"/>
    <w:rsid w:val="005C1EEB"/>
    <w:rsid w:val="005C1FB1"/>
    <w:rsid w:val="005C1FD1"/>
    <w:rsid w:val="005C1FDF"/>
    <w:rsid w:val="005C2057"/>
    <w:rsid w:val="005C230B"/>
    <w:rsid w:val="005C24C2"/>
    <w:rsid w:val="005C26F3"/>
    <w:rsid w:val="005C287A"/>
    <w:rsid w:val="005C29E7"/>
    <w:rsid w:val="005C2A44"/>
    <w:rsid w:val="005C2C2C"/>
    <w:rsid w:val="005C2DA5"/>
    <w:rsid w:val="005C385C"/>
    <w:rsid w:val="005C3E59"/>
    <w:rsid w:val="005C3F17"/>
    <w:rsid w:val="005C40D7"/>
    <w:rsid w:val="005C41A3"/>
    <w:rsid w:val="005C422D"/>
    <w:rsid w:val="005C4559"/>
    <w:rsid w:val="005C4605"/>
    <w:rsid w:val="005C46FA"/>
    <w:rsid w:val="005C4E98"/>
    <w:rsid w:val="005C4F60"/>
    <w:rsid w:val="005C4FC1"/>
    <w:rsid w:val="005C5094"/>
    <w:rsid w:val="005C509C"/>
    <w:rsid w:val="005C50F9"/>
    <w:rsid w:val="005C51C9"/>
    <w:rsid w:val="005C54E2"/>
    <w:rsid w:val="005C56E3"/>
    <w:rsid w:val="005C5A2A"/>
    <w:rsid w:val="005C5A31"/>
    <w:rsid w:val="005C5A55"/>
    <w:rsid w:val="005C5ABB"/>
    <w:rsid w:val="005C5D23"/>
    <w:rsid w:val="005C6098"/>
    <w:rsid w:val="005C61B0"/>
    <w:rsid w:val="005C62FD"/>
    <w:rsid w:val="005C6386"/>
    <w:rsid w:val="005C64BD"/>
    <w:rsid w:val="005C68B3"/>
    <w:rsid w:val="005C69B1"/>
    <w:rsid w:val="005C69DA"/>
    <w:rsid w:val="005C6B27"/>
    <w:rsid w:val="005C6BA8"/>
    <w:rsid w:val="005C6C0E"/>
    <w:rsid w:val="005C6C3D"/>
    <w:rsid w:val="005C6FED"/>
    <w:rsid w:val="005C7245"/>
    <w:rsid w:val="005C7703"/>
    <w:rsid w:val="005C7B0A"/>
    <w:rsid w:val="005C7D9E"/>
    <w:rsid w:val="005D0037"/>
    <w:rsid w:val="005D0041"/>
    <w:rsid w:val="005D0697"/>
    <w:rsid w:val="005D073C"/>
    <w:rsid w:val="005D07CC"/>
    <w:rsid w:val="005D0A02"/>
    <w:rsid w:val="005D0B9D"/>
    <w:rsid w:val="005D0BDB"/>
    <w:rsid w:val="005D0CEF"/>
    <w:rsid w:val="005D0DBD"/>
    <w:rsid w:val="005D0F05"/>
    <w:rsid w:val="005D0F78"/>
    <w:rsid w:val="005D1002"/>
    <w:rsid w:val="005D104A"/>
    <w:rsid w:val="005D1354"/>
    <w:rsid w:val="005D14F7"/>
    <w:rsid w:val="005D1576"/>
    <w:rsid w:val="005D16C5"/>
    <w:rsid w:val="005D176C"/>
    <w:rsid w:val="005D197F"/>
    <w:rsid w:val="005D19D7"/>
    <w:rsid w:val="005D1B54"/>
    <w:rsid w:val="005D1BBD"/>
    <w:rsid w:val="005D1D10"/>
    <w:rsid w:val="005D1D8D"/>
    <w:rsid w:val="005D1D9B"/>
    <w:rsid w:val="005D1ECB"/>
    <w:rsid w:val="005D2191"/>
    <w:rsid w:val="005D2312"/>
    <w:rsid w:val="005D23FE"/>
    <w:rsid w:val="005D254C"/>
    <w:rsid w:val="005D2647"/>
    <w:rsid w:val="005D2678"/>
    <w:rsid w:val="005D2933"/>
    <w:rsid w:val="005D2965"/>
    <w:rsid w:val="005D2A15"/>
    <w:rsid w:val="005D2A69"/>
    <w:rsid w:val="005D2B45"/>
    <w:rsid w:val="005D2F98"/>
    <w:rsid w:val="005D3482"/>
    <w:rsid w:val="005D34D4"/>
    <w:rsid w:val="005D359F"/>
    <w:rsid w:val="005D38C9"/>
    <w:rsid w:val="005D3950"/>
    <w:rsid w:val="005D3A00"/>
    <w:rsid w:val="005D3BA2"/>
    <w:rsid w:val="005D3C2E"/>
    <w:rsid w:val="005D3F41"/>
    <w:rsid w:val="005D4040"/>
    <w:rsid w:val="005D4500"/>
    <w:rsid w:val="005D489D"/>
    <w:rsid w:val="005D4984"/>
    <w:rsid w:val="005D4F7C"/>
    <w:rsid w:val="005D5063"/>
    <w:rsid w:val="005D5082"/>
    <w:rsid w:val="005D528F"/>
    <w:rsid w:val="005D5403"/>
    <w:rsid w:val="005D5418"/>
    <w:rsid w:val="005D5650"/>
    <w:rsid w:val="005D5692"/>
    <w:rsid w:val="005D5749"/>
    <w:rsid w:val="005D5D21"/>
    <w:rsid w:val="005D6079"/>
    <w:rsid w:val="005D68ED"/>
    <w:rsid w:val="005D6B60"/>
    <w:rsid w:val="005D6B9B"/>
    <w:rsid w:val="005D6D87"/>
    <w:rsid w:val="005D6E0B"/>
    <w:rsid w:val="005D6F6B"/>
    <w:rsid w:val="005D71D1"/>
    <w:rsid w:val="005D7256"/>
    <w:rsid w:val="005D72F3"/>
    <w:rsid w:val="005D7393"/>
    <w:rsid w:val="005D7409"/>
    <w:rsid w:val="005D7581"/>
    <w:rsid w:val="005D76D1"/>
    <w:rsid w:val="005D7A17"/>
    <w:rsid w:val="005D7ADF"/>
    <w:rsid w:val="005D7B44"/>
    <w:rsid w:val="005D7B76"/>
    <w:rsid w:val="005D7C24"/>
    <w:rsid w:val="005D7C84"/>
    <w:rsid w:val="005D7D25"/>
    <w:rsid w:val="005D7E1F"/>
    <w:rsid w:val="005E0171"/>
    <w:rsid w:val="005E01B0"/>
    <w:rsid w:val="005E0E53"/>
    <w:rsid w:val="005E0F9F"/>
    <w:rsid w:val="005E1666"/>
    <w:rsid w:val="005E1AA8"/>
    <w:rsid w:val="005E1B04"/>
    <w:rsid w:val="005E1C49"/>
    <w:rsid w:val="005E1F5D"/>
    <w:rsid w:val="005E2060"/>
    <w:rsid w:val="005E209D"/>
    <w:rsid w:val="005E2302"/>
    <w:rsid w:val="005E23BB"/>
    <w:rsid w:val="005E2831"/>
    <w:rsid w:val="005E2CF1"/>
    <w:rsid w:val="005E2FCA"/>
    <w:rsid w:val="005E310E"/>
    <w:rsid w:val="005E32BF"/>
    <w:rsid w:val="005E34D2"/>
    <w:rsid w:val="005E37EC"/>
    <w:rsid w:val="005E3860"/>
    <w:rsid w:val="005E3AB7"/>
    <w:rsid w:val="005E3E35"/>
    <w:rsid w:val="005E40B6"/>
    <w:rsid w:val="005E40BD"/>
    <w:rsid w:val="005E40CD"/>
    <w:rsid w:val="005E4710"/>
    <w:rsid w:val="005E48C7"/>
    <w:rsid w:val="005E49FF"/>
    <w:rsid w:val="005E4BE8"/>
    <w:rsid w:val="005E51B2"/>
    <w:rsid w:val="005E583A"/>
    <w:rsid w:val="005E59AF"/>
    <w:rsid w:val="005E5E81"/>
    <w:rsid w:val="005E6029"/>
    <w:rsid w:val="005E6040"/>
    <w:rsid w:val="005E609C"/>
    <w:rsid w:val="005E61AB"/>
    <w:rsid w:val="005E6254"/>
    <w:rsid w:val="005E62E0"/>
    <w:rsid w:val="005E64F6"/>
    <w:rsid w:val="005E6551"/>
    <w:rsid w:val="005E672B"/>
    <w:rsid w:val="005E6AFC"/>
    <w:rsid w:val="005E6C8D"/>
    <w:rsid w:val="005E6FEE"/>
    <w:rsid w:val="005E7023"/>
    <w:rsid w:val="005E7293"/>
    <w:rsid w:val="005E7430"/>
    <w:rsid w:val="005E77ED"/>
    <w:rsid w:val="005E78EF"/>
    <w:rsid w:val="005E79AC"/>
    <w:rsid w:val="005E7A51"/>
    <w:rsid w:val="005E7A81"/>
    <w:rsid w:val="005E7B55"/>
    <w:rsid w:val="005E7CB5"/>
    <w:rsid w:val="005E7D15"/>
    <w:rsid w:val="005E7EB2"/>
    <w:rsid w:val="005F0295"/>
    <w:rsid w:val="005F031C"/>
    <w:rsid w:val="005F0334"/>
    <w:rsid w:val="005F03F6"/>
    <w:rsid w:val="005F0486"/>
    <w:rsid w:val="005F06FB"/>
    <w:rsid w:val="005F0801"/>
    <w:rsid w:val="005F0824"/>
    <w:rsid w:val="005F0BEC"/>
    <w:rsid w:val="005F0D9D"/>
    <w:rsid w:val="005F0DA5"/>
    <w:rsid w:val="005F0F7F"/>
    <w:rsid w:val="005F173F"/>
    <w:rsid w:val="005F17C6"/>
    <w:rsid w:val="005F1D99"/>
    <w:rsid w:val="005F22D4"/>
    <w:rsid w:val="005F230B"/>
    <w:rsid w:val="005F2355"/>
    <w:rsid w:val="005F24E9"/>
    <w:rsid w:val="005F2680"/>
    <w:rsid w:val="005F2A8B"/>
    <w:rsid w:val="005F2B13"/>
    <w:rsid w:val="005F2CD6"/>
    <w:rsid w:val="005F2DFD"/>
    <w:rsid w:val="005F2FB3"/>
    <w:rsid w:val="005F306B"/>
    <w:rsid w:val="005F3194"/>
    <w:rsid w:val="005F3518"/>
    <w:rsid w:val="005F388B"/>
    <w:rsid w:val="005F3BB0"/>
    <w:rsid w:val="005F3C42"/>
    <w:rsid w:val="005F3FBA"/>
    <w:rsid w:val="005F3FBE"/>
    <w:rsid w:val="005F40A3"/>
    <w:rsid w:val="005F4119"/>
    <w:rsid w:val="005F43BB"/>
    <w:rsid w:val="005F4746"/>
    <w:rsid w:val="005F494D"/>
    <w:rsid w:val="005F49C7"/>
    <w:rsid w:val="005F4A07"/>
    <w:rsid w:val="005F4C0F"/>
    <w:rsid w:val="005F4D1C"/>
    <w:rsid w:val="005F4D74"/>
    <w:rsid w:val="005F4EA8"/>
    <w:rsid w:val="005F5102"/>
    <w:rsid w:val="005F550D"/>
    <w:rsid w:val="005F593B"/>
    <w:rsid w:val="005F5D45"/>
    <w:rsid w:val="005F5D8E"/>
    <w:rsid w:val="005F5DD4"/>
    <w:rsid w:val="005F5E2F"/>
    <w:rsid w:val="005F60D0"/>
    <w:rsid w:val="005F6269"/>
    <w:rsid w:val="005F6548"/>
    <w:rsid w:val="005F680A"/>
    <w:rsid w:val="005F6A6D"/>
    <w:rsid w:val="005F6BF5"/>
    <w:rsid w:val="005F6C1E"/>
    <w:rsid w:val="005F6CA5"/>
    <w:rsid w:val="005F6CD8"/>
    <w:rsid w:val="005F73D1"/>
    <w:rsid w:val="005F741E"/>
    <w:rsid w:val="005F745A"/>
    <w:rsid w:val="005F75E6"/>
    <w:rsid w:val="005F7822"/>
    <w:rsid w:val="005F78A3"/>
    <w:rsid w:val="005F7915"/>
    <w:rsid w:val="005F7E1F"/>
    <w:rsid w:val="0060011A"/>
    <w:rsid w:val="006006B2"/>
    <w:rsid w:val="00600777"/>
    <w:rsid w:val="006008BD"/>
    <w:rsid w:val="00600D1A"/>
    <w:rsid w:val="00600D24"/>
    <w:rsid w:val="00600D4F"/>
    <w:rsid w:val="00600E5D"/>
    <w:rsid w:val="00600F98"/>
    <w:rsid w:val="00601003"/>
    <w:rsid w:val="00601153"/>
    <w:rsid w:val="00601634"/>
    <w:rsid w:val="00601881"/>
    <w:rsid w:val="00602239"/>
    <w:rsid w:val="00602756"/>
    <w:rsid w:val="006028D8"/>
    <w:rsid w:val="00602C0C"/>
    <w:rsid w:val="00602F59"/>
    <w:rsid w:val="00602FD4"/>
    <w:rsid w:val="00602FF1"/>
    <w:rsid w:val="006031B4"/>
    <w:rsid w:val="00603257"/>
    <w:rsid w:val="006032EC"/>
    <w:rsid w:val="006033CD"/>
    <w:rsid w:val="00603445"/>
    <w:rsid w:val="0060345B"/>
    <w:rsid w:val="006035E5"/>
    <w:rsid w:val="006036ED"/>
    <w:rsid w:val="00603FE8"/>
    <w:rsid w:val="00604319"/>
    <w:rsid w:val="006047ED"/>
    <w:rsid w:val="006048B1"/>
    <w:rsid w:val="00604AAC"/>
    <w:rsid w:val="00604BF7"/>
    <w:rsid w:val="00604FAE"/>
    <w:rsid w:val="0060503F"/>
    <w:rsid w:val="00605080"/>
    <w:rsid w:val="0060543E"/>
    <w:rsid w:val="0060554F"/>
    <w:rsid w:val="0060557A"/>
    <w:rsid w:val="006055E7"/>
    <w:rsid w:val="0060563A"/>
    <w:rsid w:val="006056EA"/>
    <w:rsid w:val="0060583C"/>
    <w:rsid w:val="006059D1"/>
    <w:rsid w:val="006059EE"/>
    <w:rsid w:val="00605D74"/>
    <w:rsid w:val="00605D9C"/>
    <w:rsid w:val="00605E4A"/>
    <w:rsid w:val="0060604E"/>
    <w:rsid w:val="0060644F"/>
    <w:rsid w:val="00606877"/>
    <w:rsid w:val="006069B8"/>
    <w:rsid w:val="00606A7E"/>
    <w:rsid w:val="00606B5F"/>
    <w:rsid w:val="00606C02"/>
    <w:rsid w:val="00606EF8"/>
    <w:rsid w:val="00607544"/>
    <w:rsid w:val="00607A8B"/>
    <w:rsid w:val="00607D81"/>
    <w:rsid w:val="00610101"/>
    <w:rsid w:val="00610106"/>
    <w:rsid w:val="006101FE"/>
    <w:rsid w:val="00610696"/>
    <w:rsid w:val="00610849"/>
    <w:rsid w:val="006109D1"/>
    <w:rsid w:val="00610B51"/>
    <w:rsid w:val="00610C22"/>
    <w:rsid w:val="00610D58"/>
    <w:rsid w:val="00610DEC"/>
    <w:rsid w:val="006110D6"/>
    <w:rsid w:val="00611408"/>
    <w:rsid w:val="00611647"/>
    <w:rsid w:val="0061193D"/>
    <w:rsid w:val="00611D26"/>
    <w:rsid w:val="00611DD5"/>
    <w:rsid w:val="006123AB"/>
    <w:rsid w:val="0061252B"/>
    <w:rsid w:val="0061266B"/>
    <w:rsid w:val="00612ADC"/>
    <w:rsid w:val="00612C28"/>
    <w:rsid w:val="00612D58"/>
    <w:rsid w:val="00612E47"/>
    <w:rsid w:val="00612EF7"/>
    <w:rsid w:val="00613A67"/>
    <w:rsid w:val="00613AE6"/>
    <w:rsid w:val="00613BEE"/>
    <w:rsid w:val="00613E0E"/>
    <w:rsid w:val="00613ED7"/>
    <w:rsid w:val="00613EFB"/>
    <w:rsid w:val="0061409A"/>
    <w:rsid w:val="0061429B"/>
    <w:rsid w:val="006142CE"/>
    <w:rsid w:val="006142F8"/>
    <w:rsid w:val="00614362"/>
    <w:rsid w:val="006143D9"/>
    <w:rsid w:val="0061441B"/>
    <w:rsid w:val="006144D1"/>
    <w:rsid w:val="006145EB"/>
    <w:rsid w:val="00614A72"/>
    <w:rsid w:val="00614AB0"/>
    <w:rsid w:val="0061533B"/>
    <w:rsid w:val="0061535D"/>
    <w:rsid w:val="0061536B"/>
    <w:rsid w:val="00615682"/>
    <w:rsid w:val="00615994"/>
    <w:rsid w:val="006159DF"/>
    <w:rsid w:val="00615A42"/>
    <w:rsid w:val="00615C27"/>
    <w:rsid w:val="0061605F"/>
    <w:rsid w:val="006163E4"/>
    <w:rsid w:val="0061645B"/>
    <w:rsid w:val="0061686C"/>
    <w:rsid w:val="006169A6"/>
    <w:rsid w:val="00616E18"/>
    <w:rsid w:val="00616EF1"/>
    <w:rsid w:val="00617447"/>
    <w:rsid w:val="0061753C"/>
    <w:rsid w:val="006175E5"/>
    <w:rsid w:val="006176B9"/>
    <w:rsid w:val="00617944"/>
    <w:rsid w:val="00617B15"/>
    <w:rsid w:val="00617D18"/>
    <w:rsid w:val="00617D66"/>
    <w:rsid w:val="00617EB0"/>
    <w:rsid w:val="00617FBD"/>
    <w:rsid w:val="006200E4"/>
    <w:rsid w:val="006200F7"/>
    <w:rsid w:val="00620187"/>
    <w:rsid w:val="00620620"/>
    <w:rsid w:val="0062070E"/>
    <w:rsid w:val="00620722"/>
    <w:rsid w:val="006209DB"/>
    <w:rsid w:val="00620BC9"/>
    <w:rsid w:val="00620E19"/>
    <w:rsid w:val="006213C3"/>
    <w:rsid w:val="006218E0"/>
    <w:rsid w:val="00621A3F"/>
    <w:rsid w:val="00621A8E"/>
    <w:rsid w:val="00621C9C"/>
    <w:rsid w:val="00621D93"/>
    <w:rsid w:val="00621DBA"/>
    <w:rsid w:val="0062226F"/>
    <w:rsid w:val="00622530"/>
    <w:rsid w:val="00622769"/>
    <w:rsid w:val="00622CD1"/>
    <w:rsid w:val="006231E9"/>
    <w:rsid w:val="00623249"/>
    <w:rsid w:val="006232BD"/>
    <w:rsid w:val="00623610"/>
    <w:rsid w:val="0062368A"/>
    <w:rsid w:val="0062375A"/>
    <w:rsid w:val="0062387B"/>
    <w:rsid w:val="00623A91"/>
    <w:rsid w:val="00623AEE"/>
    <w:rsid w:val="00623B0D"/>
    <w:rsid w:val="00623DDF"/>
    <w:rsid w:val="006241E8"/>
    <w:rsid w:val="006244CC"/>
    <w:rsid w:val="00624583"/>
    <w:rsid w:val="006245AF"/>
    <w:rsid w:val="0062462D"/>
    <w:rsid w:val="00624634"/>
    <w:rsid w:val="006246BE"/>
    <w:rsid w:val="00624973"/>
    <w:rsid w:val="00624A9A"/>
    <w:rsid w:val="00625064"/>
    <w:rsid w:val="00625075"/>
    <w:rsid w:val="00625080"/>
    <w:rsid w:val="0062508D"/>
    <w:rsid w:val="00625469"/>
    <w:rsid w:val="00625635"/>
    <w:rsid w:val="006257AC"/>
    <w:rsid w:val="00625C48"/>
    <w:rsid w:val="00625C4A"/>
    <w:rsid w:val="00625D85"/>
    <w:rsid w:val="00625E46"/>
    <w:rsid w:val="00625EC7"/>
    <w:rsid w:val="00625F55"/>
    <w:rsid w:val="006260BD"/>
    <w:rsid w:val="00626153"/>
    <w:rsid w:val="006265C5"/>
    <w:rsid w:val="006266D0"/>
    <w:rsid w:val="00626931"/>
    <w:rsid w:val="00626963"/>
    <w:rsid w:val="006269BB"/>
    <w:rsid w:val="00626A9C"/>
    <w:rsid w:val="00626B08"/>
    <w:rsid w:val="00626CFC"/>
    <w:rsid w:val="00626FB9"/>
    <w:rsid w:val="006270E0"/>
    <w:rsid w:val="00627272"/>
    <w:rsid w:val="00627647"/>
    <w:rsid w:val="006277AE"/>
    <w:rsid w:val="0062788A"/>
    <w:rsid w:val="00627D71"/>
    <w:rsid w:val="0063016E"/>
    <w:rsid w:val="006301D9"/>
    <w:rsid w:val="0063053A"/>
    <w:rsid w:val="00630A4C"/>
    <w:rsid w:val="00630B49"/>
    <w:rsid w:val="00630C1A"/>
    <w:rsid w:val="00630C22"/>
    <w:rsid w:val="00630CA3"/>
    <w:rsid w:val="00630D8C"/>
    <w:rsid w:val="00631141"/>
    <w:rsid w:val="006316AC"/>
    <w:rsid w:val="00631819"/>
    <w:rsid w:val="00631CA2"/>
    <w:rsid w:val="00631D0B"/>
    <w:rsid w:val="00631D20"/>
    <w:rsid w:val="00631E0B"/>
    <w:rsid w:val="00632269"/>
    <w:rsid w:val="006322B5"/>
    <w:rsid w:val="00632A06"/>
    <w:rsid w:val="00632D3C"/>
    <w:rsid w:val="00632E0C"/>
    <w:rsid w:val="00632FC9"/>
    <w:rsid w:val="00633176"/>
    <w:rsid w:val="006332EB"/>
    <w:rsid w:val="006333DC"/>
    <w:rsid w:val="00633581"/>
    <w:rsid w:val="0063362C"/>
    <w:rsid w:val="006337C2"/>
    <w:rsid w:val="00633A2A"/>
    <w:rsid w:val="00633B5E"/>
    <w:rsid w:val="00633CB8"/>
    <w:rsid w:val="0063408D"/>
    <w:rsid w:val="00634174"/>
    <w:rsid w:val="00634310"/>
    <w:rsid w:val="006344A6"/>
    <w:rsid w:val="006347DD"/>
    <w:rsid w:val="006348E9"/>
    <w:rsid w:val="00634DD3"/>
    <w:rsid w:val="00634FDF"/>
    <w:rsid w:val="006350FE"/>
    <w:rsid w:val="006353AB"/>
    <w:rsid w:val="006354AA"/>
    <w:rsid w:val="006355B8"/>
    <w:rsid w:val="00635844"/>
    <w:rsid w:val="00635AFC"/>
    <w:rsid w:val="00636056"/>
    <w:rsid w:val="006362C3"/>
    <w:rsid w:val="00636B48"/>
    <w:rsid w:val="00636B8C"/>
    <w:rsid w:val="00636F62"/>
    <w:rsid w:val="00636FEA"/>
    <w:rsid w:val="0063723E"/>
    <w:rsid w:val="00637451"/>
    <w:rsid w:val="00637821"/>
    <w:rsid w:val="00637CCD"/>
    <w:rsid w:val="00637CE5"/>
    <w:rsid w:val="00637D0D"/>
    <w:rsid w:val="00637D35"/>
    <w:rsid w:val="00640173"/>
    <w:rsid w:val="00640297"/>
    <w:rsid w:val="00640415"/>
    <w:rsid w:val="006406DC"/>
    <w:rsid w:val="0064093C"/>
    <w:rsid w:val="00640B6A"/>
    <w:rsid w:val="00640C4A"/>
    <w:rsid w:val="00640C5C"/>
    <w:rsid w:val="00640D42"/>
    <w:rsid w:val="00640FC0"/>
    <w:rsid w:val="00641285"/>
    <w:rsid w:val="00641743"/>
    <w:rsid w:val="00641C2E"/>
    <w:rsid w:val="00641DCC"/>
    <w:rsid w:val="006423C1"/>
    <w:rsid w:val="00642551"/>
    <w:rsid w:val="00642A3A"/>
    <w:rsid w:val="00642D49"/>
    <w:rsid w:val="006430B5"/>
    <w:rsid w:val="00643487"/>
    <w:rsid w:val="00643759"/>
    <w:rsid w:val="006437FF"/>
    <w:rsid w:val="00643896"/>
    <w:rsid w:val="00643B4E"/>
    <w:rsid w:val="00643D3D"/>
    <w:rsid w:val="00644686"/>
    <w:rsid w:val="006446CC"/>
    <w:rsid w:val="00644A2D"/>
    <w:rsid w:val="00644CB2"/>
    <w:rsid w:val="00644D4F"/>
    <w:rsid w:val="00644E00"/>
    <w:rsid w:val="006457DC"/>
    <w:rsid w:val="0064598B"/>
    <w:rsid w:val="00645C65"/>
    <w:rsid w:val="00645E74"/>
    <w:rsid w:val="006461AA"/>
    <w:rsid w:val="006463E3"/>
    <w:rsid w:val="00646A92"/>
    <w:rsid w:val="00646A99"/>
    <w:rsid w:val="00646C47"/>
    <w:rsid w:val="00646FF5"/>
    <w:rsid w:val="00647107"/>
    <w:rsid w:val="006473B1"/>
    <w:rsid w:val="00647478"/>
    <w:rsid w:val="006476DA"/>
    <w:rsid w:val="00647748"/>
    <w:rsid w:val="006479A6"/>
    <w:rsid w:val="00647B86"/>
    <w:rsid w:val="00650659"/>
    <w:rsid w:val="0065077D"/>
    <w:rsid w:val="0065091E"/>
    <w:rsid w:val="00650AE0"/>
    <w:rsid w:val="00650AF7"/>
    <w:rsid w:val="00650CDB"/>
    <w:rsid w:val="00650D3E"/>
    <w:rsid w:val="00650F96"/>
    <w:rsid w:val="006510D5"/>
    <w:rsid w:val="0065147F"/>
    <w:rsid w:val="006514DD"/>
    <w:rsid w:val="00651513"/>
    <w:rsid w:val="006515CD"/>
    <w:rsid w:val="006516DF"/>
    <w:rsid w:val="0065189A"/>
    <w:rsid w:val="00651A10"/>
    <w:rsid w:val="00651A13"/>
    <w:rsid w:val="00651C4B"/>
    <w:rsid w:val="00651D06"/>
    <w:rsid w:val="006520A6"/>
    <w:rsid w:val="006520D5"/>
    <w:rsid w:val="006520E9"/>
    <w:rsid w:val="0065220D"/>
    <w:rsid w:val="0065238E"/>
    <w:rsid w:val="006523B5"/>
    <w:rsid w:val="00652479"/>
    <w:rsid w:val="0065297C"/>
    <w:rsid w:val="006529FF"/>
    <w:rsid w:val="00652B04"/>
    <w:rsid w:val="00652B7B"/>
    <w:rsid w:val="00652CF7"/>
    <w:rsid w:val="00652E0F"/>
    <w:rsid w:val="006530F0"/>
    <w:rsid w:val="006533FF"/>
    <w:rsid w:val="00653403"/>
    <w:rsid w:val="00653406"/>
    <w:rsid w:val="0065363B"/>
    <w:rsid w:val="00653733"/>
    <w:rsid w:val="00653A03"/>
    <w:rsid w:val="00653B45"/>
    <w:rsid w:val="00653D1C"/>
    <w:rsid w:val="00653E3A"/>
    <w:rsid w:val="0065418D"/>
    <w:rsid w:val="00654231"/>
    <w:rsid w:val="0065456C"/>
    <w:rsid w:val="00654997"/>
    <w:rsid w:val="00654A69"/>
    <w:rsid w:val="00654BA9"/>
    <w:rsid w:val="00654C26"/>
    <w:rsid w:val="00654CE2"/>
    <w:rsid w:val="00654D2F"/>
    <w:rsid w:val="006558EC"/>
    <w:rsid w:val="00655C8F"/>
    <w:rsid w:val="00656021"/>
    <w:rsid w:val="00656250"/>
    <w:rsid w:val="006564D2"/>
    <w:rsid w:val="006566C1"/>
    <w:rsid w:val="00656968"/>
    <w:rsid w:val="0065698A"/>
    <w:rsid w:val="00656CD6"/>
    <w:rsid w:val="00656DC9"/>
    <w:rsid w:val="00656ED9"/>
    <w:rsid w:val="00656FD6"/>
    <w:rsid w:val="006577B3"/>
    <w:rsid w:val="00657A90"/>
    <w:rsid w:val="00657C9C"/>
    <w:rsid w:val="00657D99"/>
    <w:rsid w:val="00657F2B"/>
    <w:rsid w:val="00660330"/>
    <w:rsid w:val="00660553"/>
    <w:rsid w:val="0066058C"/>
    <w:rsid w:val="00660B99"/>
    <w:rsid w:val="00660C7D"/>
    <w:rsid w:val="006611FF"/>
    <w:rsid w:val="006612F9"/>
    <w:rsid w:val="00661319"/>
    <w:rsid w:val="006613AE"/>
    <w:rsid w:val="006613B6"/>
    <w:rsid w:val="0066158A"/>
    <w:rsid w:val="006615DA"/>
    <w:rsid w:val="006618DB"/>
    <w:rsid w:val="00661F6C"/>
    <w:rsid w:val="00661FF4"/>
    <w:rsid w:val="006621AE"/>
    <w:rsid w:val="006622B0"/>
    <w:rsid w:val="00662433"/>
    <w:rsid w:val="0066265E"/>
    <w:rsid w:val="0066270A"/>
    <w:rsid w:val="00662F88"/>
    <w:rsid w:val="00663222"/>
    <w:rsid w:val="00663466"/>
    <w:rsid w:val="006636EB"/>
    <w:rsid w:val="00663923"/>
    <w:rsid w:val="00663BC3"/>
    <w:rsid w:val="00663E2B"/>
    <w:rsid w:val="00663F8F"/>
    <w:rsid w:val="006644D7"/>
    <w:rsid w:val="00664574"/>
    <w:rsid w:val="00664624"/>
    <w:rsid w:val="00664CEA"/>
    <w:rsid w:val="006652E5"/>
    <w:rsid w:val="00665839"/>
    <w:rsid w:val="00665A96"/>
    <w:rsid w:val="00665ACE"/>
    <w:rsid w:val="00665B20"/>
    <w:rsid w:val="00665D29"/>
    <w:rsid w:val="00665FA7"/>
    <w:rsid w:val="00665FB4"/>
    <w:rsid w:val="00665FF9"/>
    <w:rsid w:val="006667A9"/>
    <w:rsid w:val="00666A01"/>
    <w:rsid w:val="00666B08"/>
    <w:rsid w:val="00666B28"/>
    <w:rsid w:val="00666B67"/>
    <w:rsid w:val="00666BED"/>
    <w:rsid w:val="00667032"/>
    <w:rsid w:val="00667327"/>
    <w:rsid w:val="006673D7"/>
    <w:rsid w:val="00667691"/>
    <w:rsid w:val="006676A9"/>
    <w:rsid w:val="00667724"/>
    <w:rsid w:val="00667822"/>
    <w:rsid w:val="006678D0"/>
    <w:rsid w:val="00667C02"/>
    <w:rsid w:val="00667E61"/>
    <w:rsid w:val="00667F9C"/>
    <w:rsid w:val="0067007F"/>
    <w:rsid w:val="00670311"/>
    <w:rsid w:val="00670B5E"/>
    <w:rsid w:val="00670B71"/>
    <w:rsid w:val="00670BFB"/>
    <w:rsid w:val="00670ED0"/>
    <w:rsid w:val="00670FFB"/>
    <w:rsid w:val="0067127E"/>
    <w:rsid w:val="006712C3"/>
    <w:rsid w:val="006715CC"/>
    <w:rsid w:val="00671989"/>
    <w:rsid w:val="00671A4F"/>
    <w:rsid w:val="00671D7D"/>
    <w:rsid w:val="00671DEB"/>
    <w:rsid w:val="006723A0"/>
    <w:rsid w:val="00672474"/>
    <w:rsid w:val="00672D7E"/>
    <w:rsid w:val="00672E9F"/>
    <w:rsid w:val="0067354E"/>
    <w:rsid w:val="006737E9"/>
    <w:rsid w:val="0067399A"/>
    <w:rsid w:val="006739F5"/>
    <w:rsid w:val="00673CD8"/>
    <w:rsid w:val="00674030"/>
    <w:rsid w:val="00674372"/>
    <w:rsid w:val="00674390"/>
    <w:rsid w:val="00674A82"/>
    <w:rsid w:val="00674B4D"/>
    <w:rsid w:val="00674BB7"/>
    <w:rsid w:val="00674C37"/>
    <w:rsid w:val="00674C67"/>
    <w:rsid w:val="00674D2A"/>
    <w:rsid w:val="0067504F"/>
    <w:rsid w:val="0067509C"/>
    <w:rsid w:val="006751A3"/>
    <w:rsid w:val="00675283"/>
    <w:rsid w:val="006756D0"/>
    <w:rsid w:val="006757E1"/>
    <w:rsid w:val="00675828"/>
    <w:rsid w:val="00675C1C"/>
    <w:rsid w:val="00675C5E"/>
    <w:rsid w:val="00675E89"/>
    <w:rsid w:val="0067647E"/>
    <w:rsid w:val="00676545"/>
    <w:rsid w:val="00676602"/>
    <w:rsid w:val="00676701"/>
    <w:rsid w:val="00676730"/>
    <w:rsid w:val="00676AC6"/>
    <w:rsid w:val="00676C02"/>
    <w:rsid w:val="00677489"/>
    <w:rsid w:val="00677620"/>
    <w:rsid w:val="00677629"/>
    <w:rsid w:val="006776E5"/>
    <w:rsid w:val="006776EC"/>
    <w:rsid w:val="00677851"/>
    <w:rsid w:val="00677AED"/>
    <w:rsid w:val="00677CC8"/>
    <w:rsid w:val="00677F68"/>
    <w:rsid w:val="006800C6"/>
    <w:rsid w:val="00680423"/>
    <w:rsid w:val="0068044E"/>
    <w:rsid w:val="00680524"/>
    <w:rsid w:val="00680604"/>
    <w:rsid w:val="00680C0D"/>
    <w:rsid w:val="00680CA7"/>
    <w:rsid w:val="00680CCE"/>
    <w:rsid w:val="00680CD9"/>
    <w:rsid w:val="00680E9C"/>
    <w:rsid w:val="006813F6"/>
    <w:rsid w:val="0068140F"/>
    <w:rsid w:val="00681445"/>
    <w:rsid w:val="006817DA"/>
    <w:rsid w:val="0068190E"/>
    <w:rsid w:val="0068199E"/>
    <w:rsid w:val="00681AC2"/>
    <w:rsid w:val="00681D01"/>
    <w:rsid w:val="00681E19"/>
    <w:rsid w:val="00681E7E"/>
    <w:rsid w:val="00681ED3"/>
    <w:rsid w:val="00681EEC"/>
    <w:rsid w:val="00681F5C"/>
    <w:rsid w:val="0068211D"/>
    <w:rsid w:val="0068231B"/>
    <w:rsid w:val="00682719"/>
    <w:rsid w:val="006827C6"/>
    <w:rsid w:val="0068296A"/>
    <w:rsid w:val="00682CD1"/>
    <w:rsid w:val="00682E40"/>
    <w:rsid w:val="00682F72"/>
    <w:rsid w:val="006831AB"/>
    <w:rsid w:val="006839D2"/>
    <w:rsid w:val="00683A8E"/>
    <w:rsid w:val="00683AE6"/>
    <w:rsid w:val="00683B40"/>
    <w:rsid w:val="00683C13"/>
    <w:rsid w:val="00683D8E"/>
    <w:rsid w:val="00683DAD"/>
    <w:rsid w:val="00683F91"/>
    <w:rsid w:val="006840E9"/>
    <w:rsid w:val="006844E0"/>
    <w:rsid w:val="00684525"/>
    <w:rsid w:val="006845BD"/>
    <w:rsid w:val="00684878"/>
    <w:rsid w:val="00684ADC"/>
    <w:rsid w:val="00684C93"/>
    <w:rsid w:val="00684E8A"/>
    <w:rsid w:val="00685195"/>
    <w:rsid w:val="006851A9"/>
    <w:rsid w:val="00685669"/>
    <w:rsid w:val="00685E46"/>
    <w:rsid w:val="00686012"/>
    <w:rsid w:val="006860C4"/>
    <w:rsid w:val="006860D9"/>
    <w:rsid w:val="00686253"/>
    <w:rsid w:val="00686298"/>
    <w:rsid w:val="00686825"/>
    <w:rsid w:val="00686910"/>
    <w:rsid w:val="00686958"/>
    <w:rsid w:val="00686BA1"/>
    <w:rsid w:val="00686BD4"/>
    <w:rsid w:val="00686E90"/>
    <w:rsid w:val="0068716A"/>
    <w:rsid w:val="00687188"/>
    <w:rsid w:val="006872C1"/>
    <w:rsid w:val="006873F2"/>
    <w:rsid w:val="00687422"/>
    <w:rsid w:val="0068748E"/>
    <w:rsid w:val="00687702"/>
    <w:rsid w:val="00687770"/>
    <w:rsid w:val="00687789"/>
    <w:rsid w:val="00687975"/>
    <w:rsid w:val="00687B5E"/>
    <w:rsid w:val="00687D65"/>
    <w:rsid w:val="006900A5"/>
    <w:rsid w:val="006902FD"/>
    <w:rsid w:val="00690995"/>
    <w:rsid w:val="00690D38"/>
    <w:rsid w:val="00690DA5"/>
    <w:rsid w:val="00690E41"/>
    <w:rsid w:val="00690EED"/>
    <w:rsid w:val="00691049"/>
    <w:rsid w:val="006911E5"/>
    <w:rsid w:val="0069141D"/>
    <w:rsid w:val="00691755"/>
    <w:rsid w:val="006917FC"/>
    <w:rsid w:val="00691AFB"/>
    <w:rsid w:val="00691C02"/>
    <w:rsid w:val="00691F3B"/>
    <w:rsid w:val="006920FE"/>
    <w:rsid w:val="00692214"/>
    <w:rsid w:val="00692333"/>
    <w:rsid w:val="0069274E"/>
    <w:rsid w:val="006928AF"/>
    <w:rsid w:val="00692913"/>
    <w:rsid w:val="006929EC"/>
    <w:rsid w:val="00692BA5"/>
    <w:rsid w:val="00692C64"/>
    <w:rsid w:val="00692C91"/>
    <w:rsid w:val="00692FB9"/>
    <w:rsid w:val="00693060"/>
    <w:rsid w:val="006931F7"/>
    <w:rsid w:val="00693279"/>
    <w:rsid w:val="00693371"/>
    <w:rsid w:val="006936A0"/>
    <w:rsid w:val="00693738"/>
    <w:rsid w:val="00693956"/>
    <w:rsid w:val="00694102"/>
    <w:rsid w:val="006941A8"/>
    <w:rsid w:val="00694594"/>
    <w:rsid w:val="00694818"/>
    <w:rsid w:val="00694E85"/>
    <w:rsid w:val="006952ED"/>
    <w:rsid w:val="006954CB"/>
    <w:rsid w:val="006955E8"/>
    <w:rsid w:val="006955FD"/>
    <w:rsid w:val="006956DE"/>
    <w:rsid w:val="0069571F"/>
    <w:rsid w:val="00695A14"/>
    <w:rsid w:val="00695A6F"/>
    <w:rsid w:val="00695B5C"/>
    <w:rsid w:val="00695FB7"/>
    <w:rsid w:val="00696153"/>
    <w:rsid w:val="00696296"/>
    <w:rsid w:val="0069636B"/>
    <w:rsid w:val="00696628"/>
    <w:rsid w:val="00696752"/>
    <w:rsid w:val="006967C9"/>
    <w:rsid w:val="00696899"/>
    <w:rsid w:val="00696D3E"/>
    <w:rsid w:val="00696ED9"/>
    <w:rsid w:val="00696F34"/>
    <w:rsid w:val="006974AC"/>
    <w:rsid w:val="006974FB"/>
    <w:rsid w:val="00697769"/>
    <w:rsid w:val="006978D4"/>
    <w:rsid w:val="00697D4E"/>
    <w:rsid w:val="00697E60"/>
    <w:rsid w:val="006A012F"/>
    <w:rsid w:val="006A0144"/>
    <w:rsid w:val="006A01FD"/>
    <w:rsid w:val="006A0242"/>
    <w:rsid w:val="006A0369"/>
    <w:rsid w:val="006A0A05"/>
    <w:rsid w:val="006A1331"/>
    <w:rsid w:val="006A1387"/>
    <w:rsid w:val="006A1521"/>
    <w:rsid w:val="006A1638"/>
    <w:rsid w:val="006A163A"/>
    <w:rsid w:val="006A1754"/>
    <w:rsid w:val="006A1788"/>
    <w:rsid w:val="006A1826"/>
    <w:rsid w:val="006A1934"/>
    <w:rsid w:val="006A1D3F"/>
    <w:rsid w:val="006A1E5F"/>
    <w:rsid w:val="006A2158"/>
    <w:rsid w:val="006A2577"/>
    <w:rsid w:val="006A260E"/>
    <w:rsid w:val="006A265A"/>
    <w:rsid w:val="006A294E"/>
    <w:rsid w:val="006A29BF"/>
    <w:rsid w:val="006A2DDE"/>
    <w:rsid w:val="006A2EC3"/>
    <w:rsid w:val="006A341C"/>
    <w:rsid w:val="006A3570"/>
    <w:rsid w:val="006A35D0"/>
    <w:rsid w:val="006A37BF"/>
    <w:rsid w:val="006A3B5C"/>
    <w:rsid w:val="006A3C8B"/>
    <w:rsid w:val="006A3E0C"/>
    <w:rsid w:val="006A3EBB"/>
    <w:rsid w:val="006A3ECC"/>
    <w:rsid w:val="006A43C7"/>
    <w:rsid w:val="006A44AD"/>
    <w:rsid w:val="006A47AE"/>
    <w:rsid w:val="006A49A6"/>
    <w:rsid w:val="006A4CBC"/>
    <w:rsid w:val="006A4D81"/>
    <w:rsid w:val="006A4E72"/>
    <w:rsid w:val="006A5416"/>
    <w:rsid w:val="006A541F"/>
    <w:rsid w:val="006A57AB"/>
    <w:rsid w:val="006A5A5C"/>
    <w:rsid w:val="006A5C75"/>
    <w:rsid w:val="006A5E34"/>
    <w:rsid w:val="006A615F"/>
    <w:rsid w:val="006A62A8"/>
    <w:rsid w:val="006A62FE"/>
    <w:rsid w:val="006A6324"/>
    <w:rsid w:val="006A6807"/>
    <w:rsid w:val="006A695D"/>
    <w:rsid w:val="006A6A06"/>
    <w:rsid w:val="006A6A1E"/>
    <w:rsid w:val="006A6A42"/>
    <w:rsid w:val="006A6E53"/>
    <w:rsid w:val="006A6F7C"/>
    <w:rsid w:val="006A7145"/>
    <w:rsid w:val="006A7201"/>
    <w:rsid w:val="006A7230"/>
    <w:rsid w:val="006A734B"/>
    <w:rsid w:val="006A775C"/>
    <w:rsid w:val="006A7848"/>
    <w:rsid w:val="006A9A4F"/>
    <w:rsid w:val="006B0210"/>
    <w:rsid w:val="006B047C"/>
    <w:rsid w:val="006B062D"/>
    <w:rsid w:val="006B06CA"/>
    <w:rsid w:val="006B07B2"/>
    <w:rsid w:val="006B0D83"/>
    <w:rsid w:val="006B0DF3"/>
    <w:rsid w:val="006B0E60"/>
    <w:rsid w:val="006B10C7"/>
    <w:rsid w:val="006B13D1"/>
    <w:rsid w:val="006B13D3"/>
    <w:rsid w:val="006B185C"/>
    <w:rsid w:val="006B18D0"/>
    <w:rsid w:val="006B1C14"/>
    <w:rsid w:val="006B1CDE"/>
    <w:rsid w:val="006B1D0A"/>
    <w:rsid w:val="006B20F8"/>
    <w:rsid w:val="006B2198"/>
    <w:rsid w:val="006B219E"/>
    <w:rsid w:val="006B21B4"/>
    <w:rsid w:val="006B2410"/>
    <w:rsid w:val="006B2781"/>
    <w:rsid w:val="006B27B7"/>
    <w:rsid w:val="006B2AD3"/>
    <w:rsid w:val="006B2B30"/>
    <w:rsid w:val="006B2BE5"/>
    <w:rsid w:val="006B2E25"/>
    <w:rsid w:val="006B2EC9"/>
    <w:rsid w:val="006B2F71"/>
    <w:rsid w:val="006B30E7"/>
    <w:rsid w:val="006B315F"/>
    <w:rsid w:val="006B342E"/>
    <w:rsid w:val="006B3769"/>
    <w:rsid w:val="006B38C4"/>
    <w:rsid w:val="006B3930"/>
    <w:rsid w:val="006B3D18"/>
    <w:rsid w:val="006B3EF0"/>
    <w:rsid w:val="006B4012"/>
    <w:rsid w:val="006B4150"/>
    <w:rsid w:val="006B430D"/>
    <w:rsid w:val="006B4DCB"/>
    <w:rsid w:val="006B4E29"/>
    <w:rsid w:val="006B4F0F"/>
    <w:rsid w:val="006B5089"/>
    <w:rsid w:val="006B509E"/>
    <w:rsid w:val="006B5502"/>
    <w:rsid w:val="006B5605"/>
    <w:rsid w:val="006B5674"/>
    <w:rsid w:val="006B584E"/>
    <w:rsid w:val="006B589D"/>
    <w:rsid w:val="006B5A33"/>
    <w:rsid w:val="006B5BBF"/>
    <w:rsid w:val="006B5BDD"/>
    <w:rsid w:val="006B5CC0"/>
    <w:rsid w:val="006B5DB3"/>
    <w:rsid w:val="006B5DEF"/>
    <w:rsid w:val="006B619D"/>
    <w:rsid w:val="006B6241"/>
    <w:rsid w:val="006B657A"/>
    <w:rsid w:val="006B6608"/>
    <w:rsid w:val="006B6BFA"/>
    <w:rsid w:val="006B6F2E"/>
    <w:rsid w:val="006B7247"/>
    <w:rsid w:val="006B724B"/>
    <w:rsid w:val="006B75AA"/>
    <w:rsid w:val="006B7939"/>
    <w:rsid w:val="006B7FA6"/>
    <w:rsid w:val="006C0166"/>
    <w:rsid w:val="006C0248"/>
    <w:rsid w:val="006C0251"/>
    <w:rsid w:val="006C035A"/>
    <w:rsid w:val="006C0468"/>
    <w:rsid w:val="006C07F1"/>
    <w:rsid w:val="006C0850"/>
    <w:rsid w:val="006C0B55"/>
    <w:rsid w:val="006C0DAA"/>
    <w:rsid w:val="006C0E2B"/>
    <w:rsid w:val="006C0EA7"/>
    <w:rsid w:val="006C10A3"/>
    <w:rsid w:val="006C11A6"/>
    <w:rsid w:val="006C13A4"/>
    <w:rsid w:val="006C13B6"/>
    <w:rsid w:val="006C14C1"/>
    <w:rsid w:val="006C1685"/>
    <w:rsid w:val="006C1825"/>
    <w:rsid w:val="006C199E"/>
    <w:rsid w:val="006C1AFF"/>
    <w:rsid w:val="006C1C49"/>
    <w:rsid w:val="006C1C5A"/>
    <w:rsid w:val="006C1C71"/>
    <w:rsid w:val="006C1D79"/>
    <w:rsid w:val="006C1DF0"/>
    <w:rsid w:val="006C1FDA"/>
    <w:rsid w:val="006C204A"/>
    <w:rsid w:val="006C21B9"/>
    <w:rsid w:val="006C24D7"/>
    <w:rsid w:val="006C2881"/>
    <w:rsid w:val="006C28D8"/>
    <w:rsid w:val="006C28F2"/>
    <w:rsid w:val="006C2C27"/>
    <w:rsid w:val="006C2FD3"/>
    <w:rsid w:val="006C3082"/>
    <w:rsid w:val="006C33B2"/>
    <w:rsid w:val="006C33F3"/>
    <w:rsid w:val="006C344F"/>
    <w:rsid w:val="006C34DE"/>
    <w:rsid w:val="006C354D"/>
    <w:rsid w:val="006C3634"/>
    <w:rsid w:val="006C37D3"/>
    <w:rsid w:val="006C39A3"/>
    <w:rsid w:val="006C3B8B"/>
    <w:rsid w:val="006C3BF3"/>
    <w:rsid w:val="006C4093"/>
    <w:rsid w:val="006C41F6"/>
    <w:rsid w:val="006C4358"/>
    <w:rsid w:val="006C438A"/>
    <w:rsid w:val="006C4832"/>
    <w:rsid w:val="006C485B"/>
    <w:rsid w:val="006C48C8"/>
    <w:rsid w:val="006C490D"/>
    <w:rsid w:val="006C4F00"/>
    <w:rsid w:val="006C520B"/>
    <w:rsid w:val="006C5361"/>
    <w:rsid w:val="006C536C"/>
    <w:rsid w:val="006C5757"/>
    <w:rsid w:val="006C5924"/>
    <w:rsid w:val="006C5F4D"/>
    <w:rsid w:val="006C5F7A"/>
    <w:rsid w:val="006C5FBA"/>
    <w:rsid w:val="006C5FF6"/>
    <w:rsid w:val="006C6092"/>
    <w:rsid w:val="006C61C0"/>
    <w:rsid w:val="006C6305"/>
    <w:rsid w:val="006C6AC4"/>
    <w:rsid w:val="006C6B5D"/>
    <w:rsid w:val="006C6C9D"/>
    <w:rsid w:val="006C6ECE"/>
    <w:rsid w:val="006C6F4B"/>
    <w:rsid w:val="006C7354"/>
    <w:rsid w:val="006C74A6"/>
    <w:rsid w:val="006C7531"/>
    <w:rsid w:val="006C787E"/>
    <w:rsid w:val="006C79A1"/>
    <w:rsid w:val="006C7F11"/>
    <w:rsid w:val="006D0077"/>
    <w:rsid w:val="006D0EC1"/>
    <w:rsid w:val="006D108D"/>
    <w:rsid w:val="006D1359"/>
    <w:rsid w:val="006D1405"/>
    <w:rsid w:val="006D1527"/>
    <w:rsid w:val="006D1849"/>
    <w:rsid w:val="006D1966"/>
    <w:rsid w:val="006D1982"/>
    <w:rsid w:val="006D1A51"/>
    <w:rsid w:val="006D1B73"/>
    <w:rsid w:val="006D1F40"/>
    <w:rsid w:val="006D1F5D"/>
    <w:rsid w:val="006D2012"/>
    <w:rsid w:val="006D2106"/>
    <w:rsid w:val="006D238B"/>
    <w:rsid w:val="006D25BA"/>
    <w:rsid w:val="006D2A20"/>
    <w:rsid w:val="006D2F40"/>
    <w:rsid w:val="006D3019"/>
    <w:rsid w:val="006D305E"/>
    <w:rsid w:val="006D32B0"/>
    <w:rsid w:val="006D335E"/>
    <w:rsid w:val="006D33F5"/>
    <w:rsid w:val="006D3BDF"/>
    <w:rsid w:val="006D3CA3"/>
    <w:rsid w:val="006D407F"/>
    <w:rsid w:val="006D40D2"/>
    <w:rsid w:val="006D429B"/>
    <w:rsid w:val="006D42DF"/>
    <w:rsid w:val="006D444F"/>
    <w:rsid w:val="006D4680"/>
    <w:rsid w:val="006D47A0"/>
    <w:rsid w:val="006D47A6"/>
    <w:rsid w:val="006D49A4"/>
    <w:rsid w:val="006D4BAD"/>
    <w:rsid w:val="006D4C7C"/>
    <w:rsid w:val="006D4DD7"/>
    <w:rsid w:val="006D4DE8"/>
    <w:rsid w:val="006D4E88"/>
    <w:rsid w:val="006D51BD"/>
    <w:rsid w:val="006D52BC"/>
    <w:rsid w:val="006D5361"/>
    <w:rsid w:val="006D5786"/>
    <w:rsid w:val="006D5CD3"/>
    <w:rsid w:val="006D6002"/>
    <w:rsid w:val="006D63D4"/>
    <w:rsid w:val="006D643C"/>
    <w:rsid w:val="006D6611"/>
    <w:rsid w:val="006D685E"/>
    <w:rsid w:val="006D69A4"/>
    <w:rsid w:val="006D69F0"/>
    <w:rsid w:val="006D7171"/>
    <w:rsid w:val="006D7362"/>
    <w:rsid w:val="006D73F3"/>
    <w:rsid w:val="006D769A"/>
    <w:rsid w:val="006D76BC"/>
    <w:rsid w:val="006D7AE5"/>
    <w:rsid w:val="006D7B08"/>
    <w:rsid w:val="006D7FEA"/>
    <w:rsid w:val="006E052E"/>
    <w:rsid w:val="006E061C"/>
    <w:rsid w:val="006E0AED"/>
    <w:rsid w:val="006E0FF9"/>
    <w:rsid w:val="006E1248"/>
    <w:rsid w:val="006E1403"/>
    <w:rsid w:val="006E1D01"/>
    <w:rsid w:val="006E1F60"/>
    <w:rsid w:val="006E272B"/>
    <w:rsid w:val="006E2779"/>
    <w:rsid w:val="006E28C7"/>
    <w:rsid w:val="006E2A64"/>
    <w:rsid w:val="006E3040"/>
    <w:rsid w:val="006E3079"/>
    <w:rsid w:val="006E30EF"/>
    <w:rsid w:val="006E312A"/>
    <w:rsid w:val="006E314B"/>
    <w:rsid w:val="006E31C5"/>
    <w:rsid w:val="006E328C"/>
    <w:rsid w:val="006E33C9"/>
    <w:rsid w:val="006E361D"/>
    <w:rsid w:val="006E3976"/>
    <w:rsid w:val="006E3F75"/>
    <w:rsid w:val="006E407A"/>
    <w:rsid w:val="006E4257"/>
    <w:rsid w:val="006E4552"/>
    <w:rsid w:val="006E45CB"/>
    <w:rsid w:val="006E4612"/>
    <w:rsid w:val="006E47F7"/>
    <w:rsid w:val="006E4936"/>
    <w:rsid w:val="006E4959"/>
    <w:rsid w:val="006E4AAA"/>
    <w:rsid w:val="006E4D57"/>
    <w:rsid w:val="006E5329"/>
    <w:rsid w:val="006E5837"/>
    <w:rsid w:val="006E59A8"/>
    <w:rsid w:val="006E5ABE"/>
    <w:rsid w:val="006E5DDD"/>
    <w:rsid w:val="006E60E9"/>
    <w:rsid w:val="006E60ED"/>
    <w:rsid w:val="006E6102"/>
    <w:rsid w:val="006E63CE"/>
    <w:rsid w:val="006E640A"/>
    <w:rsid w:val="006E6CAD"/>
    <w:rsid w:val="006E6CBF"/>
    <w:rsid w:val="006E6F76"/>
    <w:rsid w:val="006E6FA9"/>
    <w:rsid w:val="006E721D"/>
    <w:rsid w:val="006E7398"/>
    <w:rsid w:val="006E75DE"/>
    <w:rsid w:val="006E7651"/>
    <w:rsid w:val="006E7719"/>
    <w:rsid w:val="006E794A"/>
    <w:rsid w:val="006E7A13"/>
    <w:rsid w:val="006E7A44"/>
    <w:rsid w:val="006E7FA9"/>
    <w:rsid w:val="006F0298"/>
    <w:rsid w:val="006F03A7"/>
    <w:rsid w:val="006F0504"/>
    <w:rsid w:val="006F0514"/>
    <w:rsid w:val="006F0700"/>
    <w:rsid w:val="006F07B5"/>
    <w:rsid w:val="006F09D0"/>
    <w:rsid w:val="006F09FB"/>
    <w:rsid w:val="006F0D19"/>
    <w:rsid w:val="006F0E4C"/>
    <w:rsid w:val="006F1172"/>
    <w:rsid w:val="006F132E"/>
    <w:rsid w:val="006F1336"/>
    <w:rsid w:val="006F136E"/>
    <w:rsid w:val="006F14B1"/>
    <w:rsid w:val="006F1850"/>
    <w:rsid w:val="006F1991"/>
    <w:rsid w:val="006F1DC4"/>
    <w:rsid w:val="006F200B"/>
    <w:rsid w:val="006F22FE"/>
    <w:rsid w:val="006F237E"/>
    <w:rsid w:val="006F2398"/>
    <w:rsid w:val="006F281B"/>
    <w:rsid w:val="006F28BB"/>
    <w:rsid w:val="006F28FA"/>
    <w:rsid w:val="006F29E3"/>
    <w:rsid w:val="006F2B8D"/>
    <w:rsid w:val="006F2FA2"/>
    <w:rsid w:val="006F3060"/>
    <w:rsid w:val="006F30ED"/>
    <w:rsid w:val="006F30F3"/>
    <w:rsid w:val="006F32C4"/>
    <w:rsid w:val="006F32EA"/>
    <w:rsid w:val="006F32FA"/>
    <w:rsid w:val="006F348E"/>
    <w:rsid w:val="006F370E"/>
    <w:rsid w:val="006F3D08"/>
    <w:rsid w:val="006F3D27"/>
    <w:rsid w:val="006F3DC5"/>
    <w:rsid w:val="006F3F51"/>
    <w:rsid w:val="006F3F80"/>
    <w:rsid w:val="006F4136"/>
    <w:rsid w:val="006F428F"/>
    <w:rsid w:val="006F4306"/>
    <w:rsid w:val="006F44E0"/>
    <w:rsid w:val="006F4629"/>
    <w:rsid w:val="006F47A4"/>
    <w:rsid w:val="006F47D4"/>
    <w:rsid w:val="006F4A62"/>
    <w:rsid w:val="006F4B7A"/>
    <w:rsid w:val="006F4D5F"/>
    <w:rsid w:val="006F4E5B"/>
    <w:rsid w:val="006F515E"/>
    <w:rsid w:val="006F51FF"/>
    <w:rsid w:val="006F5225"/>
    <w:rsid w:val="006F5331"/>
    <w:rsid w:val="006F573C"/>
    <w:rsid w:val="006F5865"/>
    <w:rsid w:val="006F5904"/>
    <w:rsid w:val="006F591D"/>
    <w:rsid w:val="006F5C7F"/>
    <w:rsid w:val="006F5E62"/>
    <w:rsid w:val="006F6117"/>
    <w:rsid w:val="006F6376"/>
    <w:rsid w:val="006F6680"/>
    <w:rsid w:val="006F6930"/>
    <w:rsid w:val="006F6A50"/>
    <w:rsid w:val="006F6C2B"/>
    <w:rsid w:val="006F6C30"/>
    <w:rsid w:val="006F7128"/>
    <w:rsid w:val="006F715A"/>
    <w:rsid w:val="006F7509"/>
    <w:rsid w:val="006F756B"/>
    <w:rsid w:val="006F7603"/>
    <w:rsid w:val="006F7823"/>
    <w:rsid w:val="006F7957"/>
    <w:rsid w:val="006F79DF"/>
    <w:rsid w:val="006F7B57"/>
    <w:rsid w:val="006F7B65"/>
    <w:rsid w:val="007003E2"/>
    <w:rsid w:val="00700419"/>
    <w:rsid w:val="00700AE9"/>
    <w:rsid w:val="00700E46"/>
    <w:rsid w:val="00700F7A"/>
    <w:rsid w:val="007010D9"/>
    <w:rsid w:val="007011DC"/>
    <w:rsid w:val="007014D9"/>
    <w:rsid w:val="0070189C"/>
    <w:rsid w:val="00701AF8"/>
    <w:rsid w:val="00701B3B"/>
    <w:rsid w:val="00701B4C"/>
    <w:rsid w:val="00701C5E"/>
    <w:rsid w:val="00701E5B"/>
    <w:rsid w:val="00701EF5"/>
    <w:rsid w:val="00702059"/>
    <w:rsid w:val="0070206B"/>
    <w:rsid w:val="00702088"/>
    <w:rsid w:val="00702210"/>
    <w:rsid w:val="0070224D"/>
    <w:rsid w:val="007022A0"/>
    <w:rsid w:val="007025AD"/>
    <w:rsid w:val="007025B0"/>
    <w:rsid w:val="007026F8"/>
    <w:rsid w:val="0070279E"/>
    <w:rsid w:val="007029A0"/>
    <w:rsid w:val="00702BE5"/>
    <w:rsid w:val="00702F37"/>
    <w:rsid w:val="00703068"/>
    <w:rsid w:val="0070309F"/>
    <w:rsid w:val="0070318A"/>
    <w:rsid w:val="00703471"/>
    <w:rsid w:val="0070348B"/>
    <w:rsid w:val="00703601"/>
    <w:rsid w:val="00703732"/>
    <w:rsid w:val="00703F74"/>
    <w:rsid w:val="007041FD"/>
    <w:rsid w:val="007043B6"/>
    <w:rsid w:val="0070449C"/>
    <w:rsid w:val="007045AE"/>
    <w:rsid w:val="00704893"/>
    <w:rsid w:val="00704983"/>
    <w:rsid w:val="007049AE"/>
    <w:rsid w:val="00704B42"/>
    <w:rsid w:val="00704B7D"/>
    <w:rsid w:val="00704D1E"/>
    <w:rsid w:val="00704FE4"/>
    <w:rsid w:val="00705035"/>
    <w:rsid w:val="0070513B"/>
    <w:rsid w:val="0070567F"/>
    <w:rsid w:val="00705738"/>
    <w:rsid w:val="00705BF2"/>
    <w:rsid w:val="00705CB3"/>
    <w:rsid w:val="00705F4D"/>
    <w:rsid w:val="0070635D"/>
    <w:rsid w:val="0070660F"/>
    <w:rsid w:val="00706A17"/>
    <w:rsid w:val="00706A6B"/>
    <w:rsid w:val="0070716E"/>
    <w:rsid w:val="007071EA"/>
    <w:rsid w:val="00707275"/>
    <w:rsid w:val="0070741E"/>
    <w:rsid w:val="00707574"/>
    <w:rsid w:val="00707600"/>
    <w:rsid w:val="007076BC"/>
    <w:rsid w:val="00707A5C"/>
    <w:rsid w:val="00707CF4"/>
    <w:rsid w:val="00707FCE"/>
    <w:rsid w:val="0071005B"/>
    <w:rsid w:val="00710187"/>
    <w:rsid w:val="007101D2"/>
    <w:rsid w:val="00710338"/>
    <w:rsid w:val="00710619"/>
    <w:rsid w:val="007108F3"/>
    <w:rsid w:val="007108FD"/>
    <w:rsid w:val="0071092D"/>
    <w:rsid w:val="007109C7"/>
    <w:rsid w:val="00710C20"/>
    <w:rsid w:val="00710C4B"/>
    <w:rsid w:val="00710C81"/>
    <w:rsid w:val="00710C9D"/>
    <w:rsid w:val="00710E58"/>
    <w:rsid w:val="0071137C"/>
    <w:rsid w:val="00711511"/>
    <w:rsid w:val="0071162E"/>
    <w:rsid w:val="0071166E"/>
    <w:rsid w:val="00711851"/>
    <w:rsid w:val="00711944"/>
    <w:rsid w:val="007119B5"/>
    <w:rsid w:val="007121F1"/>
    <w:rsid w:val="007123B7"/>
    <w:rsid w:val="00712481"/>
    <w:rsid w:val="00712653"/>
    <w:rsid w:val="007127A4"/>
    <w:rsid w:val="00712812"/>
    <w:rsid w:val="00712963"/>
    <w:rsid w:val="00712A13"/>
    <w:rsid w:val="00712BBD"/>
    <w:rsid w:val="00712BFB"/>
    <w:rsid w:val="00712CC2"/>
    <w:rsid w:val="00713293"/>
    <w:rsid w:val="007135E4"/>
    <w:rsid w:val="0071362D"/>
    <w:rsid w:val="00713728"/>
    <w:rsid w:val="00713932"/>
    <w:rsid w:val="007139C8"/>
    <w:rsid w:val="00713AEC"/>
    <w:rsid w:val="00713BC8"/>
    <w:rsid w:val="00713BFD"/>
    <w:rsid w:val="00713F27"/>
    <w:rsid w:val="007140EC"/>
    <w:rsid w:val="007149B0"/>
    <w:rsid w:val="00714A67"/>
    <w:rsid w:val="00714C16"/>
    <w:rsid w:val="00714CDB"/>
    <w:rsid w:val="00714EDC"/>
    <w:rsid w:val="0071507E"/>
    <w:rsid w:val="0071512F"/>
    <w:rsid w:val="0071516C"/>
    <w:rsid w:val="007153B5"/>
    <w:rsid w:val="00715569"/>
    <w:rsid w:val="00715AD2"/>
    <w:rsid w:val="00715AF8"/>
    <w:rsid w:val="00715BC4"/>
    <w:rsid w:val="00715C86"/>
    <w:rsid w:val="00715D24"/>
    <w:rsid w:val="00715F16"/>
    <w:rsid w:val="00716195"/>
    <w:rsid w:val="007161C3"/>
    <w:rsid w:val="0071671B"/>
    <w:rsid w:val="007169BD"/>
    <w:rsid w:val="00716D67"/>
    <w:rsid w:val="00717063"/>
    <w:rsid w:val="00717188"/>
    <w:rsid w:val="007172EF"/>
    <w:rsid w:val="0071742C"/>
    <w:rsid w:val="0071744E"/>
    <w:rsid w:val="00717790"/>
    <w:rsid w:val="007178D0"/>
    <w:rsid w:val="0072016A"/>
    <w:rsid w:val="007201C1"/>
    <w:rsid w:val="00720216"/>
    <w:rsid w:val="0072026A"/>
    <w:rsid w:val="007202BB"/>
    <w:rsid w:val="0072030D"/>
    <w:rsid w:val="00720567"/>
    <w:rsid w:val="0072074A"/>
    <w:rsid w:val="00720878"/>
    <w:rsid w:val="007208D7"/>
    <w:rsid w:val="00720AAD"/>
    <w:rsid w:val="00720CCD"/>
    <w:rsid w:val="00720F65"/>
    <w:rsid w:val="00720F66"/>
    <w:rsid w:val="00721140"/>
    <w:rsid w:val="00721562"/>
    <w:rsid w:val="00721ACC"/>
    <w:rsid w:val="00721BE8"/>
    <w:rsid w:val="00721C53"/>
    <w:rsid w:val="00721CD1"/>
    <w:rsid w:val="00721F94"/>
    <w:rsid w:val="007223D0"/>
    <w:rsid w:val="00722534"/>
    <w:rsid w:val="00722539"/>
    <w:rsid w:val="00722B30"/>
    <w:rsid w:val="00722C43"/>
    <w:rsid w:val="00722CA7"/>
    <w:rsid w:val="00722F7F"/>
    <w:rsid w:val="00722FB5"/>
    <w:rsid w:val="0072331F"/>
    <w:rsid w:val="00723C7B"/>
    <w:rsid w:val="00723FDB"/>
    <w:rsid w:val="0072405E"/>
    <w:rsid w:val="00724090"/>
    <w:rsid w:val="007243BF"/>
    <w:rsid w:val="0072446D"/>
    <w:rsid w:val="007247DE"/>
    <w:rsid w:val="007248A8"/>
    <w:rsid w:val="007248CC"/>
    <w:rsid w:val="007249CB"/>
    <w:rsid w:val="007249D3"/>
    <w:rsid w:val="00724B53"/>
    <w:rsid w:val="00724C8C"/>
    <w:rsid w:val="00724FBF"/>
    <w:rsid w:val="007250FB"/>
    <w:rsid w:val="00725145"/>
    <w:rsid w:val="007259FF"/>
    <w:rsid w:val="00725C5F"/>
    <w:rsid w:val="00725F80"/>
    <w:rsid w:val="00726522"/>
    <w:rsid w:val="00726765"/>
    <w:rsid w:val="007267D9"/>
    <w:rsid w:val="007267DD"/>
    <w:rsid w:val="007268B1"/>
    <w:rsid w:val="00726925"/>
    <w:rsid w:val="007269B4"/>
    <w:rsid w:val="00726BE9"/>
    <w:rsid w:val="00726D09"/>
    <w:rsid w:val="00726D0E"/>
    <w:rsid w:val="00726E0C"/>
    <w:rsid w:val="00726E93"/>
    <w:rsid w:val="00726ED6"/>
    <w:rsid w:val="007270A5"/>
    <w:rsid w:val="007270E7"/>
    <w:rsid w:val="007272B5"/>
    <w:rsid w:val="0072764C"/>
    <w:rsid w:val="00727682"/>
    <w:rsid w:val="00727898"/>
    <w:rsid w:val="00727D99"/>
    <w:rsid w:val="00727EEA"/>
    <w:rsid w:val="0073012B"/>
    <w:rsid w:val="007303D2"/>
    <w:rsid w:val="007304ED"/>
    <w:rsid w:val="007306BA"/>
    <w:rsid w:val="00730B41"/>
    <w:rsid w:val="00730C16"/>
    <w:rsid w:val="00730D23"/>
    <w:rsid w:val="00730D86"/>
    <w:rsid w:val="00730DE3"/>
    <w:rsid w:val="00731166"/>
    <w:rsid w:val="0073139D"/>
    <w:rsid w:val="00731606"/>
    <w:rsid w:val="0073169E"/>
    <w:rsid w:val="007318B3"/>
    <w:rsid w:val="007319E3"/>
    <w:rsid w:val="00731ADA"/>
    <w:rsid w:val="00731DA1"/>
    <w:rsid w:val="00731F91"/>
    <w:rsid w:val="00732079"/>
    <w:rsid w:val="00732518"/>
    <w:rsid w:val="007325F1"/>
    <w:rsid w:val="00732AAF"/>
    <w:rsid w:val="00732C09"/>
    <w:rsid w:val="00732E6E"/>
    <w:rsid w:val="00732ECF"/>
    <w:rsid w:val="0073316D"/>
    <w:rsid w:val="007332AD"/>
    <w:rsid w:val="00733341"/>
    <w:rsid w:val="007333E4"/>
    <w:rsid w:val="007337E2"/>
    <w:rsid w:val="007339EE"/>
    <w:rsid w:val="00733DB1"/>
    <w:rsid w:val="00733E97"/>
    <w:rsid w:val="00734034"/>
    <w:rsid w:val="0073459C"/>
    <w:rsid w:val="007345D7"/>
    <w:rsid w:val="00734626"/>
    <w:rsid w:val="00734D44"/>
    <w:rsid w:val="00734DB8"/>
    <w:rsid w:val="0073508D"/>
    <w:rsid w:val="0073512A"/>
    <w:rsid w:val="00735599"/>
    <w:rsid w:val="00735622"/>
    <w:rsid w:val="00735825"/>
    <w:rsid w:val="00735AEE"/>
    <w:rsid w:val="00735B43"/>
    <w:rsid w:val="00735BAE"/>
    <w:rsid w:val="00735BC3"/>
    <w:rsid w:val="00735D0B"/>
    <w:rsid w:val="00735FD3"/>
    <w:rsid w:val="00736079"/>
    <w:rsid w:val="0073618C"/>
    <w:rsid w:val="00736263"/>
    <w:rsid w:val="0073655D"/>
    <w:rsid w:val="00736A77"/>
    <w:rsid w:val="00736B68"/>
    <w:rsid w:val="00736C02"/>
    <w:rsid w:val="00736C63"/>
    <w:rsid w:val="00736CC2"/>
    <w:rsid w:val="00736E41"/>
    <w:rsid w:val="00736EA1"/>
    <w:rsid w:val="00736FD1"/>
    <w:rsid w:val="007371E5"/>
    <w:rsid w:val="007377D5"/>
    <w:rsid w:val="0073790F"/>
    <w:rsid w:val="0073793C"/>
    <w:rsid w:val="00737ABF"/>
    <w:rsid w:val="00737B62"/>
    <w:rsid w:val="00737E97"/>
    <w:rsid w:val="0074001A"/>
    <w:rsid w:val="00740230"/>
    <w:rsid w:val="00740265"/>
    <w:rsid w:val="007402FD"/>
    <w:rsid w:val="007403F4"/>
    <w:rsid w:val="00740433"/>
    <w:rsid w:val="00740870"/>
    <w:rsid w:val="007409FB"/>
    <w:rsid w:val="00740A99"/>
    <w:rsid w:val="00740AA8"/>
    <w:rsid w:val="00740C1A"/>
    <w:rsid w:val="00740C47"/>
    <w:rsid w:val="00740E5E"/>
    <w:rsid w:val="00740FA8"/>
    <w:rsid w:val="00740FDA"/>
    <w:rsid w:val="007410A1"/>
    <w:rsid w:val="007410AA"/>
    <w:rsid w:val="0074138B"/>
    <w:rsid w:val="007413AC"/>
    <w:rsid w:val="007413D2"/>
    <w:rsid w:val="00741657"/>
    <w:rsid w:val="00741819"/>
    <w:rsid w:val="007418E1"/>
    <w:rsid w:val="00741906"/>
    <w:rsid w:val="00741943"/>
    <w:rsid w:val="00741DB2"/>
    <w:rsid w:val="0074208B"/>
    <w:rsid w:val="007420E4"/>
    <w:rsid w:val="007422A6"/>
    <w:rsid w:val="007426E0"/>
    <w:rsid w:val="007429BD"/>
    <w:rsid w:val="00742A11"/>
    <w:rsid w:val="00742A62"/>
    <w:rsid w:val="00742AC7"/>
    <w:rsid w:val="00742AE2"/>
    <w:rsid w:val="00742E32"/>
    <w:rsid w:val="0074314F"/>
    <w:rsid w:val="0074320B"/>
    <w:rsid w:val="0074334F"/>
    <w:rsid w:val="0074345F"/>
    <w:rsid w:val="007439BF"/>
    <w:rsid w:val="00743B12"/>
    <w:rsid w:val="00743EBD"/>
    <w:rsid w:val="00743FDA"/>
    <w:rsid w:val="00744106"/>
    <w:rsid w:val="00744426"/>
    <w:rsid w:val="00744DF5"/>
    <w:rsid w:val="00745008"/>
    <w:rsid w:val="00745013"/>
    <w:rsid w:val="00745142"/>
    <w:rsid w:val="00745437"/>
    <w:rsid w:val="00745EA1"/>
    <w:rsid w:val="00745F85"/>
    <w:rsid w:val="00746181"/>
    <w:rsid w:val="007466C2"/>
    <w:rsid w:val="007466C3"/>
    <w:rsid w:val="00746872"/>
    <w:rsid w:val="0074689B"/>
    <w:rsid w:val="00746BC6"/>
    <w:rsid w:val="00746CA1"/>
    <w:rsid w:val="00746F50"/>
    <w:rsid w:val="00746FB2"/>
    <w:rsid w:val="00747167"/>
    <w:rsid w:val="0074767C"/>
    <w:rsid w:val="00747688"/>
    <w:rsid w:val="0074768E"/>
    <w:rsid w:val="0074799F"/>
    <w:rsid w:val="00747A69"/>
    <w:rsid w:val="00747A6D"/>
    <w:rsid w:val="00747F49"/>
    <w:rsid w:val="00750302"/>
    <w:rsid w:val="00750430"/>
    <w:rsid w:val="0075081C"/>
    <w:rsid w:val="0075097D"/>
    <w:rsid w:val="00750ED9"/>
    <w:rsid w:val="00750F1E"/>
    <w:rsid w:val="00750F30"/>
    <w:rsid w:val="00750F83"/>
    <w:rsid w:val="00751102"/>
    <w:rsid w:val="0075120C"/>
    <w:rsid w:val="00751335"/>
    <w:rsid w:val="0075134E"/>
    <w:rsid w:val="007513F6"/>
    <w:rsid w:val="00751618"/>
    <w:rsid w:val="007517B5"/>
    <w:rsid w:val="0075193C"/>
    <w:rsid w:val="00751AE2"/>
    <w:rsid w:val="00751AED"/>
    <w:rsid w:val="00751B25"/>
    <w:rsid w:val="00751C60"/>
    <w:rsid w:val="00751CBE"/>
    <w:rsid w:val="00751ECB"/>
    <w:rsid w:val="0075201D"/>
    <w:rsid w:val="007524B9"/>
    <w:rsid w:val="00752500"/>
    <w:rsid w:val="00752B5B"/>
    <w:rsid w:val="00752F11"/>
    <w:rsid w:val="0075330D"/>
    <w:rsid w:val="00753490"/>
    <w:rsid w:val="00753492"/>
    <w:rsid w:val="0075378D"/>
    <w:rsid w:val="00753BC9"/>
    <w:rsid w:val="00753DDA"/>
    <w:rsid w:val="00753DEE"/>
    <w:rsid w:val="00753ECE"/>
    <w:rsid w:val="00753F9F"/>
    <w:rsid w:val="00754124"/>
    <w:rsid w:val="007544B3"/>
    <w:rsid w:val="007544BB"/>
    <w:rsid w:val="007544F0"/>
    <w:rsid w:val="007545A3"/>
    <w:rsid w:val="007546DB"/>
    <w:rsid w:val="0075485F"/>
    <w:rsid w:val="00754B64"/>
    <w:rsid w:val="00754BB6"/>
    <w:rsid w:val="00754CB9"/>
    <w:rsid w:val="007550D0"/>
    <w:rsid w:val="00755721"/>
    <w:rsid w:val="007557C5"/>
    <w:rsid w:val="00755A61"/>
    <w:rsid w:val="00755C16"/>
    <w:rsid w:val="007560DC"/>
    <w:rsid w:val="007560E9"/>
    <w:rsid w:val="00756485"/>
    <w:rsid w:val="00756585"/>
    <w:rsid w:val="00756655"/>
    <w:rsid w:val="00756660"/>
    <w:rsid w:val="007566F0"/>
    <w:rsid w:val="00756B38"/>
    <w:rsid w:val="00756BAD"/>
    <w:rsid w:val="00756D24"/>
    <w:rsid w:val="00756E67"/>
    <w:rsid w:val="00757082"/>
    <w:rsid w:val="007571BC"/>
    <w:rsid w:val="007571FE"/>
    <w:rsid w:val="007572B6"/>
    <w:rsid w:val="0075734E"/>
    <w:rsid w:val="00757382"/>
    <w:rsid w:val="007573C5"/>
    <w:rsid w:val="0075788D"/>
    <w:rsid w:val="007578CA"/>
    <w:rsid w:val="0075792A"/>
    <w:rsid w:val="0075792B"/>
    <w:rsid w:val="00757B13"/>
    <w:rsid w:val="00757BE4"/>
    <w:rsid w:val="00760307"/>
    <w:rsid w:val="00760321"/>
    <w:rsid w:val="00760487"/>
    <w:rsid w:val="007607CE"/>
    <w:rsid w:val="00760910"/>
    <w:rsid w:val="00760E1A"/>
    <w:rsid w:val="00760E8D"/>
    <w:rsid w:val="0076122C"/>
    <w:rsid w:val="00761249"/>
    <w:rsid w:val="00761706"/>
    <w:rsid w:val="00761785"/>
    <w:rsid w:val="0076186D"/>
    <w:rsid w:val="00761AE7"/>
    <w:rsid w:val="00761B18"/>
    <w:rsid w:val="00761C55"/>
    <w:rsid w:val="00761CB0"/>
    <w:rsid w:val="00761CBB"/>
    <w:rsid w:val="00762177"/>
    <w:rsid w:val="00762694"/>
    <w:rsid w:val="00762AE9"/>
    <w:rsid w:val="00762BCE"/>
    <w:rsid w:val="00762E7D"/>
    <w:rsid w:val="00762EE2"/>
    <w:rsid w:val="00762FD3"/>
    <w:rsid w:val="00763033"/>
    <w:rsid w:val="007633C0"/>
    <w:rsid w:val="007638E3"/>
    <w:rsid w:val="00763D8C"/>
    <w:rsid w:val="00763F3A"/>
    <w:rsid w:val="00763F93"/>
    <w:rsid w:val="00764068"/>
    <w:rsid w:val="007641C1"/>
    <w:rsid w:val="00764201"/>
    <w:rsid w:val="007643C5"/>
    <w:rsid w:val="00764597"/>
    <w:rsid w:val="00764707"/>
    <w:rsid w:val="007647A5"/>
    <w:rsid w:val="00764853"/>
    <w:rsid w:val="00764D5C"/>
    <w:rsid w:val="00764EB9"/>
    <w:rsid w:val="00764FF4"/>
    <w:rsid w:val="00765091"/>
    <w:rsid w:val="00765307"/>
    <w:rsid w:val="0076590C"/>
    <w:rsid w:val="00765A45"/>
    <w:rsid w:val="00765AAF"/>
    <w:rsid w:val="00765BEB"/>
    <w:rsid w:val="00765D9A"/>
    <w:rsid w:val="0076602E"/>
    <w:rsid w:val="00766212"/>
    <w:rsid w:val="007666C3"/>
    <w:rsid w:val="00766BED"/>
    <w:rsid w:val="00766F7B"/>
    <w:rsid w:val="00766F93"/>
    <w:rsid w:val="00767112"/>
    <w:rsid w:val="007676B1"/>
    <w:rsid w:val="007677EC"/>
    <w:rsid w:val="00767A3B"/>
    <w:rsid w:val="00767E6C"/>
    <w:rsid w:val="00767EE1"/>
    <w:rsid w:val="00767F30"/>
    <w:rsid w:val="0077042F"/>
    <w:rsid w:val="007705FF"/>
    <w:rsid w:val="007707F8"/>
    <w:rsid w:val="00770A5B"/>
    <w:rsid w:val="00770DD2"/>
    <w:rsid w:val="00770DD7"/>
    <w:rsid w:val="00770F2B"/>
    <w:rsid w:val="00770FBB"/>
    <w:rsid w:val="00770FE7"/>
    <w:rsid w:val="0077118E"/>
    <w:rsid w:val="007713CD"/>
    <w:rsid w:val="00771A03"/>
    <w:rsid w:val="00771A68"/>
    <w:rsid w:val="00771AA4"/>
    <w:rsid w:val="00771B1E"/>
    <w:rsid w:val="00771C80"/>
    <w:rsid w:val="00771E9F"/>
    <w:rsid w:val="00771F60"/>
    <w:rsid w:val="00771FAE"/>
    <w:rsid w:val="0077202D"/>
    <w:rsid w:val="007720C0"/>
    <w:rsid w:val="007723A2"/>
    <w:rsid w:val="00772446"/>
    <w:rsid w:val="00772BB2"/>
    <w:rsid w:val="00772E93"/>
    <w:rsid w:val="00772ECE"/>
    <w:rsid w:val="00773054"/>
    <w:rsid w:val="007732FE"/>
    <w:rsid w:val="0077332C"/>
    <w:rsid w:val="00773552"/>
    <w:rsid w:val="00773555"/>
    <w:rsid w:val="007735FD"/>
    <w:rsid w:val="0077367A"/>
    <w:rsid w:val="007737B6"/>
    <w:rsid w:val="00773895"/>
    <w:rsid w:val="00773975"/>
    <w:rsid w:val="00773B1C"/>
    <w:rsid w:val="00773BC0"/>
    <w:rsid w:val="0077416B"/>
    <w:rsid w:val="007744E2"/>
    <w:rsid w:val="0077483D"/>
    <w:rsid w:val="00774B56"/>
    <w:rsid w:val="00774BB7"/>
    <w:rsid w:val="00774CE7"/>
    <w:rsid w:val="00774DD1"/>
    <w:rsid w:val="007750ED"/>
    <w:rsid w:val="00775522"/>
    <w:rsid w:val="0077567F"/>
    <w:rsid w:val="00775713"/>
    <w:rsid w:val="00775846"/>
    <w:rsid w:val="0077590E"/>
    <w:rsid w:val="00775951"/>
    <w:rsid w:val="00775A4C"/>
    <w:rsid w:val="00775B60"/>
    <w:rsid w:val="00775CF2"/>
    <w:rsid w:val="0077601A"/>
    <w:rsid w:val="0077610B"/>
    <w:rsid w:val="00776215"/>
    <w:rsid w:val="007762AC"/>
    <w:rsid w:val="0077668B"/>
    <w:rsid w:val="00776840"/>
    <w:rsid w:val="00776859"/>
    <w:rsid w:val="00776C7B"/>
    <w:rsid w:val="00776DD3"/>
    <w:rsid w:val="00777196"/>
    <w:rsid w:val="007773F6"/>
    <w:rsid w:val="007775C6"/>
    <w:rsid w:val="0077768C"/>
    <w:rsid w:val="00777886"/>
    <w:rsid w:val="00777AB9"/>
    <w:rsid w:val="00777B53"/>
    <w:rsid w:val="00777D7C"/>
    <w:rsid w:val="00777E05"/>
    <w:rsid w:val="00777E43"/>
    <w:rsid w:val="00777F01"/>
    <w:rsid w:val="00780092"/>
    <w:rsid w:val="00780173"/>
    <w:rsid w:val="007801B3"/>
    <w:rsid w:val="00780B5B"/>
    <w:rsid w:val="00780F48"/>
    <w:rsid w:val="00781162"/>
    <w:rsid w:val="0078142C"/>
    <w:rsid w:val="007814C1"/>
    <w:rsid w:val="00781522"/>
    <w:rsid w:val="0078179E"/>
    <w:rsid w:val="00781981"/>
    <w:rsid w:val="00781B33"/>
    <w:rsid w:val="00781D56"/>
    <w:rsid w:val="00781E32"/>
    <w:rsid w:val="00781EFC"/>
    <w:rsid w:val="00782106"/>
    <w:rsid w:val="007824D2"/>
    <w:rsid w:val="007827C3"/>
    <w:rsid w:val="007828A8"/>
    <w:rsid w:val="00782999"/>
    <w:rsid w:val="00782AC6"/>
    <w:rsid w:val="00782DC1"/>
    <w:rsid w:val="00782DE0"/>
    <w:rsid w:val="00782E65"/>
    <w:rsid w:val="00782E70"/>
    <w:rsid w:val="00782F8B"/>
    <w:rsid w:val="00783159"/>
    <w:rsid w:val="007831BB"/>
    <w:rsid w:val="00783285"/>
    <w:rsid w:val="0078333C"/>
    <w:rsid w:val="007837E2"/>
    <w:rsid w:val="00783FB0"/>
    <w:rsid w:val="007841C6"/>
    <w:rsid w:val="0078477E"/>
    <w:rsid w:val="0078499A"/>
    <w:rsid w:val="00784A0F"/>
    <w:rsid w:val="00784A98"/>
    <w:rsid w:val="00784AC0"/>
    <w:rsid w:val="00784B67"/>
    <w:rsid w:val="00784B6A"/>
    <w:rsid w:val="00784BEE"/>
    <w:rsid w:val="00784DE2"/>
    <w:rsid w:val="00784FEF"/>
    <w:rsid w:val="007853EC"/>
    <w:rsid w:val="007855F3"/>
    <w:rsid w:val="00785685"/>
    <w:rsid w:val="007856E0"/>
    <w:rsid w:val="00785F26"/>
    <w:rsid w:val="00786236"/>
    <w:rsid w:val="00786414"/>
    <w:rsid w:val="00786476"/>
    <w:rsid w:val="00786516"/>
    <w:rsid w:val="007867DD"/>
    <w:rsid w:val="0078691F"/>
    <w:rsid w:val="00786C55"/>
    <w:rsid w:val="00786E5C"/>
    <w:rsid w:val="00787906"/>
    <w:rsid w:val="0078794A"/>
    <w:rsid w:val="00787CD5"/>
    <w:rsid w:val="00787CE7"/>
    <w:rsid w:val="00787E9D"/>
    <w:rsid w:val="00787F9E"/>
    <w:rsid w:val="00790065"/>
    <w:rsid w:val="00790347"/>
    <w:rsid w:val="00790380"/>
    <w:rsid w:val="00790410"/>
    <w:rsid w:val="00790433"/>
    <w:rsid w:val="007905CF"/>
    <w:rsid w:val="00790679"/>
    <w:rsid w:val="007908A3"/>
    <w:rsid w:val="007908B9"/>
    <w:rsid w:val="00790B31"/>
    <w:rsid w:val="00790B78"/>
    <w:rsid w:val="00790B7E"/>
    <w:rsid w:val="00790CB7"/>
    <w:rsid w:val="0079113C"/>
    <w:rsid w:val="00791211"/>
    <w:rsid w:val="007915B3"/>
    <w:rsid w:val="00791914"/>
    <w:rsid w:val="00791AA5"/>
    <w:rsid w:val="00791BD9"/>
    <w:rsid w:val="00791C9B"/>
    <w:rsid w:val="00791D44"/>
    <w:rsid w:val="00792255"/>
    <w:rsid w:val="00792348"/>
    <w:rsid w:val="00792454"/>
    <w:rsid w:val="007925C9"/>
    <w:rsid w:val="00792636"/>
    <w:rsid w:val="007928DE"/>
    <w:rsid w:val="0079291B"/>
    <w:rsid w:val="007929E7"/>
    <w:rsid w:val="00792C99"/>
    <w:rsid w:val="00792CDC"/>
    <w:rsid w:val="00792E5E"/>
    <w:rsid w:val="00792F47"/>
    <w:rsid w:val="0079366E"/>
    <w:rsid w:val="00793985"/>
    <w:rsid w:val="007939AF"/>
    <w:rsid w:val="00793A17"/>
    <w:rsid w:val="00793CB3"/>
    <w:rsid w:val="00793D70"/>
    <w:rsid w:val="0079409D"/>
    <w:rsid w:val="007941BA"/>
    <w:rsid w:val="00794263"/>
    <w:rsid w:val="0079429D"/>
    <w:rsid w:val="00794334"/>
    <w:rsid w:val="007944DD"/>
    <w:rsid w:val="0079468E"/>
    <w:rsid w:val="007947DF"/>
    <w:rsid w:val="00794A47"/>
    <w:rsid w:val="00794AC2"/>
    <w:rsid w:val="00794C50"/>
    <w:rsid w:val="00794D69"/>
    <w:rsid w:val="0079545D"/>
    <w:rsid w:val="00795B4F"/>
    <w:rsid w:val="00795CBA"/>
    <w:rsid w:val="00795D26"/>
    <w:rsid w:val="00795FAA"/>
    <w:rsid w:val="00795FBC"/>
    <w:rsid w:val="007962CC"/>
    <w:rsid w:val="0079633D"/>
    <w:rsid w:val="007967E5"/>
    <w:rsid w:val="007969D4"/>
    <w:rsid w:val="00796FBF"/>
    <w:rsid w:val="0079723B"/>
    <w:rsid w:val="0079726E"/>
    <w:rsid w:val="00797432"/>
    <w:rsid w:val="00797470"/>
    <w:rsid w:val="0079764D"/>
    <w:rsid w:val="00797810"/>
    <w:rsid w:val="0079787B"/>
    <w:rsid w:val="0079798B"/>
    <w:rsid w:val="00797B1F"/>
    <w:rsid w:val="00797D4D"/>
    <w:rsid w:val="00797DDE"/>
    <w:rsid w:val="007A02ED"/>
    <w:rsid w:val="007A0F2D"/>
    <w:rsid w:val="007A1714"/>
    <w:rsid w:val="007A1A0F"/>
    <w:rsid w:val="007A1A54"/>
    <w:rsid w:val="007A1C26"/>
    <w:rsid w:val="007A1C33"/>
    <w:rsid w:val="007A208D"/>
    <w:rsid w:val="007A21FA"/>
    <w:rsid w:val="007A2239"/>
    <w:rsid w:val="007A2249"/>
    <w:rsid w:val="007A2979"/>
    <w:rsid w:val="007A2ADF"/>
    <w:rsid w:val="007A2ECA"/>
    <w:rsid w:val="007A2F11"/>
    <w:rsid w:val="007A3018"/>
    <w:rsid w:val="007A31A0"/>
    <w:rsid w:val="007A325E"/>
    <w:rsid w:val="007A3294"/>
    <w:rsid w:val="007A3662"/>
    <w:rsid w:val="007A38B8"/>
    <w:rsid w:val="007A399F"/>
    <w:rsid w:val="007A3A3E"/>
    <w:rsid w:val="007A3B4A"/>
    <w:rsid w:val="007A3BC1"/>
    <w:rsid w:val="007A4164"/>
    <w:rsid w:val="007A44B2"/>
    <w:rsid w:val="007A480C"/>
    <w:rsid w:val="007A48D3"/>
    <w:rsid w:val="007A48D7"/>
    <w:rsid w:val="007A4A25"/>
    <w:rsid w:val="007A4AAC"/>
    <w:rsid w:val="007A4DA5"/>
    <w:rsid w:val="007A4E13"/>
    <w:rsid w:val="007A528A"/>
    <w:rsid w:val="007A5353"/>
    <w:rsid w:val="007A537B"/>
    <w:rsid w:val="007A550F"/>
    <w:rsid w:val="007A558B"/>
    <w:rsid w:val="007A58A3"/>
    <w:rsid w:val="007A59C8"/>
    <w:rsid w:val="007A5A71"/>
    <w:rsid w:val="007A5B2F"/>
    <w:rsid w:val="007A6151"/>
    <w:rsid w:val="007A6181"/>
    <w:rsid w:val="007A667C"/>
    <w:rsid w:val="007A6750"/>
    <w:rsid w:val="007A6962"/>
    <w:rsid w:val="007A699F"/>
    <w:rsid w:val="007A6AD4"/>
    <w:rsid w:val="007A6C70"/>
    <w:rsid w:val="007A6CC4"/>
    <w:rsid w:val="007A6DE2"/>
    <w:rsid w:val="007A6DEF"/>
    <w:rsid w:val="007A6EA9"/>
    <w:rsid w:val="007A6EF2"/>
    <w:rsid w:val="007A7028"/>
    <w:rsid w:val="007A71E3"/>
    <w:rsid w:val="007A7365"/>
    <w:rsid w:val="007A73DD"/>
    <w:rsid w:val="007A7439"/>
    <w:rsid w:val="007A745F"/>
    <w:rsid w:val="007A79CF"/>
    <w:rsid w:val="007A7B2E"/>
    <w:rsid w:val="007A7C06"/>
    <w:rsid w:val="007A7DF9"/>
    <w:rsid w:val="007A7FA8"/>
    <w:rsid w:val="007A7FB1"/>
    <w:rsid w:val="007B0236"/>
    <w:rsid w:val="007B0260"/>
    <w:rsid w:val="007B0855"/>
    <w:rsid w:val="007B0CF0"/>
    <w:rsid w:val="007B0F88"/>
    <w:rsid w:val="007B11D4"/>
    <w:rsid w:val="007B1320"/>
    <w:rsid w:val="007B151D"/>
    <w:rsid w:val="007B16D8"/>
    <w:rsid w:val="007B1B12"/>
    <w:rsid w:val="007B1B3A"/>
    <w:rsid w:val="007B25BC"/>
    <w:rsid w:val="007B25EE"/>
    <w:rsid w:val="007B27BF"/>
    <w:rsid w:val="007B2A8E"/>
    <w:rsid w:val="007B2AD8"/>
    <w:rsid w:val="007B2DC0"/>
    <w:rsid w:val="007B2F99"/>
    <w:rsid w:val="007B325F"/>
    <w:rsid w:val="007B35DB"/>
    <w:rsid w:val="007B390B"/>
    <w:rsid w:val="007B3EEA"/>
    <w:rsid w:val="007B4096"/>
    <w:rsid w:val="007B4259"/>
    <w:rsid w:val="007B42EF"/>
    <w:rsid w:val="007B44F4"/>
    <w:rsid w:val="007B4504"/>
    <w:rsid w:val="007B450D"/>
    <w:rsid w:val="007B45C0"/>
    <w:rsid w:val="007B4730"/>
    <w:rsid w:val="007B496D"/>
    <w:rsid w:val="007B49B8"/>
    <w:rsid w:val="007B4BCF"/>
    <w:rsid w:val="007B4C1B"/>
    <w:rsid w:val="007B538B"/>
    <w:rsid w:val="007B595D"/>
    <w:rsid w:val="007B5A5F"/>
    <w:rsid w:val="007B5E3A"/>
    <w:rsid w:val="007B6028"/>
    <w:rsid w:val="007B6095"/>
    <w:rsid w:val="007B644D"/>
    <w:rsid w:val="007B656B"/>
    <w:rsid w:val="007B6927"/>
    <w:rsid w:val="007B7266"/>
    <w:rsid w:val="007B74FB"/>
    <w:rsid w:val="007B75C2"/>
    <w:rsid w:val="007B76C0"/>
    <w:rsid w:val="007B76F3"/>
    <w:rsid w:val="007B770A"/>
    <w:rsid w:val="007B79C2"/>
    <w:rsid w:val="007B7A18"/>
    <w:rsid w:val="007B7C3C"/>
    <w:rsid w:val="007B7E51"/>
    <w:rsid w:val="007C007E"/>
    <w:rsid w:val="007C0099"/>
    <w:rsid w:val="007C00D7"/>
    <w:rsid w:val="007C0340"/>
    <w:rsid w:val="007C05BD"/>
    <w:rsid w:val="007C0614"/>
    <w:rsid w:val="007C09CC"/>
    <w:rsid w:val="007C0F41"/>
    <w:rsid w:val="007C1124"/>
    <w:rsid w:val="007C18D1"/>
    <w:rsid w:val="007C19F0"/>
    <w:rsid w:val="007C1C18"/>
    <w:rsid w:val="007C1D1E"/>
    <w:rsid w:val="007C1E12"/>
    <w:rsid w:val="007C1F75"/>
    <w:rsid w:val="007C21B4"/>
    <w:rsid w:val="007C29B8"/>
    <w:rsid w:val="007C308C"/>
    <w:rsid w:val="007C3160"/>
    <w:rsid w:val="007C31DD"/>
    <w:rsid w:val="007C378F"/>
    <w:rsid w:val="007C3CAB"/>
    <w:rsid w:val="007C3D0A"/>
    <w:rsid w:val="007C3D20"/>
    <w:rsid w:val="007C3DA4"/>
    <w:rsid w:val="007C3FF9"/>
    <w:rsid w:val="007C496E"/>
    <w:rsid w:val="007C4AA2"/>
    <w:rsid w:val="007C4D98"/>
    <w:rsid w:val="007C4E38"/>
    <w:rsid w:val="007C4EB4"/>
    <w:rsid w:val="007C512C"/>
    <w:rsid w:val="007C5572"/>
    <w:rsid w:val="007C59A0"/>
    <w:rsid w:val="007C5AA4"/>
    <w:rsid w:val="007C5B07"/>
    <w:rsid w:val="007C5B6B"/>
    <w:rsid w:val="007C5EE9"/>
    <w:rsid w:val="007C658B"/>
    <w:rsid w:val="007C6964"/>
    <w:rsid w:val="007C6C4C"/>
    <w:rsid w:val="007C6CED"/>
    <w:rsid w:val="007C6F99"/>
    <w:rsid w:val="007C770F"/>
    <w:rsid w:val="007C7913"/>
    <w:rsid w:val="007C7ED5"/>
    <w:rsid w:val="007C7FF5"/>
    <w:rsid w:val="007CFC1C"/>
    <w:rsid w:val="007D01B1"/>
    <w:rsid w:val="007D0831"/>
    <w:rsid w:val="007D0BD7"/>
    <w:rsid w:val="007D1094"/>
    <w:rsid w:val="007D13A4"/>
    <w:rsid w:val="007D13D9"/>
    <w:rsid w:val="007D14FA"/>
    <w:rsid w:val="007D1523"/>
    <w:rsid w:val="007D1687"/>
    <w:rsid w:val="007D1923"/>
    <w:rsid w:val="007D19EE"/>
    <w:rsid w:val="007D1AF4"/>
    <w:rsid w:val="007D1C0C"/>
    <w:rsid w:val="007D1C11"/>
    <w:rsid w:val="007D2391"/>
    <w:rsid w:val="007D2392"/>
    <w:rsid w:val="007D251A"/>
    <w:rsid w:val="007D25BB"/>
    <w:rsid w:val="007D266D"/>
    <w:rsid w:val="007D2AD4"/>
    <w:rsid w:val="007D31A9"/>
    <w:rsid w:val="007D3304"/>
    <w:rsid w:val="007D331F"/>
    <w:rsid w:val="007D33E5"/>
    <w:rsid w:val="007D349E"/>
    <w:rsid w:val="007D35D6"/>
    <w:rsid w:val="007D363D"/>
    <w:rsid w:val="007D36D2"/>
    <w:rsid w:val="007D3759"/>
    <w:rsid w:val="007D378F"/>
    <w:rsid w:val="007D37A1"/>
    <w:rsid w:val="007D3E70"/>
    <w:rsid w:val="007D3EB7"/>
    <w:rsid w:val="007D408F"/>
    <w:rsid w:val="007D437A"/>
    <w:rsid w:val="007D439E"/>
    <w:rsid w:val="007D451F"/>
    <w:rsid w:val="007D4771"/>
    <w:rsid w:val="007D49FD"/>
    <w:rsid w:val="007D4C21"/>
    <w:rsid w:val="007D4DA9"/>
    <w:rsid w:val="007D509E"/>
    <w:rsid w:val="007D51AD"/>
    <w:rsid w:val="007D5406"/>
    <w:rsid w:val="007D55B3"/>
    <w:rsid w:val="007D5673"/>
    <w:rsid w:val="007D56DD"/>
    <w:rsid w:val="007D591B"/>
    <w:rsid w:val="007D5954"/>
    <w:rsid w:val="007D59EB"/>
    <w:rsid w:val="007D61E6"/>
    <w:rsid w:val="007D65C8"/>
    <w:rsid w:val="007D6683"/>
    <w:rsid w:val="007D7579"/>
    <w:rsid w:val="007D760D"/>
    <w:rsid w:val="007D765D"/>
    <w:rsid w:val="007D7D7B"/>
    <w:rsid w:val="007D7DC1"/>
    <w:rsid w:val="007D7DC2"/>
    <w:rsid w:val="007D7EF1"/>
    <w:rsid w:val="007D7F87"/>
    <w:rsid w:val="007DC38A"/>
    <w:rsid w:val="007E083C"/>
    <w:rsid w:val="007E1005"/>
    <w:rsid w:val="007E1104"/>
    <w:rsid w:val="007E1195"/>
    <w:rsid w:val="007E1259"/>
    <w:rsid w:val="007E1587"/>
    <w:rsid w:val="007E15D5"/>
    <w:rsid w:val="007E1A0B"/>
    <w:rsid w:val="007E1AF4"/>
    <w:rsid w:val="007E1B19"/>
    <w:rsid w:val="007E1B5D"/>
    <w:rsid w:val="007E1CA6"/>
    <w:rsid w:val="007E2148"/>
    <w:rsid w:val="007E26BD"/>
    <w:rsid w:val="007E2DED"/>
    <w:rsid w:val="007E2EF1"/>
    <w:rsid w:val="007E3146"/>
    <w:rsid w:val="007E33CA"/>
    <w:rsid w:val="007E384A"/>
    <w:rsid w:val="007E3918"/>
    <w:rsid w:val="007E3EF4"/>
    <w:rsid w:val="007E42AA"/>
    <w:rsid w:val="007E461E"/>
    <w:rsid w:val="007E4B32"/>
    <w:rsid w:val="007E4B8C"/>
    <w:rsid w:val="007E4BB2"/>
    <w:rsid w:val="007E4C91"/>
    <w:rsid w:val="007E4EE9"/>
    <w:rsid w:val="007E5A99"/>
    <w:rsid w:val="007E5C48"/>
    <w:rsid w:val="007E5C51"/>
    <w:rsid w:val="007E5D1C"/>
    <w:rsid w:val="007E5D27"/>
    <w:rsid w:val="007E5E37"/>
    <w:rsid w:val="007E5F52"/>
    <w:rsid w:val="007E6379"/>
    <w:rsid w:val="007E65A0"/>
    <w:rsid w:val="007E6684"/>
    <w:rsid w:val="007E67A8"/>
    <w:rsid w:val="007E69B2"/>
    <w:rsid w:val="007E6AD8"/>
    <w:rsid w:val="007E6B95"/>
    <w:rsid w:val="007E6DD0"/>
    <w:rsid w:val="007E6FCC"/>
    <w:rsid w:val="007E71B4"/>
    <w:rsid w:val="007E77EA"/>
    <w:rsid w:val="007E7CAD"/>
    <w:rsid w:val="007F0054"/>
    <w:rsid w:val="007F0374"/>
    <w:rsid w:val="007F056C"/>
    <w:rsid w:val="007F0589"/>
    <w:rsid w:val="007F0795"/>
    <w:rsid w:val="007F0AE9"/>
    <w:rsid w:val="007F0D28"/>
    <w:rsid w:val="007F0E6F"/>
    <w:rsid w:val="007F0FD1"/>
    <w:rsid w:val="007F124F"/>
    <w:rsid w:val="007F12CC"/>
    <w:rsid w:val="007F143D"/>
    <w:rsid w:val="007F1815"/>
    <w:rsid w:val="007F1A1D"/>
    <w:rsid w:val="007F1A71"/>
    <w:rsid w:val="007F1AB2"/>
    <w:rsid w:val="007F214D"/>
    <w:rsid w:val="007F2354"/>
    <w:rsid w:val="007F242D"/>
    <w:rsid w:val="007F287E"/>
    <w:rsid w:val="007F2919"/>
    <w:rsid w:val="007F2E13"/>
    <w:rsid w:val="007F30F8"/>
    <w:rsid w:val="007F31F5"/>
    <w:rsid w:val="007F32DF"/>
    <w:rsid w:val="007F3646"/>
    <w:rsid w:val="007F36B5"/>
    <w:rsid w:val="007F3720"/>
    <w:rsid w:val="007F392C"/>
    <w:rsid w:val="007F3AD9"/>
    <w:rsid w:val="007F3B65"/>
    <w:rsid w:val="007F3E9B"/>
    <w:rsid w:val="007F411A"/>
    <w:rsid w:val="007F4237"/>
    <w:rsid w:val="007F4327"/>
    <w:rsid w:val="007F43CA"/>
    <w:rsid w:val="007F443A"/>
    <w:rsid w:val="007F449E"/>
    <w:rsid w:val="007F44DF"/>
    <w:rsid w:val="007F47F8"/>
    <w:rsid w:val="007F4ADD"/>
    <w:rsid w:val="007F4CC6"/>
    <w:rsid w:val="007F4EF6"/>
    <w:rsid w:val="007F4F6C"/>
    <w:rsid w:val="007F53EC"/>
    <w:rsid w:val="007F542D"/>
    <w:rsid w:val="007F56AC"/>
    <w:rsid w:val="007F5E25"/>
    <w:rsid w:val="007F5F06"/>
    <w:rsid w:val="007F62B4"/>
    <w:rsid w:val="007F645F"/>
    <w:rsid w:val="007F65B3"/>
    <w:rsid w:val="007F70ED"/>
    <w:rsid w:val="007F7956"/>
    <w:rsid w:val="007F7A4E"/>
    <w:rsid w:val="00800040"/>
    <w:rsid w:val="008002CA"/>
    <w:rsid w:val="0080032A"/>
    <w:rsid w:val="00800391"/>
    <w:rsid w:val="008006D3"/>
    <w:rsid w:val="00800803"/>
    <w:rsid w:val="00800A0D"/>
    <w:rsid w:val="00800A34"/>
    <w:rsid w:val="00800BE4"/>
    <w:rsid w:val="00801315"/>
    <w:rsid w:val="0080150B"/>
    <w:rsid w:val="00801AE5"/>
    <w:rsid w:val="00801C91"/>
    <w:rsid w:val="00801E8C"/>
    <w:rsid w:val="00801F1F"/>
    <w:rsid w:val="00802033"/>
    <w:rsid w:val="00802374"/>
    <w:rsid w:val="00802676"/>
    <w:rsid w:val="00802986"/>
    <w:rsid w:val="00802C2C"/>
    <w:rsid w:val="00802C5F"/>
    <w:rsid w:val="00802CAD"/>
    <w:rsid w:val="00802CD5"/>
    <w:rsid w:val="00802EED"/>
    <w:rsid w:val="008030BB"/>
    <w:rsid w:val="008030FF"/>
    <w:rsid w:val="0080335D"/>
    <w:rsid w:val="0080345B"/>
    <w:rsid w:val="0080348D"/>
    <w:rsid w:val="00803509"/>
    <w:rsid w:val="00803B75"/>
    <w:rsid w:val="00803BB7"/>
    <w:rsid w:val="00803C92"/>
    <w:rsid w:val="008041A8"/>
    <w:rsid w:val="008041F9"/>
    <w:rsid w:val="008048CF"/>
    <w:rsid w:val="00804C38"/>
    <w:rsid w:val="008050DF"/>
    <w:rsid w:val="0080511C"/>
    <w:rsid w:val="0080513B"/>
    <w:rsid w:val="008051D5"/>
    <w:rsid w:val="008052A0"/>
    <w:rsid w:val="00805581"/>
    <w:rsid w:val="00805615"/>
    <w:rsid w:val="00805633"/>
    <w:rsid w:val="00805819"/>
    <w:rsid w:val="00805B60"/>
    <w:rsid w:val="00805DC6"/>
    <w:rsid w:val="00805EBD"/>
    <w:rsid w:val="0080619B"/>
    <w:rsid w:val="008063A3"/>
    <w:rsid w:val="0080649D"/>
    <w:rsid w:val="0080674A"/>
    <w:rsid w:val="00806950"/>
    <w:rsid w:val="00806CF3"/>
    <w:rsid w:val="00806F32"/>
    <w:rsid w:val="00806F7E"/>
    <w:rsid w:val="00807017"/>
    <w:rsid w:val="00807025"/>
    <w:rsid w:val="0080705E"/>
    <w:rsid w:val="00807086"/>
    <w:rsid w:val="008073A2"/>
    <w:rsid w:val="00807462"/>
    <w:rsid w:val="008077EF"/>
    <w:rsid w:val="00807ADE"/>
    <w:rsid w:val="00807B8B"/>
    <w:rsid w:val="00807D6B"/>
    <w:rsid w:val="0081029C"/>
    <w:rsid w:val="008102D4"/>
    <w:rsid w:val="008105B4"/>
    <w:rsid w:val="008109E9"/>
    <w:rsid w:val="00810A91"/>
    <w:rsid w:val="00810B4B"/>
    <w:rsid w:val="00810CDF"/>
    <w:rsid w:val="00811B6C"/>
    <w:rsid w:val="00811C7D"/>
    <w:rsid w:val="00811D48"/>
    <w:rsid w:val="00811EFF"/>
    <w:rsid w:val="00811F50"/>
    <w:rsid w:val="00812100"/>
    <w:rsid w:val="0081212A"/>
    <w:rsid w:val="00812611"/>
    <w:rsid w:val="008126D1"/>
    <w:rsid w:val="00812768"/>
    <w:rsid w:val="008128FB"/>
    <w:rsid w:val="00812ACF"/>
    <w:rsid w:val="00812EED"/>
    <w:rsid w:val="00813305"/>
    <w:rsid w:val="008133A5"/>
    <w:rsid w:val="00813596"/>
    <w:rsid w:val="0081363D"/>
    <w:rsid w:val="008136AF"/>
    <w:rsid w:val="00813A33"/>
    <w:rsid w:val="00814414"/>
    <w:rsid w:val="008144C8"/>
    <w:rsid w:val="00814537"/>
    <w:rsid w:val="0081460F"/>
    <w:rsid w:val="008148DD"/>
    <w:rsid w:val="00814A04"/>
    <w:rsid w:val="00814AE8"/>
    <w:rsid w:val="00814B5D"/>
    <w:rsid w:val="008150C7"/>
    <w:rsid w:val="0081515F"/>
    <w:rsid w:val="008153F0"/>
    <w:rsid w:val="00815481"/>
    <w:rsid w:val="008154E5"/>
    <w:rsid w:val="008156AE"/>
    <w:rsid w:val="00815821"/>
    <w:rsid w:val="00815AB8"/>
    <w:rsid w:val="008160A8"/>
    <w:rsid w:val="00816444"/>
    <w:rsid w:val="00816465"/>
    <w:rsid w:val="00816749"/>
    <w:rsid w:val="00816893"/>
    <w:rsid w:val="00816A59"/>
    <w:rsid w:val="00816F94"/>
    <w:rsid w:val="008170B0"/>
    <w:rsid w:val="008174AE"/>
    <w:rsid w:val="008175CF"/>
    <w:rsid w:val="008176CD"/>
    <w:rsid w:val="0081785C"/>
    <w:rsid w:val="0081793B"/>
    <w:rsid w:val="00817CE9"/>
    <w:rsid w:val="00817E30"/>
    <w:rsid w:val="00817FE3"/>
    <w:rsid w:val="008203AF"/>
    <w:rsid w:val="00820664"/>
    <w:rsid w:val="008207DA"/>
    <w:rsid w:val="00820857"/>
    <w:rsid w:val="0082085D"/>
    <w:rsid w:val="008208BC"/>
    <w:rsid w:val="0082094B"/>
    <w:rsid w:val="00820ADC"/>
    <w:rsid w:val="00820B8A"/>
    <w:rsid w:val="00820D61"/>
    <w:rsid w:val="00820E90"/>
    <w:rsid w:val="008212DA"/>
    <w:rsid w:val="00821422"/>
    <w:rsid w:val="00821996"/>
    <w:rsid w:val="00821B0E"/>
    <w:rsid w:val="00821E0E"/>
    <w:rsid w:val="00821F57"/>
    <w:rsid w:val="00821F67"/>
    <w:rsid w:val="00821F91"/>
    <w:rsid w:val="00822011"/>
    <w:rsid w:val="008221B9"/>
    <w:rsid w:val="008221FB"/>
    <w:rsid w:val="00822244"/>
    <w:rsid w:val="008223F3"/>
    <w:rsid w:val="008225FC"/>
    <w:rsid w:val="00822987"/>
    <w:rsid w:val="00822A77"/>
    <w:rsid w:val="00822FDD"/>
    <w:rsid w:val="00823017"/>
    <w:rsid w:val="0082323D"/>
    <w:rsid w:val="008232EE"/>
    <w:rsid w:val="008233C0"/>
    <w:rsid w:val="008235AB"/>
    <w:rsid w:val="00823F98"/>
    <w:rsid w:val="00824057"/>
    <w:rsid w:val="008240EF"/>
    <w:rsid w:val="008240F8"/>
    <w:rsid w:val="0082411A"/>
    <w:rsid w:val="0082460D"/>
    <w:rsid w:val="008246B8"/>
    <w:rsid w:val="00824B13"/>
    <w:rsid w:val="00824B81"/>
    <w:rsid w:val="00824B9F"/>
    <w:rsid w:val="00824E3C"/>
    <w:rsid w:val="00825169"/>
    <w:rsid w:val="00825379"/>
    <w:rsid w:val="0082555F"/>
    <w:rsid w:val="008258CA"/>
    <w:rsid w:val="00825B28"/>
    <w:rsid w:val="00825D0D"/>
    <w:rsid w:val="00825D3C"/>
    <w:rsid w:val="00825FC0"/>
    <w:rsid w:val="00826349"/>
    <w:rsid w:val="0082689A"/>
    <w:rsid w:val="00826B45"/>
    <w:rsid w:val="00826D5B"/>
    <w:rsid w:val="008272E5"/>
    <w:rsid w:val="008279C9"/>
    <w:rsid w:val="00827B11"/>
    <w:rsid w:val="00827B2B"/>
    <w:rsid w:val="00827BC1"/>
    <w:rsid w:val="00830338"/>
    <w:rsid w:val="00830AD2"/>
    <w:rsid w:val="00830E95"/>
    <w:rsid w:val="00830EAD"/>
    <w:rsid w:val="00830EC2"/>
    <w:rsid w:val="0083158B"/>
    <w:rsid w:val="00831709"/>
    <w:rsid w:val="008322E0"/>
    <w:rsid w:val="008324E6"/>
    <w:rsid w:val="008325D2"/>
    <w:rsid w:val="008325E9"/>
    <w:rsid w:val="0083291B"/>
    <w:rsid w:val="00832E76"/>
    <w:rsid w:val="00832E87"/>
    <w:rsid w:val="00833182"/>
    <w:rsid w:val="0083319A"/>
    <w:rsid w:val="00833322"/>
    <w:rsid w:val="00833395"/>
    <w:rsid w:val="00833437"/>
    <w:rsid w:val="00833696"/>
    <w:rsid w:val="008336FF"/>
    <w:rsid w:val="008338B8"/>
    <w:rsid w:val="008339C8"/>
    <w:rsid w:val="00833C2C"/>
    <w:rsid w:val="00833DA8"/>
    <w:rsid w:val="008342F7"/>
    <w:rsid w:val="0083430A"/>
    <w:rsid w:val="00834362"/>
    <w:rsid w:val="00834447"/>
    <w:rsid w:val="00834572"/>
    <w:rsid w:val="00834607"/>
    <w:rsid w:val="0083464B"/>
    <w:rsid w:val="00834942"/>
    <w:rsid w:val="00834B7C"/>
    <w:rsid w:val="00834CD0"/>
    <w:rsid w:val="00834E27"/>
    <w:rsid w:val="00834E93"/>
    <w:rsid w:val="00834F15"/>
    <w:rsid w:val="008355B1"/>
    <w:rsid w:val="008355B3"/>
    <w:rsid w:val="00835751"/>
    <w:rsid w:val="00835BA4"/>
    <w:rsid w:val="00835D72"/>
    <w:rsid w:val="00835DB9"/>
    <w:rsid w:val="00835F2E"/>
    <w:rsid w:val="00836136"/>
    <w:rsid w:val="008361E1"/>
    <w:rsid w:val="008362DE"/>
    <w:rsid w:val="00836B50"/>
    <w:rsid w:val="00836C4B"/>
    <w:rsid w:val="00836D6E"/>
    <w:rsid w:val="00836EB0"/>
    <w:rsid w:val="008370A1"/>
    <w:rsid w:val="008370BA"/>
    <w:rsid w:val="00837192"/>
    <w:rsid w:val="00837194"/>
    <w:rsid w:val="008371A9"/>
    <w:rsid w:val="008372D3"/>
    <w:rsid w:val="0083755F"/>
    <w:rsid w:val="008375D4"/>
    <w:rsid w:val="008375F7"/>
    <w:rsid w:val="00837735"/>
    <w:rsid w:val="00837917"/>
    <w:rsid w:val="00837EC1"/>
    <w:rsid w:val="00837F4C"/>
    <w:rsid w:val="00837F89"/>
    <w:rsid w:val="00840159"/>
    <w:rsid w:val="008404FE"/>
    <w:rsid w:val="008407D5"/>
    <w:rsid w:val="00840856"/>
    <w:rsid w:val="00840A97"/>
    <w:rsid w:val="00840B46"/>
    <w:rsid w:val="00840C35"/>
    <w:rsid w:val="00840DE5"/>
    <w:rsid w:val="008410A4"/>
    <w:rsid w:val="00841223"/>
    <w:rsid w:val="008415B2"/>
    <w:rsid w:val="00841650"/>
    <w:rsid w:val="00841949"/>
    <w:rsid w:val="008419F2"/>
    <w:rsid w:val="00841B3F"/>
    <w:rsid w:val="00841B52"/>
    <w:rsid w:val="00841B6C"/>
    <w:rsid w:val="00841C42"/>
    <w:rsid w:val="00841E04"/>
    <w:rsid w:val="00841E96"/>
    <w:rsid w:val="00841F17"/>
    <w:rsid w:val="00842030"/>
    <w:rsid w:val="0084231E"/>
    <w:rsid w:val="0084239D"/>
    <w:rsid w:val="00842441"/>
    <w:rsid w:val="00842685"/>
    <w:rsid w:val="0084276D"/>
    <w:rsid w:val="00842779"/>
    <w:rsid w:val="00842B7C"/>
    <w:rsid w:val="0084320E"/>
    <w:rsid w:val="0084335D"/>
    <w:rsid w:val="00843529"/>
    <w:rsid w:val="00843592"/>
    <w:rsid w:val="0084381D"/>
    <w:rsid w:val="00843AED"/>
    <w:rsid w:val="00843B30"/>
    <w:rsid w:val="00843CB9"/>
    <w:rsid w:val="00843EE5"/>
    <w:rsid w:val="00843F61"/>
    <w:rsid w:val="008440AF"/>
    <w:rsid w:val="008440CF"/>
    <w:rsid w:val="008444A7"/>
    <w:rsid w:val="008445FB"/>
    <w:rsid w:val="00844B74"/>
    <w:rsid w:val="00844BBC"/>
    <w:rsid w:val="00844C35"/>
    <w:rsid w:val="00844C88"/>
    <w:rsid w:val="00844F97"/>
    <w:rsid w:val="008452F3"/>
    <w:rsid w:val="008455D7"/>
    <w:rsid w:val="008455D9"/>
    <w:rsid w:val="00845693"/>
    <w:rsid w:val="0084578B"/>
    <w:rsid w:val="00845C0E"/>
    <w:rsid w:val="00845C3A"/>
    <w:rsid w:val="00845CA9"/>
    <w:rsid w:val="00845D61"/>
    <w:rsid w:val="00845E05"/>
    <w:rsid w:val="008460FF"/>
    <w:rsid w:val="00846448"/>
    <w:rsid w:val="008467AE"/>
    <w:rsid w:val="00846806"/>
    <w:rsid w:val="0084686E"/>
    <w:rsid w:val="008469D0"/>
    <w:rsid w:val="00846A1A"/>
    <w:rsid w:val="00846B70"/>
    <w:rsid w:val="00846C4E"/>
    <w:rsid w:val="00846F1D"/>
    <w:rsid w:val="00846F3E"/>
    <w:rsid w:val="008472F1"/>
    <w:rsid w:val="008476E3"/>
    <w:rsid w:val="008478C0"/>
    <w:rsid w:val="00847925"/>
    <w:rsid w:val="008500FA"/>
    <w:rsid w:val="00850224"/>
    <w:rsid w:val="0085022F"/>
    <w:rsid w:val="0085050A"/>
    <w:rsid w:val="00850685"/>
    <w:rsid w:val="008507CD"/>
    <w:rsid w:val="00850981"/>
    <w:rsid w:val="00850AC7"/>
    <w:rsid w:val="00851035"/>
    <w:rsid w:val="00851315"/>
    <w:rsid w:val="0085168E"/>
    <w:rsid w:val="008516CD"/>
    <w:rsid w:val="008519F5"/>
    <w:rsid w:val="00851D94"/>
    <w:rsid w:val="00852182"/>
    <w:rsid w:val="008521AC"/>
    <w:rsid w:val="00852230"/>
    <w:rsid w:val="00852805"/>
    <w:rsid w:val="00852866"/>
    <w:rsid w:val="00852E2B"/>
    <w:rsid w:val="00852E6A"/>
    <w:rsid w:val="00852F6F"/>
    <w:rsid w:val="008535D8"/>
    <w:rsid w:val="00853619"/>
    <w:rsid w:val="0085390F"/>
    <w:rsid w:val="00853A05"/>
    <w:rsid w:val="00853F13"/>
    <w:rsid w:val="00854182"/>
    <w:rsid w:val="008541A7"/>
    <w:rsid w:val="00854479"/>
    <w:rsid w:val="0085450E"/>
    <w:rsid w:val="00854713"/>
    <w:rsid w:val="00854959"/>
    <w:rsid w:val="00854B60"/>
    <w:rsid w:val="00854BC4"/>
    <w:rsid w:val="00854CF2"/>
    <w:rsid w:val="00854CF7"/>
    <w:rsid w:val="00855014"/>
    <w:rsid w:val="00855486"/>
    <w:rsid w:val="008554D2"/>
    <w:rsid w:val="008554D9"/>
    <w:rsid w:val="0085563E"/>
    <w:rsid w:val="008557BF"/>
    <w:rsid w:val="00855B1C"/>
    <w:rsid w:val="00855B88"/>
    <w:rsid w:val="00855C6A"/>
    <w:rsid w:val="00855CF6"/>
    <w:rsid w:val="00855FC0"/>
    <w:rsid w:val="008560CA"/>
    <w:rsid w:val="00857051"/>
    <w:rsid w:val="008571A3"/>
    <w:rsid w:val="00857320"/>
    <w:rsid w:val="0085738F"/>
    <w:rsid w:val="008573DE"/>
    <w:rsid w:val="00857660"/>
    <w:rsid w:val="008576C1"/>
    <w:rsid w:val="00857911"/>
    <w:rsid w:val="00857A60"/>
    <w:rsid w:val="00857AEE"/>
    <w:rsid w:val="00857DAE"/>
    <w:rsid w:val="00857E86"/>
    <w:rsid w:val="008602AA"/>
    <w:rsid w:val="008602AE"/>
    <w:rsid w:val="00860309"/>
    <w:rsid w:val="008604EA"/>
    <w:rsid w:val="00860670"/>
    <w:rsid w:val="0086088D"/>
    <w:rsid w:val="0086089A"/>
    <w:rsid w:val="008608BD"/>
    <w:rsid w:val="00860962"/>
    <w:rsid w:val="00860D73"/>
    <w:rsid w:val="00860E41"/>
    <w:rsid w:val="00861084"/>
    <w:rsid w:val="008610DC"/>
    <w:rsid w:val="0086146C"/>
    <w:rsid w:val="00861991"/>
    <w:rsid w:val="00861AF5"/>
    <w:rsid w:val="00861BB0"/>
    <w:rsid w:val="00861CDB"/>
    <w:rsid w:val="0086214A"/>
    <w:rsid w:val="0086222E"/>
    <w:rsid w:val="00862730"/>
    <w:rsid w:val="008629B3"/>
    <w:rsid w:val="00862BC5"/>
    <w:rsid w:val="00862BCD"/>
    <w:rsid w:val="00862DB0"/>
    <w:rsid w:val="00862E6C"/>
    <w:rsid w:val="0086343C"/>
    <w:rsid w:val="0086354C"/>
    <w:rsid w:val="008635C7"/>
    <w:rsid w:val="0086379C"/>
    <w:rsid w:val="008637CC"/>
    <w:rsid w:val="00863947"/>
    <w:rsid w:val="00863A75"/>
    <w:rsid w:val="008640E1"/>
    <w:rsid w:val="00864550"/>
    <w:rsid w:val="0086479E"/>
    <w:rsid w:val="00864949"/>
    <w:rsid w:val="00864CD1"/>
    <w:rsid w:val="00864CE8"/>
    <w:rsid w:val="00865011"/>
    <w:rsid w:val="008650E8"/>
    <w:rsid w:val="00865155"/>
    <w:rsid w:val="00865679"/>
    <w:rsid w:val="00865A6D"/>
    <w:rsid w:val="00865A8D"/>
    <w:rsid w:val="00865AD3"/>
    <w:rsid w:val="00865B02"/>
    <w:rsid w:val="00865BE3"/>
    <w:rsid w:val="00865D2A"/>
    <w:rsid w:val="00866004"/>
    <w:rsid w:val="008661C2"/>
    <w:rsid w:val="0086624E"/>
    <w:rsid w:val="00866323"/>
    <w:rsid w:val="0086638B"/>
    <w:rsid w:val="0086654A"/>
    <w:rsid w:val="00866912"/>
    <w:rsid w:val="00866A60"/>
    <w:rsid w:val="00866D86"/>
    <w:rsid w:val="00866F6F"/>
    <w:rsid w:val="00866F78"/>
    <w:rsid w:val="00867000"/>
    <w:rsid w:val="008671F9"/>
    <w:rsid w:val="0086725F"/>
    <w:rsid w:val="00867489"/>
    <w:rsid w:val="0086755A"/>
    <w:rsid w:val="0086760F"/>
    <w:rsid w:val="0086789F"/>
    <w:rsid w:val="008678C5"/>
    <w:rsid w:val="00867C6D"/>
    <w:rsid w:val="00867E5E"/>
    <w:rsid w:val="00867E74"/>
    <w:rsid w:val="00870145"/>
    <w:rsid w:val="008701B8"/>
    <w:rsid w:val="008702E7"/>
    <w:rsid w:val="008704CF"/>
    <w:rsid w:val="0087054F"/>
    <w:rsid w:val="0087089F"/>
    <w:rsid w:val="00870A69"/>
    <w:rsid w:val="00871224"/>
    <w:rsid w:val="0087125C"/>
    <w:rsid w:val="00871410"/>
    <w:rsid w:val="0087142E"/>
    <w:rsid w:val="008718CB"/>
    <w:rsid w:val="008718F0"/>
    <w:rsid w:val="00871B6B"/>
    <w:rsid w:val="00871D72"/>
    <w:rsid w:val="00871D83"/>
    <w:rsid w:val="00871DAB"/>
    <w:rsid w:val="00871E66"/>
    <w:rsid w:val="00871F25"/>
    <w:rsid w:val="00871F3A"/>
    <w:rsid w:val="00872326"/>
    <w:rsid w:val="0087234D"/>
    <w:rsid w:val="00872625"/>
    <w:rsid w:val="0087285F"/>
    <w:rsid w:val="00872B0A"/>
    <w:rsid w:val="00872B49"/>
    <w:rsid w:val="00872CDF"/>
    <w:rsid w:val="00872FEA"/>
    <w:rsid w:val="00873077"/>
    <w:rsid w:val="0087313E"/>
    <w:rsid w:val="00873273"/>
    <w:rsid w:val="00873490"/>
    <w:rsid w:val="008735AC"/>
    <w:rsid w:val="00873772"/>
    <w:rsid w:val="00873853"/>
    <w:rsid w:val="00873896"/>
    <w:rsid w:val="008738AF"/>
    <w:rsid w:val="008739E3"/>
    <w:rsid w:val="00873AB7"/>
    <w:rsid w:val="00873BD9"/>
    <w:rsid w:val="00873EF6"/>
    <w:rsid w:val="00874185"/>
    <w:rsid w:val="00874199"/>
    <w:rsid w:val="008741D6"/>
    <w:rsid w:val="0087428D"/>
    <w:rsid w:val="0087437B"/>
    <w:rsid w:val="00874BA3"/>
    <w:rsid w:val="00874DC0"/>
    <w:rsid w:val="00874E78"/>
    <w:rsid w:val="00874F3F"/>
    <w:rsid w:val="0087549D"/>
    <w:rsid w:val="008755BA"/>
    <w:rsid w:val="00875839"/>
    <w:rsid w:val="008758BF"/>
    <w:rsid w:val="00875B33"/>
    <w:rsid w:val="00875DE6"/>
    <w:rsid w:val="00876151"/>
    <w:rsid w:val="0087623C"/>
    <w:rsid w:val="0087625A"/>
    <w:rsid w:val="008763C4"/>
    <w:rsid w:val="008768CE"/>
    <w:rsid w:val="00876A44"/>
    <w:rsid w:val="00876A59"/>
    <w:rsid w:val="00876C99"/>
    <w:rsid w:val="00876D98"/>
    <w:rsid w:val="00876E05"/>
    <w:rsid w:val="0087714E"/>
    <w:rsid w:val="0087725E"/>
    <w:rsid w:val="008776A7"/>
    <w:rsid w:val="008776C1"/>
    <w:rsid w:val="008778B0"/>
    <w:rsid w:val="00877BC8"/>
    <w:rsid w:val="00877C01"/>
    <w:rsid w:val="0088017C"/>
    <w:rsid w:val="008801B2"/>
    <w:rsid w:val="008801C0"/>
    <w:rsid w:val="008802E4"/>
    <w:rsid w:val="008805B9"/>
    <w:rsid w:val="00880624"/>
    <w:rsid w:val="00880633"/>
    <w:rsid w:val="00880CBB"/>
    <w:rsid w:val="00880DA2"/>
    <w:rsid w:val="00880E16"/>
    <w:rsid w:val="00880FBA"/>
    <w:rsid w:val="008810BB"/>
    <w:rsid w:val="00881739"/>
    <w:rsid w:val="0088195E"/>
    <w:rsid w:val="00881A82"/>
    <w:rsid w:val="00881C40"/>
    <w:rsid w:val="00881DC3"/>
    <w:rsid w:val="008820CF"/>
    <w:rsid w:val="00882290"/>
    <w:rsid w:val="0088249C"/>
    <w:rsid w:val="0088270C"/>
    <w:rsid w:val="00882894"/>
    <w:rsid w:val="00882C00"/>
    <w:rsid w:val="00882FFB"/>
    <w:rsid w:val="0088346F"/>
    <w:rsid w:val="008835A7"/>
    <w:rsid w:val="0088381A"/>
    <w:rsid w:val="008838D0"/>
    <w:rsid w:val="00883950"/>
    <w:rsid w:val="008839C3"/>
    <w:rsid w:val="00883AAD"/>
    <w:rsid w:val="00883BC5"/>
    <w:rsid w:val="00883D47"/>
    <w:rsid w:val="00883E19"/>
    <w:rsid w:val="00884036"/>
    <w:rsid w:val="00884089"/>
    <w:rsid w:val="00884251"/>
    <w:rsid w:val="00884682"/>
    <w:rsid w:val="00884C90"/>
    <w:rsid w:val="00884E52"/>
    <w:rsid w:val="00884EA4"/>
    <w:rsid w:val="00885161"/>
    <w:rsid w:val="008851F2"/>
    <w:rsid w:val="00885648"/>
    <w:rsid w:val="00885775"/>
    <w:rsid w:val="008857E3"/>
    <w:rsid w:val="00885B6C"/>
    <w:rsid w:val="00885CBC"/>
    <w:rsid w:val="00885DE9"/>
    <w:rsid w:val="00886029"/>
    <w:rsid w:val="008862FE"/>
    <w:rsid w:val="00886725"/>
    <w:rsid w:val="00886B96"/>
    <w:rsid w:val="00886CCD"/>
    <w:rsid w:val="00886DA4"/>
    <w:rsid w:val="0088747F"/>
    <w:rsid w:val="008875DA"/>
    <w:rsid w:val="00887601"/>
    <w:rsid w:val="0088765C"/>
    <w:rsid w:val="008878F1"/>
    <w:rsid w:val="00887949"/>
    <w:rsid w:val="00887D92"/>
    <w:rsid w:val="00887DD9"/>
    <w:rsid w:val="008901E3"/>
    <w:rsid w:val="008906EB"/>
    <w:rsid w:val="00890783"/>
    <w:rsid w:val="0089080D"/>
    <w:rsid w:val="00890EAF"/>
    <w:rsid w:val="00890FD4"/>
    <w:rsid w:val="008912A8"/>
    <w:rsid w:val="00891409"/>
    <w:rsid w:val="0089159C"/>
    <w:rsid w:val="008915AD"/>
    <w:rsid w:val="00891865"/>
    <w:rsid w:val="00891D75"/>
    <w:rsid w:val="00891DDD"/>
    <w:rsid w:val="00891EB2"/>
    <w:rsid w:val="00892044"/>
    <w:rsid w:val="00892123"/>
    <w:rsid w:val="008924F8"/>
    <w:rsid w:val="00892CDF"/>
    <w:rsid w:val="0089301D"/>
    <w:rsid w:val="008931B5"/>
    <w:rsid w:val="00893200"/>
    <w:rsid w:val="0089388A"/>
    <w:rsid w:val="008938D4"/>
    <w:rsid w:val="00893AEA"/>
    <w:rsid w:val="00893B94"/>
    <w:rsid w:val="00893C81"/>
    <w:rsid w:val="00894163"/>
    <w:rsid w:val="00894407"/>
    <w:rsid w:val="008945B2"/>
    <w:rsid w:val="008945E7"/>
    <w:rsid w:val="00894663"/>
    <w:rsid w:val="008946E5"/>
    <w:rsid w:val="008949FA"/>
    <w:rsid w:val="00894F23"/>
    <w:rsid w:val="00895553"/>
    <w:rsid w:val="008955B3"/>
    <w:rsid w:val="00895701"/>
    <w:rsid w:val="00895DB8"/>
    <w:rsid w:val="008960EE"/>
    <w:rsid w:val="008966A5"/>
    <w:rsid w:val="00896847"/>
    <w:rsid w:val="00896C78"/>
    <w:rsid w:val="00896D04"/>
    <w:rsid w:val="00896EF8"/>
    <w:rsid w:val="00896F72"/>
    <w:rsid w:val="00897037"/>
    <w:rsid w:val="0089706B"/>
    <w:rsid w:val="00897A21"/>
    <w:rsid w:val="00897AD6"/>
    <w:rsid w:val="00897CB7"/>
    <w:rsid w:val="008A01BF"/>
    <w:rsid w:val="008A0389"/>
    <w:rsid w:val="008A047C"/>
    <w:rsid w:val="008A05AF"/>
    <w:rsid w:val="008A0718"/>
    <w:rsid w:val="008A0C26"/>
    <w:rsid w:val="008A0CC1"/>
    <w:rsid w:val="008A0D54"/>
    <w:rsid w:val="008A0EFC"/>
    <w:rsid w:val="008A120C"/>
    <w:rsid w:val="008A12D5"/>
    <w:rsid w:val="008A142C"/>
    <w:rsid w:val="008A163E"/>
    <w:rsid w:val="008A1A60"/>
    <w:rsid w:val="008A1ACA"/>
    <w:rsid w:val="008A20F8"/>
    <w:rsid w:val="008A2371"/>
    <w:rsid w:val="008A2430"/>
    <w:rsid w:val="008A2547"/>
    <w:rsid w:val="008A26A7"/>
    <w:rsid w:val="008A2B94"/>
    <w:rsid w:val="008A2C4A"/>
    <w:rsid w:val="008A2DA6"/>
    <w:rsid w:val="008A30F4"/>
    <w:rsid w:val="008A3103"/>
    <w:rsid w:val="008A3212"/>
    <w:rsid w:val="008A335E"/>
    <w:rsid w:val="008A3572"/>
    <w:rsid w:val="008A3688"/>
    <w:rsid w:val="008A37B4"/>
    <w:rsid w:val="008A386F"/>
    <w:rsid w:val="008A3AA5"/>
    <w:rsid w:val="008A3BFB"/>
    <w:rsid w:val="008A3D49"/>
    <w:rsid w:val="008A3EB0"/>
    <w:rsid w:val="008A3F0C"/>
    <w:rsid w:val="008A425C"/>
    <w:rsid w:val="008A427A"/>
    <w:rsid w:val="008A4377"/>
    <w:rsid w:val="008A438F"/>
    <w:rsid w:val="008A4558"/>
    <w:rsid w:val="008A4867"/>
    <w:rsid w:val="008A491D"/>
    <w:rsid w:val="008A4A41"/>
    <w:rsid w:val="008A4A45"/>
    <w:rsid w:val="008A4CD2"/>
    <w:rsid w:val="008A4DBE"/>
    <w:rsid w:val="008A4E7D"/>
    <w:rsid w:val="008A4F4A"/>
    <w:rsid w:val="008A5065"/>
    <w:rsid w:val="008A5174"/>
    <w:rsid w:val="008A528A"/>
    <w:rsid w:val="008A546D"/>
    <w:rsid w:val="008A5535"/>
    <w:rsid w:val="008A55E9"/>
    <w:rsid w:val="008A5605"/>
    <w:rsid w:val="008A560C"/>
    <w:rsid w:val="008A5728"/>
    <w:rsid w:val="008A5745"/>
    <w:rsid w:val="008A57CB"/>
    <w:rsid w:val="008A5922"/>
    <w:rsid w:val="008A5E4E"/>
    <w:rsid w:val="008A5EB8"/>
    <w:rsid w:val="008A6033"/>
    <w:rsid w:val="008A6071"/>
    <w:rsid w:val="008A624E"/>
    <w:rsid w:val="008A62BD"/>
    <w:rsid w:val="008A648E"/>
    <w:rsid w:val="008A659D"/>
    <w:rsid w:val="008A663A"/>
    <w:rsid w:val="008A66B5"/>
    <w:rsid w:val="008A6845"/>
    <w:rsid w:val="008A6B4B"/>
    <w:rsid w:val="008A6CA7"/>
    <w:rsid w:val="008A6CB1"/>
    <w:rsid w:val="008A6E57"/>
    <w:rsid w:val="008A6F97"/>
    <w:rsid w:val="008A7431"/>
    <w:rsid w:val="008A785E"/>
    <w:rsid w:val="008A7BE2"/>
    <w:rsid w:val="008A7C9C"/>
    <w:rsid w:val="008A7E2C"/>
    <w:rsid w:val="008A7E3E"/>
    <w:rsid w:val="008A7F66"/>
    <w:rsid w:val="008B02D4"/>
    <w:rsid w:val="008B0343"/>
    <w:rsid w:val="008B074A"/>
    <w:rsid w:val="008B0EBB"/>
    <w:rsid w:val="008B0F6B"/>
    <w:rsid w:val="008B0F7C"/>
    <w:rsid w:val="008B0FB1"/>
    <w:rsid w:val="008B112F"/>
    <w:rsid w:val="008B153F"/>
    <w:rsid w:val="008B18D8"/>
    <w:rsid w:val="008B1918"/>
    <w:rsid w:val="008B1A27"/>
    <w:rsid w:val="008B1AD3"/>
    <w:rsid w:val="008B2243"/>
    <w:rsid w:val="008B24C5"/>
    <w:rsid w:val="008B28F0"/>
    <w:rsid w:val="008B29EA"/>
    <w:rsid w:val="008B2B3F"/>
    <w:rsid w:val="008B2C26"/>
    <w:rsid w:val="008B2E16"/>
    <w:rsid w:val="008B2E80"/>
    <w:rsid w:val="008B2EFB"/>
    <w:rsid w:val="008B2F00"/>
    <w:rsid w:val="008B325E"/>
    <w:rsid w:val="008B3405"/>
    <w:rsid w:val="008B3868"/>
    <w:rsid w:val="008B3AAD"/>
    <w:rsid w:val="008B3E3F"/>
    <w:rsid w:val="008B44D8"/>
    <w:rsid w:val="008B4700"/>
    <w:rsid w:val="008B479E"/>
    <w:rsid w:val="008B48E8"/>
    <w:rsid w:val="008B49B8"/>
    <w:rsid w:val="008B4A07"/>
    <w:rsid w:val="008B4C48"/>
    <w:rsid w:val="008B4FDA"/>
    <w:rsid w:val="008B507C"/>
    <w:rsid w:val="008B5082"/>
    <w:rsid w:val="008B50B1"/>
    <w:rsid w:val="008B5237"/>
    <w:rsid w:val="008B5566"/>
    <w:rsid w:val="008B55F4"/>
    <w:rsid w:val="008B5616"/>
    <w:rsid w:val="008B5B7B"/>
    <w:rsid w:val="008B5D5C"/>
    <w:rsid w:val="008B6087"/>
    <w:rsid w:val="008B6266"/>
    <w:rsid w:val="008B6269"/>
    <w:rsid w:val="008B63B2"/>
    <w:rsid w:val="008B63BF"/>
    <w:rsid w:val="008B684C"/>
    <w:rsid w:val="008B68F2"/>
    <w:rsid w:val="008B6C65"/>
    <w:rsid w:val="008B6E0D"/>
    <w:rsid w:val="008B72AE"/>
    <w:rsid w:val="008B735C"/>
    <w:rsid w:val="008B795B"/>
    <w:rsid w:val="008B7D4E"/>
    <w:rsid w:val="008B7FB3"/>
    <w:rsid w:val="008B7FF0"/>
    <w:rsid w:val="008C064C"/>
    <w:rsid w:val="008C067A"/>
    <w:rsid w:val="008C06BD"/>
    <w:rsid w:val="008C0A9F"/>
    <w:rsid w:val="008C0B0A"/>
    <w:rsid w:val="008C0D16"/>
    <w:rsid w:val="008C0DF3"/>
    <w:rsid w:val="008C0F8E"/>
    <w:rsid w:val="008C10DA"/>
    <w:rsid w:val="008C148B"/>
    <w:rsid w:val="008C166F"/>
    <w:rsid w:val="008C16FD"/>
    <w:rsid w:val="008C1881"/>
    <w:rsid w:val="008C1A50"/>
    <w:rsid w:val="008C1B40"/>
    <w:rsid w:val="008C1BC9"/>
    <w:rsid w:val="008C1C04"/>
    <w:rsid w:val="008C1D9D"/>
    <w:rsid w:val="008C1FEC"/>
    <w:rsid w:val="008C210A"/>
    <w:rsid w:val="008C21A9"/>
    <w:rsid w:val="008C221F"/>
    <w:rsid w:val="008C2259"/>
    <w:rsid w:val="008C239D"/>
    <w:rsid w:val="008C2459"/>
    <w:rsid w:val="008C26F1"/>
    <w:rsid w:val="008C2752"/>
    <w:rsid w:val="008C27EE"/>
    <w:rsid w:val="008C2910"/>
    <w:rsid w:val="008C2AC9"/>
    <w:rsid w:val="008C2F12"/>
    <w:rsid w:val="008C3099"/>
    <w:rsid w:val="008C31BC"/>
    <w:rsid w:val="008C31D4"/>
    <w:rsid w:val="008C31D6"/>
    <w:rsid w:val="008C34A5"/>
    <w:rsid w:val="008C3591"/>
    <w:rsid w:val="008C3688"/>
    <w:rsid w:val="008C3ADE"/>
    <w:rsid w:val="008C429D"/>
    <w:rsid w:val="008C4306"/>
    <w:rsid w:val="008C437A"/>
    <w:rsid w:val="008C442B"/>
    <w:rsid w:val="008C4446"/>
    <w:rsid w:val="008C4686"/>
    <w:rsid w:val="008C4B90"/>
    <w:rsid w:val="008C4C49"/>
    <w:rsid w:val="008C5012"/>
    <w:rsid w:val="008C517C"/>
    <w:rsid w:val="008C51D8"/>
    <w:rsid w:val="008C52A9"/>
    <w:rsid w:val="008C52B1"/>
    <w:rsid w:val="008C54CA"/>
    <w:rsid w:val="008C5679"/>
    <w:rsid w:val="008C57AD"/>
    <w:rsid w:val="008C5A8E"/>
    <w:rsid w:val="008C5ABE"/>
    <w:rsid w:val="008C5FCB"/>
    <w:rsid w:val="008C60A2"/>
    <w:rsid w:val="008C618A"/>
    <w:rsid w:val="008C63F3"/>
    <w:rsid w:val="008C656E"/>
    <w:rsid w:val="008C667E"/>
    <w:rsid w:val="008C6772"/>
    <w:rsid w:val="008C67C2"/>
    <w:rsid w:val="008C699F"/>
    <w:rsid w:val="008C6B60"/>
    <w:rsid w:val="008C6CAA"/>
    <w:rsid w:val="008C6EBA"/>
    <w:rsid w:val="008C6EEF"/>
    <w:rsid w:val="008C70EC"/>
    <w:rsid w:val="008C7153"/>
    <w:rsid w:val="008C7180"/>
    <w:rsid w:val="008C730F"/>
    <w:rsid w:val="008C7552"/>
    <w:rsid w:val="008C76D1"/>
    <w:rsid w:val="008C7705"/>
    <w:rsid w:val="008C774C"/>
    <w:rsid w:val="008C788A"/>
    <w:rsid w:val="008C7C01"/>
    <w:rsid w:val="008C7C58"/>
    <w:rsid w:val="008C7D81"/>
    <w:rsid w:val="008D04EB"/>
    <w:rsid w:val="008D052E"/>
    <w:rsid w:val="008D0581"/>
    <w:rsid w:val="008D0A94"/>
    <w:rsid w:val="008D0B31"/>
    <w:rsid w:val="008D0C18"/>
    <w:rsid w:val="008D0D2F"/>
    <w:rsid w:val="008D0D56"/>
    <w:rsid w:val="008D0E50"/>
    <w:rsid w:val="008D0EC0"/>
    <w:rsid w:val="008D11B4"/>
    <w:rsid w:val="008D12DE"/>
    <w:rsid w:val="008D1497"/>
    <w:rsid w:val="008D1685"/>
    <w:rsid w:val="008D1772"/>
    <w:rsid w:val="008D189F"/>
    <w:rsid w:val="008D1BA1"/>
    <w:rsid w:val="008D2433"/>
    <w:rsid w:val="008D299D"/>
    <w:rsid w:val="008D2A93"/>
    <w:rsid w:val="008D2DAE"/>
    <w:rsid w:val="008D33C1"/>
    <w:rsid w:val="008D377D"/>
    <w:rsid w:val="008D390B"/>
    <w:rsid w:val="008D3D95"/>
    <w:rsid w:val="008D3F44"/>
    <w:rsid w:val="008D3FBA"/>
    <w:rsid w:val="008D3FBB"/>
    <w:rsid w:val="008D440C"/>
    <w:rsid w:val="008D445B"/>
    <w:rsid w:val="008D4540"/>
    <w:rsid w:val="008D490A"/>
    <w:rsid w:val="008D5007"/>
    <w:rsid w:val="008D51D4"/>
    <w:rsid w:val="008D52A8"/>
    <w:rsid w:val="008D5731"/>
    <w:rsid w:val="008D5863"/>
    <w:rsid w:val="008D5919"/>
    <w:rsid w:val="008D5A5D"/>
    <w:rsid w:val="008D5CD5"/>
    <w:rsid w:val="008D5D28"/>
    <w:rsid w:val="008D60E1"/>
    <w:rsid w:val="008D6123"/>
    <w:rsid w:val="008D6169"/>
    <w:rsid w:val="008D61DC"/>
    <w:rsid w:val="008D6573"/>
    <w:rsid w:val="008D66C0"/>
    <w:rsid w:val="008D688F"/>
    <w:rsid w:val="008D6A79"/>
    <w:rsid w:val="008D6B67"/>
    <w:rsid w:val="008D6D23"/>
    <w:rsid w:val="008D6EB9"/>
    <w:rsid w:val="008D70B0"/>
    <w:rsid w:val="008D75AA"/>
    <w:rsid w:val="008D7636"/>
    <w:rsid w:val="008D78A0"/>
    <w:rsid w:val="008D79A1"/>
    <w:rsid w:val="008D79BC"/>
    <w:rsid w:val="008D7AF1"/>
    <w:rsid w:val="008D7E53"/>
    <w:rsid w:val="008D7E7F"/>
    <w:rsid w:val="008D7FB0"/>
    <w:rsid w:val="008E01AE"/>
    <w:rsid w:val="008E06F0"/>
    <w:rsid w:val="008E07CD"/>
    <w:rsid w:val="008E0813"/>
    <w:rsid w:val="008E087A"/>
    <w:rsid w:val="008E088B"/>
    <w:rsid w:val="008E0BC0"/>
    <w:rsid w:val="008E0C32"/>
    <w:rsid w:val="008E0D9F"/>
    <w:rsid w:val="008E0DC5"/>
    <w:rsid w:val="008E1148"/>
    <w:rsid w:val="008E14AB"/>
    <w:rsid w:val="008E17AC"/>
    <w:rsid w:val="008E19AA"/>
    <w:rsid w:val="008E1B8B"/>
    <w:rsid w:val="008E1C8A"/>
    <w:rsid w:val="008E1C9D"/>
    <w:rsid w:val="008E1E8C"/>
    <w:rsid w:val="008E2138"/>
    <w:rsid w:val="008E23AB"/>
    <w:rsid w:val="008E2845"/>
    <w:rsid w:val="008E29DA"/>
    <w:rsid w:val="008E2A15"/>
    <w:rsid w:val="008E2B2F"/>
    <w:rsid w:val="008E2CAD"/>
    <w:rsid w:val="008E2DDC"/>
    <w:rsid w:val="008E2E66"/>
    <w:rsid w:val="008E3131"/>
    <w:rsid w:val="008E3295"/>
    <w:rsid w:val="008E3372"/>
    <w:rsid w:val="008E3467"/>
    <w:rsid w:val="008E347A"/>
    <w:rsid w:val="008E34DD"/>
    <w:rsid w:val="008E35B6"/>
    <w:rsid w:val="008E38EA"/>
    <w:rsid w:val="008E39B4"/>
    <w:rsid w:val="008E3A7A"/>
    <w:rsid w:val="008E3D86"/>
    <w:rsid w:val="008E3DAD"/>
    <w:rsid w:val="008E3E87"/>
    <w:rsid w:val="008E4468"/>
    <w:rsid w:val="008E4487"/>
    <w:rsid w:val="008E45FE"/>
    <w:rsid w:val="008E4696"/>
    <w:rsid w:val="008E4981"/>
    <w:rsid w:val="008E4AE1"/>
    <w:rsid w:val="008E50B8"/>
    <w:rsid w:val="008E5275"/>
    <w:rsid w:val="008E5317"/>
    <w:rsid w:val="008E53A0"/>
    <w:rsid w:val="008E5701"/>
    <w:rsid w:val="008E588E"/>
    <w:rsid w:val="008E5B17"/>
    <w:rsid w:val="008E5C63"/>
    <w:rsid w:val="008E5E01"/>
    <w:rsid w:val="008E5FF4"/>
    <w:rsid w:val="008E606F"/>
    <w:rsid w:val="008E607C"/>
    <w:rsid w:val="008E6129"/>
    <w:rsid w:val="008E6281"/>
    <w:rsid w:val="008E64AB"/>
    <w:rsid w:val="008E65C2"/>
    <w:rsid w:val="008E665D"/>
    <w:rsid w:val="008E69AB"/>
    <w:rsid w:val="008E6BDF"/>
    <w:rsid w:val="008E6CF7"/>
    <w:rsid w:val="008E6D7C"/>
    <w:rsid w:val="008E721E"/>
    <w:rsid w:val="008E7352"/>
    <w:rsid w:val="008E7400"/>
    <w:rsid w:val="008E74DF"/>
    <w:rsid w:val="008E76FF"/>
    <w:rsid w:val="008E77A9"/>
    <w:rsid w:val="008E77DA"/>
    <w:rsid w:val="008E7D6E"/>
    <w:rsid w:val="008E7DF9"/>
    <w:rsid w:val="008E7E8A"/>
    <w:rsid w:val="008E7F91"/>
    <w:rsid w:val="008F01A0"/>
    <w:rsid w:val="008F0379"/>
    <w:rsid w:val="008F091D"/>
    <w:rsid w:val="008F0AE9"/>
    <w:rsid w:val="008F0B9C"/>
    <w:rsid w:val="008F1248"/>
    <w:rsid w:val="008F1331"/>
    <w:rsid w:val="008F1378"/>
    <w:rsid w:val="008F16B2"/>
    <w:rsid w:val="008F19CF"/>
    <w:rsid w:val="008F1A9F"/>
    <w:rsid w:val="008F1B65"/>
    <w:rsid w:val="008F1C47"/>
    <w:rsid w:val="008F1DDE"/>
    <w:rsid w:val="008F1F20"/>
    <w:rsid w:val="008F1F9E"/>
    <w:rsid w:val="008F1FB6"/>
    <w:rsid w:val="008F208D"/>
    <w:rsid w:val="008F253F"/>
    <w:rsid w:val="008F2B5E"/>
    <w:rsid w:val="008F2BF9"/>
    <w:rsid w:val="008F2F6C"/>
    <w:rsid w:val="008F326A"/>
    <w:rsid w:val="008F32E6"/>
    <w:rsid w:val="008F36F8"/>
    <w:rsid w:val="008F3BBD"/>
    <w:rsid w:val="008F3F4D"/>
    <w:rsid w:val="008F4200"/>
    <w:rsid w:val="008F4221"/>
    <w:rsid w:val="008F4493"/>
    <w:rsid w:val="008F4834"/>
    <w:rsid w:val="008F4B1B"/>
    <w:rsid w:val="008F4C59"/>
    <w:rsid w:val="008F4C99"/>
    <w:rsid w:val="008F52B9"/>
    <w:rsid w:val="008F5356"/>
    <w:rsid w:val="008F5551"/>
    <w:rsid w:val="008F5A2B"/>
    <w:rsid w:val="008F5DAA"/>
    <w:rsid w:val="008F60EF"/>
    <w:rsid w:val="008F613F"/>
    <w:rsid w:val="008F635E"/>
    <w:rsid w:val="008F652D"/>
    <w:rsid w:val="008F66A1"/>
    <w:rsid w:val="008F6813"/>
    <w:rsid w:val="008F6839"/>
    <w:rsid w:val="008F6864"/>
    <w:rsid w:val="008F69F9"/>
    <w:rsid w:val="008F6B35"/>
    <w:rsid w:val="008F6B43"/>
    <w:rsid w:val="008F77F8"/>
    <w:rsid w:val="008F7899"/>
    <w:rsid w:val="008F7E3E"/>
    <w:rsid w:val="008F7EF8"/>
    <w:rsid w:val="008F7F9C"/>
    <w:rsid w:val="0090003B"/>
    <w:rsid w:val="009000D8"/>
    <w:rsid w:val="009000F2"/>
    <w:rsid w:val="0090018A"/>
    <w:rsid w:val="009003A6"/>
    <w:rsid w:val="00900513"/>
    <w:rsid w:val="0090051F"/>
    <w:rsid w:val="00900744"/>
    <w:rsid w:val="0090078C"/>
    <w:rsid w:val="009008C8"/>
    <w:rsid w:val="00900F46"/>
    <w:rsid w:val="00901055"/>
    <w:rsid w:val="0090122F"/>
    <w:rsid w:val="009015E3"/>
    <w:rsid w:val="009015E6"/>
    <w:rsid w:val="00901628"/>
    <w:rsid w:val="0090163D"/>
    <w:rsid w:val="00901AC1"/>
    <w:rsid w:val="00901B37"/>
    <w:rsid w:val="00901DBA"/>
    <w:rsid w:val="00901DF7"/>
    <w:rsid w:val="009021C6"/>
    <w:rsid w:val="00902223"/>
    <w:rsid w:val="009023E8"/>
    <w:rsid w:val="00902445"/>
    <w:rsid w:val="009027B2"/>
    <w:rsid w:val="00902807"/>
    <w:rsid w:val="00902B77"/>
    <w:rsid w:val="00902CB4"/>
    <w:rsid w:val="00902F24"/>
    <w:rsid w:val="0090300E"/>
    <w:rsid w:val="0090320F"/>
    <w:rsid w:val="0090328B"/>
    <w:rsid w:val="0090329B"/>
    <w:rsid w:val="0090343D"/>
    <w:rsid w:val="00903509"/>
    <w:rsid w:val="0090367B"/>
    <w:rsid w:val="009036C0"/>
    <w:rsid w:val="00903707"/>
    <w:rsid w:val="00903ADD"/>
    <w:rsid w:val="00903C52"/>
    <w:rsid w:val="009044E2"/>
    <w:rsid w:val="009046A6"/>
    <w:rsid w:val="0090474B"/>
    <w:rsid w:val="0090476F"/>
    <w:rsid w:val="009047C9"/>
    <w:rsid w:val="00904958"/>
    <w:rsid w:val="00904FDB"/>
    <w:rsid w:val="00904FE0"/>
    <w:rsid w:val="00905013"/>
    <w:rsid w:val="009050B2"/>
    <w:rsid w:val="0090511A"/>
    <w:rsid w:val="0090533A"/>
    <w:rsid w:val="00905524"/>
    <w:rsid w:val="00905576"/>
    <w:rsid w:val="00905636"/>
    <w:rsid w:val="0090594F"/>
    <w:rsid w:val="00905AF7"/>
    <w:rsid w:val="00905EB3"/>
    <w:rsid w:val="009061DF"/>
    <w:rsid w:val="00906264"/>
    <w:rsid w:val="00906D15"/>
    <w:rsid w:val="00906D75"/>
    <w:rsid w:val="00906EFD"/>
    <w:rsid w:val="0090703D"/>
    <w:rsid w:val="009073CF"/>
    <w:rsid w:val="00907864"/>
    <w:rsid w:val="009078FE"/>
    <w:rsid w:val="0090792D"/>
    <w:rsid w:val="00907C43"/>
    <w:rsid w:val="00907F19"/>
    <w:rsid w:val="0091017D"/>
    <w:rsid w:val="009103AD"/>
    <w:rsid w:val="0091051D"/>
    <w:rsid w:val="00910553"/>
    <w:rsid w:val="00910644"/>
    <w:rsid w:val="009106A5"/>
    <w:rsid w:val="00910BB2"/>
    <w:rsid w:val="00910E40"/>
    <w:rsid w:val="009110EE"/>
    <w:rsid w:val="009111E5"/>
    <w:rsid w:val="009111EB"/>
    <w:rsid w:val="0091120D"/>
    <w:rsid w:val="0091126F"/>
    <w:rsid w:val="00911390"/>
    <w:rsid w:val="00911C42"/>
    <w:rsid w:val="00911D7E"/>
    <w:rsid w:val="0091243D"/>
    <w:rsid w:val="009124B2"/>
    <w:rsid w:val="00912611"/>
    <w:rsid w:val="0091272D"/>
    <w:rsid w:val="009127B8"/>
    <w:rsid w:val="0091299F"/>
    <w:rsid w:val="00912A93"/>
    <w:rsid w:val="00912CB8"/>
    <w:rsid w:val="00912E0A"/>
    <w:rsid w:val="00912E19"/>
    <w:rsid w:val="00913135"/>
    <w:rsid w:val="0091320F"/>
    <w:rsid w:val="00913284"/>
    <w:rsid w:val="009134B2"/>
    <w:rsid w:val="00913BB8"/>
    <w:rsid w:val="00913C1A"/>
    <w:rsid w:val="00913DA9"/>
    <w:rsid w:val="00913F8B"/>
    <w:rsid w:val="009140B6"/>
    <w:rsid w:val="00914311"/>
    <w:rsid w:val="0091447C"/>
    <w:rsid w:val="0091456C"/>
    <w:rsid w:val="00914798"/>
    <w:rsid w:val="009148D0"/>
    <w:rsid w:val="00914B9B"/>
    <w:rsid w:val="00914C94"/>
    <w:rsid w:val="00914D47"/>
    <w:rsid w:val="00914D5E"/>
    <w:rsid w:val="00914F6A"/>
    <w:rsid w:val="009155DE"/>
    <w:rsid w:val="00915848"/>
    <w:rsid w:val="00915902"/>
    <w:rsid w:val="0091590E"/>
    <w:rsid w:val="009159AE"/>
    <w:rsid w:val="00915A0E"/>
    <w:rsid w:val="00915B8E"/>
    <w:rsid w:val="00915C46"/>
    <w:rsid w:val="00916758"/>
    <w:rsid w:val="0091689F"/>
    <w:rsid w:val="00916B76"/>
    <w:rsid w:val="00916B86"/>
    <w:rsid w:val="00916BEC"/>
    <w:rsid w:val="00916E8D"/>
    <w:rsid w:val="0091703F"/>
    <w:rsid w:val="0091732E"/>
    <w:rsid w:val="00917425"/>
    <w:rsid w:val="0091748D"/>
    <w:rsid w:val="0091762D"/>
    <w:rsid w:val="00917663"/>
    <w:rsid w:val="0091776C"/>
    <w:rsid w:val="009177A0"/>
    <w:rsid w:val="009177C6"/>
    <w:rsid w:val="009178A0"/>
    <w:rsid w:val="009179A7"/>
    <w:rsid w:val="00917D43"/>
    <w:rsid w:val="00917EA0"/>
    <w:rsid w:val="00917EE9"/>
    <w:rsid w:val="0092012A"/>
    <w:rsid w:val="009202D9"/>
    <w:rsid w:val="00920681"/>
    <w:rsid w:val="009209A5"/>
    <w:rsid w:val="00920B04"/>
    <w:rsid w:val="009213B7"/>
    <w:rsid w:val="00921646"/>
    <w:rsid w:val="00921B50"/>
    <w:rsid w:val="009221F2"/>
    <w:rsid w:val="009224CE"/>
    <w:rsid w:val="009226D6"/>
    <w:rsid w:val="00922799"/>
    <w:rsid w:val="0092286A"/>
    <w:rsid w:val="00922906"/>
    <w:rsid w:val="00922E41"/>
    <w:rsid w:val="00923223"/>
    <w:rsid w:val="00923432"/>
    <w:rsid w:val="009235C2"/>
    <w:rsid w:val="00923789"/>
    <w:rsid w:val="00923F8C"/>
    <w:rsid w:val="009242FE"/>
    <w:rsid w:val="00924458"/>
    <w:rsid w:val="00924720"/>
    <w:rsid w:val="00924B93"/>
    <w:rsid w:val="00924BAF"/>
    <w:rsid w:val="00924EC9"/>
    <w:rsid w:val="0092629C"/>
    <w:rsid w:val="0092651B"/>
    <w:rsid w:val="00926829"/>
    <w:rsid w:val="00926ABE"/>
    <w:rsid w:val="00926C07"/>
    <w:rsid w:val="00926EEE"/>
    <w:rsid w:val="00926F8C"/>
    <w:rsid w:val="0092706D"/>
    <w:rsid w:val="009271A1"/>
    <w:rsid w:val="009271A3"/>
    <w:rsid w:val="0092762A"/>
    <w:rsid w:val="00927748"/>
    <w:rsid w:val="00927E56"/>
    <w:rsid w:val="00927EE0"/>
    <w:rsid w:val="009300B2"/>
    <w:rsid w:val="009300E6"/>
    <w:rsid w:val="009300FF"/>
    <w:rsid w:val="00930122"/>
    <w:rsid w:val="00930144"/>
    <w:rsid w:val="0093028D"/>
    <w:rsid w:val="009302F0"/>
    <w:rsid w:val="0093033A"/>
    <w:rsid w:val="0093034E"/>
    <w:rsid w:val="009305D2"/>
    <w:rsid w:val="009309A7"/>
    <w:rsid w:val="009309FE"/>
    <w:rsid w:val="00930BF2"/>
    <w:rsid w:val="0093100E"/>
    <w:rsid w:val="00931247"/>
    <w:rsid w:val="00931395"/>
    <w:rsid w:val="009314E3"/>
    <w:rsid w:val="00931571"/>
    <w:rsid w:val="00931790"/>
    <w:rsid w:val="00931880"/>
    <w:rsid w:val="00931BA1"/>
    <w:rsid w:val="00931D71"/>
    <w:rsid w:val="00931EAF"/>
    <w:rsid w:val="00931FFA"/>
    <w:rsid w:val="0093223C"/>
    <w:rsid w:val="009322DE"/>
    <w:rsid w:val="0093268E"/>
    <w:rsid w:val="00932726"/>
    <w:rsid w:val="0093273B"/>
    <w:rsid w:val="009328CC"/>
    <w:rsid w:val="00932B60"/>
    <w:rsid w:val="00932BFD"/>
    <w:rsid w:val="00933346"/>
    <w:rsid w:val="00933517"/>
    <w:rsid w:val="009335CA"/>
    <w:rsid w:val="00933733"/>
    <w:rsid w:val="00933936"/>
    <w:rsid w:val="00933DF0"/>
    <w:rsid w:val="00934441"/>
    <w:rsid w:val="009344AF"/>
    <w:rsid w:val="0093466E"/>
    <w:rsid w:val="009347F2"/>
    <w:rsid w:val="009349DE"/>
    <w:rsid w:val="009349E7"/>
    <w:rsid w:val="00934D2F"/>
    <w:rsid w:val="009350C2"/>
    <w:rsid w:val="009352B7"/>
    <w:rsid w:val="009356CC"/>
    <w:rsid w:val="0093588E"/>
    <w:rsid w:val="00935A45"/>
    <w:rsid w:val="00935BA1"/>
    <w:rsid w:val="00935C02"/>
    <w:rsid w:val="00935D4A"/>
    <w:rsid w:val="00935E20"/>
    <w:rsid w:val="009362C1"/>
    <w:rsid w:val="0093633B"/>
    <w:rsid w:val="0093644A"/>
    <w:rsid w:val="0093645F"/>
    <w:rsid w:val="0093699A"/>
    <w:rsid w:val="00936A48"/>
    <w:rsid w:val="00936AC7"/>
    <w:rsid w:val="00936EDF"/>
    <w:rsid w:val="00936FBF"/>
    <w:rsid w:val="00936FD0"/>
    <w:rsid w:val="009370EF"/>
    <w:rsid w:val="00937201"/>
    <w:rsid w:val="00937216"/>
    <w:rsid w:val="00937231"/>
    <w:rsid w:val="009372D6"/>
    <w:rsid w:val="00937750"/>
    <w:rsid w:val="009378F4"/>
    <w:rsid w:val="00937C2B"/>
    <w:rsid w:val="00937E72"/>
    <w:rsid w:val="009402C1"/>
    <w:rsid w:val="00940585"/>
    <w:rsid w:val="00940769"/>
    <w:rsid w:val="009408F0"/>
    <w:rsid w:val="009409C6"/>
    <w:rsid w:val="00940C39"/>
    <w:rsid w:val="00940DF8"/>
    <w:rsid w:val="00940E00"/>
    <w:rsid w:val="009410AA"/>
    <w:rsid w:val="009410EA"/>
    <w:rsid w:val="009411D1"/>
    <w:rsid w:val="00941279"/>
    <w:rsid w:val="009412A2"/>
    <w:rsid w:val="00941727"/>
    <w:rsid w:val="00941859"/>
    <w:rsid w:val="009419D5"/>
    <w:rsid w:val="00941F10"/>
    <w:rsid w:val="00941F27"/>
    <w:rsid w:val="00942148"/>
    <w:rsid w:val="009422AB"/>
    <w:rsid w:val="0094284B"/>
    <w:rsid w:val="00942C44"/>
    <w:rsid w:val="00942D93"/>
    <w:rsid w:val="00942EDB"/>
    <w:rsid w:val="00942F37"/>
    <w:rsid w:val="00942F76"/>
    <w:rsid w:val="00943064"/>
    <w:rsid w:val="009430F8"/>
    <w:rsid w:val="00943137"/>
    <w:rsid w:val="009437FF"/>
    <w:rsid w:val="00943889"/>
    <w:rsid w:val="00943989"/>
    <w:rsid w:val="00943D9C"/>
    <w:rsid w:val="00943FD6"/>
    <w:rsid w:val="009441F3"/>
    <w:rsid w:val="009442E9"/>
    <w:rsid w:val="009446A1"/>
    <w:rsid w:val="00944700"/>
    <w:rsid w:val="00944A84"/>
    <w:rsid w:val="00944AD4"/>
    <w:rsid w:val="00944B50"/>
    <w:rsid w:val="00944E2E"/>
    <w:rsid w:val="00944E7A"/>
    <w:rsid w:val="0094532E"/>
    <w:rsid w:val="00945339"/>
    <w:rsid w:val="009455F8"/>
    <w:rsid w:val="00945699"/>
    <w:rsid w:val="009456BC"/>
    <w:rsid w:val="00945B32"/>
    <w:rsid w:val="00945B40"/>
    <w:rsid w:val="00945EED"/>
    <w:rsid w:val="009462CD"/>
    <w:rsid w:val="0094679A"/>
    <w:rsid w:val="0094679B"/>
    <w:rsid w:val="0094695B"/>
    <w:rsid w:val="009469C4"/>
    <w:rsid w:val="00946A10"/>
    <w:rsid w:val="00946B58"/>
    <w:rsid w:val="00946D54"/>
    <w:rsid w:val="00946FE4"/>
    <w:rsid w:val="00947396"/>
    <w:rsid w:val="009473F4"/>
    <w:rsid w:val="00947602"/>
    <w:rsid w:val="009476E3"/>
    <w:rsid w:val="009476FE"/>
    <w:rsid w:val="00947B2F"/>
    <w:rsid w:val="00947C99"/>
    <w:rsid w:val="00947C9D"/>
    <w:rsid w:val="00947F30"/>
    <w:rsid w:val="00947FFE"/>
    <w:rsid w:val="00950240"/>
    <w:rsid w:val="009502FC"/>
    <w:rsid w:val="00950457"/>
    <w:rsid w:val="0095081C"/>
    <w:rsid w:val="00950DE2"/>
    <w:rsid w:val="009511A0"/>
    <w:rsid w:val="009513FE"/>
    <w:rsid w:val="00951485"/>
    <w:rsid w:val="00951A81"/>
    <w:rsid w:val="00951DC2"/>
    <w:rsid w:val="00951DE2"/>
    <w:rsid w:val="00952132"/>
    <w:rsid w:val="0095228E"/>
    <w:rsid w:val="00952DD7"/>
    <w:rsid w:val="00953102"/>
    <w:rsid w:val="009532D4"/>
    <w:rsid w:val="009535B7"/>
    <w:rsid w:val="00953AD1"/>
    <w:rsid w:val="00953DF2"/>
    <w:rsid w:val="00953FB5"/>
    <w:rsid w:val="009545E8"/>
    <w:rsid w:val="009548D9"/>
    <w:rsid w:val="00954990"/>
    <w:rsid w:val="00954997"/>
    <w:rsid w:val="00954B5F"/>
    <w:rsid w:val="00954BD6"/>
    <w:rsid w:val="00955004"/>
    <w:rsid w:val="0095503C"/>
    <w:rsid w:val="009550FC"/>
    <w:rsid w:val="0095536A"/>
    <w:rsid w:val="009555A6"/>
    <w:rsid w:val="009555AF"/>
    <w:rsid w:val="009555B8"/>
    <w:rsid w:val="00955670"/>
    <w:rsid w:val="00955840"/>
    <w:rsid w:val="009559E1"/>
    <w:rsid w:val="00955C73"/>
    <w:rsid w:val="0095627D"/>
    <w:rsid w:val="009564FB"/>
    <w:rsid w:val="009566E1"/>
    <w:rsid w:val="00956781"/>
    <w:rsid w:val="009568C1"/>
    <w:rsid w:val="00956FE2"/>
    <w:rsid w:val="009570AD"/>
    <w:rsid w:val="00957A05"/>
    <w:rsid w:val="00957A1E"/>
    <w:rsid w:val="00957B36"/>
    <w:rsid w:val="00957BBE"/>
    <w:rsid w:val="00957EB2"/>
    <w:rsid w:val="00957F09"/>
    <w:rsid w:val="00957F37"/>
    <w:rsid w:val="00957FE9"/>
    <w:rsid w:val="00960171"/>
    <w:rsid w:val="0096042B"/>
    <w:rsid w:val="00960432"/>
    <w:rsid w:val="0096054D"/>
    <w:rsid w:val="009606B8"/>
    <w:rsid w:val="009606C1"/>
    <w:rsid w:val="0096083F"/>
    <w:rsid w:val="00960922"/>
    <w:rsid w:val="00960AD4"/>
    <w:rsid w:val="00960B91"/>
    <w:rsid w:val="00960BEF"/>
    <w:rsid w:val="00960C96"/>
    <w:rsid w:val="00960E8B"/>
    <w:rsid w:val="00960EC2"/>
    <w:rsid w:val="00960F24"/>
    <w:rsid w:val="00960F35"/>
    <w:rsid w:val="00961031"/>
    <w:rsid w:val="009614B6"/>
    <w:rsid w:val="0096171D"/>
    <w:rsid w:val="00961979"/>
    <w:rsid w:val="00961B2C"/>
    <w:rsid w:val="00961BC1"/>
    <w:rsid w:val="00961CCA"/>
    <w:rsid w:val="00961D74"/>
    <w:rsid w:val="00961F5A"/>
    <w:rsid w:val="00962097"/>
    <w:rsid w:val="009620A1"/>
    <w:rsid w:val="00962303"/>
    <w:rsid w:val="0096242F"/>
    <w:rsid w:val="00962635"/>
    <w:rsid w:val="00962682"/>
    <w:rsid w:val="00962996"/>
    <w:rsid w:val="00962D46"/>
    <w:rsid w:val="00962D5C"/>
    <w:rsid w:val="00962D79"/>
    <w:rsid w:val="00962E23"/>
    <w:rsid w:val="00963401"/>
    <w:rsid w:val="009634E2"/>
    <w:rsid w:val="009635B3"/>
    <w:rsid w:val="00963DE5"/>
    <w:rsid w:val="0096402A"/>
    <w:rsid w:val="009641A1"/>
    <w:rsid w:val="00964267"/>
    <w:rsid w:val="0096431E"/>
    <w:rsid w:val="00964495"/>
    <w:rsid w:val="00964684"/>
    <w:rsid w:val="00964D69"/>
    <w:rsid w:val="00964D79"/>
    <w:rsid w:val="0096564C"/>
    <w:rsid w:val="009658B1"/>
    <w:rsid w:val="00965927"/>
    <w:rsid w:val="00965BF6"/>
    <w:rsid w:val="00965D0E"/>
    <w:rsid w:val="00965DD2"/>
    <w:rsid w:val="00965DE1"/>
    <w:rsid w:val="00965E5A"/>
    <w:rsid w:val="00965FC4"/>
    <w:rsid w:val="00966012"/>
    <w:rsid w:val="009662E0"/>
    <w:rsid w:val="009663CD"/>
    <w:rsid w:val="00966505"/>
    <w:rsid w:val="009666AB"/>
    <w:rsid w:val="009666D6"/>
    <w:rsid w:val="009668F3"/>
    <w:rsid w:val="009669CB"/>
    <w:rsid w:val="00966AF2"/>
    <w:rsid w:val="00966AFF"/>
    <w:rsid w:val="00966C4D"/>
    <w:rsid w:val="00966CA0"/>
    <w:rsid w:val="00966D41"/>
    <w:rsid w:val="00966DBB"/>
    <w:rsid w:val="00966EAC"/>
    <w:rsid w:val="0096746C"/>
    <w:rsid w:val="0096778B"/>
    <w:rsid w:val="00967970"/>
    <w:rsid w:val="00967AC0"/>
    <w:rsid w:val="00967F90"/>
    <w:rsid w:val="00970034"/>
    <w:rsid w:val="00970053"/>
    <w:rsid w:val="00970451"/>
    <w:rsid w:val="00970460"/>
    <w:rsid w:val="009706EE"/>
    <w:rsid w:val="00970A0A"/>
    <w:rsid w:val="00970CAC"/>
    <w:rsid w:val="00970D3C"/>
    <w:rsid w:val="00970E40"/>
    <w:rsid w:val="00970F75"/>
    <w:rsid w:val="0097104C"/>
    <w:rsid w:val="009714C8"/>
    <w:rsid w:val="00971655"/>
    <w:rsid w:val="009719D5"/>
    <w:rsid w:val="00971EFA"/>
    <w:rsid w:val="00971FC3"/>
    <w:rsid w:val="00971FD7"/>
    <w:rsid w:val="00972222"/>
    <w:rsid w:val="009722A1"/>
    <w:rsid w:val="009722F1"/>
    <w:rsid w:val="00972334"/>
    <w:rsid w:val="0097244C"/>
    <w:rsid w:val="00972873"/>
    <w:rsid w:val="009728C5"/>
    <w:rsid w:val="00972AED"/>
    <w:rsid w:val="00972EE6"/>
    <w:rsid w:val="00973719"/>
    <w:rsid w:val="00974043"/>
    <w:rsid w:val="00974399"/>
    <w:rsid w:val="0097443F"/>
    <w:rsid w:val="009745D4"/>
    <w:rsid w:val="00974AC4"/>
    <w:rsid w:val="00974CBF"/>
    <w:rsid w:val="00974EAD"/>
    <w:rsid w:val="00974F37"/>
    <w:rsid w:val="00975141"/>
    <w:rsid w:val="0097519C"/>
    <w:rsid w:val="009751F2"/>
    <w:rsid w:val="009756DD"/>
    <w:rsid w:val="0097584A"/>
    <w:rsid w:val="0097592D"/>
    <w:rsid w:val="00975A20"/>
    <w:rsid w:val="00975A37"/>
    <w:rsid w:val="00975B42"/>
    <w:rsid w:val="00975B63"/>
    <w:rsid w:val="00975B81"/>
    <w:rsid w:val="00975BC1"/>
    <w:rsid w:val="00975CAA"/>
    <w:rsid w:val="00975D54"/>
    <w:rsid w:val="00975DB4"/>
    <w:rsid w:val="00976164"/>
    <w:rsid w:val="009761BA"/>
    <w:rsid w:val="00976474"/>
    <w:rsid w:val="009764C6"/>
    <w:rsid w:val="009768E7"/>
    <w:rsid w:val="00976A78"/>
    <w:rsid w:val="00976BF7"/>
    <w:rsid w:val="00976C87"/>
    <w:rsid w:val="009771E7"/>
    <w:rsid w:val="00977209"/>
    <w:rsid w:val="00977467"/>
    <w:rsid w:val="00977603"/>
    <w:rsid w:val="00977BBC"/>
    <w:rsid w:val="00977C29"/>
    <w:rsid w:val="00977CC9"/>
    <w:rsid w:val="00977DE2"/>
    <w:rsid w:val="00977EE3"/>
    <w:rsid w:val="00980462"/>
    <w:rsid w:val="0098047B"/>
    <w:rsid w:val="0098069D"/>
    <w:rsid w:val="009807D7"/>
    <w:rsid w:val="00980897"/>
    <w:rsid w:val="00980B6C"/>
    <w:rsid w:val="00980C5C"/>
    <w:rsid w:val="00980EE7"/>
    <w:rsid w:val="00981029"/>
    <w:rsid w:val="009816FE"/>
    <w:rsid w:val="00981758"/>
    <w:rsid w:val="00981A02"/>
    <w:rsid w:val="00981AB3"/>
    <w:rsid w:val="00981C4B"/>
    <w:rsid w:val="00981C7E"/>
    <w:rsid w:val="00981E01"/>
    <w:rsid w:val="00981F62"/>
    <w:rsid w:val="00982247"/>
    <w:rsid w:val="0098249F"/>
    <w:rsid w:val="009826B5"/>
    <w:rsid w:val="00982C64"/>
    <w:rsid w:val="00982D98"/>
    <w:rsid w:val="009833A4"/>
    <w:rsid w:val="009834C8"/>
    <w:rsid w:val="00983744"/>
    <w:rsid w:val="00983782"/>
    <w:rsid w:val="00983D23"/>
    <w:rsid w:val="009842DD"/>
    <w:rsid w:val="00984368"/>
    <w:rsid w:val="009843A7"/>
    <w:rsid w:val="00984990"/>
    <w:rsid w:val="00984AF8"/>
    <w:rsid w:val="00984F18"/>
    <w:rsid w:val="00984F4B"/>
    <w:rsid w:val="009850F8"/>
    <w:rsid w:val="0098514B"/>
    <w:rsid w:val="0098517D"/>
    <w:rsid w:val="009851B6"/>
    <w:rsid w:val="0098557B"/>
    <w:rsid w:val="00985790"/>
    <w:rsid w:val="009857BC"/>
    <w:rsid w:val="00985A64"/>
    <w:rsid w:val="00985BDA"/>
    <w:rsid w:val="00985C5D"/>
    <w:rsid w:val="00985C60"/>
    <w:rsid w:val="00985CCE"/>
    <w:rsid w:val="00985E9C"/>
    <w:rsid w:val="00986468"/>
    <w:rsid w:val="00986998"/>
    <w:rsid w:val="0098713A"/>
    <w:rsid w:val="00987212"/>
    <w:rsid w:val="00987286"/>
    <w:rsid w:val="0098737B"/>
    <w:rsid w:val="00987658"/>
    <w:rsid w:val="00987755"/>
    <w:rsid w:val="00987A7D"/>
    <w:rsid w:val="00987D5C"/>
    <w:rsid w:val="00987DF4"/>
    <w:rsid w:val="00990034"/>
    <w:rsid w:val="00990054"/>
    <w:rsid w:val="00990457"/>
    <w:rsid w:val="00990524"/>
    <w:rsid w:val="00990612"/>
    <w:rsid w:val="00990755"/>
    <w:rsid w:val="009907E0"/>
    <w:rsid w:val="00990C22"/>
    <w:rsid w:val="00990DE8"/>
    <w:rsid w:val="00990F8E"/>
    <w:rsid w:val="009911D1"/>
    <w:rsid w:val="009914B4"/>
    <w:rsid w:val="00991582"/>
    <w:rsid w:val="009916E7"/>
    <w:rsid w:val="00991912"/>
    <w:rsid w:val="00991B39"/>
    <w:rsid w:val="00991B50"/>
    <w:rsid w:val="0099204C"/>
    <w:rsid w:val="009921F0"/>
    <w:rsid w:val="0099246B"/>
    <w:rsid w:val="009926F4"/>
    <w:rsid w:val="0099280C"/>
    <w:rsid w:val="00992913"/>
    <w:rsid w:val="0099293F"/>
    <w:rsid w:val="00992986"/>
    <w:rsid w:val="009929A0"/>
    <w:rsid w:val="00992CB8"/>
    <w:rsid w:val="00992CC0"/>
    <w:rsid w:val="00992DC4"/>
    <w:rsid w:val="009930DA"/>
    <w:rsid w:val="00993137"/>
    <w:rsid w:val="00993339"/>
    <w:rsid w:val="00993367"/>
    <w:rsid w:val="0099339A"/>
    <w:rsid w:val="009934AC"/>
    <w:rsid w:val="0099351F"/>
    <w:rsid w:val="00993538"/>
    <w:rsid w:val="00993953"/>
    <w:rsid w:val="009941F4"/>
    <w:rsid w:val="00994562"/>
    <w:rsid w:val="00994718"/>
    <w:rsid w:val="00994B60"/>
    <w:rsid w:val="00994C55"/>
    <w:rsid w:val="00994DE6"/>
    <w:rsid w:val="00995075"/>
    <w:rsid w:val="009950A4"/>
    <w:rsid w:val="00995177"/>
    <w:rsid w:val="0099524D"/>
    <w:rsid w:val="009954B0"/>
    <w:rsid w:val="009955B1"/>
    <w:rsid w:val="00995746"/>
    <w:rsid w:val="00996019"/>
    <w:rsid w:val="00996466"/>
    <w:rsid w:val="0099728B"/>
    <w:rsid w:val="0099740F"/>
    <w:rsid w:val="00997A3B"/>
    <w:rsid w:val="00997C16"/>
    <w:rsid w:val="00997CAC"/>
    <w:rsid w:val="00997E7A"/>
    <w:rsid w:val="009A0030"/>
    <w:rsid w:val="009A0084"/>
    <w:rsid w:val="009A0092"/>
    <w:rsid w:val="009A0225"/>
    <w:rsid w:val="009A04C7"/>
    <w:rsid w:val="009A0569"/>
    <w:rsid w:val="009A0732"/>
    <w:rsid w:val="009A0990"/>
    <w:rsid w:val="009A09F2"/>
    <w:rsid w:val="009A0D25"/>
    <w:rsid w:val="009A0F05"/>
    <w:rsid w:val="009A12AF"/>
    <w:rsid w:val="009A13DE"/>
    <w:rsid w:val="009A13E8"/>
    <w:rsid w:val="009A168E"/>
    <w:rsid w:val="009A1760"/>
    <w:rsid w:val="009A1BA3"/>
    <w:rsid w:val="009A1BAD"/>
    <w:rsid w:val="009A1D54"/>
    <w:rsid w:val="009A1D9E"/>
    <w:rsid w:val="009A1E2B"/>
    <w:rsid w:val="009A1FF7"/>
    <w:rsid w:val="009A2156"/>
    <w:rsid w:val="009A2193"/>
    <w:rsid w:val="009A21CC"/>
    <w:rsid w:val="009A2238"/>
    <w:rsid w:val="009A2528"/>
    <w:rsid w:val="009A253D"/>
    <w:rsid w:val="009A2574"/>
    <w:rsid w:val="009A25A7"/>
    <w:rsid w:val="009A29ED"/>
    <w:rsid w:val="009A2B13"/>
    <w:rsid w:val="009A3084"/>
    <w:rsid w:val="009A32B5"/>
    <w:rsid w:val="009A339C"/>
    <w:rsid w:val="009A33D4"/>
    <w:rsid w:val="009A351A"/>
    <w:rsid w:val="009A35C5"/>
    <w:rsid w:val="009A37A2"/>
    <w:rsid w:val="009A3911"/>
    <w:rsid w:val="009A3F0A"/>
    <w:rsid w:val="009A40FD"/>
    <w:rsid w:val="009A415B"/>
    <w:rsid w:val="009A41E9"/>
    <w:rsid w:val="009A449E"/>
    <w:rsid w:val="009A4537"/>
    <w:rsid w:val="009A4610"/>
    <w:rsid w:val="009A468B"/>
    <w:rsid w:val="009A4C11"/>
    <w:rsid w:val="009A4EAD"/>
    <w:rsid w:val="009A4EE6"/>
    <w:rsid w:val="009A501D"/>
    <w:rsid w:val="009A557B"/>
    <w:rsid w:val="009A55BC"/>
    <w:rsid w:val="009A61E2"/>
    <w:rsid w:val="009A6291"/>
    <w:rsid w:val="009A67BA"/>
    <w:rsid w:val="009A6AFB"/>
    <w:rsid w:val="009A6DA3"/>
    <w:rsid w:val="009A7170"/>
    <w:rsid w:val="009A7229"/>
    <w:rsid w:val="009A7284"/>
    <w:rsid w:val="009A77F1"/>
    <w:rsid w:val="009A7C78"/>
    <w:rsid w:val="009A7E27"/>
    <w:rsid w:val="009A7F0F"/>
    <w:rsid w:val="009A7F3F"/>
    <w:rsid w:val="009B00F2"/>
    <w:rsid w:val="009B04D7"/>
    <w:rsid w:val="009B04D8"/>
    <w:rsid w:val="009B05A3"/>
    <w:rsid w:val="009B0778"/>
    <w:rsid w:val="009B078D"/>
    <w:rsid w:val="009B08F6"/>
    <w:rsid w:val="009B0A2B"/>
    <w:rsid w:val="009B0DCB"/>
    <w:rsid w:val="009B0E68"/>
    <w:rsid w:val="009B10A3"/>
    <w:rsid w:val="009B1210"/>
    <w:rsid w:val="009B17D9"/>
    <w:rsid w:val="009B1B4C"/>
    <w:rsid w:val="009B1EDC"/>
    <w:rsid w:val="009B2301"/>
    <w:rsid w:val="009B24C7"/>
    <w:rsid w:val="009B24F9"/>
    <w:rsid w:val="009B27B2"/>
    <w:rsid w:val="009B27DF"/>
    <w:rsid w:val="009B2A1A"/>
    <w:rsid w:val="009B2AAE"/>
    <w:rsid w:val="009B2E2E"/>
    <w:rsid w:val="009B31DB"/>
    <w:rsid w:val="009B3374"/>
    <w:rsid w:val="009B3605"/>
    <w:rsid w:val="009B3746"/>
    <w:rsid w:val="009B3828"/>
    <w:rsid w:val="009B395C"/>
    <w:rsid w:val="009B3A46"/>
    <w:rsid w:val="009B3EEC"/>
    <w:rsid w:val="009B4155"/>
    <w:rsid w:val="009B4397"/>
    <w:rsid w:val="009B4430"/>
    <w:rsid w:val="009B44E8"/>
    <w:rsid w:val="009B44FF"/>
    <w:rsid w:val="009B472E"/>
    <w:rsid w:val="009B473E"/>
    <w:rsid w:val="009B480E"/>
    <w:rsid w:val="009B498A"/>
    <w:rsid w:val="009B4C98"/>
    <w:rsid w:val="009B50BD"/>
    <w:rsid w:val="009B515B"/>
    <w:rsid w:val="009B56A9"/>
    <w:rsid w:val="009B577E"/>
    <w:rsid w:val="009B59A7"/>
    <w:rsid w:val="009B6178"/>
    <w:rsid w:val="009B62FD"/>
    <w:rsid w:val="009B64EC"/>
    <w:rsid w:val="009B67C7"/>
    <w:rsid w:val="009B6859"/>
    <w:rsid w:val="009B688D"/>
    <w:rsid w:val="009B6C56"/>
    <w:rsid w:val="009B6C97"/>
    <w:rsid w:val="009B6D3C"/>
    <w:rsid w:val="009B6DAD"/>
    <w:rsid w:val="009B6E87"/>
    <w:rsid w:val="009B71AE"/>
    <w:rsid w:val="009B72CD"/>
    <w:rsid w:val="009B7625"/>
    <w:rsid w:val="009B7649"/>
    <w:rsid w:val="009B79DE"/>
    <w:rsid w:val="009B7D16"/>
    <w:rsid w:val="009B7F52"/>
    <w:rsid w:val="009C0095"/>
    <w:rsid w:val="009C01CF"/>
    <w:rsid w:val="009C0422"/>
    <w:rsid w:val="009C04D4"/>
    <w:rsid w:val="009C04DC"/>
    <w:rsid w:val="009C077D"/>
    <w:rsid w:val="009C091C"/>
    <w:rsid w:val="009C0A47"/>
    <w:rsid w:val="009C0B37"/>
    <w:rsid w:val="009C0EEC"/>
    <w:rsid w:val="009C0FBA"/>
    <w:rsid w:val="009C10A0"/>
    <w:rsid w:val="009C10AB"/>
    <w:rsid w:val="009C11EF"/>
    <w:rsid w:val="009C145D"/>
    <w:rsid w:val="009C152E"/>
    <w:rsid w:val="009C1584"/>
    <w:rsid w:val="009C1785"/>
    <w:rsid w:val="009C17D6"/>
    <w:rsid w:val="009C17DE"/>
    <w:rsid w:val="009C1D81"/>
    <w:rsid w:val="009C1E47"/>
    <w:rsid w:val="009C1EB8"/>
    <w:rsid w:val="009C1EE0"/>
    <w:rsid w:val="009C2261"/>
    <w:rsid w:val="009C281B"/>
    <w:rsid w:val="009C2BD6"/>
    <w:rsid w:val="009C2E37"/>
    <w:rsid w:val="009C3133"/>
    <w:rsid w:val="009C35B3"/>
    <w:rsid w:val="009C3749"/>
    <w:rsid w:val="009C378C"/>
    <w:rsid w:val="009C37F3"/>
    <w:rsid w:val="009C38BD"/>
    <w:rsid w:val="009C3A31"/>
    <w:rsid w:val="009C3A73"/>
    <w:rsid w:val="009C3BEC"/>
    <w:rsid w:val="009C420D"/>
    <w:rsid w:val="009C421D"/>
    <w:rsid w:val="009C462C"/>
    <w:rsid w:val="009C47CB"/>
    <w:rsid w:val="009C48F6"/>
    <w:rsid w:val="009C4947"/>
    <w:rsid w:val="009C49EC"/>
    <w:rsid w:val="009C4A01"/>
    <w:rsid w:val="009C4B7B"/>
    <w:rsid w:val="009C4DB1"/>
    <w:rsid w:val="009C4E17"/>
    <w:rsid w:val="009C504B"/>
    <w:rsid w:val="009C512C"/>
    <w:rsid w:val="009C55E6"/>
    <w:rsid w:val="009C58BB"/>
    <w:rsid w:val="009C5A48"/>
    <w:rsid w:val="009C5B4C"/>
    <w:rsid w:val="009C5CA0"/>
    <w:rsid w:val="009C5E10"/>
    <w:rsid w:val="009C6037"/>
    <w:rsid w:val="009C60F6"/>
    <w:rsid w:val="009C6166"/>
    <w:rsid w:val="009C621D"/>
    <w:rsid w:val="009C6283"/>
    <w:rsid w:val="009C6326"/>
    <w:rsid w:val="009C64FB"/>
    <w:rsid w:val="009C6622"/>
    <w:rsid w:val="009C677A"/>
    <w:rsid w:val="009C6978"/>
    <w:rsid w:val="009C6AD4"/>
    <w:rsid w:val="009C6F36"/>
    <w:rsid w:val="009C7023"/>
    <w:rsid w:val="009C7685"/>
    <w:rsid w:val="009C77ED"/>
    <w:rsid w:val="009C7A6E"/>
    <w:rsid w:val="009C7C3E"/>
    <w:rsid w:val="009C7ED5"/>
    <w:rsid w:val="009D0124"/>
    <w:rsid w:val="009D082B"/>
    <w:rsid w:val="009D0BED"/>
    <w:rsid w:val="009D11AF"/>
    <w:rsid w:val="009D1314"/>
    <w:rsid w:val="009D156B"/>
    <w:rsid w:val="009D16F7"/>
    <w:rsid w:val="009D1784"/>
    <w:rsid w:val="009D180A"/>
    <w:rsid w:val="009D18C4"/>
    <w:rsid w:val="009D1AE7"/>
    <w:rsid w:val="009D1D4C"/>
    <w:rsid w:val="009D1F71"/>
    <w:rsid w:val="009D202E"/>
    <w:rsid w:val="009D20BD"/>
    <w:rsid w:val="009D2227"/>
    <w:rsid w:val="009D22F0"/>
    <w:rsid w:val="009D24B1"/>
    <w:rsid w:val="009D2534"/>
    <w:rsid w:val="009D25AE"/>
    <w:rsid w:val="009D27B4"/>
    <w:rsid w:val="009D2852"/>
    <w:rsid w:val="009D293C"/>
    <w:rsid w:val="009D2945"/>
    <w:rsid w:val="009D2A1F"/>
    <w:rsid w:val="009D2BB2"/>
    <w:rsid w:val="009D2C15"/>
    <w:rsid w:val="009D2C74"/>
    <w:rsid w:val="009D3496"/>
    <w:rsid w:val="009D34DB"/>
    <w:rsid w:val="009D35C7"/>
    <w:rsid w:val="009D37FB"/>
    <w:rsid w:val="009D3805"/>
    <w:rsid w:val="009D38EF"/>
    <w:rsid w:val="009D3951"/>
    <w:rsid w:val="009D3E27"/>
    <w:rsid w:val="009D3EBB"/>
    <w:rsid w:val="009D3FF9"/>
    <w:rsid w:val="009D4094"/>
    <w:rsid w:val="009D40A3"/>
    <w:rsid w:val="009D429A"/>
    <w:rsid w:val="009D4B96"/>
    <w:rsid w:val="009D4FFB"/>
    <w:rsid w:val="009D52F7"/>
    <w:rsid w:val="009D53B8"/>
    <w:rsid w:val="009D55F5"/>
    <w:rsid w:val="009D5774"/>
    <w:rsid w:val="009D57E4"/>
    <w:rsid w:val="009D5889"/>
    <w:rsid w:val="009D5893"/>
    <w:rsid w:val="009D5B5B"/>
    <w:rsid w:val="009D5D03"/>
    <w:rsid w:val="009D5E15"/>
    <w:rsid w:val="009D5ECA"/>
    <w:rsid w:val="009D5F72"/>
    <w:rsid w:val="009D605C"/>
    <w:rsid w:val="009D638C"/>
    <w:rsid w:val="009D6390"/>
    <w:rsid w:val="009D63DA"/>
    <w:rsid w:val="009D66D1"/>
    <w:rsid w:val="009D689A"/>
    <w:rsid w:val="009D6ACC"/>
    <w:rsid w:val="009D6C4D"/>
    <w:rsid w:val="009D6F6D"/>
    <w:rsid w:val="009D7477"/>
    <w:rsid w:val="009D74B7"/>
    <w:rsid w:val="009D7788"/>
    <w:rsid w:val="009D78E4"/>
    <w:rsid w:val="009D7AC9"/>
    <w:rsid w:val="009D7DD1"/>
    <w:rsid w:val="009D7F63"/>
    <w:rsid w:val="009E0380"/>
    <w:rsid w:val="009E048A"/>
    <w:rsid w:val="009E0531"/>
    <w:rsid w:val="009E0764"/>
    <w:rsid w:val="009E0E00"/>
    <w:rsid w:val="009E0E2A"/>
    <w:rsid w:val="009E1238"/>
    <w:rsid w:val="009E1796"/>
    <w:rsid w:val="009E1AA2"/>
    <w:rsid w:val="009E1C85"/>
    <w:rsid w:val="009E1E24"/>
    <w:rsid w:val="009E2007"/>
    <w:rsid w:val="009E258B"/>
    <w:rsid w:val="009E27A5"/>
    <w:rsid w:val="009E287C"/>
    <w:rsid w:val="009E28AA"/>
    <w:rsid w:val="009E2C93"/>
    <w:rsid w:val="009E302E"/>
    <w:rsid w:val="009E32D1"/>
    <w:rsid w:val="009E33DB"/>
    <w:rsid w:val="009E38B5"/>
    <w:rsid w:val="009E3B84"/>
    <w:rsid w:val="009E3D64"/>
    <w:rsid w:val="009E3E7A"/>
    <w:rsid w:val="009E3F46"/>
    <w:rsid w:val="009E43CB"/>
    <w:rsid w:val="009E4637"/>
    <w:rsid w:val="009E494C"/>
    <w:rsid w:val="009E4D99"/>
    <w:rsid w:val="009E5023"/>
    <w:rsid w:val="009E5309"/>
    <w:rsid w:val="009E5337"/>
    <w:rsid w:val="009E566C"/>
    <w:rsid w:val="009E56D7"/>
    <w:rsid w:val="009E59B4"/>
    <w:rsid w:val="009E5BF6"/>
    <w:rsid w:val="009E5CE4"/>
    <w:rsid w:val="009E617C"/>
    <w:rsid w:val="009E62BA"/>
    <w:rsid w:val="009E632D"/>
    <w:rsid w:val="009E635A"/>
    <w:rsid w:val="009E6528"/>
    <w:rsid w:val="009E65EC"/>
    <w:rsid w:val="009E6AAE"/>
    <w:rsid w:val="009E6FB7"/>
    <w:rsid w:val="009E72E1"/>
    <w:rsid w:val="009E72EB"/>
    <w:rsid w:val="009E738A"/>
    <w:rsid w:val="009E7557"/>
    <w:rsid w:val="009E79A8"/>
    <w:rsid w:val="009E79F5"/>
    <w:rsid w:val="009E7FA4"/>
    <w:rsid w:val="009F0094"/>
    <w:rsid w:val="009F023A"/>
    <w:rsid w:val="009F0307"/>
    <w:rsid w:val="009F05DB"/>
    <w:rsid w:val="009F08F7"/>
    <w:rsid w:val="009F0978"/>
    <w:rsid w:val="009F097B"/>
    <w:rsid w:val="009F16E0"/>
    <w:rsid w:val="009F1960"/>
    <w:rsid w:val="009F259F"/>
    <w:rsid w:val="009F2708"/>
    <w:rsid w:val="009F2B13"/>
    <w:rsid w:val="009F2B1C"/>
    <w:rsid w:val="009F2B96"/>
    <w:rsid w:val="009F2D8B"/>
    <w:rsid w:val="009F2ECC"/>
    <w:rsid w:val="009F3162"/>
    <w:rsid w:val="009F31EB"/>
    <w:rsid w:val="009F3472"/>
    <w:rsid w:val="009F347C"/>
    <w:rsid w:val="009F3493"/>
    <w:rsid w:val="009F359F"/>
    <w:rsid w:val="009F3AF1"/>
    <w:rsid w:val="009F3DCB"/>
    <w:rsid w:val="009F3EDE"/>
    <w:rsid w:val="009F3FA5"/>
    <w:rsid w:val="009F3FCB"/>
    <w:rsid w:val="009F418A"/>
    <w:rsid w:val="009F4C48"/>
    <w:rsid w:val="009F4DDD"/>
    <w:rsid w:val="009F5525"/>
    <w:rsid w:val="009F56D2"/>
    <w:rsid w:val="009F5BE4"/>
    <w:rsid w:val="009F5E04"/>
    <w:rsid w:val="009F5E46"/>
    <w:rsid w:val="009F5FEF"/>
    <w:rsid w:val="009F5FF6"/>
    <w:rsid w:val="009F636F"/>
    <w:rsid w:val="009F63EB"/>
    <w:rsid w:val="009F671A"/>
    <w:rsid w:val="009F690E"/>
    <w:rsid w:val="009F6912"/>
    <w:rsid w:val="009F6962"/>
    <w:rsid w:val="009F7133"/>
    <w:rsid w:val="009F73C3"/>
    <w:rsid w:val="009F74F4"/>
    <w:rsid w:val="009F7652"/>
    <w:rsid w:val="009F79ED"/>
    <w:rsid w:val="009F7B8E"/>
    <w:rsid w:val="009F7CF7"/>
    <w:rsid w:val="009F7DC0"/>
    <w:rsid w:val="009F7FC1"/>
    <w:rsid w:val="00A0023E"/>
    <w:rsid w:val="00A002B5"/>
    <w:rsid w:val="00A00399"/>
    <w:rsid w:val="00A003D9"/>
    <w:rsid w:val="00A0046A"/>
    <w:rsid w:val="00A005C5"/>
    <w:rsid w:val="00A0067D"/>
    <w:rsid w:val="00A006AE"/>
    <w:rsid w:val="00A0082C"/>
    <w:rsid w:val="00A00946"/>
    <w:rsid w:val="00A00B75"/>
    <w:rsid w:val="00A00B7D"/>
    <w:rsid w:val="00A00DB0"/>
    <w:rsid w:val="00A00ECD"/>
    <w:rsid w:val="00A00F02"/>
    <w:rsid w:val="00A00F53"/>
    <w:rsid w:val="00A00FF9"/>
    <w:rsid w:val="00A01023"/>
    <w:rsid w:val="00A0118A"/>
    <w:rsid w:val="00A013AF"/>
    <w:rsid w:val="00A015E8"/>
    <w:rsid w:val="00A016A4"/>
    <w:rsid w:val="00A01702"/>
    <w:rsid w:val="00A01B40"/>
    <w:rsid w:val="00A020EB"/>
    <w:rsid w:val="00A02377"/>
    <w:rsid w:val="00A0255E"/>
    <w:rsid w:val="00A025AF"/>
    <w:rsid w:val="00A0278F"/>
    <w:rsid w:val="00A02BB2"/>
    <w:rsid w:val="00A02C95"/>
    <w:rsid w:val="00A02D8D"/>
    <w:rsid w:val="00A02E88"/>
    <w:rsid w:val="00A03065"/>
    <w:rsid w:val="00A031ED"/>
    <w:rsid w:val="00A03680"/>
    <w:rsid w:val="00A036DD"/>
    <w:rsid w:val="00A03ADD"/>
    <w:rsid w:val="00A03C67"/>
    <w:rsid w:val="00A03D8A"/>
    <w:rsid w:val="00A04040"/>
    <w:rsid w:val="00A04322"/>
    <w:rsid w:val="00A047D6"/>
    <w:rsid w:val="00A04D87"/>
    <w:rsid w:val="00A04FF0"/>
    <w:rsid w:val="00A050AA"/>
    <w:rsid w:val="00A05157"/>
    <w:rsid w:val="00A05496"/>
    <w:rsid w:val="00A05909"/>
    <w:rsid w:val="00A05A6E"/>
    <w:rsid w:val="00A05E19"/>
    <w:rsid w:val="00A061A8"/>
    <w:rsid w:val="00A061EC"/>
    <w:rsid w:val="00A0635A"/>
    <w:rsid w:val="00A06465"/>
    <w:rsid w:val="00A065E9"/>
    <w:rsid w:val="00A06AB4"/>
    <w:rsid w:val="00A06FAB"/>
    <w:rsid w:val="00A07216"/>
    <w:rsid w:val="00A0726C"/>
    <w:rsid w:val="00A0733E"/>
    <w:rsid w:val="00A073C8"/>
    <w:rsid w:val="00A0748A"/>
    <w:rsid w:val="00A077B1"/>
    <w:rsid w:val="00A0798A"/>
    <w:rsid w:val="00A07B58"/>
    <w:rsid w:val="00A07BCF"/>
    <w:rsid w:val="00A07C1B"/>
    <w:rsid w:val="00A07EA7"/>
    <w:rsid w:val="00A07EBC"/>
    <w:rsid w:val="00A07F03"/>
    <w:rsid w:val="00A07F63"/>
    <w:rsid w:val="00A10029"/>
    <w:rsid w:val="00A10482"/>
    <w:rsid w:val="00A10578"/>
    <w:rsid w:val="00A105DA"/>
    <w:rsid w:val="00A109CC"/>
    <w:rsid w:val="00A10DF7"/>
    <w:rsid w:val="00A10F1B"/>
    <w:rsid w:val="00A10F34"/>
    <w:rsid w:val="00A1102A"/>
    <w:rsid w:val="00A11167"/>
    <w:rsid w:val="00A112E8"/>
    <w:rsid w:val="00A11315"/>
    <w:rsid w:val="00A11407"/>
    <w:rsid w:val="00A1174D"/>
    <w:rsid w:val="00A118F4"/>
    <w:rsid w:val="00A11925"/>
    <w:rsid w:val="00A11C85"/>
    <w:rsid w:val="00A11D76"/>
    <w:rsid w:val="00A11FC9"/>
    <w:rsid w:val="00A1235C"/>
    <w:rsid w:val="00A123AA"/>
    <w:rsid w:val="00A123C0"/>
    <w:rsid w:val="00A1250A"/>
    <w:rsid w:val="00A126F3"/>
    <w:rsid w:val="00A12742"/>
    <w:rsid w:val="00A127FB"/>
    <w:rsid w:val="00A1291A"/>
    <w:rsid w:val="00A12F2C"/>
    <w:rsid w:val="00A130DB"/>
    <w:rsid w:val="00A131F5"/>
    <w:rsid w:val="00A134D5"/>
    <w:rsid w:val="00A13913"/>
    <w:rsid w:val="00A13B2E"/>
    <w:rsid w:val="00A13BB8"/>
    <w:rsid w:val="00A143A2"/>
    <w:rsid w:val="00A143B0"/>
    <w:rsid w:val="00A14646"/>
    <w:rsid w:val="00A14821"/>
    <w:rsid w:val="00A1493B"/>
    <w:rsid w:val="00A14A03"/>
    <w:rsid w:val="00A14A67"/>
    <w:rsid w:val="00A14AB2"/>
    <w:rsid w:val="00A14E2C"/>
    <w:rsid w:val="00A1557B"/>
    <w:rsid w:val="00A1558F"/>
    <w:rsid w:val="00A156BF"/>
    <w:rsid w:val="00A15842"/>
    <w:rsid w:val="00A159B3"/>
    <w:rsid w:val="00A159B5"/>
    <w:rsid w:val="00A15CD5"/>
    <w:rsid w:val="00A15E59"/>
    <w:rsid w:val="00A16324"/>
    <w:rsid w:val="00A1644F"/>
    <w:rsid w:val="00A1673F"/>
    <w:rsid w:val="00A16791"/>
    <w:rsid w:val="00A16815"/>
    <w:rsid w:val="00A16ADD"/>
    <w:rsid w:val="00A17245"/>
    <w:rsid w:val="00A17442"/>
    <w:rsid w:val="00A174EE"/>
    <w:rsid w:val="00A17868"/>
    <w:rsid w:val="00A179D8"/>
    <w:rsid w:val="00A17C89"/>
    <w:rsid w:val="00A17D9A"/>
    <w:rsid w:val="00A17E21"/>
    <w:rsid w:val="00A17EB4"/>
    <w:rsid w:val="00A20076"/>
    <w:rsid w:val="00A20171"/>
    <w:rsid w:val="00A2038D"/>
    <w:rsid w:val="00A20406"/>
    <w:rsid w:val="00A20535"/>
    <w:rsid w:val="00A20614"/>
    <w:rsid w:val="00A20836"/>
    <w:rsid w:val="00A208A6"/>
    <w:rsid w:val="00A208C1"/>
    <w:rsid w:val="00A2093D"/>
    <w:rsid w:val="00A20C8A"/>
    <w:rsid w:val="00A20E84"/>
    <w:rsid w:val="00A20F98"/>
    <w:rsid w:val="00A20FF8"/>
    <w:rsid w:val="00A210BB"/>
    <w:rsid w:val="00A210F4"/>
    <w:rsid w:val="00A210F7"/>
    <w:rsid w:val="00A2138D"/>
    <w:rsid w:val="00A215E7"/>
    <w:rsid w:val="00A215FA"/>
    <w:rsid w:val="00A216C8"/>
    <w:rsid w:val="00A2187E"/>
    <w:rsid w:val="00A21946"/>
    <w:rsid w:val="00A219A5"/>
    <w:rsid w:val="00A21B9B"/>
    <w:rsid w:val="00A21CFB"/>
    <w:rsid w:val="00A21EC4"/>
    <w:rsid w:val="00A21EC6"/>
    <w:rsid w:val="00A22093"/>
    <w:rsid w:val="00A220BC"/>
    <w:rsid w:val="00A22129"/>
    <w:rsid w:val="00A2213F"/>
    <w:rsid w:val="00A22726"/>
    <w:rsid w:val="00A2274D"/>
    <w:rsid w:val="00A2278F"/>
    <w:rsid w:val="00A22847"/>
    <w:rsid w:val="00A22875"/>
    <w:rsid w:val="00A22BB1"/>
    <w:rsid w:val="00A22C88"/>
    <w:rsid w:val="00A22E28"/>
    <w:rsid w:val="00A2306E"/>
    <w:rsid w:val="00A232DD"/>
    <w:rsid w:val="00A2330A"/>
    <w:rsid w:val="00A23666"/>
    <w:rsid w:val="00A23A3F"/>
    <w:rsid w:val="00A23A80"/>
    <w:rsid w:val="00A23F4C"/>
    <w:rsid w:val="00A24137"/>
    <w:rsid w:val="00A242AB"/>
    <w:rsid w:val="00A243F6"/>
    <w:rsid w:val="00A24447"/>
    <w:rsid w:val="00A2453C"/>
    <w:rsid w:val="00A245C5"/>
    <w:rsid w:val="00A249FE"/>
    <w:rsid w:val="00A24A34"/>
    <w:rsid w:val="00A24E68"/>
    <w:rsid w:val="00A24E94"/>
    <w:rsid w:val="00A24FBD"/>
    <w:rsid w:val="00A251FF"/>
    <w:rsid w:val="00A252E0"/>
    <w:rsid w:val="00A253C7"/>
    <w:rsid w:val="00A254A7"/>
    <w:rsid w:val="00A25529"/>
    <w:rsid w:val="00A25935"/>
    <w:rsid w:val="00A25AB7"/>
    <w:rsid w:val="00A25F10"/>
    <w:rsid w:val="00A26081"/>
    <w:rsid w:val="00A26117"/>
    <w:rsid w:val="00A26142"/>
    <w:rsid w:val="00A2623E"/>
    <w:rsid w:val="00A26242"/>
    <w:rsid w:val="00A2636E"/>
    <w:rsid w:val="00A2648B"/>
    <w:rsid w:val="00A264F0"/>
    <w:rsid w:val="00A2677B"/>
    <w:rsid w:val="00A267D3"/>
    <w:rsid w:val="00A26A42"/>
    <w:rsid w:val="00A26B3B"/>
    <w:rsid w:val="00A26BAE"/>
    <w:rsid w:val="00A26C30"/>
    <w:rsid w:val="00A26CD0"/>
    <w:rsid w:val="00A27186"/>
    <w:rsid w:val="00A27993"/>
    <w:rsid w:val="00A27E34"/>
    <w:rsid w:val="00A30380"/>
    <w:rsid w:val="00A306A1"/>
    <w:rsid w:val="00A30A6C"/>
    <w:rsid w:val="00A30B4A"/>
    <w:rsid w:val="00A30B9D"/>
    <w:rsid w:val="00A30C8E"/>
    <w:rsid w:val="00A30E93"/>
    <w:rsid w:val="00A30ED7"/>
    <w:rsid w:val="00A312C8"/>
    <w:rsid w:val="00A313C1"/>
    <w:rsid w:val="00A31634"/>
    <w:rsid w:val="00A3164F"/>
    <w:rsid w:val="00A316C7"/>
    <w:rsid w:val="00A3184D"/>
    <w:rsid w:val="00A318BB"/>
    <w:rsid w:val="00A31A9E"/>
    <w:rsid w:val="00A32167"/>
    <w:rsid w:val="00A32212"/>
    <w:rsid w:val="00A32650"/>
    <w:rsid w:val="00A32C28"/>
    <w:rsid w:val="00A33378"/>
    <w:rsid w:val="00A333DD"/>
    <w:rsid w:val="00A334EF"/>
    <w:rsid w:val="00A33682"/>
    <w:rsid w:val="00A338C3"/>
    <w:rsid w:val="00A338DF"/>
    <w:rsid w:val="00A33991"/>
    <w:rsid w:val="00A33BC0"/>
    <w:rsid w:val="00A340C8"/>
    <w:rsid w:val="00A34163"/>
    <w:rsid w:val="00A341A9"/>
    <w:rsid w:val="00A3459B"/>
    <w:rsid w:val="00A346CB"/>
    <w:rsid w:val="00A34DD3"/>
    <w:rsid w:val="00A34FA8"/>
    <w:rsid w:val="00A35016"/>
    <w:rsid w:val="00A35106"/>
    <w:rsid w:val="00A35263"/>
    <w:rsid w:val="00A3585E"/>
    <w:rsid w:val="00A35C33"/>
    <w:rsid w:val="00A35D43"/>
    <w:rsid w:val="00A35F83"/>
    <w:rsid w:val="00A360B0"/>
    <w:rsid w:val="00A36166"/>
    <w:rsid w:val="00A36575"/>
    <w:rsid w:val="00A369E0"/>
    <w:rsid w:val="00A36C48"/>
    <w:rsid w:val="00A36CA6"/>
    <w:rsid w:val="00A36CBA"/>
    <w:rsid w:val="00A36F77"/>
    <w:rsid w:val="00A36FA4"/>
    <w:rsid w:val="00A37003"/>
    <w:rsid w:val="00A370CD"/>
    <w:rsid w:val="00A370D4"/>
    <w:rsid w:val="00A37277"/>
    <w:rsid w:val="00A372CD"/>
    <w:rsid w:val="00A372FA"/>
    <w:rsid w:val="00A37319"/>
    <w:rsid w:val="00A37D6D"/>
    <w:rsid w:val="00A37FF8"/>
    <w:rsid w:val="00A4014A"/>
    <w:rsid w:val="00A40269"/>
    <w:rsid w:val="00A402B4"/>
    <w:rsid w:val="00A40392"/>
    <w:rsid w:val="00A404E5"/>
    <w:rsid w:val="00A40671"/>
    <w:rsid w:val="00A407D8"/>
    <w:rsid w:val="00A4095C"/>
    <w:rsid w:val="00A40961"/>
    <w:rsid w:val="00A41154"/>
    <w:rsid w:val="00A41490"/>
    <w:rsid w:val="00A41533"/>
    <w:rsid w:val="00A416EC"/>
    <w:rsid w:val="00A41715"/>
    <w:rsid w:val="00A41842"/>
    <w:rsid w:val="00A4185F"/>
    <w:rsid w:val="00A41961"/>
    <w:rsid w:val="00A41B32"/>
    <w:rsid w:val="00A41BD9"/>
    <w:rsid w:val="00A41D8F"/>
    <w:rsid w:val="00A41F41"/>
    <w:rsid w:val="00A420FD"/>
    <w:rsid w:val="00A421FD"/>
    <w:rsid w:val="00A422E9"/>
    <w:rsid w:val="00A424ED"/>
    <w:rsid w:val="00A4294A"/>
    <w:rsid w:val="00A42B08"/>
    <w:rsid w:val="00A430A2"/>
    <w:rsid w:val="00A432CA"/>
    <w:rsid w:val="00A43484"/>
    <w:rsid w:val="00A4354A"/>
    <w:rsid w:val="00A4360C"/>
    <w:rsid w:val="00A4385E"/>
    <w:rsid w:val="00A4420F"/>
    <w:rsid w:val="00A44259"/>
    <w:rsid w:val="00A44530"/>
    <w:rsid w:val="00A4478A"/>
    <w:rsid w:val="00A44A8D"/>
    <w:rsid w:val="00A44EBA"/>
    <w:rsid w:val="00A44EDB"/>
    <w:rsid w:val="00A4538F"/>
    <w:rsid w:val="00A454B9"/>
    <w:rsid w:val="00A454F2"/>
    <w:rsid w:val="00A45539"/>
    <w:rsid w:val="00A45646"/>
    <w:rsid w:val="00A456E1"/>
    <w:rsid w:val="00A45A96"/>
    <w:rsid w:val="00A45B2D"/>
    <w:rsid w:val="00A45CBB"/>
    <w:rsid w:val="00A45F0D"/>
    <w:rsid w:val="00A45F6E"/>
    <w:rsid w:val="00A4621C"/>
    <w:rsid w:val="00A46226"/>
    <w:rsid w:val="00A46895"/>
    <w:rsid w:val="00A46A41"/>
    <w:rsid w:val="00A46B06"/>
    <w:rsid w:val="00A46EC6"/>
    <w:rsid w:val="00A46F6A"/>
    <w:rsid w:val="00A470A5"/>
    <w:rsid w:val="00A4722A"/>
    <w:rsid w:val="00A47463"/>
    <w:rsid w:val="00A47748"/>
    <w:rsid w:val="00A47AD5"/>
    <w:rsid w:val="00A47D27"/>
    <w:rsid w:val="00A47D2E"/>
    <w:rsid w:val="00A47D74"/>
    <w:rsid w:val="00A47E5E"/>
    <w:rsid w:val="00A47FAC"/>
    <w:rsid w:val="00A5011E"/>
    <w:rsid w:val="00A50369"/>
    <w:rsid w:val="00A505EF"/>
    <w:rsid w:val="00A50724"/>
    <w:rsid w:val="00A50896"/>
    <w:rsid w:val="00A50932"/>
    <w:rsid w:val="00A50935"/>
    <w:rsid w:val="00A50B13"/>
    <w:rsid w:val="00A50BAC"/>
    <w:rsid w:val="00A50BBE"/>
    <w:rsid w:val="00A50DE9"/>
    <w:rsid w:val="00A50FCD"/>
    <w:rsid w:val="00A512FC"/>
    <w:rsid w:val="00A513DF"/>
    <w:rsid w:val="00A5143E"/>
    <w:rsid w:val="00A516F2"/>
    <w:rsid w:val="00A51913"/>
    <w:rsid w:val="00A51977"/>
    <w:rsid w:val="00A51C2D"/>
    <w:rsid w:val="00A51D17"/>
    <w:rsid w:val="00A51E92"/>
    <w:rsid w:val="00A52268"/>
    <w:rsid w:val="00A52501"/>
    <w:rsid w:val="00A52503"/>
    <w:rsid w:val="00A525B6"/>
    <w:rsid w:val="00A52766"/>
    <w:rsid w:val="00A5276A"/>
    <w:rsid w:val="00A52AEA"/>
    <w:rsid w:val="00A52E73"/>
    <w:rsid w:val="00A530EC"/>
    <w:rsid w:val="00A53435"/>
    <w:rsid w:val="00A53444"/>
    <w:rsid w:val="00A535A3"/>
    <w:rsid w:val="00A535B0"/>
    <w:rsid w:val="00A538F6"/>
    <w:rsid w:val="00A53D02"/>
    <w:rsid w:val="00A53ECE"/>
    <w:rsid w:val="00A53FDB"/>
    <w:rsid w:val="00A54231"/>
    <w:rsid w:val="00A542D8"/>
    <w:rsid w:val="00A5435E"/>
    <w:rsid w:val="00A5438D"/>
    <w:rsid w:val="00A54493"/>
    <w:rsid w:val="00A54557"/>
    <w:rsid w:val="00A54572"/>
    <w:rsid w:val="00A54D3A"/>
    <w:rsid w:val="00A552DE"/>
    <w:rsid w:val="00A5532A"/>
    <w:rsid w:val="00A5541B"/>
    <w:rsid w:val="00A557BB"/>
    <w:rsid w:val="00A5580B"/>
    <w:rsid w:val="00A56076"/>
    <w:rsid w:val="00A561A4"/>
    <w:rsid w:val="00A563A6"/>
    <w:rsid w:val="00A5650D"/>
    <w:rsid w:val="00A56876"/>
    <w:rsid w:val="00A5688F"/>
    <w:rsid w:val="00A56B3A"/>
    <w:rsid w:val="00A56C9C"/>
    <w:rsid w:val="00A56DB4"/>
    <w:rsid w:val="00A56E4A"/>
    <w:rsid w:val="00A57065"/>
    <w:rsid w:val="00A571A2"/>
    <w:rsid w:val="00A571EC"/>
    <w:rsid w:val="00A572D9"/>
    <w:rsid w:val="00A578B5"/>
    <w:rsid w:val="00A578EA"/>
    <w:rsid w:val="00A57A71"/>
    <w:rsid w:val="00A57A75"/>
    <w:rsid w:val="00A57EC6"/>
    <w:rsid w:val="00A57F2B"/>
    <w:rsid w:val="00A602BF"/>
    <w:rsid w:val="00A602C8"/>
    <w:rsid w:val="00A602EF"/>
    <w:rsid w:val="00A60579"/>
    <w:rsid w:val="00A60768"/>
    <w:rsid w:val="00A60B8C"/>
    <w:rsid w:val="00A60CAC"/>
    <w:rsid w:val="00A60D55"/>
    <w:rsid w:val="00A610DA"/>
    <w:rsid w:val="00A61178"/>
    <w:rsid w:val="00A617BD"/>
    <w:rsid w:val="00A61944"/>
    <w:rsid w:val="00A6199D"/>
    <w:rsid w:val="00A619F1"/>
    <w:rsid w:val="00A61F80"/>
    <w:rsid w:val="00A622AA"/>
    <w:rsid w:val="00A6248E"/>
    <w:rsid w:val="00A626BB"/>
    <w:rsid w:val="00A6272A"/>
    <w:rsid w:val="00A628D5"/>
    <w:rsid w:val="00A62A41"/>
    <w:rsid w:val="00A62A92"/>
    <w:rsid w:val="00A62D08"/>
    <w:rsid w:val="00A62DD5"/>
    <w:rsid w:val="00A63085"/>
    <w:rsid w:val="00A63122"/>
    <w:rsid w:val="00A63141"/>
    <w:rsid w:val="00A63179"/>
    <w:rsid w:val="00A632CA"/>
    <w:rsid w:val="00A6347B"/>
    <w:rsid w:val="00A635A0"/>
    <w:rsid w:val="00A638B9"/>
    <w:rsid w:val="00A63967"/>
    <w:rsid w:val="00A63DC0"/>
    <w:rsid w:val="00A6416A"/>
    <w:rsid w:val="00A64287"/>
    <w:rsid w:val="00A64352"/>
    <w:rsid w:val="00A64465"/>
    <w:rsid w:val="00A6463F"/>
    <w:rsid w:val="00A64686"/>
    <w:rsid w:val="00A64AA5"/>
    <w:rsid w:val="00A64C5B"/>
    <w:rsid w:val="00A64F38"/>
    <w:rsid w:val="00A6516A"/>
    <w:rsid w:val="00A653D1"/>
    <w:rsid w:val="00A655AE"/>
    <w:rsid w:val="00A65768"/>
    <w:rsid w:val="00A6579B"/>
    <w:rsid w:val="00A6581E"/>
    <w:rsid w:val="00A65C05"/>
    <w:rsid w:val="00A65C43"/>
    <w:rsid w:val="00A65FDE"/>
    <w:rsid w:val="00A65FF2"/>
    <w:rsid w:val="00A6630E"/>
    <w:rsid w:val="00A66616"/>
    <w:rsid w:val="00A66800"/>
    <w:rsid w:val="00A6688F"/>
    <w:rsid w:val="00A66B83"/>
    <w:rsid w:val="00A673EB"/>
    <w:rsid w:val="00A674EE"/>
    <w:rsid w:val="00A6756F"/>
    <w:rsid w:val="00A67589"/>
    <w:rsid w:val="00A675C2"/>
    <w:rsid w:val="00A677B5"/>
    <w:rsid w:val="00A67938"/>
    <w:rsid w:val="00A67A73"/>
    <w:rsid w:val="00A67B44"/>
    <w:rsid w:val="00A67B53"/>
    <w:rsid w:val="00A7043A"/>
    <w:rsid w:val="00A709F5"/>
    <w:rsid w:val="00A70A89"/>
    <w:rsid w:val="00A70BF1"/>
    <w:rsid w:val="00A71195"/>
    <w:rsid w:val="00A7140A"/>
    <w:rsid w:val="00A7149E"/>
    <w:rsid w:val="00A717DE"/>
    <w:rsid w:val="00A71BCC"/>
    <w:rsid w:val="00A71E17"/>
    <w:rsid w:val="00A71FD6"/>
    <w:rsid w:val="00A7246A"/>
    <w:rsid w:val="00A7250D"/>
    <w:rsid w:val="00A72993"/>
    <w:rsid w:val="00A72AC4"/>
    <w:rsid w:val="00A72C9F"/>
    <w:rsid w:val="00A72CB5"/>
    <w:rsid w:val="00A72D1E"/>
    <w:rsid w:val="00A72EEF"/>
    <w:rsid w:val="00A72FED"/>
    <w:rsid w:val="00A73127"/>
    <w:rsid w:val="00A73649"/>
    <w:rsid w:val="00A73A28"/>
    <w:rsid w:val="00A73BE2"/>
    <w:rsid w:val="00A73C72"/>
    <w:rsid w:val="00A73DF5"/>
    <w:rsid w:val="00A74175"/>
    <w:rsid w:val="00A7425B"/>
    <w:rsid w:val="00A74440"/>
    <w:rsid w:val="00A74636"/>
    <w:rsid w:val="00A747CD"/>
    <w:rsid w:val="00A74845"/>
    <w:rsid w:val="00A74B29"/>
    <w:rsid w:val="00A74BE4"/>
    <w:rsid w:val="00A74C1A"/>
    <w:rsid w:val="00A74C98"/>
    <w:rsid w:val="00A74F2E"/>
    <w:rsid w:val="00A7507D"/>
    <w:rsid w:val="00A751A9"/>
    <w:rsid w:val="00A758B8"/>
    <w:rsid w:val="00A75A6E"/>
    <w:rsid w:val="00A75B72"/>
    <w:rsid w:val="00A760C0"/>
    <w:rsid w:val="00A7637B"/>
    <w:rsid w:val="00A7676D"/>
    <w:rsid w:val="00A7688E"/>
    <w:rsid w:val="00A76973"/>
    <w:rsid w:val="00A76990"/>
    <w:rsid w:val="00A769AF"/>
    <w:rsid w:val="00A76AD4"/>
    <w:rsid w:val="00A76BBA"/>
    <w:rsid w:val="00A76F97"/>
    <w:rsid w:val="00A7712C"/>
    <w:rsid w:val="00A77719"/>
    <w:rsid w:val="00A779D3"/>
    <w:rsid w:val="00A77DAC"/>
    <w:rsid w:val="00A80626"/>
    <w:rsid w:val="00A80A2C"/>
    <w:rsid w:val="00A8118E"/>
    <w:rsid w:val="00A81343"/>
    <w:rsid w:val="00A81403"/>
    <w:rsid w:val="00A8169A"/>
    <w:rsid w:val="00A8199C"/>
    <w:rsid w:val="00A81D92"/>
    <w:rsid w:val="00A81DB6"/>
    <w:rsid w:val="00A826AC"/>
    <w:rsid w:val="00A8273B"/>
    <w:rsid w:val="00A82756"/>
    <w:rsid w:val="00A82768"/>
    <w:rsid w:val="00A82C7D"/>
    <w:rsid w:val="00A82D9E"/>
    <w:rsid w:val="00A82EAE"/>
    <w:rsid w:val="00A82FC4"/>
    <w:rsid w:val="00A83070"/>
    <w:rsid w:val="00A83283"/>
    <w:rsid w:val="00A83513"/>
    <w:rsid w:val="00A835C7"/>
    <w:rsid w:val="00A83A0D"/>
    <w:rsid w:val="00A84269"/>
    <w:rsid w:val="00A842C8"/>
    <w:rsid w:val="00A845F9"/>
    <w:rsid w:val="00A8481C"/>
    <w:rsid w:val="00A84C98"/>
    <w:rsid w:val="00A85090"/>
    <w:rsid w:val="00A85750"/>
    <w:rsid w:val="00A85857"/>
    <w:rsid w:val="00A85C37"/>
    <w:rsid w:val="00A85C95"/>
    <w:rsid w:val="00A8614E"/>
    <w:rsid w:val="00A861EC"/>
    <w:rsid w:val="00A862B2"/>
    <w:rsid w:val="00A86535"/>
    <w:rsid w:val="00A86628"/>
    <w:rsid w:val="00A8666F"/>
    <w:rsid w:val="00A8675F"/>
    <w:rsid w:val="00A867EB"/>
    <w:rsid w:val="00A868A4"/>
    <w:rsid w:val="00A86AD5"/>
    <w:rsid w:val="00A86C87"/>
    <w:rsid w:val="00A86F81"/>
    <w:rsid w:val="00A870C1"/>
    <w:rsid w:val="00A872C6"/>
    <w:rsid w:val="00A879AB"/>
    <w:rsid w:val="00A87A96"/>
    <w:rsid w:val="00A87D81"/>
    <w:rsid w:val="00A87ECB"/>
    <w:rsid w:val="00A87FDB"/>
    <w:rsid w:val="00A9033A"/>
    <w:rsid w:val="00A905B2"/>
    <w:rsid w:val="00A9068B"/>
    <w:rsid w:val="00A909F9"/>
    <w:rsid w:val="00A90EEA"/>
    <w:rsid w:val="00A9128E"/>
    <w:rsid w:val="00A912D6"/>
    <w:rsid w:val="00A9159C"/>
    <w:rsid w:val="00A9172E"/>
    <w:rsid w:val="00A91915"/>
    <w:rsid w:val="00A919A0"/>
    <w:rsid w:val="00A91AA2"/>
    <w:rsid w:val="00A92330"/>
    <w:rsid w:val="00A92447"/>
    <w:rsid w:val="00A926A8"/>
    <w:rsid w:val="00A9274E"/>
    <w:rsid w:val="00A92810"/>
    <w:rsid w:val="00A9282B"/>
    <w:rsid w:val="00A928A2"/>
    <w:rsid w:val="00A9291A"/>
    <w:rsid w:val="00A929B7"/>
    <w:rsid w:val="00A92AAA"/>
    <w:rsid w:val="00A92B0F"/>
    <w:rsid w:val="00A92B70"/>
    <w:rsid w:val="00A93032"/>
    <w:rsid w:val="00A93086"/>
    <w:rsid w:val="00A9331D"/>
    <w:rsid w:val="00A9343E"/>
    <w:rsid w:val="00A93B36"/>
    <w:rsid w:val="00A94044"/>
    <w:rsid w:val="00A942DF"/>
    <w:rsid w:val="00A94411"/>
    <w:rsid w:val="00A946EC"/>
    <w:rsid w:val="00A9482C"/>
    <w:rsid w:val="00A94906"/>
    <w:rsid w:val="00A949FD"/>
    <w:rsid w:val="00A94AA0"/>
    <w:rsid w:val="00A94B3E"/>
    <w:rsid w:val="00A9518F"/>
    <w:rsid w:val="00A952E4"/>
    <w:rsid w:val="00A95302"/>
    <w:rsid w:val="00A95497"/>
    <w:rsid w:val="00A95586"/>
    <w:rsid w:val="00A956A6"/>
    <w:rsid w:val="00A95C02"/>
    <w:rsid w:val="00A95DBC"/>
    <w:rsid w:val="00A95E1A"/>
    <w:rsid w:val="00A960C7"/>
    <w:rsid w:val="00A96168"/>
    <w:rsid w:val="00A96193"/>
    <w:rsid w:val="00A96421"/>
    <w:rsid w:val="00A96541"/>
    <w:rsid w:val="00A96B28"/>
    <w:rsid w:val="00A96BB3"/>
    <w:rsid w:val="00A96C01"/>
    <w:rsid w:val="00A970B0"/>
    <w:rsid w:val="00A9718F"/>
    <w:rsid w:val="00A972B0"/>
    <w:rsid w:val="00A972C5"/>
    <w:rsid w:val="00A973B2"/>
    <w:rsid w:val="00A975EB"/>
    <w:rsid w:val="00A97664"/>
    <w:rsid w:val="00A9775C"/>
    <w:rsid w:val="00A9794B"/>
    <w:rsid w:val="00A97A0C"/>
    <w:rsid w:val="00A97C6E"/>
    <w:rsid w:val="00A97E0B"/>
    <w:rsid w:val="00AA04E4"/>
    <w:rsid w:val="00AA0666"/>
    <w:rsid w:val="00AA078F"/>
    <w:rsid w:val="00AA08B1"/>
    <w:rsid w:val="00AA090F"/>
    <w:rsid w:val="00AA0BA5"/>
    <w:rsid w:val="00AA0BBE"/>
    <w:rsid w:val="00AA0D22"/>
    <w:rsid w:val="00AA0D5B"/>
    <w:rsid w:val="00AA0E4A"/>
    <w:rsid w:val="00AA0F3B"/>
    <w:rsid w:val="00AA1095"/>
    <w:rsid w:val="00AA132E"/>
    <w:rsid w:val="00AA14A7"/>
    <w:rsid w:val="00AA14AE"/>
    <w:rsid w:val="00AA15AA"/>
    <w:rsid w:val="00AA1708"/>
    <w:rsid w:val="00AA1773"/>
    <w:rsid w:val="00AA18E0"/>
    <w:rsid w:val="00AA1C02"/>
    <w:rsid w:val="00AA1FB2"/>
    <w:rsid w:val="00AA1FB9"/>
    <w:rsid w:val="00AA228E"/>
    <w:rsid w:val="00AA264F"/>
    <w:rsid w:val="00AA2803"/>
    <w:rsid w:val="00AA295C"/>
    <w:rsid w:val="00AA2B0B"/>
    <w:rsid w:val="00AA2B3B"/>
    <w:rsid w:val="00AA2EED"/>
    <w:rsid w:val="00AA2F44"/>
    <w:rsid w:val="00AA2F74"/>
    <w:rsid w:val="00AA2FE8"/>
    <w:rsid w:val="00AA3188"/>
    <w:rsid w:val="00AA3A4E"/>
    <w:rsid w:val="00AA3C86"/>
    <w:rsid w:val="00AA3E84"/>
    <w:rsid w:val="00AA4383"/>
    <w:rsid w:val="00AA4468"/>
    <w:rsid w:val="00AA44DF"/>
    <w:rsid w:val="00AA45D1"/>
    <w:rsid w:val="00AA46E6"/>
    <w:rsid w:val="00AA4999"/>
    <w:rsid w:val="00AA49DB"/>
    <w:rsid w:val="00AA4D44"/>
    <w:rsid w:val="00AA4E43"/>
    <w:rsid w:val="00AA4F96"/>
    <w:rsid w:val="00AA514D"/>
    <w:rsid w:val="00AA5408"/>
    <w:rsid w:val="00AA58C8"/>
    <w:rsid w:val="00AA58D8"/>
    <w:rsid w:val="00AA5975"/>
    <w:rsid w:val="00AA5A77"/>
    <w:rsid w:val="00AA5ACD"/>
    <w:rsid w:val="00AA5B4E"/>
    <w:rsid w:val="00AA5F1C"/>
    <w:rsid w:val="00AA5F2B"/>
    <w:rsid w:val="00AA6100"/>
    <w:rsid w:val="00AA6117"/>
    <w:rsid w:val="00AA61BA"/>
    <w:rsid w:val="00AA624A"/>
    <w:rsid w:val="00AA649D"/>
    <w:rsid w:val="00AA6511"/>
    <w:rsid w:val="00AA652F"/>
    <w:rsid w:val="00AA65DB"/>
    <w:rsid w:val="00AA67A9"/>
    <w:rsid w:val="00AA6DA4"/>
    <w:rsid w:val="00AA71AA"/>
    <w:rsid w:val="00AA744D"/>
    <w:rsid w:val="00AA754D"/>
    <w:rsid w:val="00AA75FC"/>
    <w:rsid w:val="00AA76EA"/>
    <w:rsid w:val="00AA77B6"/>
    <w:rsid w:val="00AA7923"/>
    <w:rsid w:val="00AA79E0"/>
    <w:rsid w:val="00AA7E0D"/>
    <w:rsid w:val="00AB030C"/>
    <w:rsid w:val="00AB0407"/>
    <w:rsid w:val="00AB072E"/>
    <w:rsid w:val="00AB07A3"/>
    <w:rsid w:val="00AB08CA"/>
    <w:rsid w:val="00AB0A76"/>
    <w:rsid w:val="00AB0B95"/>
    <w:rsid w:val="00AB0D4A"/>
    <w:rsid w:val="00AB1683"/>
    <w:rsid w:val="00AB16E5"/>
    <w:rsid w:val="00AB18EF"/>
    <w:rsid w:val="00AB197D"/>
    <w:rsid w:val="00AB19AD"/>
    <w:rsid w:val="00AB1A97"/>
    <w:rsid w:val="00AB1B3F"/>
    <w:rsid w:val="00AB1B60"/>
    <w:rsid w:val="00AB1BCB"/>
    <w:rsid w:val="00AB1C2F"/>
    <w:rsid w:val="00AB1C59"/>
    <w:rsid w:val="00AB1D86"/>
    <w:rsid w:val="00AB1FC7"/>
    <w:rsid w:val="00AB206C"/>
    <w:rsid w:val="00AB20F8"/>
    <w:rsid w:val="00AB2262"/>
    <w:rsid w:val="00AB22C1"/>
    <w:rsid w:val="00AB22EB"/>
    <w:rsid w:val="00AB24D6"/>
    <w:rsid w:val="00AB259B"/>
    <w:rsid w:val="00AB2842"/>
    <w:rsid w:val="00AB2AA8"/>
    <w:rsid w:val="00AB2B5E"/>
    <w:rsid w:val="00AB3137"/>
    <w:rsid w:val="00AB31A3"/>
    <w:rsid w:val="00AB3436"/>
    <w:rsid w:val="00AB372D"/>
    <w:rsid w:val="00AB38EA"/>
    <w:rsid w:val="00AB3986"/>
    <w:rsid w:val="00AB3AC1"/>
    <w:rsid w:val="00AB3D6A"/>
    <w:rsid w:val="00AB3D91"/>
    <w:rsid w:val="00AB3EF1"/>
    <w:rsid w:val="00AB3F0B"/>
    <w:rsid w:val="00AB41B5"/>
    <w:rsid w:val="00AB41BD"/>
    <w:rsid w:val="00AB41D4"/>
    <w:rsid w:val="00AB430F"/>
    <w:rsid w:val="00AB43B6"/>
    <w:rsid w:val="00AB45CD"/>
    <w:rsid w:val="00AB4641"/>
    <w:rsid w:val="00AB46F9"/>
    <w:rsid w:val="00AB472D"/>
    <w:rsid w:val="00AB47B4"/>
    <w:rsid w:val="00AB47B9"/>
    <w:rsid w:val="00AB49B0"/>
    <w:rsid w:val="00AB522A"/>
    <w:rsid w:val="00AB5470"/>
    <w:rsid w:val="00AB58FD"/>
    <w:rsid w:val="00AB5B68"/>
    <w:rsid w:val="00AB5C36"/>
    <w:rsid w:val="00AB62AA"/>
    <w:rsid w:val="00AB64AF"/>
    <w:rsid w:val="00AB6D37"/>
    <w:rsid w:val="00AB7242"/>
    <w:rsid w:val="00AB7C3A"/>
    <w:rsid w:val="00AB7E92"/>
    <w:rsid w:val="00AB7F70"/>
    <w:rsid w:val="00AC01BB"/>
    <w:rsid w:val="00AC0326"/>
    <w:rsid w:val="00AC04C5"/>
    <w:rsid w:val="00AC0A9A"/>
    <w:rsid w:val="00AC0D40"/>
    <w:rsid w:val="00AC1084"/>
    <w:rsid w:val="00AC1272"/>
    <w:rsid w:val="00AC15BA"/>
    <w:rsid w:val="00AC167C"/>
    <w:rsid w:val="00AC168B"/>
    <w:rsid w:val="00AC1729"/>
    <w:rsid w:val="00AC17B7"/>
    <w:rsid w:val="00AC1BFF"/>
    <w:rsid w:val="00AC1CD2"/>
    <w:rsid w:val="00AC1D9B"/>
    <w:rsid w:val="00AC1EEA"/>
    <w:rsid w:val="00AC1F8A"/>
    <w:rsid w:val="00AC20D1"/>
    <w:rsid w:val="00AC220C"/>
    <w:rsid w:val="00AC2340"/>
    <w:rsid w:val="00AC244A"/>
    <w:rsid w:val="00AC24CA"/>
    <w:rsid w:val="00AC2544"/>
    <w:rsid w:val="00AC27BA"/>
    <w:rsid w:val="00AC27EC"/>
    <w:rsid w:val="00AC29CC"/>
    <w:rsid w:val="00AC2E4C"/>
    <w:rsid w:val="00AC3309"/>
    <w:rsid w:val="00AC37B5"/>
    <w:rsid w:val="00AC3926"/>
    <w:rsid w:val="00AC3D30"/>
    <w:rsid w:val="00AC3DBA"/>
    <w:rsid w:val="00AC408E"/>
    <w:rsid w:val="00AC4136"/>
    <w:rsid w:val="00AC4663"/>
    <w:rsid w:val="00AC46C3"/>
    <w:rsid w:val="00AC4891"/>
    <w:rsid w:val="00AC498B"/>
    <w:rsid w:val="00AC49C9"/>
    <w:rsid w:val="00AC4B30"/>
    <w:rsid w:val="00AC4CB7"/>
    <w:rsid w:val="00AC4DE5"/>
    <w:rsid w:val="00AC5604"/>
    <w:rsid w:val="00AC5623"/>
    <w:rsid w:val="00AC59A1"/>
    <w:rsid w:val="00AC59CF"/>
    <w:rsid w:val="00AC5BC6"/>
    <w:rsid w:val="00AC5D80"/>
    <w:rsid w:val="00AC5F10"/>
    <w:rsid w:val="00AC615C"/>
    <w:rsid w:val="00AC61A8"/>
    <w:rsid w:val="00AC628B"/>
    <w:rsid w:val="00AC6482"/>
    <w:rsid w:val="00AC6512"/>
    <w:rsid w:val="00AC67DC"/>
    <w:rsid w:val="00AC6C58"/>
    <w:rsid w:val="00AC6F16"/>
    <w:rsid w:val="00AC718E"/>
    <w:rsid w:val="00AC7503"/>
    <w:rsid w:val="00AC7824"/>
    <w:rsid w:val="00AC782C"/>
    <w:rsid w:val="00AC7BF7"/>
    <w:rsid w:val="00AC7C7B"/>
    <w:rsid w:val="00AC7D09"/>
    <w:rsid w:val="00AD0434"/>
    <w:rsid w:val="00AD08E0"/>
    <w:rsid w:val="00AD0926"/>
    <w:rsid w:val="00AD0B24"/>
    <w:rsid w:val="00AD0C56"/>
    <w:rsid w:val="00AD14B0"/>
    <w:rsid w:val="00AD1898"/>
    <w:rsid w:val="00AD1AC3"/>
    <w:rsid w:val="00AD1B6D"/>
    <w:rsid w:val="00AD25C1"/>
    <w:rsid w:val="00AD25EF"/>
    <w:rsid w:val="00AD26D2"/>
    <w:rsid w:val="00AD28BE"/>
    <w:rsid w:val="00AD2A46"/>
    <w:rsid w:val="00AD2F2E"/>
    <w:rsid w:val="00AD312B"/>
    <w:rsid w:val="00AD337F"/>
    <w:rsid w:val="00AD34C4"/>
    <w:rsid w:val="00AD3CB9"/>
    <w:rsid w:val="00AD42B1"/>
    <w:rsid w:val="00AD43A8"/>
    <w:rsid w:val="00AD4591"/>
    <w:rsid w:val="00AD4736"/>
    <w:rsid w:val="00AD489A"/>
    <w:rsid w:val="00AD4982"/>
    <w:rsid w:val="00AD4A2D"/>
    <w:rsid w:val="00AD4C2B"/>
    <w:rsid w:val="00AD4D94"/>
    <w:rsid w:val="00AD4FE4"/>
    <w:rsid w:val="00AD524D"/>
    <w:rsid w:val="00AD55A5"/>
    <w:rsid w:val="00AD56AB"/>
    <w:rsid w:val="00AD5775"/>
    <w:rsid w:val="00AD5850"/>
    <w:rsid w:val="00AD5B68"/>
    <w:rsid w:val="00AD5BF3"/>
    <w:rsid w:val="00AD5D77"/>
    <w:rsid w:val="00AD617E"/>
    <w:rsid w:val="00AD62A1"/>
    <w:rsid w:val="00AD6718"/>
    <w:rsid w:val="00AD671B"/>
    <w:rsid w:val="00AD6926"/>
    <w:rsid w:val="00AD69B7"/>
    <w:rsid w:val="00AD6C7D"/>
    <w:rsid w:val="00AD7ACC"/>
    <w:rsid w:val="00AD7EBB"/>
    <w:rsid w:val="00AD7F30"/>
    <w:rsid w:val="00AD7FD3"/>
    <w:rsid w:val="00AE0012"/>
    <w:rsid w:val="00AE02B6"/>
    <w:rsid w:val="00AE03C2"/>
    <w:rsid w:val="00AE05F4"/>
    <w:rsid w:val="00AE092B"/>
    <w:rsid w:val="00AE17BB"/>
    <w:rsid w:val="00AE18BD"/>
    <w:rsid w:val="00AE1AB1"/>
    <w:rsid w:val="00AE1B14"/>
    <w:rsid w:val="00AE1E6C"/>
    <w:rsid w:val="00AE22D6"/>
    <w:rsid w:val="00AE24EF"/>
    <w:rsid w:val="00AE28B8"/>
    <w:rsid w:val="00AE2ADC"/>
    <w:rsid w:val="00AE2E22"/>
    <w:rsid w:val="00AE3111"/>
    <w:rsid w:val="00AE31F6"/>
    <w:rsid w:val="00AE361E"/>
    <w:rsid w:val="00AE362A"/>
    <w:rsid w:val="00AE36E3"/>
    <w:rsid w:val="00AE3A5E"/>
    <w:rsid w:val="00AE3C28"/>
    <w:rsid w:val="00AE3D78"/>
    <w:rsid w:val="00AE3E8D"/>
    <w:rsid w:val="00AE3FE9"/>
    <w:rsid w:val="00AE400C"/>
    <w:rsid w:val="00AE4099"/>
    <w:rsid w:val="00AE40FE"/>
    <w:rsid w:val="00AE42F4"/>
    <w:rsid w:val="00AE4502"/>
    <w:rsid w:val="00AE4762"/>
    <w:rsid w:val="00AE4872"/>
    <w:rsid w:val="00AE492B"/>
    <w:rsid w:val="00AE4D25"/>
    <w:rsid w:val="00AE523B"/>
    <w:rsid w:val="00AE5426"/>
    <w:rsid w:val="00AE5771"/>
    <w:rsid w:val="00AE5A3B"/>
    <w:rsid w:val="00AE5CA9"/>
    <w:rsid w:val="00AE5F60"/>
    <w:rsid w:val="00AE6297"/>
    <w:rsid w:val="00AE66C8"/>
    <w:rsid w:val="00AE6BFC"/>
    <w:rsid w:val="00AE6CF6"/>
    <w:rsid w:val="00AE6EE6"/>
    <w:rsid w:val="00AE6F16"/>
    <w:rsid w:val="00AE6F4C"/>
    <w:rsid w:val="00AE703F"/>
    <w:rsid w:val="00AE71A4"/>
    <w:rsid w:val="00AE73E2"/>
    <w:rsid w:val="00AE74C6"/>
    <w:rsid w:val="00AE75DE"/>
    <w:rsid w:val="00AE77B0"/>
    <w:rsid w:val="00AE77FF"/>
    <w:rsid w:val="00AE7945"/>
    <w:rsid w:val="00AE7B3F"/>
    <w:rsid w:val="00AF0220"/>
    <w:rsid w:val="00AF094C"/>
    <w:rsid w:val="00AF0A83"/>
    <w:rsid w:val="00AF0DC0"/>
    <w:rsid w:val="00AF0E8C"/>
    <w:rsid w:val="00AF104D"/>
    <w:rsid w:val="00AF10D7"/>
    <w:rsid w:val="00AF12CC"/>
    <w:rsid w:val="00AF152D"/>
    <w:rsid w:val="00AF18FD"/>
    <w:rsid w:val="00AF1B7B"/>
    <w:rsid w:val="00AF1D4E"/>
    <w:rsid w:val="00AF1E3E"/>
    <w:rsid w:val="00AF1E71"/>
    <w:rsid w:val="00AF1FDE"/>
    <w:rsid w:val="00AF20F6"/>
    <w:rsid w:val="00AF247E"/>
    <w:rsid w:val="00AF2522"/>
    <w:rsid w:val="00AF25CA"/>
    <w:rsid w:val="00AF26D4"/>
    <w:rsid w:val="00AF2712"/>
    <w:rsid w:val="00AF2C30"/>
    <w:rsid w:val="00AF311C"/>
    <w:rsid w:val="00AF33E1"/>
    <w:rsid w:val="00AF3608"/>
    <w:rsid w:val="00AF366D"/>
    <w:rsid w:val="00AF379D"/>
    <w:rsid w:val="00AF3933"/>
    <w:rsid w:val="00AF3AAB"/>
    <w:rsid w:val="00AF3B71"/>
    <w:rsid w:val="00AF3BA1"/>
    <w:rsid w:val="00AF3CE9"/>
    <w:rsid w:val="00AF3E16"/>
    <w:rsid w:val="00AF3F75"/>
    <w:rsid w:val="00AF41F8"/>
    <w:rsid w:val="00AF43EF"/>
    <w:rsid w:val="00AF4AFD"/>
    <w:rsid w:val="00AF4BCF"/>
    <w:rsid w:val="00AF4D5B"/>
    <w:rsid w:val="00AF4F6A"/>
    <w:rsid w:val="00AF53D6"/>
    <w:rsid w:val="00AF5443"/>
    <w:rsid w:val="00AF555C"/>
    <w:rsid w:val="00AF59CA"/>
    <w:rsid w:val="00AF5AE8"/>
    <w:rsid w:val="00AF5AF4"/>
    <w:rsid w:val="00AF5C4E"/>
    <w:rsid w:val="00AF5DB0"/>
    <w:rsid w:val="00AF5E13"/>
    <w:rsid w:val="00AF65DF"/>
    <w:rsid w:val="00AF6623"/>
    <w:rsid w:val="00AF6886"/>
    <w:rsid w:val="00AF6C23"/>
    <w:rsid w:val="00AF6DC5"/>
    <w:rsid w:val="00AF6E06"/>
    <w:rsid w:val="00AF7287"/>
    <w:rsid w:val="00AF74DE"/>
    <w:rsid w:val="00AF7717"/>
    <w:rsid w:val="00AF7734"/>
    <w:rsid w:val="00AF7C74"/>
    <w:rsid w:val="00B0032D"/>
    <w:rsid w:val="00B00983"/>
    <w:rsid w:val="00B00CA2"/>
    <w:rsid w:val="00B00CE2"/>
    <w:rsid w:val="00B00D1D"/>
    <w:rsid w:val="00B00F64"/>
    <w:rsid w:val="00B011CC"/>
    <w:rsid w:val="00B014F6"/>
    <w:rsid w:val="00B01752"/>
    <w:rsid w:val="00B01770"/>
    <w:rsid w:val="00B01838"/>
    <w:rsid w:val="00B01B00"/>
    <w:rsid w:val="00B01C41"/>
    <w:rsid w:val="00B02130"/>
    <w:rsid w:val="00B02162"/>
    <w:rsid w:val="00B02326"/>
    <w:rsid w:val="00B027CF"/>
    <w:rsid w:val="00B0296C"/>
    <w:rsid w:val="00B02B12"/>
    <w:rsid w:val="00B02B33"/>
    <w:rsid w:val="00B02BB4"/>
    <w:rsid w:val="00B02E3B"/>
    <w:rsid w:val="00B03070"/>
    <w:rsid w:val="00B030E8"/>
    <w:rsid w:val="00B031C1"/>
    <w:rsid w:val="00B031EB"/>
    <w:rsid w:val="00B033B8"/>
    <w:rsid w:val="00B03526"/>
    <w:rsid w:val="00B03540"/>
    <w:rsid w:val="00B03601"/>
    <w:rsid w:val="00B03B05"/>
    <w:rsid w:val="00B03B7D"/>
    <w:rsid w:val="00B03F10"/>
    <w:rsid w:val="00B0408F"/>
    <w:rsid w:val="00B041C4"/>
    <w:rsid w:val="00B044BC"/>
    <w:rsid w:val="00B04624"/>
    <w:rsid w:val="00B04EE8"/>
    <w:rsid w:val="00B051D7"/>
    <w:rsid w:val="00B05309"/>
    <w:rsid w:val="00B05342"/>
    <w:rsid w:val="00B0583B"/>
    <w:rsid w:val="00B05B65"/>
    <w:rsid w:val="00B05B6B"/>
    <w:rsid w:val="00B05D15"/>
    <w:rsid w:val="00B05E2C"/>
    <w:rsid w:val="00B05F3E"/>
    <w:rsid w:val="00B062B0"/>
    <w:rsid w:val="00B0670A"/>
    <w:rsid w:val="00B06722"/>
    <w:rsid w:val="00B069E9"/>
    <w:rsid w:val="00B06A3D"/>
    <w:rsid w:val="00B06BA2"/>
    <w:rsid w:val="00B06BE0"/>
    <w:rsid w:val="00B06C41"/>
    <w:rsid w:val="00B06CA1"/>
    <w:rsid w:val="00B074F3"/>
    <w:rsid w:val="00B07595"/>
    <w:rsid w:val="00B07624"/>
    <w:rsid w:val="00B0777E"/>
    <w:rsid w:val="00B077BD"/>
    <w:rsid w:val="00B07917"/>
    <w:rsid w:val="00B07D93"/>
    <w:rsid w:val="00B07E84"/>
    <w:rsid w:val="00B07F04"/>
    <w:rsid w:val="00B07F54"/>
    <w:rsid w:val="00B100B0"/>
    <w:rsid w:val="00B100B7"/>
    <w:rsid w:val="00B10580"/>
    <w:rsid w:val="00B105F1"/>
    <w:rsid w:val="00B107B0"/>
    <w:rsid w:val="00B10AF5"/>
    <w:rsid w:val="00B10E24"/>
    <w:rsid w:val="00B10F06"/>
    <w:rsid w:val="00B10FCB"/>
    <w:rsid w:val="00B113C5"/>
    <w:rsid w:val="00B116B3"/>
    <w:rsid w:val="00B119E2"/>
    <w:rsid w:val="00B11B05"/>
    <w:rsid w:val="00B11B84"/>
    <w:rsid w:val="00B11CC3"/>
    <w:rsid w:val="00B11D24"/>
    <w:rsid w:val="00B11D92"/>
    <w:rsid w:val="00B11F1D"/>
    <w:rsid w:val="00B121C6"/>
    <w:rsid w:val="00B12A83"/>
    <w:rsid w:val="00B12C76"/>
    <w:rsid w:val="00B13050"/>
    <w:rsid w:val="00B13068"/>
    <w:rsid w:val="00B131B8"/>
    <w:rsid w:val="00B132A1"/>
    <w:rsid w:val="00B135DA"/>
    <w:rsid w:val="00B13818"/>
    <w:rsid w:val="00B13909"/>
    <w:rsid w:val="00B13BA9"/>
    <w:rsid w:val="00B13C03"/>
    <w:rsid w:val="00B13D21"/>
    <w:rsid w:val="00B13D75"/>
    <w:rsid w:val="00B13D7C"/>
    <w:rsid w:val="00B13FDD"/>
    <w:rsid w:val="00B1419C"/>
    <w:rsid w:val="00B14398"/>
    <w:rsid w:val="00B148C5"/>
    <w:rsid w:val="00B148CA"/>
    <w:rsid w:val="00B1494A"/>
    <w:rsid w:val="00B14983"/>
    <w:rsid w:val="00B14B34"/>
    <w:rsid w:val="00B14D41"/>
    <w:rsid w:val="00B14DDC"/>
    <w:rsid w:val="00B14FE4"/>
    <w:rsid w:val="00B15261"/>
    <w:rsid w:val="00B15323"/>
    <w:rsid w:val="00B15B6E"/>
    <w:rsid w:val="00B15B9D"/>
    <w:rsid w:val="00B15C41"/>
    <w:rsid w:val="00B15F6C"/>
    <w:rsid w:val="00B1626E"/>
    <w:rsid w:val="00B1629C"/>
    <w:rsid w:val="00B162F5"/>
    <w:rsid w:val="00B168C7"/>
    <w:rsid w:val="00B1694D"/>
    <w:rsid w:val="00B16F59"/>
    <w:rsid w:val="00B172E3"/>
    <w:rsid w:val="00B17315"/>
    <w:rsid w:val="00B1739D"/>
    <w:rsid w:val="00B174CA"/>
    <w:rsid w:val="00B176F3"/>
    <w:rsid w:val="00B178D0"/>
    <w:rsid w:val="00B178DA"/>
    <w:rsid w:val="00B17AFA"/>
    <w:rsid w:val="00B17C11"/>
    <w:rsid w:val="00B17D4C"/>
    <w:rsid w:val="00B201E6"/>
    <w:rsid w:val="00B205CE"/>
    <w:rsid w:val="00B206AD"/>
    <w:rsid w:val="00B207D7"/>
    <w:rsid w:val="00B20A5D"/>
    <w:rsid w:val="00B20F5C"/>
    <w:rsid w:val="00B210EB"/>
    <w:rsid w:val="00B2116C"/>
    <w:rsid w:val="00B2117A"/>
    <w:rsid w:val="00B2142B"/>
    <w:rsid w:val="00B21891"/>
    <w:rsid w:val="00B21AD1"/>
    <w:rsid w:val="00B21FD6"/>
    <w:rsid w:val="00B22051"/>
    <w:rsid w:val="00B22480"/>
    <w:rsid w:val="00B229B0"/>
    <w:rsid w:val="00B22A62"/>
    <w:rsid w:val="00B22DEE"/>
    <w:rsid w:val="00B23405"/>
    <w:rsid w:val="00B23452"/>
    <w:rsid w:val="00B2366E"/>
    <w:rsid w:val="00B23704"/>
    <w:rsid w:val="00B23E12"/>
    <w:rsid w:val="00B2429C"/>
    <w:rsid w:val="00B242AF"/>
    <w:rsid w:val="00B24585"/>
    <w:rsid w:val="00B247FD"/>
    <w:rsid w:val="00B24839"/>
    <w:rsid w:val="00B248B1"/>
    <w:rsid w:val="00B24E41"/>
    <w:rsid w:val="00B24FF9"/>
    <w:rsid w:val="00B25032"/>
    <w:rsid w:val="00B25306"/>
    <w:rsid w:val="00B2557C"/>
    <w:rsid w:val="00B2585B"/>
    <w:rsid w:val="00B25C82"/>
    <w:rsid w:val="00B26426"/>
    <w:rsid w:val="00B265D7"/>
    <w:rsid w:val="00B2690A"/>
    <w:rsid w:val="00B26C92"/>
    <w:rsid w:val="00B26E91"/>
    <w:rsid w:val="00B2705E"/>
    <w:rsid w:val="00B2708D"/>
    <w:rsid w:val="00B27115"/>
    <w:rsid w:val="00B27232"/>
    <w:rsid w:val="00B2748A"/>
    <w:rsid w:val="00B276E6"/>
    <w:rsid w:val="00B278B1"/>
    <w:rsid w:val="00B279CF"/>
    <w:rsid w:val="00B27CF7"/>
    <w:rsid w:val="00B27F64"/>
    <w:rsid w:val="00B301F9"/>
    <w:rsid w:val="00B30355"/>
    <w:rsid w:val="00B30AD6"/>
    <w:rsid w:val="00B30AD9"/>
    <w:rsid w:val="00B30DF3"/>
    <w:rsid w:val="00B30EB1"/>
    <w:rsid w:val="00B30F1B"/>
    <w:rsid w:val="00B30F8A"/>
    <w:rsid w:val="00B30FD9"/>
    <w:rsid w:val="00B31179"/>
    <w:rsid w:val="00B3122A"/>
    <w:rsid w:val="00B312AA"/>
    <w:rsid w:val="00B312D4"/>
    <w:rsid w:val="00B315A7"/>
    <w:rsid w:val="00B315B1"/>
    <w:rsid w:val="00B31781"/>
    <w:rsid w:val="00B318B8"/>
    <w:rsid w:val="00B31BE8"/>
    <w:rsid w:val="00B31C4B"/>
    <w:rsid w:val="00B321EA"/>
    <w:rsid w:val="00B3252A"/>
    <w:rsid w:val="00B32531"/>
    <w:rsid w:val="00B32B95"/>
    <w:rsid w:val="00B32DC6"/>
    <w:rsid w:val="00B32E6D"/>
    <w:rsid w:val="00B33152"/>
    <w:rsid w:val="00B3351B"/>
    <w:rsid w:val="00B33B74"/>
    <w:rsid w:val="00B33C43"/>
    <w:rsid w:val="00B341C4"/>
    <w:rsid w:val="00B341F5"/>
    <w:rsid w:val="00B34583"/>
    <w:rsid w:val="00B34664"/>
    <w:rsid w:val="00B347D3"/>
    <w:rsid w:val="00B34A0D"/>
    <w:rsid w:val="00B34B52"/>
    <w:rsid w:val="00B34B65"/>
    <w:rsid w:val="00B34C1E"/>
    <w:rsid w:val="00B350FA"/>
    <w:rsid w:val="00B351D5"/>
    <w:rsid w:val="00B35626"/>
    <w:rsid w:val="00B357D7"/>
    <w:rsid w:val="00B35815"/>
    <w:rsid w:val="00B35829"/>
    <w:rsid w:val="00B358A2"/>
    <w:rsid w:val="00B359E7"/>
    <w:rsid w:val="00B35B7F"/>
    <w:rsid w:val="00B35BA4"/>
    <w:rsid w:val="00B35C95"/>
    <w:rsid w:val="00B35D06"/>
    <w:rsid w:val="00B35DB9"/>
    <w:rsid w:val="00B35FE4"/>
    <w:rsid w:val="00B35FEE"/>
    <w:rsid w:val="00B360EF"/>
    <w:rsid w:val="00B36366"/>
    <w:rsid w:val="00B366C2"/>
    <w:rsid w:val="00B3689F"/>
    <w:rsid w:val="00B36925"/>
    <w:rsid w:val="00B36989"/>
    <w:rsid w:val="00B36A15"/>
    <w:rsid w:val="00B37036"/>
    <w:rsid w:val="00B37106"/>
    <w:rsid w:val="00B37245"/>
    <w:rsid w:val="00B3726F"/>
    <w:rsid w:val="00B3747B"/>
    <w:rsid w:val="00B374EB"/>
    <w:rsid w:val="00B37688"/>
    <w:rsid w:val="00B3775A"/>
    <w:rsid w:val="00B37772"/>
    <w:rsid w:val="00B37896"/>
    <w:rsid w:val="00B379F1"/>
    <w:rsid w:val="00B37B51"/>
    <w:rsid w:val="00B40123"/>
    <w:rsid w:val="00B40225"/>
    <w:rsid w:val="00B40455"/>
    <w:rsid w:val="00B405B1"/>
    <w:rsid w:val="00B40785"/>
    <w:rsid w:val="00B40C32"/>
    <w:rsid w:val="00B40C57"/>
    <w:rsid w:val="00B40C97"/>
    <w:rsid w:val="00B40CAA"/>
    <w:rsid w:val="00B40CBE"/>
    <w:rsid w:val="00B40CDD"/>
    <w:rsid w:val="00B40F68"/>
    <w:rsid w:val="00B40FBC"/>
    <w:rsid w:val="00B410C8"/>
    <w:rsid w:val="00B41672"/>
    <w:rsid w:val="00B41812"/>
    <w:rsid w:val="00B4184A"/>
    <w:rsid w:val="00B419FE"/>
    <w:rsid w:val="00B41C62"/>
    <w:rsid w:val="00B41EA5"/>
    <w:rsid w:val="00B42150"/>
    <w:rsid w:val="00B42226"/>
    <w:rsid w:val="00B4223E"/>
    <w:rsid w:val="00B42306"/>
    <w:rsid w:val="00B42476"/>
    <w:rsid w:val="00B4269F"/>
    <w:rsid w:val="00B42809"/>
    <w:rsid w:val="00B42B76"/>
    <w:rsid w:val="00B42E4D"/>
    <w:rsid w:val="00B42FB7"/>
    <w:rsid w:val="00B43855"/>
    <w:rsid w:val="00B43B67"/>
    <w:rsid w:val="00B43C4B"/>
    <w:rsid w:val="00B43CB6"/>
    <w:rsid w:val="00B43D2B"/>
    <w:rsid w:val="00B43DF6"/>
    <w:rsid w:val="00B4433D"/>
    <w:rsid w:val="00B44434"/>
    <w:rsid w:val="00B44616"/>
    <w:rsid w:val="00B447CA"/>
    <w:rsid w:val="00B4481E"/>
    <w:rsid w:val="00B44875"/>
    <w:rsid w:val="00B44901"/>
    <w:rsid w:val="00B44C8A"/>
    <w:rsid w:val="00B452CF"/>
    <w:rsid w:val="00B4566A"/>
    <w:rsid w:val="00B45C82"/>
    <w:rsid w:val="00B45D3D"/>
    <w:rsid w:val="00B45D69"/>
    <w:rsid w:val="00B46028"/>
    <w:rsid w:val="00B46033"/>
    <w:rsid w:val="00B460DE"/>
    <w:rsid w:val="00B464BC"/>
    <w:rsid w:val="00B464F4"/>
    <w:rsid w:val="00B46721"/>
    <w:rsid w:val="00B46850"/>
    <w:rsid w:val="00B46853"/>
    <w:rsid w:val="00B468C3"/>
    <w:rsid w:val="00B469D8"/>
    <w:rsid w:val="00B46B37"/>
    <w:rsid w:val="00B46D44"/>
    <w:rsid w:val="00B46EB6"/>
    <w:rsid w:val="00B46FE3"/>
    <w:rsid w:val="00B47100"/>
    <w:rsid w:val="00B47227"/>
    <w:rsid w:val="00B47267"/>
    <w:rsid w:val="00B473AB"/>
    <w:rsid w:val="00B475E3"/>
    <w:rsid w:val="00B4784B"/>
    <w:rsid w:val="00B478E2"/>
    <w:rsid w:val="00B47B29"/>
    <w:rsid w:val="00B47E7E"/>
    <w:rsid w:val="00B47F38"/>
    <w:rsid w:val="00B505EB"/>
    <w:rsid w:val="00B507EE"/>
    <w:rsid w:val="00B50B59"/>
    <w:rsid w:val="00B50BB8"/>
    <w:rsid w:val="00B50C4E"/>
    <w:rsid w:val="00B50CDB"/>
    <w:rsid w:val="00B50D5A"/>
    <w:rsid w:val="00B50D65"/>
    <w:rsid w:val="00B50D88"/>
    <w:rsid w:val="00B50DEE"/>
    <w:rsid w:val="00B50F19"/>
    <w:rsid w:val="00B51221"/>
    <w:rsid w:val="00B5145F"/>
    <w:rsid w:val="00B5149B"/>
    <w:rsid w:val="00B51624"/>
    <w:rsid w:val="00B517E7"/>
    <w:rsid w:val="00B51EB7"/>
    <w:rsid w:val="00B521A4"/>
    <w:rsid w:val="00B5237A"/>
    <w:rsid w:val="00B528EB"/>
    <w:rsid w:val="00B53176"/>
    <w:rsid w:val="00B531A5"/>
    <w:rsid w:val="00B533AE"/>
    <w:rsid w:val="00B5347D"/>
    <w:rsid w:val="00B535C8"/>
    <w:rsid w:val="00B53B42"/>
    <w:rsid w:val="00B54294"/>
    <w:rsid w:val="00B543F7"/>
    <w:rsid w:val="00B545DF"/>
    <w:rsid w:val="00B54943"/>
    <w:rsid w:val="00B55021"/>
    <w:rsid w:val="00B55053"/>
    <w:rsid w:val="00B55101"/>
    <w:rsid w:val="00B558FD"/>
    <w:rsid w:val="00B55C08"/>
    <w:rsid w:val="00B55C4F"/>
    <w:rsid w:val="00B55D75"/>
    <w:rsid w:val="00B56004"/>
    <w:rsid w:val="00B5608E"/>
    <w:rsid w:val="00B561C3"/>
    <w:rsid w:val="00B561C8"/>
    <w:rsid w:val="00B564EF"/>
    <w:rsid w:val="00B566FD"/>
    <w:rsid w:val="00B569AA"/>
    <w:rsid w:val="00B56E5E"/>
    <w:rsid w:val="00B57062"/>
    <w:rsid w:val="00B5744B"/>
    <w:rsid w:val="00B574C7"/>
    <w:rsid w:val="00B5759D"/>
    <w:rsid w:val="00B5761B"/>
    <w:rsid w:val="00B576B4"/>
    <w:rsid w:val="00B57C96"/>
    <w:rsid w:val="00B57E18"/>
    <w:rsid w:val="00B57E48"/>
    <w:rsid w:val="00B602B3"/>
    <w:rsid w:val="00B6034A"/>
    <w:rsid w:val="00B604F0"/>
    <w:rsid w:val="00B6084F"/>
    <w:rsid w:val="00B60B6E"/>
    <w:rsid w:val="00B60CC8"/>
    <w:rsid w:val="00B61300"/>
    <w:rsid w:val="00B61387"/>
    <w:rsid w:val="00B61393"/>
    <w:rsid w:val="00B6140C"/>
    <w:rsid w:val="00B61497"/>
    <w:rsid w:val="00B6178B"/>
    <w:rsid w:val="00B619A5"/>
    <w:rsid w:val="00B61C97"/>
    <w:rsid w:val="00B61CD6"/>
    <w:rsid w:val="00B61CDE"/>
    <w:rsid w:val="00B61EA5"/>
    <w:rsid w:val="00B61EF7"/>
    <w:rsid w:val="00B61FFA"/>
    <w:rsid w:val="00B62054"/>
    <w:rsid w:val="00B620F4"/>
    <w:rsid w:val="00B621DB"/>
    <w:rsid w:val="00B62343"/>
    <w:rsid w:val="00B623D4"/>
    <w:rsid w:val="00B623DB"/>
    <w:rsid w:val="00B62799"/>
    <w:rsid w:val="00B6279F"/>
    <w:rsid w:val="00B62819"/>
    <w:rsid w:val="00B629A3"/>
    <w:rsid w:val="00B62EC0"/>
    <w:rsid w:val="00B63795"/>
    <w:rsid w:val="00B63861"/>
    <w:rsid w:val="00B63ADA"/>
    <w:rsid w:val="00B63B1B"/>
    <w:rsid w:val="00B63C3B"/>
    <w:rsid w:val="00B63DFA"/>
    <w:rsid w:val="00B63EDE"/>
    <w:rsid w:val="00B63FEA"/>
    <w:rsid w:val="00B64367"/>
    <w:rsid w:val="00B643BF"/>
    <w:rsid w:val="00B64412"/>
    <w:rsid w:val="00B6457C"/>
    <w:rsid w:val="00B64A09"/>
    <w:rsid w:val="00B6509E"/>
    <w:rsid w:val="00B6515E"/>
    <w:rsid w:val="00B653D8"/>
    <w:rsid w:val="00B65425"/>
    <w:rsid w:val="00B6566F"/>
    <w:rsid w:val="00B657DD"/>
    <w:rsid w:val="00B6585C"/>
    <w:rsid w:val="00B65875"/>
    <w:rsid w:val="00B658E8"/>
    <w:rsid w:val="00B65911"/>
    <w:rsid w:val="00B65ADE"/>
    <w:rsid w:val="00B65C04"/>
    <w:rsid w:val="00B65ECF"/>
    <w:rsid w:val="00B66052"/>
    <w:rsid w:val="00B6656E"/>
    <w:rsid w:val="00B66893"/>
    <w:rsid w:val="00B6699E"/>
    <w:rsid w:val="00B669B3"/>
    <w:rsid w:val="00B66D54"/>
    <w:rsid w:val="00B66ED5"/>
    <w:rsid w:val="00B66FC3"/>
    <w:rsid w:val="00B674CF"/>
    <w:rsid w:val="00B67B65"/>
    <w:rsid w:val="00B67CAB"/>
    <w:rsid w:val="00B67CC7"/>
    <w:rsid w:val="00B67CFE"/>
    <w:rsid w:val="00B67F8D"/>
    <w:rsid w:val="00B7029A"/>
    <w:rsid w:val="00B702CC"/>
    <w:rsid w:val="00B70321"/>
    <w:rsid w:val="00B7053E"/>
    <w:rsid w:val="00B70593"/>
    <w:rsid w:val="00B7066F"/>
    <w:rsid w:val="00B707C7"/>
    <w:rsid w:val="00B70809"/>
    <w:rsid w:val="00B70898"/>
    <w:rsid w:val="00B70962"/>
    <w:rsid w:val="00B70969"/>
    <w:rsid w:val="00B70B4C"/>
    <w:rsid w:val="00B70D1E"/>
    <w:rsid w:val="00B710D0"/>
    <w:rsid w:val="00B71343"/>
    <w:rsid w:val="00B7136B"/>
    <w:rsid w:val="00B71491"/>
    <w:rsid w:val="00B71609"/>
    <w:rsid w:val="00B716CF"/>
    <w:rsid w:val="00B7186D"/>
    <w:rsid w:val="00B7188D"/>
    <w:rsid w:val="00B71933"/>
    <w:rsid w:val="00B71B0D"/>
    <w:rsid w:val="00B71B10"/>
    <w:rsid w:val="00B71C34"/>
    <w:rsid w:val="00B71FDA"/>
    <w:rsid w:val="00B720F8"/>
    <w:rsid w:val="00B72335"/>
    <w:rsid w:val="00B72435"/>
    <w:rsid w:val="00B72AB5"/>
    <w:rsid w:val="00B72ACC"/>
    <w:rsid w:val="00B72B71"/>
    <w:rsid w:val="00B72BBD"/>
    <w:rsid w:val="00B72DE1"/>
    <w:rsid w:val="00B72FDE"/>
    <w:rsid w:val="00B73233"/>
    <w:rsid w:val="00B7342E"/>
    <w:rsid w:val="00B7343B"/>
    <w:rsid w:val="00B73BB3"/>
    <w:rsid w:val="00B73BE9"/>
    <w:rsid w:val="00B73D5A"/>
    <w:rsid w:val="00B73DD8"/>
    <w:rsid w:val="00B73E1B"/>
    <w:rsid w:val="00B74316"/>
    <w:rsid w:val="00B74785"/>
    <w:rsid w:val="00B747B6"/>
    <w:rsid w:val="00B74D16"/>
    <w:rsid w:val="00B74F9F"/>
    <w:rsid w:val="00B75078"/>
    <w:rsid w:val="00B7514B"/>
    <w:rsid w:val="00B7519C"/>
    <w:rsid w:val="00B754F6"/>
    <w:rsid w:val="00B75896"/>
    <w:rsid w:val="00B75AC5"/>
    <w:rsid w:val="00B75DAF"/>
    <w:rsid w:val="00B75E08"/>
    <w:rsid w:val="00B76219"/>
    <w:rsid w:val="00B76258"/>
    <w:rsid w:val="00B7657F"/>
    <w:rsid w:val="00B76BE9"/>
    <w:rsid w:val="00B76D55"/>
    <w:rsid w:val="00B76E1F"/>
    <w:rsid w:val="00B76E7F"/>
    <w:rsid w:val="00B76EBD"/>
    <w:rsid w:val="00B771B5"/>
    <w:rsid w:val="00B7734C"/>
    <w:rsid w:val="00B774FF"/>
    <w:rsid w:val="00B77581"/>
    <w:rsid w:val="00B776A5"/>
    <w:rsid w:val="00B778FC"/>
    <w:rsid w:val="00B77E6D"/>
    <w:rsid w:val="00B77EF0"/>
    <w:rsid w:val="00B77F85"/>
    <w:rsid w:val="00B80163"/>
    <w:rsid w:val="00B80235"/>
    <w:rsid w:val="00B8023B"/>
    <w:rsid w:val="00B804E3"/>
    <w:rsid w:val="00B8061D"/>
    <w:rsid w:val="00B80645"/>
    <w:rsid w:val="00B807D4"/>
    <w:rsid w:val="00B8086D"/>
    <w:rsid w:val="00B80CB0"/>
    <w:rsid w:val="00B80EC5"/>
    <w:rsid w:val="00B810CB"/>
    <w:rsid w:val="00B8132E"/>
    <w:rsid w:val="00B8136A"/>
    <w:rsid w:val="00B815A9"/>
    <w:rsid w:val="00B81643"/>
    <w:rsid w:val="00B81664"/>
    <w:rsid w:val="00B816E3"/>
    <w:rsid w:val="00B817C0"/>
    <w:rsid w:val="00B81F08"/>
    <w:rsid w:val="00B8201B"/>
    <w:rsid w:val="00B82111"/>
    <w:rsid w:val="00B82696"/>
    <w:rsid w:val="00B829BE"/>
    <w:rsid w:val="00B82A7F"/>
    <w:rsid w:val="00B82ADD"/>
    <w:rsid w:val="00B82D14"/>
    <w:rsid w:val="00B82D84"/>
    <w:rsid w:val="00B82ED0"/>
    <w:rsid w:val="00B82ED7"/>
    <w:rsid w:val="00B832B4"/>
    <w:rsid w:val="00B83355"/>
    <w:rsid w:val="00B833A9"/>
    <w:rsid w:val="00B834FB"/>
    <w:rsid w:val="00B83692"/>
    <w:rsid w:val="00B83783"/>
    <w:rsid w:val="00B83802"/>
    <w:rsid w:val="00B83993"/>
    <w:rsid w:val="00B83A12"/>
    <w:rsid w:val="00B83BC4"/>
    <w:rsid w:val="00B83C5E"/>
    <w:rsid w:val="00B83EB6"/>
    <w:rsid w:val="00B83F3D"/>
    <w:rsid w:val="00B83F64"/>
    <w:rsid w:val="00B83F7E"/>
    <w:rsid w:val="00B84236"/>
    <w:rsid w:val="00B8424D"/>
    <w:rsid w:val="00B8441A"/>
    <w:rsid w:val="00B84628"/>
    <w:rsid w:val="00B84666"/>
    <w:rsid w:val="00B8484A"/>
    <w:rsid w:val="00B848B4"/>
    <w:rsid w:val="00B84954"/>
    <w:rsid w:val="00B84B8A"/>
    <w:rsid w:val="00B8503F"/>
    <w:rsid w:val="00B8509C"/>
    <w:rsid w:val="00B852B6"/>
    <w:rsid w:val="00B852E3"/>
    <w:rsid w:val="00B858E8"/>
    <w:rsid w:val="00B859A6"/>
    <w:rsid w:val="00B85B6B"/>
    <w:rsid w:val="00B85E2E"/>
    <w:rsid w:val="00B861CE"/>
    <w:rsid w:val="00B862EF"/>
    <w:rsid w:val="00B864FB"/>
    <w:rsid w:val="00B8690F"/>
    <w:rsid w:val="00B869E7"/>
    <w:rsid w:val="00B86B93"/>
    <w:rsid w:val="00B86CAF"/>
    <w:rsid w:val="00B86CD2"/>
    <w:rsid w:val="00B86E23"/>
    <w:rsid w:val="00B87334"/>
    <w:rsid w:val="00B87505"/>
    <w:rsid w:val="00B878B0"/>
    <w:rsid w:val="00B87958"/>
    <w:rsid w:val="00B879D9"/>
    <w:rsid w:val="00B87D96"/>
    <w:rsid w:val="00B900BB"/>
    <w:rsid w:val="00B90337"/>
    <w:rsid w:val="00B903D1"/>
    <w:rsid w:val="00B904D0"/>
    <w:rsid w:val="00B90964"/>
    <w:rsid w:val="00B90B05"/>
    <w:rsid w:val="00B90C98"/>
    <w:rsid w:val="00B90E38"/>
    <w:rsid w:val="00B90FEF"/>
    <w:rsid w:val="00B910A2"/>
    <w:rsid w:val="00B9113C"/>
    <w:rsid w:val="00B915CA"/>
    <w:rsid w:val="00B915EE"/>
    <w:rsid w:val="00B9182A"/>
    <w:rsid w:val="00B91856"/>
    <w:rsid w:val="00B91A12"/>
    <w:rsid w:val="00B91B0D"/>
    <w:rsid w:val="00B91B81"/>
    <w:rsid w:val="00B91B9C"/>
    <w:rsid w:val="00B91D76"/>
    <w:rsid w:val="00B920A7"/>
    <w:rsid w:val="00B92125"/>
    <w:rsid w:val="00B92411"/>
    <w:rsid w:val="00B9245F"/>
    <w:rsid w:val="00B92498"/>
    <w:rsid w:val="00B92C29"/>
    <w:rsid w:val="00B92E5B"/>
    <w:rsid w:val="00B935DB"/>
    <w:rsid w:val="00B935ED"/>
    <w:rsid w:val="00B9375B"/>
    <w:rsid w:val="00B93834"/>
    <w:rsid w:val="00B9390B"/>
    <w:rsid w:val="00B93952"/>
    <w:rsid w:val="00B939DF"/>
    <w:rsid w:val="00B93A0A"/>
    <w:rsid w:val="00B93AC8"/>
    <w:rsid w:val="00B93B66"/>
    <w:rsid w:val="00B93BC4"/>
    <w:rsid w:val="00B93C18"/>
    <w:rsid w:val="00B93DCF"/>
    <w:rsid w:val="00B94071"/>
    <w:rsid w:val="00B9422C"/>
    <w:rsid w:val="00B943B6"/>
    <w:rsid w:val="00B94406"/>
    <w:rsid w:val="00B945AC"/>
    <w:rsid w:val="00B94649"/>
    <w:rsid w:val="00B947C4"/>
    <w:rsid w:val="00B9481A"/>
    <w:rsid w:val="00B9488E"/>
    <w:rsid w:val="00B94C35"/>
    <w:rsid w:val="00B94EED"/>
    <w:rsid w:val="00B94FD3"/>
    <w:rsid w:val="00B95458"/>
    <w:rsid w:val="00B964CD"/>
    <w:rsid w:val="00B967B3"/>
    <w:rsid w:val="00B96AF1"/>
    <w:rsid w:val="00B96BA6"/>
    <w:rsid w:val="00B96BDB"/>
    <w:rsid w:val="00B96DC3"/>
    <w:rsid w:val="00B970DE"/>
    <w:rsid w:val="00B973CE"/>
    <w:rsid w:val="00B97498"/>
    <w:rsid w:val="00B979E0"/>
    <w:rsid w:val="00B97C1E"/>
    <w:rsid w:val="00B97E27"/>
    <w:rsid w:val="00BA00D7"/>
    <w:rsid w:val="00BA0118"/>
    <w:rsid w:val="00BA02C8"/>
    <w:rsid w:val="00BA062E"/>
    <w:rsid w:val="00BA0827"/>
    <w:rsid w:val="00BA0C83"/>
    <w:rsid w:val="00BA0E0E"/>
    <w:rsid w:val="00BA11E4"/>
    <w:rsid w:val="00BA1278"/>
    <w:rsid w:val="00BA15D6"/>
    <w:rsid w:val="00BA165F"/>
    <w:rsid w:val="00BA1685"/>
    <w:rsid w:val="00BA1718"/>
    <w:rsid w:val="00BA1C9A"/>
    <w:rsid w:val="00BA1D1B"/>
    <w:rsid w:val="00BA229C"/>
    <w:rsid w:val="00BA23D6"/>
    <w:rsid w:val="00BA2D03"/>
    <w:rsid w:val="00BA30CB"/>
    <w:rsid w:val="00BA3159"/>
    <w:rsid w:val="00BA3186"/>
    <w:rsid w:val="00BA3564"/>
    <w:rsid w:val="00BA3572"/>
    <w:rsid w:val="00BA36BD"/>
    <w:rsid w:val="00BA38C5"/>
    <w:rsid w:val="00BA3917"/>
    <w:rsid w:val="00BA3A29"/>
    <w:rsid w:val="00BA3A66"/>
    <w:rsid w:val="00BA3CC8"/>
    <w:rsid w:val="00BA3E69"/>
    <w:rsid w:val="00BA3EB3"/>
    <w:rsid w:val="00BA4589"/>
    <w:rsid w:val="00BA4C29"/>
    <w:rsid w:val="00BA4E22"/>
    <w:rsid w:val="00BA4E2B"/>
    <w:rsid w:val="00BA4ED6"/>
    <w:rsid w:val="00BA4FAF"/>
    <w:rsid w:val="00BA501B"/>
    <w:rsid w:val="00BA5254"/>
    <w:rsid w:val="00BA5543"/>
    <w:rsid w:val="00BA5707"/>
    <w:rsid w:val="00BA57A5"/>
    <w:rsid w:val="00BA57B1"/>
    <w:rsid w:val="00BA57C5"/>
    <w:rsid w:val="00BA57E3"/>
    <w:rsid w:val="00BA57FC"/>
    <w:rsid w:val="00BA5930"/>
    <w:rsid w:val="00BA5B58"/>
    <w:rsid w:val="00BA5C8E"/>
    <w:rsid w:val="00BA5CA5"/>
    <w:rsid w:val="00BA5CE7"/>
    <w:rsid w:val="00BA5F39"/>
    <w:rsid w:val="00BA5FB7"/>
    <w:rsid w:val="00BA5FCB"/>
    <w:rsid w:val="00BA600A"/>
    <w:rsid w:val="00BA6433"/>
    <w:rsid w:val="00BA64B3"/>
    <w:rsid w:val="00BA692A"/>
    <w:rsid w:val="00BA693F"/>
    <w:rsid w:val="00BA6D58"/>
    <w:rsid w:val="00BA6D94"/>
    <w:rsid w:val="00BA71C5"/>
    <w:rsid w:val="00BA7265"/>
    <w:rsid w:val="00BA7325"/>
    <w:rsid w:val="00BA7711"/>
    <w:rsid w:val="00BA77B5"/>
    <w:rsid w:val="00BB0233"/>
    <w:rsid w:val="00BB04CD"/>
    <w:rsid w:val="00BB0947"/>
    <w:rsid w:val="00BB0A0E"/>
    <w:rsid w:val="00BB0C27"/>
    <w:rsid w:val="00BB0DD7"/>
    <w:rsid w:val="00BB0EC6"/>
    <w:rsid w:val="00BB1135"/>
    <w:rsid w:val="00BB1325"/>
    <w:rsid w:val="00BB140C"/>
    <w:rsid w:val="00BB1531"/>
    <w:rsid w:val="00BB1540"/>
    <w:rsid w:val="00BB19D1"/>
    <w:rsid w:val="00BB1A7B"/>
    <w:rsid w:val="00BB1DF5"/>
    <w:rsid w:val="00BB23F8"/>
    <w:rsid w:val="00BB25F3"/>
    <w:rsid w:val="00BB2609"/>
    <w:rsid w:val="00BB2620"/>
    <w:rsid w:val="00BB2809"/>
    <w:rsid w:val="00BB2F92"/>
    <w:rsid w:val="00BB3401"/>
    <w:rsid w:val="00BB3694"/>
    <w:rsid w:val="00BB3B66"/>
    <w:rsid w:val="00BB3DFF"/>
    <w:rsid w:val="00BB434F"/>
    <w:rsid w:val="00BB4354"/>
    <w:rsid w:val="00BB493E"/>
    <w:rsid w:val="00BB4A07"/>
    <w:rsid w:val="00BB4A55"/>
    <w:rsid w:val="00BB5026"/>
    <w:rsid w:val="00BB5290"/>
    <w:rsid w:val="00BB5465"/>
    <w:rsid w:val="00BB54B2"/>
    <w:rsid w:val="00BB5628"/>
    <w:rsid w:val="00BB59B2"/>
    <w:rsid w:val="00BB5A7B"/>
    <w:rsid w:val="00BB5C2C"/>
    <w:rsid w:val="00BB5C8D"/>
    <w:rsid w:val="00BB5DA0"/>
    <w:rsid w:val="00BB5DAB"/>
    <w:rsid w:val="00BB5E7D"/>
    <w:rsid w:val="00BB6253"/>
    <w:rsid w:val="00BB660F"/>
    <w:rsid w:val="00BB66BA"/>
    <w:rsid w:val="00BB67BC"/>
    <w:rsid w:val="00BB6876"/>
    <w:rsid w:val="00BB6AD0"/>
    <w:rsid w:val="00BB6DB7"/>
    <w:rsid w:val="00BB7031"/>
    <w:rsid w:val="00BB70E3"/>
    <w:rsid w:val="00BB7154"/>
    <w:rsid w:val="00BB7410"/>
    <w:rsid w:val="00BB741C"/>
    <w:rsid w:val="00BB7450"/>
    <w:rsid w:val="00BB7551"/>
    <w:rsid w:val="00BB7853"/>
    <w:rsid w:val="00BB7859"/>
    <w:rsid w:val="00BB79FB"/>
    <w:rsid w:val="00BB7B18"/>
    <w:rsid w:val="00BB7CA3"/>
    <w:rsid w:val="00BB7D07"/>
    <w:rsid w:val="00BB7D6E"/>
    <w:rsid w:val="00BB7DC5"/>
    <w:rsid w:val="00BC0204"/>
    <w:rsid w:val="00BC0539"/>
    <w:rsid w:val="00BC06E0"/>
    <w:rsid w:val="00BC06F4"/>
    <w:rsid w:val="00BC0771"/>
    <w:rsid w:val="00BC07C9"/>
    <w:rsid w:val="00BC08E6"/>
    <w:rsid w:val="00BC0A8D"/>
    <w:rsid w:val="00BC0C26"/>
    <w:rsid w:val="00BC0CD6"/>
    <w:rsid w:val="00BC0FC4"/>
    <w:rsid w:val="00BC1429"/>
    <w:rsid w:val="00BC16CA"/>
    <w:rsid w:val="00BC1DF3"/>
    <w:rsid w:val="00BC2234"/>
    <w:rsid w:val="00BC22D2"/>
    <w:rsid w:val="00BC2361"/>
    <w:rsid w:val="00BC23A7"/>
    <w:rsid w:val="00BC23E3"/>
    <w:rsid w:val="00BC24D9"/>
    <w:rsid w:val="00BC2724"/>
    <w:rsid w:val="00BC2A96"/>
    <w:rsid w:val="00BC2B58"/>
    <w:rsid w:val="00BC2D57"/>
    <w:rsid w:val="00BC2F93"/>
    <w:rsid w:val="00BC32E6"/>
    <w:rsid w:val="00BC3497"/>
    <w:rsid w:val="00BC3508"/>
    <w:rsid w:val="00BC3805"/>
    <w:rsid w:val="00BC3BE4"/>
    <w:rsid w:val="00BC3E5D"/>
    <w:rsid w:val="00BC3EC6"/>
    <w:rsid w:val="00BC3FDA"/>
    <w:rsid w:val="00BC43C3"/>
    <w:rsid w:val="00BC48C5"/>
    <w:rsid w:val="00BC4CA5"/>
    <w:rsid w:val="00BC5261"/>
    <w:rsid w:val="00BC546B"/>
    <w:rsid w:val="00BC55F5"/>
    <w:rsid w:val="00BC59E7"/>
    <w:rsid w:val="00BC5E79"/>
    <w:rsid w:val="00BC5EEB"/>
    <w:rsid w:val="00BC5F7D"/>
    <w:rsid w:val="00BC60B1"/>
    <w:rsid w:val="00BC60DD"/>
    <w:rsid w:val="00BC61BF"/>
    <w:rsid w:val="00BC62AF"/>
    <w:rsid w:val="00BC6382"/>
    <w:rsid w:val="00BC6483"/>
    <w:rsid w:val="00BC669F"/>
    <w:rsid w:val="00BC66ED"/>
    <w:rsid w:val="00BC6B27"/>
    <w:rsid w:val="00BC6ECD"/>
    <w:rsid w:val="00BC6F1F"/>
    <w:rsid w:val="00BC7384"/>
    <w:rsid w:val="00BC7631"/>
    <w:rsid w:val="00BD0164"/>
    <w:rsid w:val="00BD02D4"/>
    <w:rsid w:val="00BD0483"/>
    <w:rsid w:val="00BD09E3"/>
    <w:rsid w:val="00BD0AAF"/>
    <w:rsid w:val="00BD0B1F"/>
    <w:rsid w:val="00BD0E2D"/>
    <w:rsid w:val="00BD1018"/>
    <w:rsid w:val="00BD140C"/>
    <w:rsid w:val="00BD143A"/>
    <w:rsid w:val="00BD1790"/>
    <w:rsid w:val="00BD1B29"/>
    <w:rsid w:val="00BD1B90"/>
    <w:rsid w:val="00BD1D04"/>
    <w:rsid w:val="00BD223F"/>
    <w:rsid w:val="00BD2389"/>
    <w:rsid w:val="00BD23BA"/>
    <w:rsid w:val="00BD2BEC"/>
    <w:rsid w:val="00BD2D67"/>
    <w:rsid w:val="00BD30C1"/>
    <w:rsid w:val="00BD3280"/>
    <w:rsid w:val="00BD3334"/>
    <w:rsid w:val="00BD3605"/>
    <w:rsid w:val="00BD390F"/>
    <w:rsid w:val="00BD3AE2"/>
    <w:rsid w:val="00BD3AEC"/>
    <w:rsid w:val="00BD440C"/>
    <w:rsid w:val="00BD4464"/>
    <w:rsid w:val="00BD4513"/>
    <w:rsid w:val="00BD4997"/>
    <w:rsid w:val="00BD4AB3"/>
    <w:rsid w:val="00BD4D56"/>
    <w:rsid w:val="00BD4F7E"/>
    <w:rsid w:val="00BD5184"/>
    <w:rsid w:val="00BD5318"/>
    <w:rsid w:val="00BD53DB"/>
    <w:rsid w:val="00BD592A"/>
    <w:rsid w:val="00BD5B47"/>
    <w:rsid w:val="00BD62C5"/>
    <w:rsid w:val="00BD62CB"/>
    <w:rsid w:val="00BD63BD"/>
    <w:rsid w:val="00BD63E3"/>
    <w:rsid w:val="00BD649C"/>
    <w:rsid w:val="00BD64F5"/>
    <w:rsid w:val="00BD683D"/>
    <w:rsid w:val="00BD7274"/>
    <w:rsid w:val="00BD76BB"/>
    <w:rsid w:val="00BD7752"/>
    <w:rsid w:val="00BD78EF"/>
    <w:rsid w:val="00BD7AC5"/>
    <w:rsid w:val="00BD7B56"/>
    <w:rsid w:val="00BD7B78"/>
    <w:rsid w:val="00BD7E35"/>
    <w:rsid w:val="00BE016D"/>
    <w:rsid w:val="00BE017F"/>
    <w:rsid w:val="00BE0198"/>
    <w:rsid w:val="00BE045D"/>
    <w:rsid w:val="00BE0669"/>
    <w:rsid w:val="00BE0946"/>
    <w:rsid w:val="00BE0A43"/>
    <w:rsid w:val="00BE0AB7"/>
    <w:rsid w:val="00BE0B00"/>
    <w:rsid w:val="00BE0D69"/>
    <w:rsid w:val="00BE0DF7"/>
    <w:rsid w:val="00BE0E49"/>
    <w:rsid w:val="00BE1582"/>
    <w:rsid w:val="00BE15D1"/>
    <w:rsid w:val="00BE16CB"/>
    <w:rsid w:val="00BE1756"/>
    <w:rsid w:val="00BE18C6"/>
    <w:rsid w:val="00BE1918"/>
    <w:rsid w:val="00BE1C0C"/>
    <w:rsid w:val="00BE1CD7"/>
    <w:rsid w:val="00BE1FAF"/>
    <w:rsid w:val="00BE1FE9"/>
    <w:rsid w:val="00BE2518"/>
    <w:rsid w:val="00BE28FC"/>
    <w:rsid w:val="00BE2EA5"/>
    <w:rsid w:val="00BE31D8"/>
    <w:rsid w:val="00BE370E"/>
    <w:rsid w:val="00BE37A9"/>
    <w:rsid w:val="00BE3BC2"/>
    <w:rsid w:val="00BE3BDF"/>
    <w:rsid w:val="00BE3CA1"/>
    <w:rsid w:val="00BE48D1"/>
    <w:rsid w:val="00BE4A3C"/>
    <w:rsid w:val="00BE50A9"/>
    <w:rsid w:val="00BE5410"/>
    <w:rsid w:val="00BE5914"/>
    <w:rsid w:val="00BE5AEC"/>
    <w:rsid w:val="00BE5C3A"/>
    <w:rsid w:val="00BE5C75"/>
    <w:rsid w:val="00BE5D0A"/>
    <w:rsid w:val="00BE5E53"/>
    <w:rsid w:val="00BE6152"/>
    <w:rsid w:val="00BE6202"/>
    <w:rsid w:val="00BE62D5"/>
    <w:rsid w:val="00BE62E9"/>
    <w:rsid w:val="00BE637F"/>
    <w:rsid w:val="00BE65F9"/>
    <w:rsid w:val="00BE6774"/>
    <w:rsid w:val="00BE67B2"/>
    <w:rsid w:val="00BE68BF"/>
    <w:rsid w:val="00BE6915"/>
    <w:rsid w:val="00BE71DD"/>
    <w:rsid w:val="00BE7242"/>
    <w:rsid w:val="00BE7609"/>
    <w:rsid w:val="00BE7613"/>
    <w:rsid w:val="00BE77E9"/>
    <w:rsid w:val="00BE79E1"/>
    <w:rsid w:val="00BE7A8A"/>
    <w:rsid w:val="00BE7D76"/>
    <w:rsid w:val="00BF014E"/>
    <w:rsid w:val="00BF0BA1"/>
    <w:rsid w:val="00BF0DA9"/>
    <w:rsid w:val="00BF121B"/>
    <w:rsid w:val="00BF1296"/>
    <w:rsid w:val="00BF13C2"/>
    <w:rsid w:val="00BF14A3"/>
    <w:rsid w:val="00BF15E2"/>
    <w:rsid w:val="00BF1A54"/>
    <w:rsid w:val="00BF1C19"/>
    <w:rsid w:val="00BF1D80"/>
    <w:rsid w:val="00BF1E0F"/>
    <w:rsid w:val="00BF225E"/>
    <w:rsid w:val="00BF25D4"/>
    <w:rsid w:val="00BF27EF"/>
    <w:rsid w:val="00BF2916"/>
    <w:rsid w:val="00BF293D"/>
    <w:rsid w:val="00BF294B"/>
    <w:rsid w:val="00BF29AE"/>
    <w:rsid w:val="00BF3026"/>
    <w:rsid w:val="00BF306E"/>
    <w:rsid w:val="00BF3371"/>
    <w:rsid w:val="00BF33C0"/>
    <w:rsid w:val="00BF35E4"/>
    <w:rsid w:val="00BF3809"/>
    <w:rsid w:val="00BF3825"/>
    <w:rsid w:val="00BF3A5A"/>
    <w:rsid w:val="00BF3EE5"/>
    <w:rsid w:val="00BF4536"/>
    <w:rsid w:val="00BF45D5"/>
    <w:rsid w:val="00BF45F8"/>
    <w:rsid w:val="00BF475E"/>
    <w:rsid w:val="00BF4932"/>
    <w:rsid w:val="00BF4982"/>
    <w:rsid w:val="00BF4AEA"/>
    <w:rsid w:val="00BF5191"/>
    <w:rsid w:val="00BF533F"/>
    <w:rsid w:val="00BF538A"/>
    <w:rsid w:val="00BF542A"/>
    <w:rsid w:val="00BF548D"/>
    <w:rsid w:val="00BF57D9"/>
    <w:rsid w:val="00BF59ED"/>
    <w:rsid w:val="00BF5EA4"/>
    <w:rsid w:val="00BF60F3"/>
    <w:rsid w:val="00BF6360"/>
    <w:rsid w:val="00BF6506"/>
    <w:rsid w:val="00BF69DD"/>
    <w:rsid w:val="00BF6A4D"/>
    <w:rsid w:val="00BF6A93"/>
    <w:rsid w:val="00BF6B9A"/>
    <w:rsid w:val="00BF6BC8"/>
    <w:rsid w:val="00BF6CC2"/>
    <w:rsid w:val="00BF6DE6"/>
    <w:rsid w:val="00BF6F7F"/>
    <w:rsid w:val="00BF6FE7"/>
    <w:rsid w:val="00BF7213"/>
    <w:rsid w:val="00BF745A"/>
    <w:rsid w:val="00BF74EC"/>
    <w:rsid w:val="00BF75A4"/>
    <w:rsid w:val="00BF794E"/>
    <w:rsid w:val="00BF7966"/>
    <w:rsid w:val="00BF7A41"/>
    <w:rsid w:val="00BF7BE1"/>
    <w:rsid w:val="00BF7D57"/>
    <w:rsid w:val="00BF7D77"/>
    <w:rsid w:val="00C00194"/>
    <w:rsid w:val="00C00734"/>
    <w:rsid w:val="00C008BA"/>
    <w:rsid w:val="00C00A29"/>
    <w:rsid w:val="00C00E80"/>
    <w:rsid w:val="00C00F0A"/>
    <w:rsid w:val="00C01543"/>
    <w:rsid w:val="00C015F1"/>
    <w:rsid w:val="00C019D7"/>
    <w:rsid w:val="00C019FB"/>
    <w:rsid w:val="00C01A57"/>
    <w:rsid w:val="00C01D7E"/>
    <w:rsid w:val="00C01E67"/>
    <w:rsid w:val="00C01F5B"/>
    <w:rsid w:val="00C01FBD"/>
    <w:rsid w:val="00C02159"/>
    <w:rsid w:val="00C022E4"/>
    <w:rsid w:val="00C024F8"/>
    <w:rsid w:val="00C02D17"/>
    <w:rsid w:val="00C02E34"/>
    <w:rsid w:val="00C02E9E"/>
    <w:rsid w:val="00C03236"/>
    <w:rsid w:val="00C0355B"/>
    <w:rsid w:val="00C03DEA"/>
    <w:rsid w:val="00C04500"/>
    <w:rsid w:val="00C0458A"/>
    <w:rsid w:val="00C045AF"/>
    <w:rsid w:val="00C04BB7"/>
    <w:rsid w:val="00C04C6C"/>
    <w:rsid w:val="00C04EAC"/>
    <w:rsid w:val="00C04EDA"/>
    <w:rsid w:val="00C04F5C"/>
    <w:rsid w:val="00C050C7"/>
    <w:rsid w:val="00C0518B"/>
    <w:rsid w:val="00C05372"/>
    <w:rsid w:val="00C053DB"/>
    <w:rsid w:val="00C053E0"/>
    <w:rsid w:val="00C05899"/>
    <w:rsid w:val="00C05A47"/>
    <w:rsid w:val="00C05EDC"/>
    <w:rsid w:val="00C0607C"/>
    <w:rsid w:val="00C060F2"/>
    <w:rsid w:val="00C061BD"/>
    <w:rsid w:val="00C061FD"/>
    <w:rsid w:val="00C062BB"/>
    <w:rsid w:val="00C0667B"/>
    <w:rsid w:val="00C066A0"/>
    <w:rsid w:val="00C067E9"/>
    <w:rsid w:val="00C069EB"/>
    <w:rsid w:val="00C06C67"/>
    <w:rsid w:val="00C06C7C"/>
    <w:rsid w:val="00C0707B"/>
    <w:rsid w:val="00C07230"/>
    <w:rsid w:val="00C0727E"/>
    <w:rsid w:val="00C072F7"/>
    <w:rsid w:val="00C07412"/>
    <w:rsid w:val="00C07BDD"/>
    <w:rsid w:val="00C07ED5"/>
    <w:rsid w:val="00C07F44"/>
    <w:rsid w:val="00C10347"/>
    <w:rsid w:val="00C103D3"/>
    <w:rsid w:val="00C1053B"/>
    <w:rsid w:val="00C10617"/>
    <w:rsid w:val="00C108CD"/>
    <w:rsid w:val="00C10A92"/>
    <w:rsid w:val="00C10B28"/>
    <w:rsid w:val="00C10C13"/>
    <w:rsid w:val="00C10D30"/>
    <w:rsid w:val="00C11186"/>
    <w:rsid w:val="00C112D7"/>
    <w:rsid w:val="00C1157F"/>
    <w:rsid w:val="00C115AA"/>
    <w:rsid w:val="00C115CC"/>
    <w:rsid w:val="00C11768"/>
    <w:rsid w:val="00C118BE"/>
    <w:rsid w:val="00C11956"/>
    <w:rsid w:val="00C11C6B"/>
    <w:rsid w:val="00C121E2"/>
    <w:rsid w:val="00C1237E"/>
    <w:rsid w:val="00C125D5"/>
    <w:rsid w:val="00C125E4"/>
    <w:rsid w:val="00C12600"/>
    <w:rsid w:val="00C127B2"/>
    <w:rsid w:val="00C129FB"/>
    <w:rsid w:val="00C12A51"/>
    <w:rsid w:val="00C12BE0"/>
    <w:rsid w:val="00C12C7E"/>
    <w:rsid w:val="00C12CE1"/>
    <w:rsid w:val="00C13115"/>
    <w:rsid w:val="00C13136"/>
    <w:rsid w:val="00C1339F"/>
    <w:rsid w:val="00C135B5"/>
    <w:rsid w:val="00C13677"/>
    <w:rsid w:val="00C1369B"/>
    <w:rsid w:val="00C139E4"/>
    <w:rsid w:val="00C13EF6"/>
    <w:rsid w:val="00C14084"/>
    <w:rsid w:val="00C140A2"/>
    <w:rsid w:val="00C143B5"/>
    <w:rsid w:val="00C14467"/>
    <w:rsid w:val="00C148E0"/>
    <w:rsid w:val="00C149BC"/>
    <w:rsid w:val="00C14A1E"/>
    <w:rsid w:val="00C14CB6"/>
    <w:rsid w:val="00C14D73"/>
    <w:rsid w:val="00C14FF7"/>
    <w:rsid w:val="00C150EE"/>
    <w:rsid w:val="00C15151"/>
    <w:rsid w:val="00C15788"/>
    <w:rsid w:val="00C1592E"/>
    <w:rsid w:val="00C1593E"/>
    <w:rsid w:val="00C159AB"/>
    <w:rsid w:val="00C15EB4"/>
    <w:rsid w:val="00C15EF6"/>
    <w:rsid w:val="00C16252"/>
    <w:rsid w:val="00C1638D"/>
    <w:rsid w:val="00C168DC"/>
    <w:rsid w:val="00C169D5"/>
    <w:rsid w:val="00C16FAD"/>
    <w:rsid w:val="00C170A4"/>
    <w:rsid w:val="00C17253"/>
    <w:rsid w:val="00C1740A"/>
    <w:rsid w:val="00C17555"/>
    <w:rsid w:val="00C1770B"/>
    <w:rsid w:val="00C17963"/>
    <w:rsid w:val="00C17D7B"/>
    <w:rsid w:val="00C17D97"/>
    <w:rsid w:val="00C17F04"/>
    <w:rsid w:val="00C17F71"/>
    <w:rsid w:val="00C201A0"/>
    <w:rsid w:val="00C20291"/>
    <w:rsid w:val="00C204F0"/>
    <w:rsid w:val="00C2051D"/>
    <w:rsid w:val="00C2055C"/>
    <w:rsid w:val="00C205B7"/>
    <w:rsid w:val="00C20805"/>
    <w:rsid w:val="00C20A6D"/>
    <w:rsid w:val="00C20C15"/>
    <w:rsid w:val="00C20D73"/>
    <w:rsid w:val="00C20E21"/>
    <w:rsid w:val="00C20F1D"/>
    <w:rsid w:val="00C21056"/>
    <w:rsid w:val="00C21121"/>
    <w:rsid w:val="00C211B3"/>
    <w:rsid w:val="00C214E9"/>
    <w:rsid w:val="00C21E8A"/>
    <w:rsid w:val="00C21F23"/>
    <w:rsid w:val="00C21F7D"/>
    <w:rsid w:val="00C220E5"/>
    <w:rsid w:val="00C22296"/>
    <w:rsid w:val="00C222C1"/>
    <w:rsid w:val="00C2253A"/>
    <w:rsid w:val="00C2291C"/>
    <w:rsid w:val="00C22A55"/>
    <w:rsid w:val="00C22E47"/>
    <w:rsid w:val="00C22F63"/>
    <w:rsid w:val="00C23096"/>
    <w:rsid w:val="00C23420"/>
    <w:rsid w:val="00C234C7"/>
    <w:rsid w:val="00C234E1"/>
    <w:rsid w:val="00C2351F"/>
    <w:rsid w:val="00C236B0"/>
    <w:rsid w:val="00C238C7"/>
    <w:rsid w:val="00C239D1"/>
    <w:rsid w:val="00C2406A"/>
    <w:rsid w:val="00C240E6"/>
    <w:rsid w:val="00C24136"/>
    <w:rsid w:val="00C241EC"/>
    <w:rsid w:val="00C24472"/>
    <w:rsid w:val="00C24585"/>
    <w:rsid w:val="00C245C2"/>
    <w:rsid w:val="00C24653"/>
    <w:rsid w:val="00C24929"/>
    <w:rsid w:val="00C249BA"/>
    <w:rsid w:val="00C249BD"/>
    <w:rsid w:val="00C24ABB"/>
    <w:rsid w:val="00C24D11"/>
    <w:rsid w:val="00C24D14"/>
    <w:rsid w:val="00C24F71"/>
    <w:rsid w:val="00C25576"/>
    <w:rsid w:val="00C2568F"/>
    <w:rsid w:val="00C2592C"/>
    <w:rsid w:val="00C259FC"/>
    <w:rsid w:val="00C25AE8"/>
    <w:rsid w:val="00C25BEA"/>
    <w:rsid w:val="00C25D5E"/>
    <w:rsid w:val="00C25DE7"/>
    <w:rsid w:val="00C25F32"/>
    <w:rsid w:val="00C25F76"/>
    <w:rsid w:val="00C25F7D"/>
    <w:rsid w:val="00C26153"/>
    <w:rsid w:val="00C26399"/>
    <w:rsid w:val="00C265CE"/>
    <w:rsid w:val="00C268C7"/>
    <w:rsid w:val="00C26BEC"/>
    <w:rsid w:val="00C272AE"/>
    <w:rsid w:val="00C2733F"/>
    <w:rsid w:val="00C27378"/>
    <w:rsid w:val="00C273F3"/>
    <w:rsid w:val="00C274DF"/>
    <w:rsid w:val="00C27BB0"/>
    <w:rsid w:val="00C30380"/>
    <w:rsid w:val="00C30BEA"/>
    <w:rsid w:val="00C30BFE"/>
    <w:rsid w:val="00C30D90"/>
    <w:rsid w:val="00C31072"/>
    <w:rsid w:val="00C313B9"/>
    <w:rsid w:val="00C31402"/>
    <w:rsid w:val="00C31469"/>
    <w:rsid w:val="00C31A3D"/>
    <w:rsid w:val="00C31AB1"/>
    <w:rsid w:val="00C31AF7"/>
    <w:rsid w:val="00C31B8A"/>
    <w:rsid w:val="00C31CE7"/>
    <w:rsid w:val="00C320B5"/>
    <w:rsid w:val="00C32820"/>
    <w:rsid w:val="00C329DC"/>
    <w:rsid w:val="00C32B96"/>
    <w:rsid w:val="00C32BBC"/>
    <w:rsid w:val="00C32CB1"/>
    <w:rsid w:val="00C32DC6"/>
    <w:rsid w:val="00C32F03"/>
    <w:rsid w:val="00C333C8"/>
    <w:rsid w:val="00C3341C"/>
    <w:rsid w:val="00C337DD"/>
    <w:rsid w:val="00C3381C"/>
    <w:rsid w:val="00C3382D"/>
    <w:rsid w:val="00C33A75"/>
    <w:rsid w:val="00C33BC7"/>
    <w:rsid w:val="00C340B7"/>
    <w:rsid w:val="00C34198"/>
    <w:rsid w:val="00C34243"/>
    <w:rsid w:val="00C343C3"/>
    <w:rsid w:val="00C34479"/>
    <w:rsid w:val="00C3462B"/>
    <w:rsid w:val="00C34633"/>
    <w:rsid w:val="00C34865"/>
    <w:rsid w:val="00C348EC"/>
    <w:rsid w:val="00C34BAD"/>
    <w:rsid w:val="00C34CB1"/>
    <w:rsid w:val="00C34E91"/>
    <w:rsid w:val="00C34F0C"/>
    <w:rsid w:val="00C34FA5"/>
    <w:rsid w:val="00C350E0"/>
    <w:rsid w:val="00C35448"/>
    <w:rsid w:val="00C35460"/>
    <w:rsid w:val="00C35612"/>
    <w:rsid w:val="00C35697"/>
    <w:rsid w:val="00C35A8B"/>
    <w:rsid w:val="00C35C62"/>
    <w:rsid w:val="00C36117"/>
    <w:rsid w:val="00C36371"/>
    <w:rsid w:val="00C3650E"/>
    <w:rsid w:val="00C368AA"/>
    <w:rsid w:val="00C368D5"/>
    <w:rsid w:val="00C36A8F"/>
    <w:rsid w:val="00C36B49"/>
    <w:rsid w:val="00C371B4"/>
    <w:rsid w:val="00C37205"/>
    <w:rsid w:val="00C3727F"/>
    <w:rsid w:val="00C37280"/>
    <w:rsid w:val="00C37465"/>
    <w:rsid w:val="00C37617"/>
    <w:rsid w:val="00C37622"/>
    <w:rsid w:val="00C37A6E"/>
    <w:rsid w:val="00C37B24"/>
    <w:rsid w:val="00C37BA0"/>
    <w:rsid w:val="00C37E40"/>
    <w:rsid w:val="00C37E63"/>
    <w:rsid w:val="00C37F0F"/>
    <w:rsid w:val="00C405F2"/>
    <w:rsid w:val="00C406F6"/>
    <w:rsid w:val="00C40850"/>
    <w:rsid w:val="00C40883"/>
    <w:rsid w:val="00C40AF0"/>
    <w:rsid w:val="00C40D6A"/>
    <w:rsid w:val="00C41282"/>
    <w:rsid w:val="00C4160C"/>
    <w:rsid w:val="00C4173C"/>
    <w:rsid w:val="00C41DA0"/>
    <w:rsid w:val="00C41E69"/>
    <w:rsid w:val="00C42015"/>
    <w:rsid w:val="00C42029"/>
    <w:rsid w:val="00C42240"/>
    <w:rsid w:val="00C425AC"/>
    <w:rsid w:val="00C42A8F"/>
    <w:rsid w:val="00C43035"/>
    <w:rsid w:val="00C43176"/>
    <w:rsid w:val="00C433DF"/>
    <w:rsid w:val="00C43451"/>
    <w:rsid w:val="00C434D7"/>
    <w:rsid w:val="00C435FA"/>
    <w:rsid w:val="00C4373B"/>
    <w:rsid w:val="00C43B58"/>
    <w:rsid w:val="00C43C21"/>
    <w:rsid w:val="00C43C6E"/>
    <w:rsid w:val="00C43EB1"/>
    <w:rsid w:val="00C43F14"/>
    <w:rsid w:val="00C44022"/>
    <w:rsid w:val="00C4415C"/>
    <w:rsid w:val="00C441DB"/>
    <w:rsid w:val="00C44242"/>
    <w:rsid w:val="00C4494D"/>
    <w:rsid w:val="00C44C46"/>
    <w:rsid w:val="00C45547"/>
    <w:rsid w:val="00C45649"/>
    <w:rsid w:val="00C45927"/>
    <w:rsid w:val="00C459B0"/>
    <w:rsid w:val="00C45BDB"/>
    <w:rsid w:val="00C45D2A"/>
    <w:rsid w:val="00C45D95"/>
    <w:rsid w:val="00C4609B"/>
    <w:rsid w:val="00C467F3"/>
    <w:rsid w:val="00C46902"/>
    <w:rsid w:val="00C46E8E"/>
    <w:rsid w:val="00C46F31"/>
    <w:rsid w:val="00C46F96"/>
    <w:rsid w:val="00C46FC5"/>
    <w:rsid w:val="00C46FC9"/>
    <w:rsid w:val="00C4700D"/>
    <w:rsid w:val="00C472DD"/>
    <w:rsid w:val="00C47375"/>
    <w:rsid w:val="00C4741C"/>
    <w:rsid w:val="00C47A72"/>
    <w:rsid w:val="00C47B5E"/>
    <w:rsid w:val="00C47F2C"/>
    <w:rsid w:val="00C47FE3"/>
    <w:rsid w:val="00C5004C"/>
    <w:rsid w:val="00C500D6"/>
    <w:rsid w:val="00C50395"/>
    <w:rsid w:val="00C5054A"/>
    <w:rsid w:val="00C505EA"/>
    <w:rsid w:val="00C5062A"/>
    <w:rsid w:val="00C50D35"/>
    <w:rsid w:val="00C50EF2"/>
    <w:rsid w:val="00C51165"/>
    <w:rsid w:val="00C51176"/>
    <w:rsid w:val="00C5125C"/>
    <w:rsid w:val="00C51481"/>
    <w:rsid w:val="00C514FD"/>
    <w:rsid w:val="00C519BC"/>
    <w:rsid w:val="00C51A44"/>
    <w:rsid w:val="00C51AF5"/>
    <w:rsid w:val="00C51DA7"/>
    <w:rsid w:val="00C5209F"/>
    <w:rsid w:val="00C52C5E"/>
    <w:rsid w:val="00C52D45"/>
    <w:rsid w:val="00C53052"/>
    <w:rsid w:val="00C53207"/>
    <w:rsid w:val="00C53396"/>
    <w:rsid w:val="00C53533"/>
    <w:rsid w:val="00C5365C"/>
    <w:rsid w:val="00C53715"/>
    <w:rsid w:val="00C53788"/>
    <w:rsid w:val="00C537A8"/>
    <w:rsid w:val="00C537C3"/>
    <w:rsid w:val="00C53930"/>
    <w:rsid w:val="00C53AAC"/>
    <w:rsid w:val="00C540AB"/>
    <w:rsid w:val="00C540DF"/>
    <w:rsid w:val="00C54220"/>
    <w:rsid w:val="00C5429B"/>
    <w:rsid w:val="00C54322"/>
    <w:rsid w:val="00C54A15"/>
    <w:rsid w:val="00C54AF5"/>
    <w:rsid w:val="00C54BAC"/>
    <w:rsid w:val="00C54E0D"/>
    <w:rsid w:val="00C5507C"/>
    <w:rsid w:val="00C55112"/>
    <w:rsid w:val="00C55189"/>
    <w:rsid w:val="00C5573A"/>
    <w:rsid w:val="00C558BD"/>
    <w:rsid w:val="00C55949"/>
    <w:rsid w:val="00C55A19"/>
    <w:rsid w:val="00C5617A"/>
    <w:rsid w:val="00C56425"/>
    <w:rsid w:val="00C56529"/>
    <w:rsid w:val="00C5693A"/>
    <w:rsid w:val="00C56E5C"/>
    <w:rsid w:val="00C56F5C"/>
    <w:rsid w:val="00C5725B"/>
    <w:rsid w:val="00C5759D"/>
    <w:rsid w:val="00C576D5"/>
    <w:rsid w:val="00C578BF"/>
    <w:rsid w:val="00C57DDD"/>
    <w:rsid w:val="00C57DDE"/>
    <w:rsid w:val="00C60075"/>
    <w:rsid w:val="00C600C3"/>
    <w:rsid w:val="00C6018B"/>
    <w:rsid w:val="00C604DF"/>
    <w:rsid w:val="00C60813"/>
    <w:rsid w:val="00C60884"/>
    <w:rsid w:val="00C60B6D"/>
    <w:rsid w:val="00C60DED"/>
    <w:rsid w:val="00C61072"/>
    <w:rsid w:val="00C610FA"/>
    <w:rsid w:val="00C611AF"/>
    <w:rsid w:val="00C615D4"/>
    <w:rsid w:val="00C621AF"/>
    <w:rsid w:val="00C622F4"/>
    <w:rsid w:val="00C62524"/>
    <w:rsid w:val="00C62528"/>
    <w:rsid w:val="00C626BD"/>
    <w:rsid w:val="00C62A40"/>
    <w:rsid w:val="00C631C3"/>
    <w:rsid w:val="00C6390E"/>
    <w:rsid w:val="00C63AB7"/>
    <w:rsid w:val="00C63DCF"/>
    <w:rsid w:val="00C6410C"/>
    <w:rsid w:val="00C64126"/>
    <w:rsid w:val="00C64348"/>
    <w:rsid w:val="00C649EF"/>
    <w:rsid w:val="00C64D96"/>
    <w:rsid w:val="00C64F1C"/>
    <w:rsid w:val="00C65067"/>
    <w:rsid w:val="00C652CE"/>
    <w:rsid w:val="00C65769"/>
    <w:rsid w:val="00C65963"/>
    <w:rsid w:val="00C65AA7"/>
    <w:rsid w:val="00C65CD1"/>
    <w:rsid w:val="00C65D49"/>
    <w:rsid w:val="00C65D71"/>
    <w:rsid w:val="00C65E3E"/>
    <w:rsid w:val="00C65E47"/>
    <w:rsid w:val="00C65F59"/>
    <w:rsid w:val="00C660D3"/>
    <w:rsid w:val="00C661BF"/>
    <w:rsid w:val="00C6625A"/>
    <w:rsid w:val="00C662DC"/>
    <w:rsid w:val="00C66667"/>
    <w:rsid w:val="00C666BD"/>
    <w:rsid w:val="00C66920"/>
    <w:rsid w:val="00C66958"/>
    <w:rsid w:val="00C66AE1"/>
    <w:rsid w:val="00C66F08"/>
    <w:rsid w:val="00C6710E"/>
    <w:rsid w:val="00C67287"/>
    <w:rsid w:val="00C6738E"/>
    <w:rsid w:val="00C6739C"/>
    <w:rsid w:val="00C674B2"/>
    <w:rsid w:val="00C67A38"/>
    <w:rsid w:val="00C67D05"/>
    <w:rsid w:val="00C67D69"/>
    <w:rsid w:val="00C67E85"/>
    <w:rsid w:val="00C70125"/>
    <w:rsid w:val="00C7050A"/>
    <w:rsid w:val="00C7057B"/>
    <w:rsid w:val="00C70B6E"/>
    <w:rsid w:val="00C71039"/>
    <w:rsid w:val="00C7141F"/>
    <w:rsid w:val="00C7144A"/>
    <w:rsid w:val="00C71536"/>
    <w:rsid w:val="00C71820"/>
    <w:rsid w:val="00C71ACA"/>
    <w:rsid w:val="00C71C03"/>
    <w:rsid w:val="00C71EE2"/>
    <w:rsid w:val="00C71EE7"/>
    <w:rsid w:val="00C72083"/>
    <w:rsid w:val="00C7209E"/>
    <w:rsid w:val="00C72528"/>
    <w:rsid w:val="00C72720"/>
    <w:rsid w:val="00C729D0"/>
    <w:rsid w:val="00C72A0F"/>
    <w:rsid w:val="00C72A75"/>
    <w:rsid w:val="00C72BEE"/>
    <w:rsid w:val="00C72F0B"/>
    <w:rsid w:val="00C72FA7"/>
    <w:rsid w:val="00C7311B"/>
    <w:rsid w:val="00C73135"/>
    <w:rsid w:val="00C73219"/>
    <w:rsid w:val="00C7333C"/>
    <w:rsid w:val="00C73466"/>
    <w:rsid w:val="00C73509"/>
    <w:rsid w:val="00C73910"/>
    <w:rsid w:val="00C73A97"/>
    <w:rsid w:val="00C73D93"/>
    <w:rsid w:val="00C73F38"/>
    <w:rsid w:val="00C74400"/>
    <w:rsid w:val="00C747C1"/>
    <w:rsid w:val="00C74943"/>
    <w:rsid w:val="00C74B5C"/>
    <w:rsid w:val="00C74DB5"/>
    <w:rsid w:val="00C74DBD"/>
    <w:rsid w:val="00C74EC8"/>
    <w:rsid w:val="00C74FDB"/>
    <w:rsid w:val="00C7507F"/>
    <w:rsid w:val="00C75111"/>
    <w:rsid w:val="00C75155"/>
    <w:rsid w:val="00C751B2"/>
    <w:rsid w:val="00C7543E"/>
    <w:rsid w:val="00C757FE"/>
    <w:rsid w:val="00C75877"/>
    <w:rsid w:val="00C75921"/>
    <w:rsid w:val="00C759D1"/>
    <w:rsid w:val="00C75E40"/>
    <w:rsid w:val="00C760A2"/>
    <w:rsid w:val="00C76144"/>
    <w:rsid w:val="00C7689E"/>
    <w:rsid w:val="00C76A31"/>
    <w:rsid w:val="00C76D5D"/>
    <w:rsid w:val="00C76EC9"/>
    <w:rsid w:val="00C77191"/>
    <w:rsid w:val="00C77499"/>
    <w:rsid w:val="00C77626"/>
    <w:rsid w:val="00C779FB"/>
    <w:rsid w:val="00C77B50"/>
    <w:rsid w:val="00C77E15"/>
    <w:rsid w:val="00C77FB0"/>
    <w:rsid w:val="00C77FCE"/>
    <w:rsid w:val="00C77FFA"/>
    <w:rsid w:val="00C800E2"/>
    <w:rsid w:val="00C80103"/>
    <w:rsid w:val="00C80114"/>
    <w:rsid w:val="00C80142"/>
    <w:rsid w:val="00C80183"/>
    <w:rsid w:val="00C80681"/>
    <w:rsid w:val="00C8080E"/>
    <w:rsid w:val="00C8083D"/>
    <w:rsid w:val="00C80BDC"/>
    <w:rsid w:val="00C80CA1"/>
    <w:rsid w:val="00C80CB7"/>
    <w:rsid w:val="00C80D36"/>
    <w:rsid w:val="00C80F2A"/>
    <w:rsid w:val="00C81120"/>
    <w:rsid w:val="00C812AA"/>
    <w:rsid w:val="00C812F2"/>
    <w:rsid w:val="00C81516"/>
    <w:rsid w:val="00C8162B"/>
    <w:rsid w:val="00C8181B"/>
    <w:rsid w:val="00C81877"/>
    <w:rsid w:val="00C82214"/>
    <w:rsid w:val="00C825C5"/>
    <w:rsid w:val="00C8279F"/>
    <w:rsid w:val="00C82C7C"/>
    <w:rsid w:val="00C82D75"/>
    <w:rsid w:val="00C82DFB"/>
    <w:rsid w:val="00C82E23"/>
    <w:rsid w:val="00C83129"/>
    <w:rsid w:val="00C8329E"/>
    <w:rsid w:val="00C8338A"/>
    <w:rsid w:val="00C83A4B"/>
    <w:rsid w:val="00C84676"/>
    <w:rsid w:val="00C846D5"/>
    <w:rsid w:val="00C84837"/>
    <w:rsid w:val="00C84D12"/>
    <w:rsid w:val="00C84EE6"/>
    <w:rsid w:val="00C84F49"/>
    <w:rsid w:val="00C85510"/>
    <w:rsid w:val="00C85ABE"/>
    <w:rsid w:val="00C85C24"/>
    <w:rsid w:val="00C85C55"/>
    <w:rsid w:val="00C86171"/>
    <w:rsid w:val="00C86193"/>
    <w:rsid w:val="00C862F7"/>
    <w:rsid w:val="00C8643A"/>
    <w:rsid w:val="00C86442"/>
    <w:rsid w:val="00C865B5"/>
    <w:rsid w:val="00C8684F"/>
    <w:rsid w:val="00C8690B"/>
    <w:rsid w:val="00C8696B"/>
    <w:rsid w:val="00C872F4"/>
    <w:rsid w:val="00C8740D"/>
    <w:rsid w:val="00C8750A"/>
    <w:rsid w:val="00C876F4"/>
    <w:rsid w:val="00C876F9"/>
    <w:rsid w:val="00C87922"/>
    <w:rsid w:val="00C87953"/>
    <w:rsid w:val="00C87D61"/>
    <w:rsid w:val="00C87F7A"/>
    <w:rsid w:val="00C901F8"/>
    <w:rsid w:val="00C90407"/>
    <w:rsid w:val="00C90576"/>
    <w:rsid w:val="00C90675"/>
    <w:rsid w:val="00C9072E"/>
    <w:rsid w:val="00C90C95"/>
    <w:rsid w:val="00C91047"/>
    <w:rsid w:val="00C9116A"/>
    <w:rsid w:val="00C9167A"/>
    <w:rsid w:val="00C9183B"/>
    <w:rsid w:val="00C91842"/>
    <w:rsid w:val="00C91E13"/>
    <w:rsid w:val="00C91E43"/>
    <w:rsid w:val="00C91F2E"/>
    <w:rsid w:val="00C92628"/>
    <w:rsid w:val="00C9268A"/>
    <w:rsid w:val="00C9272A"/>
    <w:rsid w:val="00C92A51"/>
    <w:rsid w:val="00C92AEA"/>
    <w:rsid w:val="00C92C5A"/>
    <w:rsid w:val="00C93250"/>
    <w:rsid w:val="00C93543"/>
    <w:rsid w:val="00C9359B"/>
    <w:rsid w:val="00C93A92"/>
    <w:rsid w:val="00C93E44"/>
    <w:rsid w:val="00C9408D"/>
    <w:rsid w:val="00C94493"/>
    <w:rsid w:val="00C944C3"/>
    <w:rsid w:val="00C94537"/>
    <w:rsid w:val="00C94C8C"/>
    <w:rsid w:val="00C94CE5"/>
    <w:rsid w:val="00C950DA"/>
    <w:rsid w:val="00C95385"/>
    <w:rsid w:val="00C957FB"/>
    <w:rsid w:val="00C9585A"/>
    <w:rsid w:val="00C95AEB"/>
    <w:rsid w:val="00C95B1B"/>
    <w:rsid w:val="00C95FBB"/>
    <w:rsid w:val="00C9623D"/>
    <w:rsid w:val="00C962BD"/>
    <w:rsid w:val="00C9655F"/>
    <w:rsid w:val="00C965D1"/>
    <w:rsid w:val="00C9679C"/>
    <w:rsid w:val="00C96CB3"/>
    <w:rsid w:val="00C96FC8"/>
    <w:rsid w:val="00C974FC"/>
    <w:rsid w:val="00C97AE7"/>
    <w:rsid w:val="00C97AFE"/>
    <w:rsid w:val="00C97C4B"/>
    <w:rsid w:val="00C97C6E"/>
    <w:rsid w:val="00C97E03"/>
    <w:rsid w:val="00CA0029"/>
    <w:rsid w:val="00CA024C"/>
    <w:rsid w:val="00CA0275"/>
    <w:rsid w:val="00CA052A"/>
    <w:rsid w:val="00CA083A"/>
    <w:rsid w:val="00CA0B42"/>
    <w:rsid w:val="00CA0EF3"/>
    <w:rsid w:val="00CA0F09"/>
    <w:rsid w:val="00CA115A"/>
    <w:rsid w:val="00CA118D"/>
    <w:rsid w:val="00CA155D"/>
    <w:rsid w:val="00CA157A"/>
    <w:rsid w:val="00CA1710"/>
    <w:rsid w:val="00CA1B3E"/>
    <w:rsid w:val="00CA1B8E"/>
    <w:rsid w:val="00CA1C22"/>
    <w:rsid w:val="00CA1D22"/>
    <w:rsid w:val="00CA2429"/>
    <w:rsid w:val="00CA2467"/>
    <w:rsid w:val="00CA27C6"/>
    <w:rsid w:val="00CA28CC"/>
    <w:rsid w:val="00CA297F"/>
    <w:rsid w:val="00CA2A8D"/>
    <w:rsid w:val="00CA2AFB"/>
    <w:rsid w:val="00CA34A4"/>
    <w:rsid w:val="00CA3A26"/>
    <w:rsid w:val="00CA3A7B"/>
    <w:rsid w:val="00CA3B76"/>
    <w:rsid w:val="00CA3C6C"/>
    <w:rsid w:val="00CA3EAB"/>
    <w:rsid w:val="00CA3EEC"/>
    <w:rsid w:val="00CA414B"/>
    <w:rsid w:val="00CA41EA"/>
    <w:rsid w:val="00CA4473"/>
    <w:rsid w:val="00CA46AA"/>
    <w:rsid w:val="00CA4807"/>
    <w:rsid w:val="00CA4C3B"/>
    <w:rsid w:val="00CA4D93"/>
    <w:rsid w:val="00CA4EA3"/>
    <w:rsid w:val="00CA50A0"/>
    <w:rsid w:val="00CA50A2"/>
    <w:rsid w:val="00CA5332"/>
    <w:rsid w:val="00CA558E"/>
    <w:rsid w:val="00CA5743"/>
    <w:rsid w:val="00CA5830"/>
    <w:rsid w:val="00CA5A6F"/>
    <w:rsid w:val="00CA5C62"/>
    <w:rsid w:val="00CA5CAB"/>
    <w:rsid w:val="00CA5EEE"/>
    <w:rsid w:val="00CA5F50"/>
    <w:rsid w:val="00CA6058"/>
    <w:rsid w:val="00CA6121"/>
    <w:rsid w:val="00CA665F"/>
    <w:rsid w:val="00CA66DF"/>
    <w:rsid w:val="00CA6A6C"/>
    <w:rsid w:val="00CA6F6C"/>
    <w:rsid w:val="00CA7079"/>
    <w:rsid w:val="00CA711B"/>
    <w:rsid w:val="00CA7172"/>
    <w:rsid w:val="00CA756D"/>
    <w:rsid w:val="00CA75AC"/>
    <w:rsid w:val="00CA7649"/>
    <w:rsid w:val="00CA7723"/>
    <w:rsid w:val="00CA7957"/>
    <w:rsid w:val="00CA7E51"/>
    <w:rsid w:val="00CA7E58"/>
    <w:rsid w:val="00CB026A"/>
    <w:rsid w:val="00CB0468"/>
    <w:rsid w:val="00CB082A"/>
    <w:rsid w:val="00CB0895"/>
    <w:rsid w:val="00CB0B83"/>
    <w:rsid w:val="00CB0B96"/>
    <w:rsid w:val="00CB0CAF"/>
    <w:rsid w:val="00CB0F7F"/>
    <w:rsid w:val="00CB1084"/>
    <w:rsid w:val="00CB113A"/>
    <w:rsid w:val="00CB11DA"/>
    <w:rsid w:val="00CB13CE"/>
    <w:rsid w:val="00CB171F"/>
    <w:rsid w:val="00CB17B4"/>
    <w:rsid w:val="00CB199D"/>
    <w:rsid w:val="00CB19BD"/>
    <w:rsid w:val="00CB1D04"/>
    <w:rsid w:val="00CB22C9"/>
    <w:rsid w:val="00CB2380"/>
    <w:rsid w:val="00CB27C9"/>
    <w:rsid w:val="00CB2921"/>
    <w:rsid w:val="00CB299D"/>
    <w:rsid w:val="00CB2B61"/>
    <w:rsid w:val="00CB2D71"/>
    <w:rsid w:val="00CB2E11"/>
    <w:rsid w:val="00CB2F46"/>
    <w:rsid w:val="00CB2FDE"/>
    <w:rsid w:val="00CB3144"/>
    <w:rsid w:val="00CB3189"/>
    <w:rsid w:val="00CB3487"/>
    <w:rsid w:val="00CB3643"/>
    <w:rsid w:val="00CB3B37"/>
    <w:rsid w:val="00CB44D5"/>
    <w:rsid w:val="00CB451A"/>
    <w:rsid w:val="00CB458E"/>
    <w:rsid w:val="00CB4646"/>
    <w:rsid w:val="00CB47F2"/>
    <w:rsid w:val="00CB4BA0"/>
    <w:rsid w:val="00CB4C65"/>
    <w:rsid w:val="00CB4DC1"/>
    <w:rsid w:val="00CB4E0F"/>
    <w:rsid w:val="00CB4F8A"/>
    <w:rsid w:val="00CB5030"/>
    <w:rsid w:val="00CB5052"/>
    <w:rsid w:val="00CB507F"/>
    <w:rsid w:val="00CB53BB"/>
    <w:rsid w:val="00CB53C9"/>
    <w:rsid w:val="00CB5479"/>
    <w:rsid w:val="00CB5733"/>
    <w:rsid w:val="00CB573C"/>
    <w:rsid w:val="00CB58C8"/>
    <w:rsid w:val="00CB5B82"/>
    <w:rsid w:val="00CB5DCE"/>
    <w:rsid w:val="00CB5E20"/>
    <w:rsid w:val="00CB5FCD"/>
    <w:rsid w:val="00CB651B"/>
    <w:rsid w:val="00CB6583"/>
    <w:rsid w:val="00CB6734"/>
    <w:rsid w:val="00CB6AD1"/>
    <w:rsid w:val="00CB6B17"/>
    <w:rsid w:val="00CB6B58"/>
    <w:rsid w:val="00CB6B71"/>
    <w:rsid w:val="00CB6B91"/>
    <w:rsid w:val="00CB6E5A"/>
    <w:rsid w:val="00CB7368"/>
    <w:rsid w:val="00CB73C5"/>
    <w:rsid w:val="00CB744A"/>
    <w:rsid w:val="00CB74FB"/>
    <w:rsid w:val="00CB7E0A"/>
    <w:rsid w:val="00CB7EE7"/>
    <w:rsid w:val="00CC0079"/>
    <w:rsid w:val="00CC034A"/>
    <w:rsid w:val="00CC03B1"/>
    <w:rsid w:val="00CC03F1"/>
    <w:rsid w:val="00CC043A"/>
    <w:rsid w:val="00CC0453"/>
    <w:rsid w:val="00CC05C7"/>
    <w:rsid w:val="00CC0877"/>
    <w:rsid w:val="00CC0B55"/>
    <w:rsid w:val="00CC0B64"/>
    <w:rsid w:val="00CC12D3"/>
    <w:rsid w:val="00CC13E9"/>
    <w:rsid w:val="00CC141F"/>
    <w:rsid w:val="00CC1792"/>
    <w:rsid w:val="00CC1A14"/>
    <w:rsid w:val="00CC1C5A"/>
    <w:rsid w:val="00CC1D98"/>
    <w:rsid w:val="00CC1DC5"/>
    <w:rsid w:val="00CC2025"/>
    <w:rsid w:val="00CC203A"/>
    <w:rsid w:val="00CC2397"/>
    <w:rsid w:val="00CC2543"/>
    <w:rsid w:val="00CC2600"/>
    <w:rsid w:val="00CC28DB"/>
    <w:rsid w:val="00CC2A26"/>
    <w:rsid w:val="00CC2B06"/>
    <w:rsid w:val="00CC2FBD"/>
    <w:rsid w:val="00CC3073"/>
    <w:rsid w:val="00CC30D7"/>
    <w:rsid w:val="00CC3119"/>
    <w:rsid w:val="00CC315E"/>
    <w:rsid w:val="00CC3218"/>
    <w:rsid w:val="00CC35A6"/>
    <w:rsid w:val="00CC35FE"/>
    <w:rsid w:val="00CC37D7"/>
    <w:rsid w:val="00CC3855"/>
    <w:rsid w:val="00CC3A38"/>
    <w:rsid w:val="00CC3C16"/>
    <w:rsid w:val="00CC3D92"/>
    <w:rsid w:val="00CC3DB1"/>
    <w:rsid w:val="00CC42E6"/>
    <w:rsid w:val="00CC4485"/>
    <w:rsid w:val="00CC44AC"/>
    <w:rsid w:val="00CC4593"/>
    <w:rsid w:val="00CC4BB4"/>
    <w:rsid w:val="00CC51F7"/>
    <w:rsid w:val="00CC52FD"/>
    <w:rsid w:val="00CC55A5"/>
    <w:rsid w:val="00CC564C"/>
    <w:rsid w:val="00CC58C5"/>
    <w:rsid w:val="00CC5952"/>
    <w:rsid w:val="00CC5D83"/>
    <w:rsid w:val="00CC5FAF"/>
    <w:rsid w:val="00CC6578"/>
    <w:rsid w:val="00CC6660"/>
    <w:rsid w:val="00CC6974"/>
    <w:rsid w:val="00CC6F6B"/>
    <w:rsid w:val="00CC7228"/>
    <w:rsid w:val="00CC760C"/>
    <w:rsid w:val="00CC7733"/>
    <w:rsid w:val="00CC7874"/>
    <w:rsid w:val="00CC7A5C"/>
    <w:rsid w:val="00CC7AFC"/>
    <w:rsid w:val="00CC7B1A"/>
    <w:rsid w:val="00CD01D2"/>
    <w:rsid w:val="00CD01DF"/>
    <w:rsid w:val="00CD02E3"/>
    <w:rsid w:val="00CD03D2"/>
    <w:rsid w:val="00CD03D4"/>
    <w:rsid w:val="00CD04A9"/>
    <w:rsid w:val="00CD085A"/>
    <w:rsid w:val="00CD089B"/>
    <w:rsid w:val="00CD0900"/>
    <w:rsid w:val="00CD093B"/>
    <w:rsid w:val="00CD0C19"/>
    <w:rsid w:val="00CD10D9"/>
    <w:rsid w:val="00CD10F5"/>
    <w:rsid w:val="00CD1245"/>
    <w:rsid w:val="00CD132D"/>
    <w:rsid w:val="00CD160A"/>
    <w:rsid w:val="00CD1839"/>
    <w:rsid w:val="00CD1980"/>
    <w:rsid w:val="00CD1BF0"/>
    <w:rsid w:val="00CD1E1B"/>
    <w:rsid w:val="00CD1E38"/>
    <w:rsid w:val="00CD2165"/>
    <w:rsid w:val="00CD2215"/>
    <w:rsid w:val="00CD22A1"/>
    <w:rsid w:val="00CD241B"/>
    <w:rsid w:val="00CD2644"/>
    <w:rsid w:val="00CD27BD"/>
    <w:rsid w:val="00CD2B4E"/>
    <w:rsid w:val="00CD2BE3"/>
    <w:rsid w:val="00CD2C60"/>
    <w:rsid w:val="00CD2C8F"/>
    <w:rsid w:val="00CD2CD0"/>
    <w:rsid w:val="00CD2D0E"/>
    <w:rsid w:val="00CD2FC0"/>
    <w:rsid w:val="00CD323E"/>
    <w:rsid w:val="00CD33ED"/>
    <w:rsid w:val="00CD3404"/>
    <w:rsid w:val="00CD3A53"/>
    <w:rsid w:val="00CD42D0"/>
    <w:rsid w:val="00CD452E"/>
    <w:rsid w:val="00CD458E"/>
    <w:rsid w:val="00CD45D9"/>
    <w:rsid w:val="00CD4612"/>
    <w:rsid w:val="00CD4739"/>
    <w:rsid w:val="00CD4857"/>
    <w:rsid w:val="00CD5094"/>
    <w:rsid w:val="00CD52DA"/>
    <w:rsid w:val="00CD540A"/>
    <w:rsid w:val="00CD54CD"/>
    <w:rsid w:val="00CD54F7"/>
    <w:rsid w:val="00CD56D0"/>
    <w:rsid w:val="00CD5EB0"/>
    <w:rsid w:val="00CD62AE"/>
    <w:rsid w:val="00CD62EA"/>
    <w:rsid w:val="00CD6301"/>
    <w:rsid w:val="00CD6426"/>
    <w:rsid w:val="00CD6456"/>
    <w:rsid w:val="00CD651C"/>
    <w:rsid w:val="00CD66BC"/>
    <w:rsid w:val="00CD66BE"/>
    <w:rsid w:val="00CD6CA3"/>
    <w:rsid w:val="00CD7008"/>
    <w:rsid w:val="00CD742A"/>
    <w:rsid w:val="00CD7497"/>
    <w:rsid w:val="00CD7912"/>
    <w:rsid w:val="00CD7945"/>
    <w:rsid w:val="00CD7AEF"/>
    <w:rsid w:val="00CE019E"/>
    <w:rsid w:val="00CE03FB"/>
    <w:rsid w:val="00CE046E"/>
    <w:rsid w:val="00CE0A31"/>
    <w:rsid w:val="00CE0B38"/>
    <w:rsid w:val="00CE0B86"/>
    <w:rsid w:val="00CE1121"/>
    <w:rsid w:val="00CE12E9"/>
    <w:rsid w:val="00CE1336"/>
    <w:rsid w:val="00CE138E"/>
    <w:rsid w:val="00CE153B"/>
    <w:rsid w:val="00CE17C0"/>
    <w:rsid w:val="00CE1A13"/>
    <w:rsid w:val="00CE1FE3"/>
    <w:rsid w:val="00CE1FEA"/>
    <w:rsid w:val="00CE22F2"/>
    <w:rsid w:val="00CE2516"/>
    <w:rsid w:val="00CE2611"/>
    <w:rsid w:val="00CE2626"/>
    <w:rsid w:val="00CE268D"/>
    <w:rsid w:val="00CE28D9"/>
    <w:rsid w:val="00CE2965"/>
    <w:rsid w:val="00CE2B94"/>
    <w:rsid w:val="00CE2C0E"/>
    <w:rsid w:val="00CE2FA3"/>
    <w:rsid w:val="00CE35FC"/>
    <w:rsid w:val="00CE36EF"/>
    <w:rsid w:val="00CE3890"/>
    <w:rsid w:val="00CE3A96"/>
    <w:rsid w:val="00CE3C27"/>
    <w:rsid w:val="00CE3DA8"/>
    <w:rsid w:val="00CE3E0B"/>
    <w:rsid w:val="00CE464B"/>
    <w:rsid w:val="00CE47D0"/>
    <w:rsid w:val="00CE4885"/>
    <w:rsid w:val="00CE49B0"/>
    <w:rsid w:val="00CE4A28"/>
    <w:rsid w:val="00CE4A7F"/>
    <w:rsid w:val="00CE4B2C"/>
    <w:rsid w:val="00CE4BAA"/>
    <w:rsid w:val="00CE4C3C"/>
    <w:rsid w:val="00CE4DD0"/>
    <w:rsid w:val="00CE4EC6"/>
    <w:rsid w:val="00CE54FD"/>
    <w:rsid w:val="00CE5567"/>
    <w:rsid w:val="00CE579A"/>
    <w:rsid w:val="00CE5889"/>
    <w:rsid w:val="00CE5B18"/>
    <w:rsid w:val="00CE5D69"/>
    <w:rsid w:val="00CE5DB9"/>
    <w:rsid w:val="00CE614D"/>
    <w:rsid w:val="00CE6523"/>
    <w:rsid w:val="00CE673F"/>
    <w:rsid w:val="00CE69CC"/>
    <w:rsid w:val="00CE6A92"/>
    <w:rsid w:val="00CE6CB4"/>
    <w:rsid w:val="00CE6DB4"/>
    <w:rsid w:val="00CE6DBC"/>
    <w:rsid w:val="00CE74B7"/>
    <w:rsid w:val="00CE762B"/>
    <w:rsid w:val="00CE7C2B"/>
    <w:rsid w:val="00CE7DC2"/>
    <w:rsid w:val="00CE7F3A"/>
    <w:rsid w:val="00CF009A"/>
    <w:rsid w:val="00CF031A"/>
    <w:rsid w:val="00CF0A2E"/>
    <w:rsid w:val="00CF1445"/>
    <w:rsid w:val="00CF1464"/>
    <w:rsid w:val="00CF14E0"/>
    <w:rsid w:val="00CF1585"/>
    <w:rsid w:val="00CF15DA"/>
    <w:rsid w:val="00CF17C3"/>
    <w:rsid w:val="00CF1871"/>
    <w:rsid w:val="00CF18AA"/>
    <w:rsid w:val="00CF18D2"/>
    <w:rsid w:val="00CF1B0C"/>
    <w:rsid w:val="00CF1B7F"/>
    <w:rsid w:val="00CF1C7E"/>
    <w:rsid w:val="00CF1D30"/>
    <w:rsid w:val="00CF211A"/>
    <w:rsid w:val="00CF2198"/>
    <w:rsid w:val="00CF21BF"/>
    <w:rsid w:val="00CF22E2"/>
    <w:rsid w:val="00CF2355"/>
    <w:rsid w:val="00CF244D"/>
    <w:rsid w:val="00CF255F"/>
    <w:rsid w:val="00CF25CA"/>
    <w:rsid w:val="00CF27D3"/>
    <w:rsid w:val="00CF2886"/>
    <w:rsid w:val="00CF28C8"/>
    <w:rsid w:val="00CF29B2"/>
    <w:rsid w:val="00CF2B90"/>
    <w:rsid w:val="00CF2C5D"/>
    <w:rsid w:val="00CF2E0B"/>
    <w:rsid w:val="00CF2F85"/>
    <w:rsid w:val="00CF30AA"/>
    <w:rsid w:val="00CF3135"/>
    <w:rsid w:val="00CF31C6"/>
    <w:rsid w:val="00CF3317"/>
    <w:rsid w:val="00CF34E6"/>
    <w:rsid w:val="00CF3718"/>
    <w:rsid w:val="00CF3C41"/>
    <w:rsid w:val="00CF3C62"/>
    <w:rsid w:val="00CF3F58"/>
    <w:rsid w:val="00CF4129"/>
    <w:rsid w:val="00CF4195"/>
    <w:rsid w:val="00CF4341"/>
    <w:rsid w:val="00CF4817"/>
    <w:rsid w:val="00CF4821"/>
    <w:rsid w:val="00CF484B"/>
    <w:rsid w:val="00CF48D6"/>
    <w:rsid w:val="00CF4D4A"/>
    <w:rsid w:val="00CF4DDD"/>
    <w:rsid w:val="00CF5020"/>
    <w:rsid w:val="00CF50D4"/>
    <w:rsid w:val="00CF53EF"/>
    <w:rsid w:val="00CF54D5"/>
    <w:rsid w:val="00CF5619"/>
    <w:rsid w:val="00CF5717"/>
    <w:rsid w:val="00CF5B27"/>
    <w:rsid w:val="00CF5C7B"/>
    <w:rsid w:val="00CF5D2A"/>
    <w:rsid w:val="00CF5EBF"/>
    <w:rsid w:val="00CF60E9"/>
    <w:rsid w:val="00CF6159"/>
    <w:rsid w:val="00CF660F"/>
    <w:rsid w:val="00CF68F5"/>
    <w:rsid w:val="00CF6AC4"/>
    <w:rsid w:val="00CF6F92"/>
    <w:rsid w:val="00CF7591"/>
    <w:rsid w:val="00CF76A3"/>
    <w:rsid w:val="00CF7A67"/>
    <w:rsid w:val="00CF7B03"/>
    <w:rsid w:val="00D00006"/>
    <w:rsid w:val="00D002C9"/>
    <w:rsid w:val="00D00733"/>
    <w:rsid w:val="00D00920"/>
    <w:rsid w:val="00D00988"/>
    <w:rsid w:val="00D00B69"/>
    <w:rsid w:val="00D00CBC"/>
    <w:rsid w:val="00D01098"/>
    <w:rsid w:val="00D011FF"/>
    <w:rsid w:val="00D0121D"/>
    <w:rsid w:val="00D01493"/>
    <w:rsid w:val="00D01515"/>
    <w:rsid w:val="00D01522"/>
    <w:rsid w:val="00D01666"/>
    <w:rsid w:val="00D019AB"/>
    <w:rsid w:val="00D01A0E"/>
    <w:rsid w:val="00D01D23"/>
    <w:rsid w:val="00D01E9D"/>
    <w:rsid w:val="00D01F0F"/>
    <w:rsid w:val="00D01F6A"/>
    <w:rsid w:val="00D0262E"/>
    <w:rsid w:val="00D02823"/>
    <w:rsid w:val="00D02A6A"/>
    <w:rsid w:val="00D03051"/>
    <w:rsid w:val="00D0309A"/>
    <w:rsid w:val="00D034C4"/>
    <w:rsid w:val="00D036D9"/>
    <w:rsid w:val="00D0384D"/>
    <w:rsid w:val="00D03908"/>
    <w:rsid w:val="00D03AA5"/>
    <w:rsid w:val="00D03BBA"/>
    <w:rsid w:val="00D03EBB"/>
    <w:rsid w:val="00D0406F"/>
    <w:rsid w:val="00D04135"/>
    <w:rsid w:val="00D041E0"/>
    <w:rsid w:val="00D049D4"/>
    <w:rsid w:val="00D04F4D"/>
    <w:rsid w:val="00D04FE6"/>
    <w:rsid w:val="00D05102"/>
    <w:rsid w:val="00D05140"/>
    <w:rsid w:val="00D0530A"/>
    <w:rsid w:val="00D053B9"/>
    <w:rsid w:val="00D056DA"/>
    <w:rsid w:val="00D0571D"/>
    <w:rsid w:val="00D05948"/>
    <w:rsid w:val="00D0595D"/>
    <w:rsid w:val="00D05D2A"/>
    <w:rsid w:val="00D05D45"/>
    <w:rsid w:val="00D05E90"/>
    <w:rsid w:val="00D05FC4"/>
    <w:rsid w:val="00D06063"/>
    <w:rsid w:val="00D067C8"/>
    <w:rsid w:val="00D0683F"/>
    <w:rsid w:val="00D06857"/>
    <w:rsid w:val="00D06941"/>
    <w:rsid w:val="00D069FE"/>
    <w:rsid w:val="00D06D47"/>
    <w:rsid w:val="00D06D84"/>
    <w:rsid w:val="00D06DCA"/>
    <w:rsid w:val="00D06EFE"/>
    <w:rsid w:val="00D06F1E"/>
    <w:rsid w:val="00D06F95"/>
    <w:rsid w:val="00D0703B"/>
    <w:rsid w:val="00D07085"/>
    <w:rsid w:val="00D07193"/>
    <w:rsid w:val="00D0733A"/>
    <w:rsid w:val="00D07425"/>
    <w:rsid w:val="00D075B6"/>
    <w:rsid w:val="00D07872"/>
    <w:rsid w:val="00D07945"/>
    <w:rsid w:val="00D07953"/>
    <w:rsid w:val="00D07B1C"/>
    <w:rsid w:val="00D07DAE"/>
    <w:rsid w:val="00D1017C"/>
    <w:rsid w:val="00D10372"/>
    <w:rsid w:val="00D10485"/>
    <w:rsid w:val="00D10516"/>
    <w:rsid w:val="00D108C7"/>
    <w:rsid w:val="00D10B85"/>
    <w:rsid w:val="00D10F9C"/>
    <w:rsid w:val="00D1104C"/>
    <w:rsid w:val="00D11315"/>
    <w:rsid w:val="00D11472"/>
    <w:rsid w:val="00D1153A"/>
    <w:rsid w:val="00D1157B"/>
    <w:rsid w:val="00D115AF"/>
    <w:rsid w:val="00D115F8"/>
    <w:rsid w:val="00D1165D"/>
    <w:rsid w:val="00D11D68"/>
    <w:rsid w:val="00D11DA6"/>
    <w:rsid w:val="00D11EDC"/>
    <w:rsid w:val="00D11F1D"/>
    <w:rsid w:val="00D120B8"/>
    <w:rsid w:val="00D122D1"/>
    <w:rsid w:val="00D12684"/>
    <w:rsid w:val="00D12A45"/>
    <w:rsid w:val="00D12B5E"/>
    <w:rsid w:val="00D12CD4"/>
    <w:rsid w:val="00D130EC"/>
    <w:rsid w:val="00D1370C"/>
    <w:rsid w:val="00D137B8"/>
    <w:rsid w:val="00D137DD"/>
    <w:rsid w:val="00D13981"/>
    <w:rsid w:val="00D13DA5"/>
    <w:rsid w:val="00D13E6B"/>
    <w:rsid w:val="00D1412B"/>
    <w:rsid w:val="00D14306"/>
    <w:rsid w:val="00D1433F"/>
    <w:rsid w:val="00D14644"/>
    <w:rsid w:val="00D1475B"/>
    <w:rsid w:val="00D14BD3"/>
    <w:rsid w:val="00D14D6E"/>
    <w:rsid w:val="00D15010"/>
    <w:rsid w:val="00D1510F"/>
    <w:rsid w:val="00D15944"/>
    <w:rsid w:val="00D15A02"/>
    <w:rsid w:val="00D15A95"/>
    <w:rsid w:val="00D15BB4"/>
    <w:rsid w:val="00D15C09"/>
    <w:rsid w:val="00D15C16"/>
    <w:rsid w:val="00D15C4C"/>
    <w:rsid w:val="00D15D89"/>
    <w:rsid w:val="00D15DCD"/>
    <w:rsid w:val="00D15FAC"/>
    <w:rsid w:val="00D1614C"/>
    <w:rsid w:val="00D1637C"/>
    <w:rsid w:val="00D16944"/>
    <w:rsid w:val="00D1696F"/>
    <w:rsid w:val="00D169E9"/>
    <w:rsid w:val="00D16B94"/>
    <w:rsid w:val="00D16C72"/>
    <w:rsid w:val="00D16DE7"/>
    <w:rsid w:val="00D16FD3"/>
    <w:rsid w:val="00D17257"/>
    <w:rsid w:val="00D17529"/>
    <w:rsid w:val="00D17559"/>
    <w:rsid w:val="00D17A7E"/>
    <w:rsid w:val="00D17AD3"/>
    <w:rsid w:val="00D17BAE"/>
    <w:rsid w:val="00D17C1B"/>
    <w:rsid w:val="00D17C36"/>
    <w:rsid w:val="00D17D05"/>
    <w:rsid w:val="00D17F6F"/>
    <w:rsid w:val="00D2013D"/>
    <w:rsid w:val="00D201D6"/>
    <w:rsid w:val="00D205B6"/>
    <w:rsid w:val="00D20693"/>
    <w:rsid w:val="00D2086A"/>
    <w:rsid w:val="00D2088D"/>
    <w:rsid w:val="00D20924"/>
    <w:rsid w:val="00D20D10"/>
    <w:rsid w:val="00D2101F"/>
    <w:rsid w:val="00D213C0"/>
    <w:rsid w:val="00D2164D"/>
    <w:rsid w:val="00D217AB"/>
    <w:rsid w:val="00D21954"/>
    <w:rsid w:val="00D21C9D"/>
    <w:rsid w:val="00D21D8A"/>
    <w:rsid w:val="00D21E20"/>
    <w:rsid w:val="00D21F4B"/>
    <w:rsid w:val="00D221E4"/>
    <w:rsid w:val="00D22262"/>
    <w:rsid w:val="00D22313"/>
    <w:rsid w:val="00D22592"/>
    <w:rsid w:val="00D2268E"/>
    <w:rsid w:val="00D226D0"/>
    <w:rsid w:val="00D22719"/>
    <w:rsid w:val="00D22D22"/>
    <w:rsid w:val="00D22D5A"/>
    <w:rsid w:val="00D22DA9"/>
    <w:rsid w:val="00D22DB1"/>
    <w:rsid w:val="00D23386"/>
    <w:rsid w:val="00D23588"/>
    <w:rsid w:val="00D239F8"/>
    <w:rsid w:val="00D23A73"/>
    <w:rsid w:val="00D23FB8"/>
    <w:rsid w:val="00D240DB"/>
    <w:rsid w:val="00D243F3"/>
    <w:rsid w:val="00D24485"/>
    <w:rsid w:val="00D24487"/>
    <w:rsid w:val="00D24637"/>
    <w:rsid w:val="00D24692"/>
    <w:rsid w:val="00D248E4"/>
    <w:rsid w:val="00D249D7"/>
    <w:rsid w:val="00D24AB1"/>
    <w:rsid w:val="00D24AC5"/>
    <w:rsid w:val="00D24AD5"/>
    <w:rsid w:val="00D24AD9"/>
    <w:rsid w:val="00D24C53"/>
    <w:rsid w:val="00D25135"/>
    <w:rsid w:val="00D2517C"/>
    <w:rsid w:val="00D25556"/>
    <w:rsid w:val="00D25719"/>
    <w:rsid w:val="00D258A6"/>
    <w:rsid w:val="00D25A6D"/>
    <w:rsid w:val="00D25B27"/>
    <w:rsid w:val="00D25D95"/>
    <w:rsid w:val="00D25E1F"/>
    <w:rsid w:val="00D2638E"/>
    <w:rsid w:val="00D265C1"/>
    <w:rsid w:val="00D2697A"/>
    <w:rsid w:val="00D2701C"/>
    <w:rsid w:val="00D27051"/>
    <w:rsid w:val="00D2747E"/>
    <w:rsid w:val="00D275DC"/>
    <w:rsid w:val="00D276FD"/>
    <w:rsid w:val="00D27EE2"/>
    <w:rsid w:val="00D27F92"/>
    <w:rsid w:val="00D27FE5"/>
    <w:rsid w:val="00D3006B"/>
    <w:rsid w:val="00D300FF"/>
    <w:rsid w:val="00D30311"/>
    <w:rsid w:val="00D30351"/>
    <w:rsid w:val="00D30388"/>
    <w:rsid w:val="00D30478"/>
    <w:rsid w:val="00D30921"/>
    <w:rsid w:val="00D30E44"/>
    <w:rsid w:val="00D30F21"/>
    <w:rsid w:val="00D30FD2"/>
    <w:rsid w:val="00D31406"/>
    <w:rsid w:val="00D31774"/>
    <w:rsid w:val="00D317FB"/>
    <w:rsid w:val="00D31831"/>
    <w:rsid w:val="00D31833"/>
    <w:rsid w:val="00D31896"/>
    <w:rsid w:val="00D318D3"/>
    <w:rsid w:val="00D31A18"/>
    <w:rsid w:val="00D31A76"/>
    <w:rsid w:val="00D31AD6"/>
    <w:rsid w:val="00D31CD2"/>
    <w:rsid w:val="00D31CFB"/>
    <w:rsid w:val="00D322A2"/>
    <w:rsid w:val="00D329D7"/>
    <w:rsid w:val="00D32B01"/>
    <w:rsid w:val="00D32ED6"/>
    <w:rsid w:val="00D331D6"/>
    <w:rsid w:val="00D33289"/>
    <w:rsid w:val="00D33483"/>
    <w:rsid w:val="00D33662"/>
    <w:rsid w:val="00D337FF"/>
    <w:rsid w:val="00D3397A"/>
    <w:rsid w:val="00D33C1F"/>
    <w:rsid w:val="00D33D26"/>
    <w:rsid w:val="00D340F3"/>
    <w:rsid w:val="00D345ED"/>
    <w:rsid w:val="00D347E0"/>
    <w:rsid w:val="00D34C47"/>
    <w:rsid w:val="00D34DFD"/>
    <w:rsid w:val="00D34E33"/>
    <w:rsid w:val="00D351AF"/>
    <w:rsid w:val="00D35246"/>
    <w:rsid w:val="00D3572B"/>
    <w:rsid w:val="00D35891"/>
    <w:rsid w:val="00D35B06"/>
    <w:rsid w:val="00D35F3C"/>
    <w:rsid w:val="00D361EA"/>
    <w:rsid w:val="00D36261"/>
    <w:rsid w:val="00D3666D"/>
    <w:rsid w:val="00D36A67"/>
    <w:rsid w:val="00D36F2C"/>
    <w:rsid w:val="00D37035"/>
    <w:rsid w:val="00D3717F"/>
    <w:rsid w:val="00D37283"/>
    <w:rsid w:val="00D372BA"/>
    <w:rsid w:val="00D37470"/>
    <w:rsid w:val="00D3753C"/>
    <w:rsid w:val="00D375CE"/>
    <w:rsid w:val="00D37717"/>
    <w:rsid w:val="00D37874"/>
    <w:rsid w:val="00D37A23"/>
    <w:rsid w:val="00D37B1F"/>
    <w:rsid w:val="00D37C4E"/>
    <w:rsid w:val="00D37F2D"/>
    <w:rsid w:val="00D40030"/>
    <w:rsid w:val="00D405A5"/>
    <w:rsid w:val="00D4067D"/>
    <w:rsid w:val="00D40962"/>
    <w:rsid w:val="00D40BB0"/>
    <w:rsid w:val="00D40BFC"/>
    <w:rsid w:val="00D41140"/>
    <w:rsid w:val="00D41413"/>
    <w:rsid w:val="00D41939"/>
    <w:rsid w:val="00D41B5C"/>
    <w:rsid w:val="00D41CC4"/>
    <w:rsid w:val="00D41DB5"/>
    <w:rsid w:val="00D41E00"/>
    <w:rsid w:val="00D41F85"/>
    <w:rsid w:val="00D42257"/>
    <w:rsid w:val="00D4247B"/>
    <w:rsid w:val="00D4252E"/>
    <w:rsid w:val="00D426FF"/>
    <w:rsid w:val="00D42749"/>
    <w:rsid w:val="00D4277A"/>
    <w:rsid w:val="00D42915"/>
    <w:rsid w:val="00D429CD"/>
    <w:rsid w:val="00D42BFB"/>
    <w:rsid w:val="00D42E99"/>
    <w:rsid w:val="00D430F4"/>
    <w:rsid w:val="00D4348C"/>
    <w:rsid w:val="00D43530"/>
    <w:rsid w:val="00D436D3"/>
    <w:rsid w:val="00D436E4"/>
    <w:rsid w:val="00D43E70"/>
    <w:rsid w:val="00D4436E"/>
    <w:rsid w:val="00D445AB"/>
    <w:rsid w:val="00D44688"/>
    <w:rsid w:val="00D44715"/>
    <w:rsid w:val="00D44DCD"/>
    <w:rsid w:val="00D4501E"/>
    <w:rsid w:val="00D4519F"/>
    <w:rsid w:val="00D451F4"/>
    <w:rsid w:val="00D45346"/>
    <w:rsid w:val="00D45544"/>
    <w:rsid w:val="00D458F7"/>
    <w:rsid w:val="00D45C21"/>
    <w:rsid w:val="00D45CDA"/>
    <w:rsid w:val="00D45D73"/>
    <w:rsid w:val="00D45E4E"/>
    <w:rsid w:val="00D45EA8"/>
    <w:rsid w:val="00D4663F"/>
    <w:rsid w:val="00D466FA"/>
    <w:rsid w:val="00D46ACD"/>
    <w:rsid w:val="00D47B50"/>
    <w:rsid w:val="00D47BE9"/>
    <w:rsid w:val="00D47C2B"/>
    <w:rsid w:val="00D47C50"/>
    <w:rsid w:val="00D47FB2"/>
    <w:rsid w:val="00D50144"/>
    <w:rsid w:val="00D508B3"/>
    <w:rsid w:val="00D50A07"/>
    <w:rsid w:val="00D50A8D"/>
    <w:rsid w:val="00D50BF7"/>
    <w:rsid w:val="00D50C24"/>
    <w:rsid w:val="00D510FC"/>
    <w:rsid w:val="00D51166"/>
    <w:rsid w:val="00D51268"/>
    <w:rsid w:val="00D51494"/>
    <w:rsid w:val="00D514C9"/>
    <w:rsid w:val="00D5159A"/>
    <w:rsid w:val="00D51654"/>
    <w:rsid w:val="00D516CF"/>
    <w:rsid w:val="00D518E3"/>
    <w:rsid w:val="00D51CB8"/>
    <w:rsid w:val="00D51DEC"/>
    <w:rsid w:val="00D520FD"/>
    <w:rsid w:val="00D5222C"/>
    <w:rsid w:val="00D5232D"/>
    <w:rsid w:val="00D52342"/>
    <w:rsid w:val="00D52423"/>
    <w:rsid w:val="00D5260F"/>
    <w:rsid w:val="00D52CCD"/>
    <w:rsid w:val="00D52DB3"/>
    <w:rsid w:val="00D52F98"/>
    <w:rsid w:val="00D5305C"/>
    <w:rsid w:val="00D530DB"/>
    <w:rsid w:val="00D5349B"/>
    <w:rsid w:val="00D53536"/>
    <w:rsid w:val="00D5359A"/>
    <w:rsid w:val="00D5377A"/>
    <w:rsid w:val="00D539D8"/>
    <w:rsid w:val="00D53B1D"/>
    <w:rsid w:val="00D53C5F"/>
    <w:rsid w:val="00D54147"/>
    <w:rsid w:val="00D5423A"/>
    <w:rsid w:val="00D54241"/>
    <w:rsid w:val="00D54441"/>
    <w:rsid w:val="00D54455"/>
    <w:rsid w:val="00D545D9"/>
    <w:rsid w:val="00D546FD"/>
    <w:rsid w:val="00D54ABD"/>
    <w:rsid w:val="00D54BC3"/>
    <w:rsid w:val="00D54CFD"/>
    <w:rsid w:val="00D54D3C"/>
    <w:rsid w:val="00D55696"/>
    <w:rsid w:val="00D55771"/>
    <w:rsid w:val="00D55790"/>
    <w:rsid w:val="00D558ED"/>
    <w:rsid w:val="00D5599E"/>
    <w:rsid w:val="00D55C80"/>
    <w:rsid w:val="00D55CAD"/>
    <w:rsid w:val="00D55CD5"/>
    <w:rsid w:val="00D55D3E"/>
    <w:rsid w:val="00D55FC3"/>
    <w:rsid w:val="00D564BA"/>
    <w:rsid w:val="00D56D8A"/>
    <w:rsid w:val="00D56F76"/>
    <w:rsid w:val="00D56FA1"/>
    <w:rsid w:val="00D57167"/>
    <w:rsid w:val="00D57430"/>
    <w:rsid w:val="00D5757B"/>
    <w:rsid w:val="00D575B3"/>
    <w:rsid w:val="00D57959"/>
    <w:rsid w:val="00D57A04"/>
    <w:rsid w:val="00D57A89"/>
    <w:rsid w:val="00D57B3A"/>
    <w:rsid w:val="00D57F33"/>
    <w:rsid w:val="00D60099"/>
    <w:rsid w:val="00D600D1"/>
    <w:rsid w:val="00D60467"/>
    <w:rsid w:val="00D607F5"/>
    <w:rsid w:val="00D60D72"/>
    <w:rsid w:val="00D60DAD"/>
    <w:rsid w:val="00D614AB"/>
    <w:rsid w:val="00D6176A"/>
    <w:rsid w:val="00D617BC"/>
    <w:rsid w:val="00D61E24"/>
    <w:rsid w:val="00D6201B"/>
    <w:rsid w:val="00D62153"/>
    <w:rsid w:val="00D62586"/>
    <w:rsid w:val="00D6289A"/>
    <w:rsid w:val="00D62AF6"/>
    <w:rsid w:val="00D62CEA"/>
    <w:rsid w:val="00D62E6C"/>
    <w:rsid w:val="00D6318B"/>
    <w:rsid w:val="00D633B0"/>
    <w:rsid w:val="00D63866"/>
    <w:rsid w:val="00D63C73"/>
    <w:rsid w:val="00D63F89"/>
    <w:rsid w:val="00D6499A"/>
    <w:rsid w:val="00D649D9"/>
    <w:rsid w:val="00D64BFE"/>
    <w:rsid w:val="00D64D8A"/>
    <w:rsid w:val="00D64EFF"/>
    <w:rsid w:val="00D65029"/>
    <w:rsid w:val="00D65455"/>
    <w:rsid w:val="00D65789"/>
    <w:rsid w:val="00D65832"/>
    <w:rsid w:val="00D65A97"/>
    <w:rsid w:val="00D65EAA"/>
    <w:rsid w:val="00D661F7"/>
    <w:rsid w:val="00D66509"/>
    <w:rsid w:val="00D66510"/>
    <w:rsid w:val="00D6652A"/>
    <w:rsid w:val="00D667AF"/>
    <w:rsid w:val="00D6697D"/>
    <w:rsid w:val="00D66A14"/>
    <w:rsid w:val="00D66D8C"/>
    <w:rsid w:val="00D67247"/>
    <w:rsid w:val="00D675B7"/>
    <w:rsid w:val="00D67810"/>
    <w:rsid w:val="00D67886"/>
    <w:rsid w:val="00D67A05"/>
    <w:rsid w:val="00D67ACA"/>
    <w:rsid w:val="00D67B25"/>
    <w:rsid w:val="00D67CC4"/>
    <w:rsid w:val="00D67E10"/>
    <w:rsid w:val="00D7022C"/>
    <w:rsid w:val="00D702DD"/>
    <w:rsid w:val="00D70394"/>
    <w:rsid w:val="00D705D1"/>
    <w:rsid w:val="00D706A7"/>
    <w:rsid w:val="00D7076A"/>
    <w:rsid w:val="00D70B0F"/>
    <w:rsid w:val="00D70B4D"/>
    <w:rsid w:val="00D71203"/>
    <w:rsid w:val="00D7163B"/>
    <w:rsid w:val="00D71AE7"/>
    <w:rsid w:val="00D71D3D"/>
    <w:rsid w:val="00D720D3"/>
    <w:rsid w:val="00D72292"/>
    <w:rsid w:val="00D72293"/>
    <w:rsid w:val="00D726E9"/>
    <w:rsid w:val="00D72A34"/>
    <w:rsid w:val="00D72D83"/>
    <w:rsid w:val="00D72DCE"/>
    <w:rsid w:val="00D72EE4"/>
    <w:rsid w:val="00D72F2E"/>
    <w:rsid w:val="00D72FE8"/>
    <w:rsid w:val="00D734E0"/>
    <w:rsid w:val="00D7355F"/>
    <w:rsid w:val="00D735FB"/>
    <w:rsid w:val="00D73C61"/>
    <w:rsid w:val="00D73C6C"/>
    <w:rsid w:val="00D73CD8"/>
    <w:rsid w:val="00D73D1F"/>
    <w:rsid w:val="00D73E49"/>
    <w:rsid w:val="00D73F05"/>
    <w:rsid w:val="00D74054"/>
    <w:rsid w:val="00D74208"/>
    <w:rsid w:val="00D7454B"/>
    <w:rsid w:val="00D7495C"/>
    <w:rsid w:val="00D74A77"/>
    <w:rsid w:val="00D74CCD"/>
    <w:rsid w:val="00D74CFB"/>
    <w:rsid w:val="00D751D7"/>
    <w:rsid w:val="00D75387"/>
    <w:rsid w:val="00D753C3"/>
    <w:rsid w:val="00D7547A"/>
    <w:rsid w:val="00D7561D"/>
    <w:rsid w:val="00D75624"/>
    <w:rsid w:val="00D75699"/>
    <w:rsid w:val="00D7588A"/>
    <w:rsid w:val="00D7592A"/>
    <w:rsid w:val="00D759EF"/>
    <w:rsid w:val="00D759F6"/>
    <w:rsid w:val="00D75C34"/>
    <w:rsid w:val="00D75DEE"/>
    <w:rsid w:val="00D765A6"/>
    <w:rsid w:val="00D765AE"/>
    <w:rsid w:val="00D765E1"/>
    <w:rsid w:val="00D76650"/>
    <w:rsid w:val="00D76A87"/>
    <w:rsid w:val="00D76F84"/>
    <w:rsid w:val="00D7704B"/>
    <w:rsid w:val="00D77B41"/>
    <w:rsid w:val="00D77B87"/>
    <w:rsid w:val="00D80169"/>
    <w:rsid w:val="00D8024D"/>
    <w:rsid w:val="00D80318"/>
    <w:rsid w:val="00D80498"/>
    <w:rsid w:val="00D80913"/>
    <w:rsid w:val="00D809C0"/>
    <w:rsid w:val="00D80C0D"/>
    <w:rsid w:val="00D80D9C"/>
    <w:rsid w:val="00D81173"/>
    <w:rsid w:val="00D814E3"/>
    <w:rsid w:val="00D81698"/>
    <w:rsid w:val="00D81742"/>
    <w:rsid w:val="00D81775"/>
    <w:rsid w:val="00D81EA1"/>
    <w:rsid w:val="00D820EF"/>
    <w:rsid w:val="00D82870"/>
    <w:rsid w:val="00D82C67"/>
    <w:rsid w:val="00D82C8C"/>
    <w:rsid w:val="00D82EE9"/>
    <w:rsid w:val="00D82EF2"/>
    <w:rsid w:val="00D82FA5"/>
    <w:rsid w:val="00D82FD3"/>
    <w:rsid w:val="00D833A5"/>
    <w:rsid w:val="00D83939"/>
    <w:rsid w:val="00D847D8"/>
    <w:rsid w:val="00D848ED"/>
    <w:rsid w:val="00D84D80"/>
    <w:rsid w:val="00D84E60"/>
    <w:rsid w:val="00D8502B"/>
    <w:rsid w:val="00D85274"/>
    <w:rsid w:val="00D85307"/>
    <w:rsid w:val="00D8559E"/>
    <w:rsid w:val="00D85AB1"/>
    <w:rsid w:val="00D85D3F"/>
    <w:rsid w:val="00D85F72"/>
    <w:rsid w:val="00D860C9"/>
    <w:rsid w:val="00D865DE"/>
    <w:rsid w:val="00D8722C"/>
    <w:rsid w:val="00D8726E"/>
    <w:rsid w:val="00D874F4"/>
    <w:rsid w:val="00D876CC"/>
    <w:rsid w:val="00D87727"/>
    <w:rsid w:val="00D8787F"/>
    <w:rsid w:val="00D87914"/>
    <w:rsid w:val="00D87C28"/>
    <w:rsid w:val="00D87EC9"/>
    <w:rsid w:val="00D901BD"/>
    <w:rsid w:val="00D901D6"/>
    <w:rsid w:val="00D90271"/>
    <w:rsid w:val="00D903C6"/>
    <w:rsid w:val="00D90473"/>
    <w:rsid w:val="00D90BF7"/>
    <w:rsid w:val="00D90D71"/>
    <w:rsid w:val="00D912F5"/>
    <w:rsid w:val="00D913B0"/>
    <w:rsid w:val="00D915ED"/>
    <w:rsid w:val="00D9164A"/>
    <w:rsid w:val="00D91656"/>
    <w:rsid w:val="00D9169F"/>
    <w:rsid w:val="00D91B64"/>
    <w:rsid w:val="00D92130"/>
    <w:rsid w:val="00D92662"/>
    <w:rsid w:val="00D927A8"/>
    <w:rsid w:val="00D9285C"/>
    <w:rsid w:val="00D928E5"/>
    <w:rsid w:val="00D92AD9"/>
    <w:rsid w:val="00D92D7D"/>
    <w:rsid w:val="00D92E77"/>
    <w:rsid w:val="00D92F2F"/>
    <w:rsid w:val="00D9318B"/>
    <w:rsid w:val="00D93455"/>
    <w:rsid w:val="00D935CA"/>
    <w:rsid w:val="00D93AAF"/>
    <w:rsid w:val="00D93E28"/>
    <w:rsid w:val="00D93F99"/>
    <w:rsid w:val="00D941B4"/>
    <w:rsid w:val="00D94650"/>
    <w:rsid w:val="00D9466F"/>
    <w:rsid w:val="00D94AA7"/>
    <w:rsid w:val="00D94C5D"/>
    <w:rsid w:val="00D94FFE"/>
    <w:rsid w:val="00D95173"/>
    <w:rsid w:val="00D95384"/>
    <w:rsid w:val="00D95427"/>
    <w:rsid w:val="00D956CD"/>
    <w:rsid w:val="00D95DCD"/>
    <w:rsid w:val="00D95F2C"/>
    <w:rsid w:val="00D960C0"/>
    <w:rsid w:val="00D96111"/>
    <w:rsid w:val="00D96502"/>
    <w:rsid w:val="00D96693"/>
    <w:rsid w:val="00D967AB"/>
    <w:rsid w:val="00D96C5B"/>
    <w:rsid w:val="00D97006"/>
    <w:rsid w:val="00D9724C"/>
    <w:rsid w:val="00D972B5"/>
    <w:rsid w:val="00D974B0"/>
    <w:rsid w:val="00D975BF"/>
    <w:rsid w:val="00D9762C"/>
    <w:rsid w:val="00D978C9"/>
    <w:rsid w:val="00DA03B2"/>
    <w:rsid w:val="00DA09AC"/>
    <w:rsid w:val="00DA0C50"/>
    <w:rsid w:val="00DA0E45"/>
    <w:rsid w:val="00DA0F02"/>
    <w:rsid w:val="00DA0F55"/>
    <w:rsid w:val="00DA0FE7"/>
    <w:rsid w:val="00DA12BC"/>
    <w:rsid w:val="00DA14C3"/>
    <w:rsid w:val="00DA1592"/>
    <w:rsid w:val="00DA15FE"/>
    <w:rsid w:val="00DA1B9D"/>
    <w:rsid w:val="00DA1C2D"/>
    <w:rsid w:val="00DA1CD7"/>
    <w:rsid w:val="00DA1EC7"/>
    <w:rsid w:val="00DA1F13"/>
    <w:rsid w:val="00DA1FA9"/>
    <w:rsid w:val="00DA20A8"/>
    <w:rsid w:val="00DA2179"/>
    <w:rsid w:val="00DA2392"/>
    <w:rsid w:val="00DA2746"/>
    <w:rsid w:val="00DA281D"/>
    <w:rsid w:val="00DA2899"/>
    <w:rsid w:val="00DA30D5"/>
    <w:rsid w:val="00DA333E"/>
    <w:rsid w:val="00DA350A"/>
    <w:rsid w:val="00DA3673"/>
    <w:rsid w:val="00DA36CE"/>
    <w:rsid w:val="00DA3743"/>
    <w:rsid w:val="00DA3BB3"/>
    <w:rsid w:val="00DA3E5C"/>
    <w:rsid w:val="00DA40B7"/>
    <w:rsid w:val="00DA41DB"/>
    <w:rsid w:val="00DA431F"/>
    <w:rsid w:val="00DA4406"/>
    <w:rsid w:val="00DA4591"/>
    <w:rsid w:val="00DA46A0"/>
    <w:rsid w:val="00DA4777"/>
    <w:rsid w:val="00DA4C2A"/>
    <w:rsid w:val="00DA4F55"/>
    <w:rsid w:val="00DA525C"/>
    <w:rsid w:val="00DA5375"/>
    <w:rsid w:val="00DA53E8"/>
    <w:rsid w:val="00DA5639"/>
    <w:rsid w:val="00DA588B"/>
    <w:rsid w:val="00DA5A83"/>
    <w:rsid w:val="00DA5AF9"/>
    <w:rsid w:val="00DA5B3A"/>
    <w:rsid w:val="00DA614E"/>
    <w:rsid w:val="00DA652B"/>
    <w:rsid w:val="00DA694B"/>
    <w:rsid w:val="00DA6A47"/>
    <w:rsid w:val="00DA6C44"/>
    <w:rsid w:val="00DA6D66"/>
    <w:rsid w:val="00DA7231"/>
    <w:rsid w:val="00DA72D3"/>
    <w:rsid w:val="00DA7607"/>
    <w:rsid w:val="00DA774F"/>
    <w:rsid w:val="00DA783F"/>
    <w:rsid w:val="00DA7C14"/>
    <w:rsid w:val="00DA7D90"/>
    <w:rsid w:val="00DA7E13"/>
    <w:rsid w:val="00DA7F88"/>
    <w:rsid w:val="00DB0048"/>
    <w:rsid w:val="00DB00F4"/>
    <w:rsid w:val="00DB042B"/>
    <w:rsid w:val="00DB06A0"/>
    <w:rsid w:val="00DB0941"/>
    <w:rsid w:val="00DB0A9D"/>
    <w:rsid w:val="00DB0E2B"/>
    <w:rsid w:val="00DB0ED8"/>
    <w:rsid w:val="00DB0FDF"/>
    <w:rsid w:val="00DB162F"/>
    <w:rsid w:val="00DB16B5"/>
    <w:rsid w:val="00DB20E2"/>
    <w:rsid w:val="00DB2295"/>
    <w:rsid w:val="00DB24E0"/>
    <w:rsid w:val="00DB2590"/>
    <w:rsid w:val="00DB2976"/>
    <w:rsid w:val="00DB2C35"/>
    <w:rsid w:val="00DB30AB"/>
    <w:rsid w:val="00DB32E2"/>
    <w:rsid w:val="00DB3375"/>
    <w:rsid w:val="00DB34D3"/>
    <w:rsid w:val="00DB36F3"/>
    <w:rsid w:val="00DB395C"/>
    <w:rsid w:val="00DB3A6D"/>
    <w:rsid w:val="00DB3C46"/>
    <w:rsid w:val="00DB3CA3"/>
    <w:rsid w:val="00DB3CD4"/>
    <w:rsid w:val="00DB3E64"/>
    <w:rsid w:val="00DB3F7B"/>
    <w:rsid w:val="00DB3FD9"/>
    <w:rsid w:val="00DB435D"/>
    <w:rsid w:val="00DB4A00"/>
    <w:rsid w:val="00DB4BB7"/>
    <w:rsid w:val="00DB4BD6"/>
    <w:rsid w:val="00DB4C62"/>
    <w:rsid w:val="00DB5594"/>
    <w:rsid w:val="00DB56C2"/>
    <w:rsid w:val="00DB571E"/>
    <w:rsid w:val="00DB5A4D"/>
    <w:rsid w:val="00DB5AD1"/>
    <w:rsid w:val="00DB5B53"/>
    <w:rsid w:val="00DB5BD3"/>
    <w:rsid w:val="00DB5C61"/>
    <w:rsid w:val="00DB5D11"/>
    <w:rsid w:val="00DB5DBD"/>
    <w:rsid w:val="00DB5E8A"/>
    <w:rsid w:val="00DB5FCA"/>
    <w:rsid w:val="00DB611F"/>
    <w:rsid w:val="00DB621E"/>
    <w:rsid w:val="00DB6594"/>
    <w:rsid w:val="00DB67E8"/>
    <w:rsid w:val="00DB691A"/>
    <w:rsid w:val="00DB6AEA"/>
    <w:rsid w:val="00DB6B9C"/>
    <w:rsid w:val="00DB6DCF"/>
    <w:rsid w:val="00DB6E95"/>
    <w:rsid w:val="00DB6FFE"/>
    <w:rsid w:val="00DB7027"/>
    <w:rsid w:val="00DB7052"/>
    <w:rsid w:val="00DB74BB"/>
    <w:rsid w:val="00DB7650"/>
    <w:rsid w:val="00DB7FCC"/>
    <w:rsid w:val="00DB7FD3"/>
    <w:rsid w:val="00DC048B"/>
    <w:rsid w:val="00DC0575"/>
    <w:rsid w:val="00DC0796"/>
    <w:rsid w:val="00DC0B30"/>
    <w:rsid w:val="00DC0DB0"/>
    <w:rsid w:val="00DC0DB7"/>
    <w:rsid w:val="00DC0F20"/>
    <w:rsid w:val="00DC0F57"/>
    <w:rsid w:val="00DC1013"/>
    <w:rsid w:val="00DC12E8"/>
    <w:rsid w:val="00DC1455"/>
    <w:rsid w:val="00DC158A"/>
    <w:rsid w:val="00DC1A73"/>
    <w:rsid w:val="00DC1A85"/>
    <w:rsid w:val="00DC1B10"/>
    <w:rsid w:val="00DC1B3A"/>
    <w:rsid w:val="00DC1D6E"/>
    <w:rsid w:val="00DC1FC1"/>
    <w:rsid w:val="00DC2427"/>
    <w:rsid w:val="00DC294A"/>
    <w:rsid w:val="00DC2C96"/>
    <w:rsid w:val="00DC2CBE"/>
    <w:rsid w:val="00DC2D55"/>
    <w:rsid w:val="00DC2ECF"/>
    <w:rsid w:val="00DC2F0B"/>
    <w:rsid w:val="00DC35C1"/>
    <w:rsid w:val="00DC3801"/>
    <w:rsid w:val="00DC3836"/>
    <w:rsid w:val="00DC39C8"/>
    <w:rsid w:val="00DC3CA0"/>
    <w:rsid w:val="00DC3D8F"/>
    <w:rsid w:val="00DC3F43"/>
    <w:rsid w:val="00DC43EE"/>
    <w:rsid w:val="00DC495F"/>
    <w:rsid w:val="00DC57EB"/>
    <w:rsid w:val="00DC5911"/>
    <w:rsid w:val="00DC5BD8"/>
    <w:rsid w:val="00DC5D67"/>
    <w:rsid w:val="00DC600F"/>
    <w:rsid w:val="00DC612F"/>
    <w:rsid w:val="00DC623E"/>
    <w:rsid w:val="00DC636B"/>
    <w:rsid w:val="00DC654C"/>
    <w:rsid w:val="00DC6766"/>
    <w:rsid w:val="00DC6916"/>
    <w:rsid w:val="00DC6BE3"/>
    <w:rsid w:val="00DC6E2D"/>
    <w:rsid w:val="00DC6FEF"/>
    <w:rsid w:val="00DC71B2"/>
    <w:rsid w:val="00DC728A"/>
    <w:rsid w:val="00DC72C6"/>
    <w:rsid w:val="00DC7425"/>
    <w:rsid w:val="00DC74F5"/>
    <w:rsid w:val="00DC7663"/>
    <w:rsid w:val="00DC7918"/>
    <w:rsid w:val="00DC7CAE"/>
    <w:rsid w:val="00DC7E68"/>
    <w:rsid w:val="00DD01CD"/>
    <w:rsid w:val="00DD088A"/>
    <w:rsid w:val="00DD0A3D"/>
    <w:rsid w:val="00DD0B5C"/>
    <w:rsid w:val="00DD0DDB"/>
    <w:rsid w:val="00DD11C0"/>
    <w:rsid w:val="00DD1236"/>
    <w:rsid w:val="00DD14CA"/>
    <w:rsid w:val="00DD196F"/>
    <w:rsid w:val="00DD1CC7"/>
    <w:rsid w:val="00DD1D88"/>
    <w:rsid w:val="00DD1E57"/>
    <w:rsid w:val="00DD2022"/>
    <w:rsid w:val="00DD235F"/>
    <w:rsid w:val="00DD26DE"/>
    <w:rsid w:val="00DD2B45"/>
    <w:rsid w:val="00DD2D5F"/>
    <w:rsid w:val="00DD2E41"/>
    <w:rsid w:val="00DD300A"/>
    <w:rsid w:val="00DD3732"/>
    <w:rsid w:val="00DD3781"/>
    <w:rsid w:val="00DD3866"/>
    <w:rsid w:val="00DD3974"/>
    <w:rsid w:val="00DD3992"/>
    <w:rsid w:val="00DD3A1D"/>
    <w:rsid w:val="00DD3B9F"/>
    <w:rsid w:val="00DD3BB5"/>
    <w:rsid w:val="00DD402A"/>
    <w:rsid w:val="00DD42A1"/>
    <w:rsid w:val="00DD4393"/>
    <w:rsid w:val="00DD44A1"/>
    <w:rsid w:val="00DD45F7"/>
    <w:rsid w:val="00DD46C0"/>
    <w:rsid w:val="00DD4AD8"/>
    <w:rsid w:val="00DD50EA"/>
    <w:rsid w:val="00DD51AA"/>
    <w:rsid w:val="00DD54F7"/>
    <w:rsid w:val="00DD5578"/>
    <w:rsid w:val="00DD58B6"/>
    <w:rsid w:val="00DD5D13"/>
    <w:rsid w:val="00DD5F06"/>
    <w:rsid w:val="00DD5F38"/>
    <w:rsid w:val="00DD621C"/>
    <w:rsid w:val="00DD624D"/>
    <w:rsid w:val="00DD627A"/>
    <w:rsid w:val="00DD677B"/>
    <w:rsid w:val="00DD67E9"/>
    <w:rsid w:val="00DD686B"/>
    <w:rsid w:val="00DD6981"/>
    <w:rsid w:val="00DD698B"/>
    <w:rsid w:val="00DD6AFD"/>
    <w:rsid w:val="00DD6D8A"/>
    <w:rsid w:val="00DD6E39"/>
    <w:rsid w:val="00DD6E79"/>
    <w:rsid w:val="00DD703E"/>
    <w:rsid w:val="00DD70C8"/>
    <w:rsid w:val="00DD74BB"/>
    <w:rsid w:val="00DD79EB"/>
    <w:rsid w:val="00DD7AC6"/>
    <w:rsid w:val="00DD7C64"/>
    <w:rsid w:val="00DE0080"/>
    <w:rsid w:val="00DE00D1"/>
    <w:rsid w:val="00DE021F"/>
    <w:rsid w:val="00DE057F"/>
    <w:rsid w:val="00DE081D"/>
    <w:rsid w:val="00DE0B98"/>
    <w:rsid w:val="00DE0C8D"/>
    <w:rsid w:val="00DE0D5E"/>
    <w:rsid w:val="00DE0DBB"/>
    <w:rsid w:val="00DE0FEA"/>
    <w:rsid w:val="00DE1140"/>
    <w:rsid w:val="00DE1244"/>
    <w:rsid w:val="00DE148F"/>
    <w:rsid w:val="00DE16FC"/>
    <w:rsid w:val="00DE18D5"/>
    <w:rsid w:val="00DE1A80"/>
    <w:rsid w:val="00DE1DC6"/>
    <w:rsid w:val="00DE1E21"/>
    <w:rsid w:val="00DE200F"/>
    <w:rsid w:val="00DE21B5"/>
    <w:rsid w:val="00DE21E4"/>
    <w:rsid w:val="00DE2253"/>
    <w:rsid w:val="00DE2328"/>
    <w:rsid w:val="00DE2594"/>
    <w:rsid w:val="00DE290F"/>
    <w:rsid w:val="00DE29FE"/>
    <w:rsid w:val="00DE2EA0"/>
    <w:rsid w:val="00DE2F4E"/>
    <w:rsid w:val="00DE3120"/>
    <w:rsid w:val="00DE319F"/>
    <w:rsid w:val="00DE3506"/>
    <w:rsid w:val="00DE373E"/>
    <w:rsid w:val="00DE3B77"/>
    <w:rsid w:val="00DE3C19"/>
    <w:rsid w:val="00DE3C40"/>
    <w:rsid w:val="00DE3D77"/>
    <w:rsid w:val="00DE40EB"/>
    <w:rsid w:val="00DE454A"/>
    <w:rsid w:val="00DE4881"/>
    <w:rsid w:val="00DE4C8A"/>
    <w:rsid w:val="00DE4E38"/>
    <w:rsid w:val="00DE4E76"/>
    <w:rsid w:val="00DE522B"/>
    <w:rsid w:val="00DE54A6"/>
    <w:rsid w:val="00DE551D"/>
    <w:rsid w:val="00DE5548"/>
    <w:rsid w:val="00DE569B"/>
    <w:rsid w:val="00DE56FC"/>
    <w:rsid w:val="00DE58C1"/>
    <w:rsid w:val="00DE5C97"/>
    <w:rsid w:val="00DE628F"/>
    <w:rsid w:val="00DE62F3"/>
    <w:rsid w:val="00DE640C"/>
    <w:rsid w:val="00DE6486"/>
    <w:rsid w:val="00DE651D"/>
    <w:rsid w:val="00DE6832"/>
    <w:rsid w:val="00DE6A12"/>
    <w:rsid w:val="00DE6A55"/>
    <w:rsid w:val="00DE6B3A"/>
    <w:rsid w:val="00DE6D2F"/>
    <w:rsid w:val="00DE7389"/>
    <w:rsid w:val="00DE7431"/>
    <w:rsid w:val="00DE75C2"/>
    <w:rsid w:val="00DE7723"/>
    <w:rsid w:val="00DE773C"/>
    <w:rsid w:val="00DE7908"/>
    <w:rsid w:val="00DE79DB"/>
    <w:rsid w:val="00DE7AB9"/>
    <w:rsid w:val="00DE7B40"/>
    <w:rsid w:val="00DE7D46"/>
    <w:rsid w:val="00DE7DF5"/>
    <w:rsid w:val="00DE7E20"/>
    <w:rsid w:val="00DE7F0D"/>
    <w:rsid w:val="00DF01CA"/>
    <w:rsid w:val="00DF041E"/>
    <w:rsid w:val="00DF0429"/>
    <w:rsid w:val="00DF0758"/>
    <w:rsid w:val="00DF09D0"/>
    <w:rsid w:val="00DF1134"/>
    <w:rsid w:val="00DF1231"/>
    <w:rsid w:val="00DF1436"/>
    <w:rsid w:val="00DF164D"/>
    <w:rsid w:val="00DF171B"/>
    <w:rsid w:val="00DF1873"/>
    <w:rsid w:val="00DF1B8C"/>
    <w:rsid w:val="00DF1D4F"/>
    <w:rsid w:val="00DF1DF1"/>
    <w:rsid w:val="00DF1DF2"/>
    <w:rsid w:val="00DF2013"/>
    <w:rsid w:val="00DF21E2"/>
    <w:rsid w:val="00DF2205"/>
    <w:rsid w:val="00DF2383"/>
    <w:rsid w:val="00DF26CE"/>
    <w:rsid w:val="00DF27F1"/>
    <w:rsid w:val="00DF29B5"/>
    <w:rsid w:val="00DF32D5"/>
    <w:rsid w:val="00DF363F"/>
    <w:rsid w:val="00DF3719"/>
    <w:rsid w:val="00DF3772"/>
    <w:rsid w:val="00DF37A5"/>
    <w:rsid w:val="00DF37C4"/>
    <w:rsid w:val="00DF3B2C"/>
    <w:rsid w:val="00DF40BF"/>
    <w:rsid w:val="00DF453C"/>
    <w:rsid w:val="00DF4669"/>
    <w:rsid w:val="00DF4755"/>
    <w:rsid w:val="00DF4C72"/>
    <w:rsid w:val="00DF4DD3"/>
    <w:rsid w:val="00DF529E"/>
    <w:rsid w:val="00DF536D"/>
    <w:rsid w:val="00DF5569"/>
    <w:rsid w:val="00DF556A"/>
    <w:rsid w:val="00DF585C"/>
    <w:rsid w:val="00DF5AF3"/>
    <w:rsid w:val="00DF5B36"/>
    <w:rsid w:val="00DF5E6A"/>
    <w:rsid w:val="00DF60E3"/>
    <w:rsid w:val="00DF6186"/>
    <w:rsid w:val="00DF644F"/>
    <w:rsid w:val="00DF6493"/>
    <w:rsid w:val="00DF65DD"/>
    <w:rsid w:val="00DF6AB5"/>
    <w:rsid w:val="00DF6EE4"/>
    <w:rsid w:val="00DF707E"/>
    <w:rsid w:val="00DF727C"/>
    <w:rsid w:val="00DF73B4"/>
    <w:rsid w:val="00DF74EB"/>
    <w:rsid w:val="00DF75EC"/>
    <w:rsid w:val="00DF769F"/>
    <w:rsid w:val="00DF7EDD"/>
    <w:rsid w:val="00E00248"/>
    <w:rsid w:val="00E009B0"/>
    <w:rsid w:val="00E00B30"/>
    <w:rsid w:val="00E00BED"/>
    <w:rsid w:val="00E011E4"/>
    <w:rsid w:val="00E012C2"/>
    <w:rsid w:val="00E0133E"/>
    <w:rsid w:val="00E01453"/>
    <w:rsid w:val="00E0189F"/>
    <w:rsid w:val="00E019E5"/>
    <w:rsid w:val="00E01E32"/>
    <w:rsid w:val="00E01F36"/>
    <w:rsid w:val="00E01FD4"/>
    <w:rsid w:val="00E021C0"/>
    <w:rsid w:val="00E025E2"/>
    <w:rsid w:val="00E02B53"/>
    <w:rsid w:val="00E02B70"/>
    <w:rsid w:val="00E02C68"/>
    <w:rsid w:val="00E03306"/>
    <w:rsid w:val="00E0366C"/>
    <w:rsid w:val="00E036E3"/>
    <w:rsid w:val="00E037B4"/>
    <w:rsid w:val="00E03A51"/>
    <w:rsid w:val="00E03A8C"/>
    <w:rsid w:val="00E03DBC"/>
    <w:rsid w:val="00E03DE7"/>
    <w:rsid w:val="00E03E01"/>
    <w:rsid w:val="00E040CF"/>
    <w:rsid w:val="00E040D1"/>
    <w:rsid w:val="00E04340"/>
    <w:rsid w:val="00E04619"/>
    <w:rsid w:val="00E04AD2"/>
    <w:rsid w:val="00E04B4E"/>
    <w:rsid w:val="00E04BB2"/>
    <w:rsid w:val="00E04CB5"/>
    <w:rsid w:val="00E04D69"/>
    <w:rsid w:val="00E04FBD"/>
    <w:rsid w:val="00E051A1"/>
    <w:rsid w:val="00E0536B"/>
    <w:rsid w:val="00E05B96"/>
    <w:rsid w:val="00E05C6A"/>
    <w:rsid w:val="00E05D93"/>
    <w:rsid w:val="00E05EE2"/>
    <w:rsid w:val="00E06046"/>
    <w:rsid w:val="00E0650D"/>
    <w:rsid w:val="00E0651B"/>
    <w:rsid w:val="00E0657C"/>
    <w:rsid w:val="00E06612"/>
    <w:rsid w:val="00E0671C"/>
    <w:rsid w:val="00E06787"/>
    <w:rsid w:val="00E06887"/>
    <w:rsid w:val="00E068B7"/>
    <w:rsid w:val="00E06D27"/>
    <w:rsid w:val="00E06F35"/>
    <w:rsid w:val="00E07138"/>
    <w:rsid w:val="00E0714E"/>
    <w:rsid w:val="00E07287"/>
    <w:rsid w:val="00E072E2"/>
    <w:rsid w:val="00E07853"/>
    <w:rsid w:val="00E07922"/>
    <w:rsid w:val="00E1026C"/>
    <w:rsid w:val="00E102D6"/>
    <w:rsid w:val="00E105BB"/>
    <w:rsid w:val="00E10612"/>
    <w:rsid w:val="00E10654"/>
    <w:rsid w:val="00E10938"/>
    <w:rsid w:val="00E10A48"/>
    <w:rsid w:val="00E10A63"/>
    <w:rsid w:val="00E10D33"/>
    <w:rsid w:val="00E10D89"/>
    <w:rsid w:val="00E10FD5"/>
    <w:rsid w:val="00E111DA"/>
    <w:rsid w:val="00E11237"/>
    <w:rsid w:val="00E11276"/>
    <w:rsid w:val="00E11462"/>
    <w:rsid w:val="00E11933"/>
    <w:rsid w:val="00E11B9B"/>
    <w:rsid w:val="00E11BC6"/>
    <w:rsid w:val="00E11C4D"/>
    <w:rsid w:val="00E1203C"/>
    <w:rsid w:val="00E12075"/>
    <w:rsid w:val="00E122D6"/>
    <w:rsid w:val="00E12579"/>
    <w:rsid w:val="00E12688"/>
    <w:rsid w:val="00E12782"/>
    <w:rsid w:val="00E127B4"/>
    <w:rsid w:val="00E129E2"/>
    <w:rsid w:val="00E12A3F"/>
    <w:rsid w:val="00E12B37"/>
    <w:rsid w:val="00E12B7B"/>
    <w:rsid w:val="00E12C1F"/>
    <w:rsid w:val="00E12C42"/>
    <w:rsid w:val="00E12E26"/>
    <w:rsid w:val="00E12E9B"/>
    <w:rsid w:val="00E12FF0"/>
    <w:rsid w:val="00E1364E"/>
    <w:rsid w:val="00E13704"/>
    <w:rsid w:val="00E137DC"/>
    <w:rsid w:val="00E13AEB"/>
    <w:rsid w:val="00E13B0A"/>
    <w:rsid w:val="00E13BAA"/>
    <w:rsid w:val="00E13EFF"/>
    <w:rsid w:val="00E14106"/>
    <w:rsid w:val="00E1413F"/>
    <w:rsid w:val="00E1455A"/>
    <w:rsid w:val="00E145E8"/>
    <w:rsid w:val="00E145EF"/>
    <w:rsid w:val="00E147F4"/>
    <w:rsid w:val="00E148CD"/>
    <w:rsid w:val="00E14AE7"/>
    <w:rsid w:val="00E14BBF"/>
    <w:rsid w:val="00E14C37"/>
    <w:rsid w:val="00E14CC9"/>
    <w:rsid w:val="00E14F85"/>
    <w:rsid w:val="00E1507B"/>
    <w:rsid w:val="00E1511A"/>
    <w:rsid w:val="00E15518"/>
    <w:rsid w:val="00E1559F"/>
    <w:rsid w:val="00E1629C"/>
    <w:rsid w:val="00E163AD"/>
    <w:rsid w:val="00E165CC"/>
    <w:rsid w:val="00E16637"/>
    <w:rsid w:val="00E167A8"/>
    <w:rsid w:val="00E16819"/>
    <w:rsid w:val="00E16906"/>
    <w:rsid w:val="00E16A82"/>
    <w:rsid w:val="00E16A9F"/>
    <w:rsid w:val="00E16EF0"/>
    <w:rsid w:val="00E16F6F"/>
    <w:rsid w:val="00E16F9B"/>
    <w:rsid w:val="00E16FFF"/>
    <w:rsid w:val="00E17076"/>
    <w:rsid w:val="00E17265"/>
    <w:rsid w:val="00E1737F"/>
    <w:rsid w:val="00E1741F"/>
    <w:rsid w:val="00E1789F"/>
    <w:rsid w:val="00E179C9"/>
    <w:rsid w:val="00E17B97"/>
    <w:rsid w:val="00E17D7F"/>
    <w:rsid w:val="00E17E81"/>
    <w:rsid w:val="00E17F78"/>
    <w:rsid w:val="00E17F9A"/>
    <w:rsid w:val="00E2040F"/>
    <w:rsid w:val="00E20501"/>
    <w:rsid w:val="00E20563"/>
    <w:rsid w:val="00E205DE"/>
    <w:rsid w:val="00E20856"/>
    <w:rsid w:val="00E208AB"/>
    <w:rsid w:val="00E20DC9"/>
    <w:rsid w:val="00E21130"/>
    <w:rsid w:val="00E2163B"/>
    <w:rsid w:val="00E216AD"/>
    <w:rsid w:val="00E219F6"/>
    <w:rsid w:val="00E21AED"/>
    <w:rsid w:val="00E21D33"/>
    <w:rsid w:val="00E220CC"/>
    <w:rsid w:val="00E22306"/>
    <w:rsid w:val="00E22322"/>
    <w:rsid w:val="00E227B3"/>
    <w:rsid w:val="00E2281E"/>
    <w:rsid w:val="00E22A40"/>
    <w:rsid w:val="00E22A59"/>
    <w:rsid w:val="00E22A72"/>
    <w:rsid w:val="00E22E42"/>
    <w:rsid w:val="00E22EFC"/>
    <w:rsid w:val="00E22F2B"/>
    <w:rsid w:val="00E23163"/>
    <w:rsid w:val="00E2318F"/>
    <w:rsid w:val="00E231A8"/>
    <w:rsid w:val="00E232AC"/>
    <w:rsid w:val="00E23501"/>
    <w:rsid w:val="00E23D58"/>
    <w:rsid w:val="00E240BE"/>
    <w:rsid w:val="00E24209"/>
    <w:rsid w:val="00E2424A"/>
    <w:rsid w:val="00E2457D"/>
    <w:rsid w:val="00E245DC"/>
    <w:rsid w:val="00E247F6"/>
    <w:rsid w:val="00E24835"/>
    <w:rsid w:val="00E24AF8"/>
    <w:rsid w:val="00E24F07"/>
    <w:rsid w:val="00E25003"/>
    <w:rsid w:val="00E25078"/>
    <w:rsid w:val="00E25326"/>
    <w:rsid w:val="00E25543"/>
    <w:rsid w:val="00E25578"/>
    <w:rsid w:val="00E25724"/>
    <w:rsid w:val="00E25765"/>
    <w:rsid w:val="00E25784"/>
    <w:rsid w:val="00E25CCA"/>
    <w:rsid w:val="00E25D53"/>
    <w:rsid w:val="00E2613B"/>
    <w:rsid w:val="00E2627A"/>
    <w:rsid w:val="00E263D3"/>
    <w:rsid w:val="00E2648B"/>
    <w:rsid w:val="00E26546"/>
    <w:rsid w:val="00E26A60"/>
    <w:rsid w:val="00E26D0D"/>
    <w:rsid w:val="00E26D38"/>
    <w:rsid w:val="00E270A4"/>
    <w:rsid w:val="00E27295"/>
    <w:rsid w:val="00E27536"/>
    <w:rsid w:val="00E278EA"/>
    <w:rsid w:val="00E27A9F"/>
    <w:rsid w:val="00E27C27"/>
    <w:rsid w:val="00E27F7E"/>
    <w:rsid w:val="00E27FB1"/>
    <w:rsid w:val="00E3041D"/>
    <w:rsid w:val="00E30473"/>
    <w:rsid w:val="00E3055E"/>
    <w:rsid w:val="00E3068C"/>
    <w:rsid w:val="00E306B8"/>
    <w:rsid w:val="00E30BD9"/>
    <w:rsid w:val="00E30C7B"/>
    <w:rsid w:val="00E30EBE"/>
    <w:rsid w:val="00E316B9"/>
    <w:rsid w:val="00E316E8"/>
    <w:rsid w:val="00E317B5"/>
    <w:rsid w:val="00E3182D"/>
    <w:rsid w:val="00E3185F"/>
    <w:rsid w:val="00E318BA"/>
    <w:rsid w:val="00E318C5"/>
    <w:rsid w:val="00E3198B"/>
    <w:rsid w:val="00E3198F"/>
    <w:rsid w:val="00E31B4A"/>
    <w:rsid w:val="00E31BA7"/>
    <w:rsid w:val="00E31E03"/>
    <w:rsid w:val="00E320DB"/>
    <w:rsid w:val="00E321BD"/>
    <w:rsid w:val="00E324DD"/>
    <w:rsid w:val="00E32969"/>
    <w:rsid w:val="00E329C7"/>
    <w:rsid w:val="00E32CBF"/>
    <w:rsid w:val="00E32CEB"/>
    <w:rsid w:val="00E32D64"/>
    <w:rsid w:val="00E32E08"/>
    <w:rsid w:val="00E32FB2"/>
    <w:rsid w:val="00E33230"/>
    <w:rsid w:val="00E334AE"/>
    <w:rsid w:val="00E33681"/>
    <w:rsid w:val="00E33A83"/>
    <w:rsid w:val="00E33C92"/>
    <w:rsid w:val="00E33C93"/>
    <w:rsid w:val="00E340AE"/>
    <w:rsid w:val="00E349F4"/>
    <w:rsid w:val="00E34C56"/>
    <w:rsid w:val="00E35050"/>
    <w:rsid w:val="00E3516D"/>
    <w:rsid w:val="00E355C9"/>
    <w:rsid w:val="00E358E1"/>
    <w:rsid w:val="00E35B02"/>
    <w:rsid w:val="00E35D5B"/>
    <w:rsid w:val="00E35F01"/>
    <w:rsid w:val="00E360EC"/>
    <w:rsid w:val="00E364A7"/>
    <w:rsid w:val="00E366CE"/>
    <w:rsid w:val="00E366F8"/>
    <w:rsid w:val="00E36B1C"/>
    <w:rsid w:val="00E36D36"/>
    <w:rsid w:val="00E36D37"/>
    <w:rsid w:val="00E36D90"/>
    <w:rsid w:val="00E36DF1"/>
    <w:rsid w:val="00E36E8C"/>
    <w:rsid w:val="00E36F47"/>
    <w:rsid w:val="00E3729A"/>
    <w:rsid w:val="00E37738"/>
    <w:rsid w:val="00E37762"/>
    <w:rsid w:val="00E3790E"/>
    <w:rsid w:val="00E37B6E"/>
    <w:rsid w:val="00E37BD4"/>
    <w:rsid w:val="00E37D58"/>
    <w:rsid w:val="00E37D6A"/>
    <w:rsid w:val="00E37DFC"/>
    <w:rsid w:val="00E37F46"/>
    <w:rsid w:val="00E3BDC9"/>
    <w:rsid w:val="00E40378"/>
    <w:rsid w:val="00E403B5"/>
    <w:rsid w:val="00E40696"/>
    <w:rsid w:val="00E40783"/>
    <w:rsid w:val="00E4093F"/>
    <w:rsid w:val="00E40C7E"/>
    <w:rsid w:val="00E40F72"/>
    <w:rsid w:val="00E41185"/>
    <w:rsid w:val="00E4157A"/>
    <w:rsid w:val="00E4159B"/>
    <w:rsid w:val="00E41844"/>
    <w:rsid w:val="00E41B44"/>
    <w:rsid w:val="00E41E64"/>
    <w:rsid w:val="00E420F7"/>
    <w:rsid w:val="00E42182"/>
    <w:rsid w:val="00E423C8"/>
    <w:rsid w:val="00E427EB"/>
    <w:rsid w:val="00E42810"/>
    <w:rsid w:val="00E4297A"/>
    <w:rsid w:val="00E42B2C"/>
    <w:rsid w:val="00E42BA5"/>
    <w:rsid w:val="00E42FF3"/>
    <w:rsid w:val="00E4353F"/>
    <w:rsid w:val="00E435F6"/>
    <w:rsid w:val="00E43958"/>
    <w:rsid w:val="00E43A4B"/>
    <w:rsid w:val="00E43EB4"/>
    <w:rsid w:val="00E43F7A"/>
    <w:rsid w:val="00E4400C"/>
    <w:rsid w:val="00E44196"/>
    <w:rsid w:val="00E441F6"/>
    <w:rsid w:val="00E44254"/>
    <w:rsid w:val="00E44468"/>
    <w:rsid w:val="00E44DE3"/>
    <w:rsid w:val="00E45509"/>
    <w:rsid w:val="00E4555C"/>
    <w:rsid w:val="00E45586"/>
    <w:rsid w:val="00E4559C"/>
    <w:rsid w:val="00E4578B"/>
    <w:rsid w:val="00E45857"/>
    <w:rsid w:val="00E45878"/>
    <w:rsid w:val="00E45A11"/>
    <w:rsid w:val="00E460C1"/>
    <w:rsid w:val="00E4621B"/>
    <w:rsid w:val="00E462A1"/>
    <w:rsid w:val="00E462AA"/>
    <w:rsid w:val="00E46334"/>
    <w:rsid w:val="00E4674E"/>
    <w:rsid w:val="00E4698A"/>
    <w:rsid w:val="00E469CA"/>
    <w:rsid w:val="00E46A53"/>
    <w:rsid w:val="00E46E1B"/>
    <w:rsid w:val="00E46F3A"/>
    <w:rsid w:val="00E4744D"/>
    <w:rsid w:val="00E474F2"/>
    <w:rsid w:val="00E474F9"/>
    <w:rsid w:val="00E479C2"/>
    <w:rsid w:val="00E47D51"/>
    <w:rsid w:val="00E47DE6"/>
    <w:rsid w:val="00E47F5F"/>
    <w:rsid w:val="00E47FD7"/>
    <w:rsid w:val="00E500C2"/>
    <w:rsid w:val="00E5029A"/>
    <w:rsid w:val="00E5051E"/>
    <w:rsid w:val="00E50988"/>
    <w:rsid w:val="00E50BD7"/>
    <w:rsid w:val="00E50BDC"/>
    <w:rsid w:val="00E50D2A"/>
    <w:rsid w:val="00E50EB6"/>
    <w:rsid w:val="00E50F64"/>
    <w:rsid w:val="00E510BB"/>
    <w:rsid w:val="00E51112"/>
    <w:rsid w:val="00E5137F"/>
    <w:rsid w:val="00E51D87"/>
    <w:rsid w:val="00E51D9E"/>
    <w:rsid w:val="00E51EA7"/>
    <w:rsid w:val="00E5232D"/>
    <w:rsid w:val="00E529B4"/>
    <w:rsid w:val="00E52A38"/>
    <w:rsid w:val="00E52BA6"/>
    <w:rsid w:val="00E52C80"/>
    <w:rsid w:val="00E52CE0"/>
    <w:rsid w:val="00E52E30"/>
    <w:rsid w:val="00E52F6B"/>
    <w:rsid w:val="00E530B8"/>
    <w:rsid w:val="00E53110"/>
    <w:rsid w:val="00E5315D"/>
    <w:rsid w:val="00E5324D"/>
    <w:rsid w:val="00E5324F"/>
    <w:rsid w:val="00E53545"/>
    <w:rsid w:val="00E536C1"/>
    <w:rsid w:val="00E53847"/>
    <w:rsid w:val="00E53AEA"/>
    <w:rsid w:val="00E53CB6"/>
    <w:rsid w:val="00E53D5E"/>
    <w:rsid w:val="00E53E13"/>
    <w:rsid w:val="00E53E46"/>
    <w:rsid w:val="00E53F21"/>
    <w:rsid w:val="00E5426D"/>
    <w:rsid w:val="00E5430B"/>
    <w:rsid w:val="00E5430E"/>
    <w:rsid w:val="00E54414"/>
    <w:rsid w:val="00E54AAA"/>
    <w:rsid w:val="00E54DB0"/>
    <w:rsid w:val="00E54E8C"/>
    <w:rsid w:val="00E54F8D"/>
    <w:rsid w:val="00E550F4"/>
    <w:rsid w:val="00E55105"/>
    <w:rsid w:val="00E5524B"/>
    <w:rsid w:val="00E55296"/>
    <w:rsid w:val="00E553DB"/>
    <w:rsid w:val="00E55495"/>
    <w:rsid w:val="00E55558"/>
    <w:rsid w:val="00E5563A"/>
    <w:rsid w:val="00E5578E"/>
    <w:rsid w:val="00E55A37"/>
    <w:rsid w:val="00E55B09"/>
    <w:rsid w:val="00E55C5B"/>
    <w:rsid w:val="00E5612B"/>
    <w:rsid w:val="00E56473"/>
    <w:rsid w:val="00E56588"/>
    <w:rsid w:val="00E56701"/>
    <w:rsid w:val="00E56774"/>
    <w:rsid w:val="00E5688F"/>
    <w:rsid w:val="00E571E3"/>
    <w:rsid w:val="00E5731A"/>
    <w:rsid w:val="00E57523"/>
    <w:rsid w:val="00E57544"/>
    <w:rsid w:val="00E57598"/>
    <w:rsid w:val="00E5783F"/>
    <w:rsid w:val="00E57863"/>
    <w:rsid w:val="00E57898"/>
    <w:rsid w:val="00E57961"/>
    <w:rsid w:val="00E57B0C"/>
    <w:rsid w:val="00E57CFF"/>
    <w:rsid w:val="00E57F95"/>
    <w:rsid w:val="00E60193"/>
    <w:rsid w:val="00E6059D"/>
    <w:rsid w:val="00E606B9"/>
    <w:rsid w:val="00E60734"/>
    <w:rsid w:val="00E60A08"/>
    <w:rsid w:val="00E60B22"/>
    <w:rsid w:val="00E61300"/>
    <w:rsid w:val="00E614AA"/>
    <w:rsid w:val="00E61639"/>
    <w:rsid w:val="00E61F63"/>
    <w:rsid w:val="00E620F6"/>
    <w:rsid w:val="00E6219D"/>
    <w:rsid w:val="00E62560"/>
    <w:rsid w:val="00E62676"/>
    <w:rsid w:val="00E62747"/>
    <w:rsid w:val="00E62D99"/>
    <w:rsid w:val="00E631B2"/>
    <w:rsid w:val="00E63396"/>
    <w:rsid w:val="00E634E0"/>
    <w:rsid w:val="00E63598"/>
    <w:rsid w:val="00E636B8"/>
    <w:rsid w:val="00E637C8"/>
    <w:rsid w:val="00E63979"/>
    <w:rsid w:val="00E639CA"/>
    <w:rsid w:val="00E63BD9"/>
    <w:rsid w:val="00E63CE7"/>
    <w:rsid w:val="00E63DAF"/>
    <w:rsid w:val="00E63FF3"/>
    <w:rsid w:val="00E64049"/>
    <w:rsid w:val="00E64104"/>
    <w:rsid w:val="00E645D3"/>
    <w:rsid w:val="00E647AC"/>
    <w:rsid w:val="00E64AF9"/>
    <w:rsid w:val="00E64BF9"/>
    <w:rsid w:val="00E64D4D"/>
    <w:rsid w:val="00E6511D"/>
    <w:rsid w:val="00E6524E"/>
    <w:rsid w:val="00E65341"/>
    <w:rsid w:val="00E6551C"/>
    <w:rsid w:val="00E6551E"/>
    <w:rsid w:val="00E655E7"/>
    <w:rsid w:val="00E65755"/>
    <w:rsid w:val="00E65A31"/>
    <w:rsid w:val="00E65D22"/>
    <w:rsid w:val="00E65DEA"/>
    <w:rsid w:val="00E65E11"/>
    <w:rsid w:val="00E65F52"/>
    <w:rsid w:val="00E6641C"/>
    <w:rsid w:val="00E665E4"/>
    <w:rsid w:val="00E66748"/>
    <w:rsid w:val="00E667E4"/>
    <w:rsid w:val="00E668BF"/>
    <w:rsid w:val="00E668D5"/>
    <w:rsid w:val="00E66B3E"/>
    <w:rsid w:val="00E66E44"/>
    <w:rsid w:val="00E66FAC"/>
    <w:rsid w:val="00E67033"/>
    <w:rsid w:val="00E67471"/>
    <w:rsid w:val="00E675E2"/>
    <w:rsid w:val="00E6761A"/>
    <w:rsid w:val="00E676E0"/>
    <w:rsid w:val="00E677AD"/>
    <w:rsid w:val="00E6784E"/>
    <w:rsid w:val="00E67857"/>
    <w:rsid w:val="00E67A98"/>
    <w:rsid w:val="00E67AF0"/>
    <w:rsid w:val="00E67C11"/>
    <w:rsid w:val="00E67C61"/>
    <w:rsid w:val="00E67E98"/>
    <w:rsid w:val="00E67F34"/>
    <w:rsid w:val="00E7018E"/>
    <w:rsid w:val="00E701C8"/>
    <w:rsid w:val="00E70207"/>
    <w:rsid w:val="00E7025E"/>
    <w:rsid w:val="00E703C3"/>
    <w:rsid w:val="00E7066D"/>
    <w:rsid w:val="00E70A76"/>
    <w:rsid w:val="00E70C97"/>
    <w:rsid w:val="00E70F3B"/>
    <w:rsid w:val="00E70F9F"/>
    <w:rsid w:val="00E71044"/>
    <w:rsid w:val="00E71135"/>
    <w:rsid w:val="00E71217"/>
    <w:rsid w:val="00E7122B"/>
    <w:rsid w:val="00E71317"/>
    <w:rsid w:val="00E713DE"/>
    <w:rsid w:val="00E714C9"/>
    <w:rsid w:val="00E7180A"/>
    <w:rsid w:val="00E7184C"/>
    <w:rsid w:val="00E71A15"/>
    <w:rsid w:val="00E71A71"/>
    <w:rsid w:val="00E72059"/>
    <w:rsid w:val="00E72204"/>
    <w:rsid w:val="00E7246E"/>
    <w:rsid w:val="00E724CB"/>
    <w:rsid w:val="00E72535"/>
    <w:rsid w:val="00E7255F"/>
    <w:rsid w:val="00E72815"/>
    <w:rsid w:val="00E7299B"/>
    <w:rsid w:val="00E7299E"/>
    <w:rsid w:val="00E7310E"/>
    <w:rsid w:val="00E734F3"/>
    <w:rsid w:val="00E7363B"/>
    <w:rsid w:val="00E7382B"/>
    <w:rsid w:val="00E738EA"/>
    <w:rsid w:val="00E73A4E"/>
    <w:rsid w:val="00E73CFC"/>
    <w:rsid w:val="00E73D97"/>
    <w:rsid w:val="00E73EA6"/>
    <w:rsid w:val="00E74120"/>
    <w:rsid w:val="00E742B2"/>
    <w:rsid w:val="00E74413"/>
    <w:rsid w:val="00E744D0"/>
    <w:rsid w:val="00E74638"/>
    <w:rsid w:val="00E74651"/>
    <w:rsid w:val="00E748D9"/>
    <w:rsid w:val="00E74AC9"/>
    <w:rsid w:val="00E74D1D"/>
    <w:rsid w:val="00E74D3D"/>
    <w:rsid w:val="00E74E3B"/>
    <w:rsid w:val="00E74E6F"/>
    <w:rsid w:val="00E7553A"/>
    <w:rsid w:val="00E756D1"/>
    <w:rsid w:val="00E75941"/>
    <w:rsid w:val="00E75B0B"/>
    <w:rsid w:val="00E75B95"/>
    <w:rsid w:val="00E7611A"/>
    <w:rsid w:val="00E76A75"/>
    <w:rsid w:val="00E76C1B"/>
    <w:rsid w:val="00E76C25"/>
    <w:rsid w:val="00E76E37"/>
    <w:rsid w:val="00E76F33"/>
    <w:rsid w:val="00E77182"/>
    <w:rsid w:val="00E771C1"/>
    <w:rsid w:val="00E77398"/>
    <w:rsid w:val="00E77447"/>
    <w:rsid w:val="00E774F5"/>
    <w:rsid w:val="00E776DD"/>
    <w:rsid w:val="00E776F0"/>
    <w:rsid w:val="00E77932"/>
    <w:rsid w:val="00E77A70"/>
    <w:rsid w:val="00E77D09"/>
    <w:rsid w:val="00E77E28"/>
    <w:rsid w:val="00E80182"/>
    <w:rsid w:val="00E80280"/>
    <w:rsid w:val="00E80514"/>
    <w:rsid w:val="00E807F2"/>
    <w:rsid w:val="00E80C40"/>
    <w:rsid w:val="00E80D88"/>
    <w:rsid w:val="00E814B3"/>
    <w:rsid w:val="00E816DC"/>
    <w:rsid w:val="00E81778"/>
    <w:rsid w:val="00E818D3"/>
    <w:rsid w:val="00E8191C"/>
    <w:rsid w:val="00E81ABC"/>
    <w:rsid w:val="00E81D2D"/>
    <w:rsid w:val="00E8231C"/>
    <w:rsid w:val="00E82399"/>
    <w:rsid w:val="00E827DA"/>
    <w:rsid w:val="00E82B6C"/>
    <w:rsid w:val="00E82F44"/>
    <w:rsid w:val="00E8336E"/>
    <w:rsid w:val="00E83418"/>
    <w:rsid w:val="00E8347A"/>
    <w:rsid w:val="00E83556"/>
    <w:rsid w:val="00E835B1"/>
    <w:rsid w:val="00E83641"/>
    <w:rsid w:val="00E83DF4"/>
    <w:rsid w:val="00E83ECD"/>
    <w:rsid w:val="00E84022"/>
    <w:rsid w:val="00E84213"/>
    <w:rsid w:val="00E843A0"/>
    <w:rsid w:val="00E84A44"/>
    <w:rsid w:val="00E84A65"/>
    <w:rsid w:val="00E84A92"/>
    <w:rsid w:val="00E84AC0"/>
    <w:rsid w:val="00E84CE3"/>
    <w:rsid w:val="00E85324"/>
    <w:rsid w:val="00E8541C"/>
    <w:rsid w:val="00E85ED4"/>
    <w:rsid w:val="00E85F63"/>
    <w:rsid w:val="00E8627B"/>
    <w:rsid w:val="00E8641D"/>
    <w:rsid w:val="00E86714"/>
    <w:rsid w:val="00E867C5"/>
    <w:rsid w:val="00E868B0"/>
    <w:rsid w:val="00E869AA"/>
    <w:rsid w:val="00E86DBA"/>
    <w:rsid w:val="00E86F6F"/>
    <w:rsid w:val="00E87179"/>
    <w:rsid w:val="00E87333"/>
    <w:rsid w:val="00E87595"/>
    <w:rsid w:val="00E87938"/>
    <w:rsid w:val="00E8797D"/>
    <w:rsid w:val="00E87B2D"/>
    <w:rsid w:val="00E87B81"/>
    <w:rsid w:val="00E87D87"/>
    <w:rsid w:val="00E87EFC"/>
    <w:rsid w:val="00E87F51"/>
    <w:rsid w:val="00E90000"/>
    <w:rsid w:val="00E90029"/>
    <w:rsid w:val="00E901CA"/>
    <w:rsid w:val="00E90404"/>
    <w:rsid w:val="00E9068E"/>
    <w:rsid w:val="00E90A16"/>
    <w:rsid w:val="00E90BDB"/>
    <w:rsid w:val="00E90CC1"/>
    <w:rsid w:val="00E91368"/>
    <w:rsid w:val="00E9136C"/>
    <w:rsid w:val="00E91567"/>
    <w:rsid w:val="00E9192B"/>
    <w:rsid w:val="00E91965"/>
    <w:rsid w:val="00E91C86"/>
    <w:rsid w:val="00E91FF8"/>
    <w:rsid w:val="00E92077"/>
    <w:rsid w:val="00E922BE"/>
    <w:rsid w:val="00E92309"/>
    <w:rsid w:val="00E923C3"/>
    <w:rsid w:val="00E923F8"/>
    <w:rsid w:val="00E92961"/>
    <w:rsid w:val="00E929DD"/>
    <w:rsid w:val="00E92AFB"/>
    <w:rsid w:val="00E92B6A"/>
    <w:rsid w:val="00E92D4D"/>
    <w:rsid w:val="00E9315D"/>
    <w:rsid w:val="00E934CF"/>
    <w:rsid w:val="00E938B2"/>
    <w:rsid w:val="00E938CC"/>
    <w:rsid w:val="00E9390D"/>
    <w:rsid w:val="00E93E41"/>
    <w:rsid w:val="00E93FB6"/>
    <w:rsid w:val="00E93FF5"/>
    <w:rsid w:val="00E940AA"/>
    <w:rsid w:val="00E942DE"/>
    <w:rsid w:val="00E94386"/>
    <w:rsid w:val="00E9475F"/>
    <w:rsid w:val="00E94770"/>
    <w:rsid w:val="00E9483C"/>
    <w:rsid w:val="00E94A05"/>
    <w:rsid w:val="00E94AEA"/>
    <w:rsid w:val="00E94E9A"/>
    <w:rsid w:val="00E94EF0"/>
    <w:rsid w:val="00E95139"/>
    <w:rsid w:val="00E9562B"/>
    <w:rsid w:val="00E9582F"/>
    <w:rsid w:val="00E958A4"/>
    <w:rsid w:val="00E95A27"/>
    <w:rsid w:val="00E95AB4"/>
    <w:rsid w:val="00E95F08"/>
    <w:rsid w:val="00E95FB2"/>
    <w:rsid w:val="00E960CB"/>
    <w:rsid w:val="00E96207"/>
    <w:rsid w:val="00E9645A"/>
    <w:rsid w:val="00E964D1"/>
    <w:rsid w:val="00E96539"/>
    <w:rsid w:val="00E96623"/>
    <w:rsid w:val="00E96C9C"/>
    <w:rsid w:val="00E96E77"/>
    <w:rsid w:val="00E96F56"/>
    <w:rsid w:val="00E96FF0"/>
    <w:rsid w:val="00E971AA"/>
    <w:rsid w:val="00E971AE"/>
    <w:rsid w:val="00E9730A"/>
    <w:rsid w:val="00E9736A"/>
    <w:rsid w:val="00E9755C"/>
    <w:rsid w:val="00E97943"/>
    <w:rsid w:val="00E97CFB"/>
    <w:rsid w:val="00E97F65"/>
    <w:rsid w:val="00EA0036"/>
    <w:rsid w:val="00EA0117"/>
    <w:rsid w:val="00EA0159"/>
    <w:rsid w:val="00EA019E"/>
    <w:rsid w:val="00EA01AA"/>
    <w:rsid w:val="00EA0333"/>
    <w:rsid w:val="00EA036F"/>
    <w:rsid w:val="00EA0403"/>
    <w:rsid w:val="00EA0726"/>
    <w:rsid w:val="00EA0A4D"/>
    <w:rsid w:val="00EA0B04"/>
    <w:rsid w:val="00EA0B68"/>
    <w:rsid w:val="00EA0E88"/>
    <w:rsid w:val="00EA0F5A"/>
    <w:rsid w:val="00EA1916"/>
    <w:rsid w:val="00EA1BF6"/>
    <w:rsid w:val="00EA1C77"/>
    <w:rsid w:val="00EA1D25"/>
    <w:rsid w:val="00EA208A"/>
    <w:rsid w:val="00EA2137"/>
    <w:rsid w:val="00EA2494"/>
    <w:rsid w:val="00EA2511"/>
    <w:rsid w:val="00EA2693"/>
    <w:rsid w:val="00EA27DC"/>
    <w:rsid w:val="00EA293F"/>
    <w:rsid w:val="00EA2A9F"/>
    <w:rsid w:val="00EA2C33"/>
    <w:rsid w:val="00EA2F30"/>
    <w:rsid w:val="00EA304C"/>
    <w:rsid w:val="00EA33CA"/>
    <w:rsid w:val="00EA357D"/>
    <w:rsid w:val="00EA372A"/>
    <w:rsid w:val="00EA3CB2"/>
    <w:rsid w:val="00EA3F1F"/>
    <w:rsid w:val="00EA414E"/>
    <w:rsid w:val="00EA419D"/>
    <w:rsid w:val="00EA44C5"/>
    <w:rsid w:val="00EA450D"/>
    <w:rsid w:val="00EA461A"/>
    <w:rsid w:val="00EA486F"/>
    <w:rsid w:val="00EA49D9"/>
    <w:rsid w:val="00EA4BE6"/>
    <w:rsid w:val="00EA4D27"/>
    <w:rsid w:val="00EA4E7D"/>
    <w:rsid w:val="00EA4ECB"/>
    <w:rsid w:val="00EA4F38"/>
    <w:rsid w:val="00EA5060"/>
    <w:rsid w:val="00EA5418"/>
    <w:rsid w:val="00EA5478"/>
    <w:rsid w:val="00EA58E3"/>
    <w:rsid w:val="00EA5C1C"/>
    <w:rsid w:val="00EA5C73"/>
    <w:rsid w:val="00EA5D40"/>
    <w:rsid w:val="00EA5E44"/>
    <w:rsid w:val="00EA62E0"/>
    <w:rsid w:val="00EA6845"/>
    <w:rsid w:val="00EA6DD3"/>
    <w:rsid w:val="00EA6F1F"/>
    <w:rsid w:val="00EA7268"/>
    <w:rsid w:val="00EA72E1"/>
    <w:rsid w:val="00EA7D3F"/>
    <w:rsid w:val="00EB03A7"/>
    <w:rsid w:val="00EB04C6"/>
    <w:rsid w:val="00EB0507"/>
    <w:rsid w:val="00EB0703"/>
    <w:rsid w:val="00EB08E2"/>
    <w:rsid w:val="00EB0EA4"/>
    <w:rsid w:val="00EB0EF3"/>
    <w:rsid w:val="00EB0F57"/>
    <w:rsid w:val="00EB0F8E"/>
    <w:rsid w:val="00EB10D2"/>
    <w:rsid w:val="00EB1525"/>
    <w:rsid w:val="00EB156E"/>
    <w:rsid w:val="00EB16B9"/>
    <w:rsid w:val="00EB180D"/>
    <w:rsid w:val="00EB1EE3"/>
    <w:rsid w:val="00EB21F1"/>
    <w:rsid w:val="00EB281E"/>
    <w:rsid w:val="00EB2B9E"/>
    <w:rsid w:val="00EB2C01"/>
    <w:rsid w:val="00EB2C3B"/>
    <w:rsid w:val="00EB2E41"/>
    <w:rsid w:val="00EB2E85"/>
    <w:rsid w:val="00EB310D"/>
    <w:rsid w:val="00EB324B"/>
    <w:rsid w:val="00EB3368"/>
    <w:rsid w:val="00EB33F1"/>
    <w:rsid w:val="00EB347E"/>
    <w:rsid w:val="00EB37D7"/>
    <w:rsid w:val="00EB3922"/>
    <w:rsid w:val="00EB3A13"/>
    <w:rsid w:val="00EB3F56"/>
    <w:rsid w:val="00EB40C8"/>
    <w:rsid w:val="00EB40E2"/>
    <w:rsid w:val="00EB4410"/>
    <w:rsid w:val="00EB4588"/>
    <w:rsid w:val="00EB468B"/>
    <w:rsid w:val="00EB47D9"/>
    <w:rsid w:val="00EB4B73"/>
    <w:rsid w:val="00EB4D40"/>
    <w:rsid w:val="00EB4EB6"/>
    <w:rsid w:val="00EB5099"/>
    <w:rsid w:val="00EB50B6"/>
    <w:rsid w:val="00EB5154"/>
    <w:rsid w:val="00EB54BD"/>
    <w:rsid w:val="00EB551A"/>
    <w:rsid w:val="00EB5AA6"/>
    <w:rsid w:val="00EB5ABF"/>
    <w:rsid w:val="00EB5C31"/>
    <w:rsid w:val="00EB5C93"/>
    <w:rsid w:val="00EB60D9"/>
    <w:rsid w:val="00EB61E5"/>
    <w:rsid w:val="00EB6313"/>
    <w:rsid w:val="00EB63FF"/>
    <w:rsid w:val="00EB6494"/>
    <w:rsid w:val="00EB64D4"/>
    <w:rsid w:val="00EB65C3"/>
    <w:rsid w:val="00EB6891"/>
    <w:rsid w:val="00EB6BB0"/>
    <w:rsid w:val="00EB6BE7"/>
    <w:rsid w:val="00EB6DB2"/>
    <w:rsid w:val="00EB6EEA"/>
    <w:rsid w:val="00EB7129"/>
    <w:rsid w:val="00EB730F"/>
    <w:rsid w:val="00EB73E8"/>
    <w:rsid w:val="00EB742A"/>
    <w:rsid w:val="00EB75A8"/>
    <w:rsid w:val="00EB75EA"/>
    <w:rsid w:val="00EB7CC6"/>
    <w:rsid w:val="00EB7D52"/>
    <w:rsid w:val="00EB7F80"/>
    <w:rsid w:val="00EC03B1"/>
    <w:rsid w:val="00EC03D3"/>
    <w:rsid w:val="00EC078C"/>
    <w:rsid w:val="00EC0B9C"/>
    <w:rsid w:val="00EC0C63"/>
    <w:rsid w:val="00EC0D09"/>
    <w:rsid w:val="00EC0E9E"/>
    <w:rsid w:val="00EC135F"/>
    <w:rsid w:val="00EC143C"/>
    <w:rsid w:val="00EC1834"/>
    <w:rsid w:val="00EC187E"/>
    <w:rsid w:val="00EC1DB7"/>
    <w:rsid w:val="00EC20A1"/>
    <w:rsid w:val="00EC218E"/>
    <w:rsid w:val="00EC2450"/>
    <w:rsid w:val="00EC2683"/>
    <w:rsid w:val="00EC26EA"/>
    <w:rsid w:val="00EC2729"/>
    <w:rsid w:val="00EC2AC7"/>
    <w:rsid w:val="00EC2AC8"/>
    <w:rsid w:val="00EC2B2F"/>
    <w:rsid w:val="00EC2C63"/>
    <w:rsid w:val="00EC2E0E"/>
    <w:rsid w:val="00EC316F"/>
    <w:rsid w:val="00EC3484"/>
    <w:rsid w:val="00EC3528"/>
    <w:rsid w:val="00EC355A"/>
    <w:rsid w:val="00EC3565"/>
    <w:rsid w:val="00EC3793"/>
    <w:rsid w:val="00EC38CF"/>
    <w:rsid w:val="00EC3ACE"/>
    <w:rsid w:val="00EC3B80"/>
    <w:rsid w:val="00EC3BF8"/>
    <w:rsid w:val="00EC3CEE"/>
    <w:rsid w:val="00EC3FB6"/>
    <w:rsid w:val="00EC4463"/>
    <w:rsid w:val="00EC44D8"/>
    <w:rsid w:val="00EC4575"/>
    <w:rsid w:val="00EC466B"/>
    <w:rsid w:val="00EC48B6"/>
    <w:rsid w:val="00EC4964"/>
    <w:rsid w:val="00EC4A2C"/>
    <w:rsid w:val="00EC4C4F"/>
    <w:rsid w:val="00EC4C6D"/>
    <w:rsid w:val="00EC5434"/>
    <w:rsid w:val="00EC54CD"/>
    <w:rsid w:val="00EC5685"/>
    <w:rsid w:val="00EC592B"/>
    <w:rsid w:val="00EC5995"/>
    <w:rsid w:val="00EC5A58"/>
    <w:rsid w:val="00EC5FD1"/>
    <w:rsid w:val="00EC6010"/>
    <w:rsid w:val="00EC6297"/>
    <w:rsid w:val="00EC6361"/>
    <w:rsid w:val="00EC639E"/>
    <w:rsid w:val="00EC6685"/>
    <w:rsid w:val="00EC6A97"/>
    <w:rsid w:val="00EC6AA0"/>
    <w:rsid w:val="00EC6B88"/>
    <w:rsid w:val="00EC6B9D"/>
    <w:rsid w:val="00EC6CDF"/>
    <w:rsid w:val="00EC6D91"/>
    <w:rsid w:val="00EC6E33"/>
    <w:rsid w:val="00EC6EEE"/>
    <w:rsid w:val="00EC729D"/>
    <w:rsid w:val="00EC751F"/>
    <w:rsid w:val="00EC75D7"/>
    <w:rsid w:val="00EC764C"/>
    <w:rsid w:val="00EC7658"/>
    <w:rsid w:val="00EC781D"/>
    <w:rsid w:val="00EC788F"/>
    <w:rsid w:val="00EC7A42"/>
    <w:rsid w:val="00EC7AF6"/>
    <w:rsid w:val="00EC7B3E"/>
    <w:rsid w:val="00EC7B97"/>
    <w:rsid w:val="00EC7BFD"/>
    <w:rsid w:val="00EC7EA8"/>
    <w:rsid w:val="00ED0057"/>
    <w:rsid w:val="00ED00DC"/>
    <w:rsid w:val="00ED012E"/>
    <w:rsid w:val="00ED02B4"/>
    <w:rsid w:val="00ED0543"/>
    <w:rsid w:val="00ED05C0"/>
    <w:rsid w:val="00ED06C3"/>
    <w:rsid w:val="00ED0700"/>
    <w:rsid w:val="00ED0895"/>
    <w:rsid w:val="00ED09E1"/>
    <w:rsid w:val="00ED0CB9"/>
    <w:rsid w:val="00ED0EE5"/>
    <w:rsid w:val="00ED11C5"/>
    <w:rsid w:val="00ED1246"/>
    <w:rsid w:val="00ED127A"/>
    <w:rsid w:val="00ED128C"/>
    <w:rsid w:val="00ED12D4"/>
    <w:rsid w:val="00ED133F"/>
    <w:rsid w:val="00ED1387"/>
    <w:rsid w:val="00ED1637"/>
    <w:rsid w:val="00ED19E1"/>
    <w:rsid w:val="00ED1AFB"/>
    <w:rsid w:val="00ED1C94"/>
    <w:rsid w:val="00ED1E8B"/>
    <w:rsid w:val="00ED1ED8"/>
    <w:rsid w:val="00ED1FBF"/>
    <w:rsid w:val="00ED2318"/>
    <w:rsid w:val="00ED2469"/>
    <w:rsid w:val="00ED26BA"/>
    <w:rsid w:val="00ED2749"/>
    <w:rsid w:val="00ED27BD"/>
    <w:rsid w:val="00ED296E"/>
    <w:rsid w:val="00ED2A0C"/>
    <w:rsid w:val="00ED2A21"/>
    <w:rsid w:val="00ED2CF3"/>
    <w:rsid w:val="00ED2EEE"/>
    <w:rsid w:val="00ED2FE9"/>
    <w:rsid w:val="00ED33BC"/>
    <w:rsid w:val="00ED347E"/>
    <w:rsid w:val="00ED37D4"/>
    <w:rsid w:val="00ED380D"/>
    <w:rsid w:val="00ED3965"/>
    <w:rsid w:val="00ED3CAF"/>
    <w:rsid w:val="00ED3CB0"/>
    <w:rsid w:val="00ED3DFE"/>
    <w:rsid w:val="00ED3E31"/>
    <w:rsid w:val="00ED3F49"/>
    <w:rsid w:val="00ED41BE"/>
    <w:rsid w:val="00ED4238"/>
    <w:rsid w:val="00ED4649"/>
    <w:rsid w:val="00ED48E5"/>
    <w:rsid w:val="00ED4A28"/>
    <w:rsid w:val="00ED4DDF"/>
    <w:rsid w:val="00ED4ED0"/>
    <w:rsid w:val="00ED4FB3"/>
    <w:rsid w:val="00ED54F9"/>
    <w:rsid w:val="00ED5508"/>
    <w:rsid w:val="00ED5554"/>
    <w:rsid w:val="00ED55AD"/>
    <w:rsid w:val="00ED5650"/>
    <w:rsid w:val="00ED56DA"/>
    <w:rsid w:val="00ED57AC"/>
    <w:rsid w:val="00ED5A8C"/>
    <w:rsid w:val="00ED5F5F"/>
    <w:rsid w:val="00ED5F86"/>
    <w:rsid w:val="00ED5F8D"/>
    <w:rsid w:val="00ED60C0"/>
    <w:rsid w:val="00ED6160"/>
    <w:rsid w:val="00ED61D3"/>
    <w:rsid w:val="00ED61F2"/>
    <w:rsid w:val="00ED6247"/>
    <w:rsid w:val="00ED65E3"/>
    <w:rsid w:val="00ED672C"/>
    <w:rsid w:val="00ED690B"/>
    <w:rsid w:val="00ED6BA3"/>
    <w:rsid w:val="00ED6C25"/>
    <w:rsid w:val="00ED7085"/>
    <w:rsid w:val="00ED71C6"/>
    <w:rsid w:val="00ED72FC"/>
    <w:rsid w:val="00ED7332"/>
    <w:rsid w:val="00ED742D"/>
    <w:rsid w:val="00ED74DD"/>
    <w:rsid w:val="00ED7891"/>
    <w:rsid w:val="00ED78A8"/>
    <w:rsid w:val="00ED7C10"/>
    <w:rsid w:val="00EE0132"/>
    <w:rsid w:val="00EE01BC"/>
    <w:rsid w:val="00EE0343"/>
    <w:rsid w:val="00EE039D"/>
    <w:rsid w:val="00EE05D3"/>
    <w:rsid w:val="00EE06CB"/>
    <w:rsid w:val="00EE0799"/>
    <w:rsid w:val="00EE0CB9"/>
    <w:rsid w:val="00EE10A6"/>
    <w:rsid w:val="00EE116B"/>
    <w:rsid w:val="00EE1229"/>
    <w:rsid w:val="00EE12C1"/>
    <w:rsid w:val="00EE12DA"/>
    <w:rsid w:val="00EE1676"/>
    <w:rsid w:val="00EE1875"/>
    <w:rsid w:val="00EE1A88"/>
    <w:rsid w:val="00EE1BDD"/>
    <w:rsid w:val="00EE1F50"/>
    <w:rsid w:val="00EE1F54"/>
    <w:rsid w:val="00EE24DA"/>
    <w:rsid w:val="00EE266E"/>
    <w:rsid w:val="00EE28E5"/>
    <w:rsid w:val="00EE2930"/>
    <w:rsid w:val="00EE2937"/>
    <w:rsid w:val="00EE2A7D"/>
    <w:rsid w:val="00EE2ABD"/>
    <w:rsid w:val="00EE342E"/>
    <w:rsid w:val="00EE35DC"/>
    <w:rsid w:val="00EE375A"/>
    <w:rsid w:val="00EE3939"/>
    <w:rsid w:val="00EE3ADC"/>
    <w:rsid w:val="00EE3BFB"/>
    <w:rsid w:val="00EE3DF3"/>
    <w:rsid w:val="00EE4683"/>
    <w:rsid w:val="00EE469E"/>
    <w:rsid w:val="00EE46D1"/>
    <w:rsid w:val="00EE46E6"/>
    <w:rsid w:val="00EE47E6"/>
    <w:rsid w:val="00EE4B52"/>
    <w:rsid w:val="00EE4DE7"/>
    <w:rsid w:val="00EE4E80"/>
    <w:rsid w:val="00EE517B"/>
    <w:rsid w:val="00EE5237"/>
    <w:rsid w:val="00EE528D"/>
    <w:rsid w:val="00EE5836"/>
    <w:rsid w:val="00EE58B5"/>
    <w:rsid w:val="00EE59FD"/>
    <w:rsid w:val="00EE5A09"/>
    <w:rsid w:val="00EE5AC1"/>
    <w:rsid w:val="00EE5B62"/>
    <w:rsid w:val="00EE5C2E"/>
    <w:rsid w:val="00EE5C9D"/>
    <w:rsid w:val="00EE5F59"/>
    <w:rsid w:val="00EE6063"/>
    <w:rsid w:val="00EE617C"/>
    <w:rsid w:val="00EE6378"/>
    <w:rsid w:val="00EE67FA"/>
    <w:rsid w:val="00EE681F"/>
    <w:rsid w:val="00EE6ED9"/>
    <w:rsid w:val="00EE7456"/>
    <w:rsid w:val="00EE7657"/>
    <w:rsid w:val="00EE7ED4"/>
    <w:rsid w:val="00EF0316"/>
    <w:rsid w:val="00EF0488"/>
    <w:rsid w:val="00EF06DD"/>
    <w:rsid w:val="00EF092D"/>
    <w:rsid w:val="00EF0A20"/>
    <w:rsid w:val="00EF0AF4"/>
    <w:rsid w:val="00EF0BD3"/>
    <w:rsid w:val="00EF0D88"/>
    <w:rsid w:val="00EF0DD9"/>
    <w:rsid w:val="00EF0E83"/>
    <w:rsid w:val="00EF0F27"/>
    <w:rsid w:val="00EF1519"/>
    <w:rsid w:val="00EF1570"/>
    <w:rsid w:val="00EF168E"/>
    <w:rsid w:val="00EF1841"/>
    <w:rsid w:val="00EF1996"/>
    <w:rsid w:val="00EF1C58"/>
    <w:rsid w:val="00EF1DFE"/>
    <w:rsid w:val="00EF1F0C"/>
    <w:rsid w:val="00EF1F32"/>
    <w:rsid w:val="00EF2283"/>
    <w:rsid w:val="00EF23AE"/>
    <w:rsid w:val="00EF2527"/>
    <w:rsid w:val="00EF2529"/>
    <w:rsid w:val="00EF26F6"/>
    <w:rsid w:val="00EF2853"/>
    <w:rsid w:val="00EF2A28"/>
    <w:rsid w:val="00EF2D28"/>
    <w:rsid w:val="00EF2E45"/>
    <w:rsid w:val="00EF313B"/>
    <w:rsid w:val="00EF321B"/>
    <w:rsid w:val="00EF3518"/>
    <w:rsid w:val="00EF352A"/>
    <w:rsid w:val="00EF358B"/>
    <w:rsid w:val="00EF36D7"/>
    <w:rsid w:val="00EF36DD"/>
    <w:rsid w:val="00EF3841"/>
    <w:rsid w:val="00EF393E"/>
    <w:rsid w:val="00EF3B53"/>
    <w:rsid w:val="00EF3C91"/>
    <w:rsid w:val="00EF3E51"/>
    <w:rsid w:val="00EF40A8"/>
    <w:rsid w:val="00EF4235"/>
    <w:rsid w:val="00EF42A8"/>
    <w:rsid w:val="00EF45BE"/>
    <w:rsid w:val="00EF469E"/>
    <w:rsid w:val="00EF477A"/>
    <w:rsid w:val="00EF4878"/>
    <w:rsid w:val="00EF4B0F"/>
    <w:rsid w:val="00EF4C1C"/>
    <w:rsid w:val="00EF4C29"/>
    <w:rsid w:val="00EF524D"/>
    <w:rsid w:val="00EF5A87"/>
    <w:rsid w:val="00EF5ABC"/>
    <w:rsid w:val="00EF6090"/>
    <w:rsid w:val="00EF609B"/>
    <w:rsid w:val="00EF60BB"/>
    <w:rsid w:val="00EF6128"/>
    <w:rsid w:val="00EF632C"/>
    <w:rsid w:val="00EF63A0"/>
    <w:rsid w:val="00EF68FB"/>
    <w:rsid w:val="00EF6A1A"/>
    <w:rsid w:val="00EF6A70"/>
    <w:rsid w:val="00EF6A85"/>
    <w:rsid w:val="00EF6CFA"/>
    <w:rsid w:val="00EF6DA8"/>
    <w:rsid w:val="00EF7007"/>
    <w:rsid w:val="00EF71D7"/>
    <w:rsid w:val="00EF772D"/>
    <w:rsid w:val="00EF77EC"/>
    <w:rsid w:val="00EF7D9B"/>
    <w:rsid w:val="00F00128"/>
    <w:rsid w:val="00F0044B"/>
    <w:rsid w:val="00F0077D"/>
    <w:rsid w:val="00F008A1"/>
    <w:rsid w:val="00F009F4"/>
    <w:rsid w:val="00F00D65"/>
    <w:rsid w:val="00F00E3A"/>
    <w:rsid w:val="00F00FD3"/>
    <w:rsid w:val="00F01043"/>
    <w:rsid w:val="00F013BB"/>
    <w:rsid w:val="00F01A49"/>
    <w:rsid w:val="00F01CB1"/>
    <w:rsid w:val="00F01E12"/>
    <w:rsid w:val="00F01E99"/>
    <w:rsid w:val="00F02250"/>
    <w:rsid w:val="00F02399"/>
    <w:rsid w:val="00F02435"/>
    <w:rsid w:val="00F0258B"/>
    <w:rsid w:val="00F02698"/>
    <w:rsid w:val="00F027D4"/>
    <w:rsid w:val="00F028E6"/>
    <w:rsid w:val="00F029D1"/>
    <w:rsid w:val="00F02AA0"/>
    <w:rsid w:val="00F02B21"/>
    <w:rsid w:val="00F02DB0"/>
    <w:rsid w:val="00F02E29"/>
    <w:rsid w:val="00F0317C"/>
    <w:rsid w:val="00F031DC"/>
    <w:rsid w:val="00F038EF"/>
    <w:rsid w:val="00F03966"/>
    <w:rsid w:val="00F03DE2"/>
    <w:rsid w:val="00F03F1B"/>
    <w:rsid w:val="00F03F58"/>
    <w:rsid w:val="00F0476E"/>
    <w:rsid w:val="00F04B5E"/>
    <w:rsid w:val="00F04C00"/>
    <w:rsid w:val="00F04C1C"/>
    <w:rsid w:val="00F04C51"/>
    <w:rsid w:val="00F04FF5"/>
    <w:rsid w:val="00F0505A"/>
    <w:rsid w:val="00F05171"/>
    <w:rsid w:val="00F05351"/>
    <w:rsid w:val="00F0553E"/>
    <w:rsid w:val="00F0556E"/>
    <w:rsid w:val="00F057BB"/>
    <w:rsid w:val="00F05947"/>
    <w:rsid w:val="00F05C21"/>
    <w:rsid w:val="00F05FD6"/>
    <w:rsid w:val="00F05FE1"/>
    <w:rsid w:val="00F065A4"/>
    <w:rsid w:val="00F0662B"/>
    <w:rsid w:val="00F06685"/>
    <w:rsid w:val="00F069CE"/>
    <w:rsid w:val="00F06D03"/>
    <w:rsid w:val="00F071C1"/>
    <w:rsid w:val="00F0746F"/>
    <w:rsid w:val="00F075D3"/>
    <w:rsid w:val="00F07627"/>
    <w:rsid w:val="00F07661"/>
    <w:rsid w:val="00F079E2"/>
    <w:rsid w:val="00F07A73"/>
    <w:rsid w:val="00F07A9F"/>
    <w:rsid w:val="00F07B10"/>
    <w:rsid w:val="00F07E13"/>
    <w:rsid w:val="00F07FC4"/>
    <w:rsid w:val="00F10010"/>
    <w:rsid w:val="00F10124"/>
    <w:rsid w:val="00F10141"/>
    <w:rsid w:val="00F10204"/>
    <w:rsid w:val="00F103D5"/>
    <w:rsid w:val="00F10461"/>
    <w:rsid w:val="00F106CB"/>
    <w:rsid w:val="00F1070B"/>
    <w:rsid w:val="00F10931"/>
    <w:rsid w:val="00F10A0D"/>
    <w:rsid w:val="00F10AD9"/>
    <w:rsid w:val="00F11170"/>
    <w:rsid w:val="00F1137B"/>
    <w:rsid w:val="00F11588"/>
    <w:rsid w:val="00F1177D"/>
    <w:rsid w:val="00F118C5"/>
    <w:rsid w:val="00F11A93"/>
    <w:rsid w:val="00F11C94"/>
    <w:rsid w:val="00F120E9"/>
    <w:rsid w:val="00F12100"/>
    <w:rsid w:val="00F12535"/>
    <w:rsid w:val="00F125EE"/>
    <w:rsid w:val="00F127F0"/>
    <w:rsid w:val="00F1296B"/>
    <w:rsid w:val="00F129AB"/>
    <w:rsid w:val="00F12A24"/>
    <w:rsid w:val="00F12A25"/>
    <w:rsid w:val="00F132C8"/>
    <w:rsid w:val="00F13452"/>
    <w:rsid w:val="00F1377A"/>
    <w:rsid w:val="00F137DC"/>
    <w:rsid w:val="00F13A62"/>
    <w:rsid w:val="00F13C5F"/>
    <w:rsid w:val="00F13CA0"/>
    <w:rsid w:val="00F13DBB"/>
    <w:rsid w:val="00F1426E"/>
    <w:rsid w:val="00F14319"/>
    <w:rsid w:val="00F143CF"/>
    <w:rsid w:val="00F145AB"/>
    <w:rsid w:val="00F14603"/>
    <w:rsid w:val="00F14771"/>
    <w:rsid w:val="00F1497F"/>
    <w:rsid w:val="00F14AA5"/>
    <w:rsid w:val="00F14D78"/>
    <w:rsid w:val="00F14ED2"/>
    <w:rsid w:val="00F15EF5"/>
    <w:rsid w:val="00F160F9"/>
    <w:rsid w:val="00F1612B"/>
    <w:rsid w:val="00F161E0"/>
    <w:rsid w:val="00F1626B"/>
    <w:rsid w:val="00F16675"/>
    <w:rsid w:val="00F16AFC"/>
    <w:rsid w:val="00F16CB1"/>
    <w:rsid w:val="00F16E12"/>
    <w:rsid w:val="00F171A0"/>
    <w:rsid w:val="00F1725B"/>
    <w:rsid w:val="00F1730D"/>
    <w:rsid w:val="00F17580"/>
    <w:rsid w:val="00F175FB"/>
    <w:rsid w:val="00F17EF3"/>
    <w:rsid w:val="00F200A3"/>
    <w:rsid w:val="00F20436"/>
    <w:rsid w:val="00F2071C"/>
    <w:rsid w:val="00F208A7"/>
    <w:rsid w:val="00F208D7"/>
    <w:rsid w:val="00F20B3E"/>
    <w:rsid w:val="00F2111F"/>
    <w:rsid w:val="00F21160"/>
    <w:rsid w:val="00F21905"/>
    <w:rsid w:val="00F21A7D"/>
    <w:rsid w:val="00F21CB4"/>
    <w:rsid w:val="00F21CCC"/>
    <w:rsid w:val="00F21D8E"/>
    <w:rsid w:val="00F21E91"/>
    <w:rsid w:val="00F21EE1"/>
    <w:rsid w:val="00F21F71"/>
    <w:rsid w:val="00F221A0"/>
    <w:rsid w:val="00F2223E"/>
    <w:rsid w:val="00F222FF"/>
    <w:rsid w:val="00F22365"/>
    <w:rsid w:val="00F2261C"/>
    <w:rsid w:val="00F226EE"/>
    <w:rsid w:val="00F22809"/>
    <w:rsid w:val="00F228FA"/>
    <w:rsid w:val="00F231A7"/>
    <w:rsid w:val="00F232F9"/>
    <w:rsid w:val="00F23477"/>
    <w:rsid w:val="00F236E7"/>
    <w:rsid w:val="00F23B1A"/>
    <w:rsid w:val="00F23DAE"/>
    <w:rsid w:val="00F23DFF"/>
    <w:rsid w:val="00F23F20"/>
    <w:rsid w:val="00F23F5C"/>
    <w:rsid w:val="00F2405C"/>
    <w:rsid w:val="00F24189"/>
    <w:rsid w:val="00F24211"/>
    <w:rsid w:val="00F2469F"/>
    <w:rsid w:val="00F247E6"/>
    <w:rsid w:val="00F24BF3"/>
    <w:rsid w:val="00F24CED"/>
    <w:rsid w:val="00F24D43"/>
    <w:rsid w:val="00F24E5C"/>
    <w:rsid w:val="00F24EA8"/>
    <w:rsid w:val="00F24EAE"/>
    <w:rsid w:val="00F24EC0"/>
    <w:rsid w:val="00F251C7"/>
    <w:rsid w:val="00F25813"/>
    <w:rsid w:val="00F25A6A"/>
    <w:rsid w:val="00F25A98"/>
    <w:rsid w:val="00F26037"/>
    <w:rsid w:val="00F261D6"/>
    <w:rsid w:val="00F261FD"/>
    <w:rsid w:val="00F26227"/>
    <w:rsid w:val="00F2657A"/>
    <w:rsid w:val="00F266EA"/>
    <w:rsid w:val="00F26927"/>
    <w:rsid w:val="00F26973"/>
    <w:rsid w:val="00F26982"/>
    <w:rsid w:val="00F26BB6"/>
    <w:rsid w:val="00F26BF0"/>
    <w:rsid w:val="00F26C7A"/>
    <w:rsid w:val="00F26CE2"/>
    <w:rsid w:val="00F26E1B"/>
    <w:rsid w:val="00F26F2A"/>
    <w:rsid w:val="00F26F87"/>
    <w:rsid w:val="00F2704D"/>
    <w:rsid w:val="00F27081"/>
    <w:rsid w:val="00F27094"/>
    <w:rsid w:val="00F2709C"/>
    <w:rsid w:val="00F27427"/>
    <w:rsid w:val="00F276F9"/>
    <w:rsid w:val="00F279B2"/>
    <w:rsid w:val="00F27A1E"/>
    <w:rsid w:val="00F27A97"/>
    <w:rsid w:val="00F27CA7"/>
    <w:rsid w:val="00F27E29"/>
    <w:rsid w:val="00F27EB6"/>
    <w:rsid w:val="00F3015F"/>
    <w:rsid w:val="00F303AE"/>
    <w:rsid w:val="00F304E5"/>
    <w:rsid w:val="00F3059E"/>
    <w:rsid w:val="00F30614"/>
    <w:rsid w:val="00F3066D"/>
    <w:rsid w:val="00F3067A"/>
    <w:rsid w:val="00F308B8"/>
    <w:rsid w:val="00F30A87"/>
    <w:rsid w:val="00F30B86"/>
    <w:rsid w:val="00F30BBF"/>
    <w:rsid w:val="00F30C2D"/>
    <w:rsid w:val="00F310A4"/>
    <w:rsid w:val="00F31459"/>
    <w:rsid w:val="00F3157B"/>
    <w:rsid w:val="00F316C6"/>
    <w:rsid w:val="00F316E0"/>
    <w:rsid w:val="00F31784"/>
    <w:rsid w:val="00F31824"/>
    <w:rsid w:val="00F31AF8"/>
    <w:rsid w:val="00F31B6D"/>
    <w:rsid w:val="00F31E3B"/>
    <w:rsid w:val="00F31FC3"/>
    <w:rsid w:val="00F3268F"/>
    <w:rsid w:val="00F327CC"/>
    <w:rsid w:val="00F328B3"/>
    <w:rsid w:val="00F329C0"/>
    <w:rsid w:val="00F33080"/>
    <w:rsid w:val="00F3310B"/>
    <w:rsid w:val="00F3323D"/>
    <w:rsid w:val="00F332E4"/>
    <w:rsid w:val="00F334C2"/>
    <w:rsid w:val="00F33A7F"/>
    <w:rsid w:val="00F33BAD"/>
    <w:rsid w:val="00F33C8A"/>
    <w:rsid w:val="00F34308"/>
    <w:rsid w:val="00F34409"/>
    <w:rsid w:val="00F34824"/>
    <w:rsid w:val="00F34DDB"/>
    <w:rsid w:val="00F34EA4"/>
    <w:rsid w:val="00F34EC4"/>
    <w:rsid w:val="00F35199"/>
    <w:rsid w:val="00F351C2"/>
    <w:rsid w:val="00F35577"/>
    <w:rsid w:val="00F3559C"/>
    <w:rsid w:val="00F3584A"/>
    <w:rsid w:val="00F35A43"/>
    <w:rsid w:val="00F35BA2"/>
    <w:rsid w:val="00F35C8D"/>
    <w:rsid w:val="00F36103"/>
    <w:rsid w:val="00F36234"/>
    <w:rsid w:val="00F3639D"/>
    <w:rsid w:val="00F366ED"/>
    <w:rsid w:val="00F3695F"/>
    <w:rsid w:val="00F36A8D"/>
    <w:rsid w:val="00F36AB4"/>
    <w:rsid w:val="00F36B11"/>
    <w:rsid w:val="00F36B86"/>
    <w:rsid w:val="00F36D39"/>
    <w:rsid w:val="00F3742E"/>
    <w:rsid w:val="00F374CB"/>
    <w:rsid w:val="00F377D3"/>
    <w:rsid w:val="00F37DBE"/>
    <w:rsid w:val="00F37DC9"/>
    <w:rsid w:val="00F402D8"/>
    <w:rsid w:val="00F40620"/>
    <w:rsid w:val="00F40A90"/>
    <w:rsid w:val="00F40C8C"/>
    <w:rsid w:val="00F40DC5"/>
    <w:rsid w:val="00F40E23"/>
    <w:rsid w:val="00F40E85"/>
    <w:rsid w:val="00F4114B"/>
    <w:rsid w:val="00F41310"/>
    <w:rsid w:val="00F413F3"/>
    <w:rsid w:val="00F4185D"/>
    <w:rsid w:val="00F41A08"/>
    <w:rsid w:val="00F41CBF"/>
    <w:rsid w:val="00F41CD1"/>
    <w:rsid w:val="00F41DFB"/>
    <w:rsid w:val="00F41E42"/>
    <w:rsid w:val="00F42042"/>
    <w:rsid w:val="00F4211A"/>
    <w:rsid w:val="00F422D7"/>
    <w:rsid w:val="00F425B1"/>
    <w:rsid w:val="00F42940"/>
    <w:rsid w:val="00F42B11"/>
    <w:rsid w:val="00F42B92"/>
    <w:rsid w:val="00F42FAD"/>
    <w:rsid w:val="00F430D6"/>
    <w:rsid w:val="00F43152"/>
    <w:rsid w:val="00F433AA"/>
    <w:rsid w:val="00F43547"/>
    <w:rsid w:val="00F43708"/>
    <w:rsid w:val="00F4375C"/>
    <w:rsid w:val="00F439A6"/>
    <w:rsid w:val="00F43D36"/>
    <w:rsid w:val="00F43F9B"/>
    <w:rsid w:val="00F43FE9"/>
    <w:rsid w:val="00F44105"/>
    <w:rsid w:val="00F44308"/>
    <w:rsid w:val="00F4443C"/>
    <w:rsid w:val="00F44773"/>
    <w:rsid w:val="00F44F79"/>
    <w:rsid w:val="00F455A6"/>
    <w:rsid w:val="00F45845"/>
    <w:rsid w:val="00F458FC"/>
    <w:rsid w:val="00F459E9"/>
    <w:rsid w:val="00F45A86"/>
    <w:rsid w:val="00F45B08"/>
    <w:rsid w:val="00F45D61"/>
    <w:rsid w:val="00F45D70"/>
    <w:rsid w:val="00F45DCA"/>
    <w:rsid w:val="00F45E25"/>
    <w:rsid w:val="00F45FA2"/>
    <w:rsid w:val="00F46310"/>
    <w:rsid w:val="00F463B2"/>
    <w:rsid w:val="00F463DB"/>
    <w:rsid w:val="00F467DA"/>
    <w:rsid w:val="00F46B13"/>
    <w:rsid w:val="00F46D71"/>
    <w:rsid w:val="00F46E88"/>
    <w:rsid w:val="00F46F63"/>
    <w:rsid w:val="00F47010"/>
    <w:rsid w:val="00F47014"/>
    <w:rsid w:val="00F472E1"/>
    <w:rsid w:val="00F473B7"/>
    <w:rsid w:val="00F47DC3"/>
    <w:rsid w:val="00F47EA4"/>
    <w:rsid w:val="00F5026F"/>
    <w:rsid w:val="00F502B5"/>
    <w:rsid w:val="00F502D4"/>
    <w:rsid w:val="00F502E0"/>
    <w:rsid w:val="00F5032F"/>
    <w:rsid w:val="00F50676"/>
    <w:rsid w:val="00F50B22"/>
    <w:rsid w:val="00F50CE7"/>
    <w:rsid w:val="00F510AB"/>
    <w:rsid w:val="00F51641"/>
    <w:rsid w:val="00F51D1E"/>
    <w:rsid w:val="00F51D63"/>
    <w:rsid w:val="00F5205C"/>
    <w:rsid w:val="00F521B8"/>
    <w:rsid w:val="00F5226D"/>
    <w:rsid w:val="00F524E4"/>
    <w:rsid w:val="00F5270F"/>
    <w:rsid w:val="00F5273E"/>
    <w:rsid w:val="00F52997"/>
    <w:rsid w:val="00F529EE"/>
    <w:rsid w:val="00F52A4F"/>
    <w:rsid w:val="00F52A93"/>
    <w:rsid w:val="00F52FBB"/>
    <w:rsid w:val="00F530DC"/>
    <w:rsid w:val="00F5319D"/>
    <w:rsid w:val="00F5323F"/>
    <w:rsid w:val="00F534DD"/>
    <w:rsid w:val="00F53532"/>
    <w:rsid w:val="00F53652"/>
    <w:rsid w:val="00F538D2"/>
    <w:rsid w:val="00F53BBE"/>
    <w:rsid w:val="00F53C21"/>
    <w:rsid w:val="00F543D4"/>
    <w:rsid w:val="00F545A4"/>
    <w:rsid w:val="00F547DF"/>
    <w:rsid w:val="00F54845"/>
    <w:rsid w:val="00F548C2"/>
    <w:rsid w:val="00F54AA2"/>
    <w:rsid w:val="00F54B42"/>
    <w:rsid w:val="00F54B57"/>
    <w:rsid w:val="00F54D3B"/>
    <w:rsid w:val="00F54ED5"/>
    <w:rsid w:val="00F550F8"/>
    <w:rsid w:val="00F551BC"/>
    <w:rsid w:val="00F554ED"/>
    <w:rsid w:val="00F55524"/>
    <w:rsid w:val="00F55644"/>
    <w:rsid w:val="00F55809"/>
    <w:rsid w:val="00F55BE8"/>
    <w:rsid w:val="00F55D67"/>
    <w:rsid w:val="00F55F99"/>
    <w:rsid w:val="00F5615C"/>
    <w:rsid w:val="00F563DB"/>
    <w:rsid w:val="00F5644B"/>
    <w:rsid w:val="00F566C0"/>
    <w:rsid w:val="00F567DE"/>
    <w:rsid w:val="00F5690A"/>
    <w:rsid w:val="00F56AC0"/>
    <w:rsid w:val="00F570B2"/>
    <w:rsid w:val="00F570C5"/>
    <w:rsid w:val="00F5739D"/>
    <w:rsid w:val="00F574E3"/>
    <w:rsid w:val="00F576A8"/>
    <w:rsid w:val="00F57831"/>
    <w:rsid w:val="00F57915"/>
    <w:rsid w:val="00F57F9F"/>
    <w:rsid w:val="00F600A0"/>
    <w:rsid w:val="00F604A0"/>
    <w:rsid w:val="00F6056A"/>
    <w:rsid w:val="00F60612"/>
    <w:rsid w:val="00F607B1"/>
    <w:rsid w:val="00F60905"/>
    <w:rsid w:val="00F610D3"/>
    <w:rsid w:val="00F6146E"/>
    <w:rsid w:val="00F61669"/>
    <w:rsid w:val="00F61B58"/>
    <w:rsid w:val="00F61C3C"/>
    <w:rsid w:val="00F6201D"/>
    <w:rsid w:val="00F62098"/>
    <w:rsid w:val="00F6231E"/>
    <w:rsid w:val="00F62324"/>
    <w:rsid w:val="00F623A0"/>
    <w:rsid w:val="00F623AB"/>
    <w:rsid w:val="00F6291C"/>
    <w:rsid w:val="00F6292E"/>
    <w:rsid w:val="00F62AC7"/>
    <w:rsid w:val="00F62B53"/>
    <w:rsid w:val="00F62CD8"/>
    <w:rsid w:val="00F63055"/>
    <w:rsid w:val="00F630C1"/>
    <w:rsid w:val="00F635E5"/>
    <w:rsid w:val="00F63A49"/>
    <w:rsid w:val="00F63AF6"/>
    <w:rsid w:val="00F63C4F"/>
    <w:rsid w:val="00F63C5D"/>
    <w:rsid w:val="00F63D8A"/>
    <w:rsid w:val="00F63D9F"/>
    <w:rsid w:val="00F63E50"/>
    <w:rsid w:val="00F63FC3"/>
    <w:rsid w:val="00F64130"/>
    <w:rsid w:val="00F6419B"/>
    <w:rsid w:val="00F641FA"/>
    <w:rsid w:val="00F643F7"/>
    <w:rsid w:val="00F6454B"/>
    <w:rsid w:val="00F64587"/>
    <w:rsid w:val="00F645DC"/>
    <w:rsid w:val="00F64B85"/>
    <w:rsid w:val="00F64C59"/>
    <w:rsid w:val="00F64C66"/>
    <w:rsid w:val="00F64F27"/>
    <w:rsid w:val="00F64F7A"/>
    <w:rsid w:val="00F65152"/>
    <w:rsid w:val="00F651DE"/>
    <w:rsid w:val="00F652A6"/>
    <w:rsid w:val="00F6532D"/>
    <w:rsid w:val="00F653AF"/>
    <w:rsid w:val="00F6589E"/>
    <w:rsid w:val="00F659CD"/>
    <w:rsid w:val="00F65B04"/>
    <w:rsid w:val="00F65B63"/>
    <w:rsid w:val="00F65B80"/>
    <w:rsid w:val="00F65EB0"/>
    <w:rsid w:val="00F65F38"/>
    <w:rsid w:val="00F65F75"/>
    <w:rsid w:val="00F6627D"/>
    <w:rsid w:val="00F66750"/>
    <w:rsid w:val="00F667D1"/>
    <w:rsid w:val="00F66A19"/>
    <w:rsid w:val="00F66AF7"/>
    <w:rsid w:val="00F66F71"/>
    <w:rsid w:val="00F670C1"/>
    <w:rsid w:val="00F6715E"/>
    <w:rsid w:val="00F67209"/>
    <w:rsid w:val="00F67756"/>
    <w:rsid w:val="00F6775A"/>
    <w:rsid w:val="00F67A69"/>
    <w:rsid w:val="00F7038F"/>
    <w:rsid w:val="00F70399"/>
    <w:rsid w:val="00F705C0"/>
    <w:rsid w:val="00F706FB"/>
    <w:rsid w:val="00F707F1"/>
    <w:rsid w:val="00F70B59"/>
    <w:rsid w:val="00F7113C"/>
    <w:rsid w:val="00F7118F"/>
    <w:rsid w:val="00F711B2"/>
    <w:rsid w:val="00F71508"/>
    <w:rsid w:val="00F71530"/>
    <w:rsid w:val="00F71566"/>
    <w:rsid w:val="00F718E6"/>
    <w:rsid w:val="00F71912"/>
    <w:rsid w:val="00F719A2"/>
    <w:rsid w:val="00F71AF4"/>
    <w:rsid w:val="00F71D9A"/>
    <w:rsid w:val="00F720A5"/>
    <w:rsid w:val="00F720AE"/>
    <w:rsid w:val="00F72211"/>
    <w:rsid w:val="00F7227B"/>
    <w:rsid w:val="00F7252F"/>
    <w:rsid w:val="00F72773"/>
    <w:rsid w:val="00F72AC8"/>
    <w:rsid w:val="00F72BF1"/>
    <w:rsid w:val="00F72F98"/>
    <w:rsid w:val="00F73142"/>
    <w:rsid w:val="00F731BD"/>
    <w:rsid w:val="00F731F6"/>
    <w:rsid w:val="00F7344D"/>
    <w:rsid w:val="00F7347B"/>
    <w:rsid w:val="00F735F7"/>
    <w:rsid w:val="00F7382D"/>
    <w:rsid w:val="00F73C46"/>
    <w:rsid w:val="00F73EAB"/>
    <w:rsid w:val="00F74175"/>
    <w:rsid w:val="00F745FE"/>
    <w:rsid w:val="00F7469B"/>
    <w:rsid w:val="00F747EB"/>
    <w:rsid w:val="00F74BE0"/>
    <w:rsid w:val="00F74C3E"/>
    <w:rsid w:val="00F74FC3"/>
    <w:rsid w:val="00F75351"/>
    <w:rsid w:val="00F753AF"/>
    <w:rsid w:val="00F754C0"/>
    <w:rsid w:val="00F75578"/>
    <w:rsid w:val="00F75616"/>
    <w:rsid w:val="00F756A8"/>
    <w:rsid w:val="00F75788"/>
    <w:rsid w:val="00F7598B"/>
    <w:rsid w:val="00F75EF3"/>
    <w:rsid w:val="00F75F05"/>
    <w:rsid w:val="00F75F0E"/>
    <w:rsid w:val="00F75F8C"/>
    <w:rsid w:val="00F75FE6"/>
    <w:rsid w:val="00F760E7"/>
    <w:rsid w:val="00F76300"/>
    <w:rsid w:val="00F763A9"/>
    <w:rsid w:val="00F763AC"/>
    <w:rsid w:val="00F764B0"/>
    <w:rsid w:val="00F765BC"/>
    <w:rsid w:val="00F76630"/>
    <w:rsid w:val="00F76776"/>
    <w:rsid w:val="00F7688F"/>
    <w:rsid w:val="00F769C7"/>
    <w:rsid w:val="00F76BC8"/>
    <w:rsid w:val="00F76E2B"/>
    <w:rsid w:val="00F76E2F"/>
    <w:rsid w:val="00F77004"/>
    <w:rsid w:val="00F770B8"/>
    <w:rsid w:val="00F772DF"/>
    <w:rsid w:val="00F7752E"/>
    <w:rsid w:val="00F77B1F"/>
    <w:rsid w:val="00F805AE"/>
    <w:rsid w:val="00F807CB"/>
    <w:rsid w:val="00F81086"/>
    <w:rsid w:val="00F81426"/>
    <w:rsid w:val="00F81793"/>
    <w:rsid w:val="00F8187E"/>
    <w:rsid w:val="00F81EB7"/>
    <w:rsid w:val="00F81EFD"/>
    <w:rsid w:val="00F8235B"/>
    <w:rsid w:val="00F8239E"/>
    <w:rsid w:val="00F82593"/>
    <w:rsid w:val="00F827DE"/>
    <w:rsid w:val="00F82C74"/>
    <w:rsid w:val="00F82DC5"/>
    <w:rsid w:val="00F82DCB"/>
    <w:rsid w:val="00F82E96"/>
    <w:rsid w:val="00F83272"/>
    <w:rsid w:val="00F83560"/>
    <w:rsid w:val="00F836C1"/>
    <w:rsid w:val="00F83AD1"/>
    <w:rsid w:val="00F83B82"/>
    <w:rsid w:val="00F840A0"/>
    <w:rsid w:val="00F8416C"/>
    <w:rsid w:val="00F8425B"/>
    <w:rsid w:val="00F84400"/>
    <w:rsid w:val="00F844D5"/>
    <w:rsid w:val="00F845B0"/>
    <w:rsid w:val="00F846DD"/>
    <w:rsid w:val="00F84C78"/>
    <w:rsid w:val="00F84E89"/>
    <w:rsid w:val="00F84EFA"/>
    <w:rsid w:val="00F8512C"/>
    <w:rsid w:val="00F852AA"/>
    <w:rsid w:val="00F852C0"/>
    <w:rsid w:val="00F8531B"/>
    <w:rsid w:val="00F8556D"/>
    <w:rsid w:val="00F85781"/>
    <w:rsid w:val="00F858A6"/>
    <w:rsid w:val="00F85B35"/>
    <w:rsid w:val="00F85B38"/>
    <w:rsid w:val="00F85E03"/>
    <w:rsid w:val="00F86075"/>
    <w:rsid w:val="00F860CB"/>
    <w:rsid w:val="00F8666D"/>
    <w:rsid w:val="00F867EA"/>
    <w:rsid w:val="00F86C91"/>
    <w:rsid w:val="00F86E58"/>
    <w:rsid w:val="00F87050"/>
    <w:rsid w:val="00F871C5"/>
    <w:rsid w:val="00F87212"/>
    <w:rsid w:val="00F8724F"/>
    <w:rsid w:val="00F8737C"/>
    <w:rsid w:val="00F874D3"/>
    <w:rsid w:val="00F8753E"/>
    <w:rsid w:val="00F877F4"/>
    <w:rsid w:val="00F87AD5"/>
    <w:rsid w:val="00F87C07"/>
    <w:rsid w:val="00F87DC2"/>
    <w:rsid w:val="00F87ECF"/>
    <w:rsid w:val="00F905C5"/>
    <w:rsid w:val="00F907B4"/>
    <w:rsid w:val="00F90889"/>
    <w:rsid w:val="00F90936"/>
    <w:rsid w:val="00F90C50"/>
    <w:rsid w:val="00F90E4F"/>
    <w:rsid w:val="00F90F53"/>
    <w:rsid w:val="00F9101A"/>
    <w:rsid w:val="00F9121D"/>
    <w:rsid w:val="00F91323"/>
    <w:rsid w:val="00F916E5"/>
    <w:rsid w:val="00F91765"/>
    <w:rsid w:val="00F91777"/>
    <w:rsid w:val="00F917A6"/>
    <w:rsid w:val="00F91822"/>
    <w:rsid w:val="00F91934"/>
    <w:rsid w:val="00F91A8C"/>
    <w:rsid w:val="00F91BAD"/>
    <w:rsid w:val="00F91CDC"/>
    <w:rsid w:val="00F91DD6"/>
    <w:rsid w:val="00F91F93"/>
    <w:rsid w:val="00F92014"/>
    <w:rsid w:val="00F9238F"/>
    <w:rsid w:val="00F9244C"/>
    <w:rsid w:val="00F92590"/>
    <w:rsid w:val="00F92663"/>
    <w:rsid w:val="00F929C4"/>
    <w:rsid w:val="00F92E0D"/>
    <w:rsid w:val="00F92E7B"/>
    <w:rsid w:val="00F930CA"/>
    <w:rsid w:val="00F932C1"/>
    <w:rsid w:val="00F9354D"/>
    <w:rsid w:val="00F936E2"/>
    <w:rsid w:val="00F93A10"/>
    <w:rsid w:val="00F941E9"/>
    <w:rsid w:val="00F9434E"/>
    <w:rsid w:val="00F94868"/>
    <w:rsid w:val="00F948A0"/>
    <w:rsid w:val="00F94982"/>
    <w:rsid w:val="00F94C0C"/>
    <w:rsid w:val="00F94EF6"/>
    <w:rsid w:val="00F94F6A"/>
    <w:rsid w:val="00F95105"/>
    <w:rsid w:val="00F951BD"/>
    <w:rsid w:val="00F95230"/>
    <w:rsid w:val="00F954EC"/>
    <w:rsid w:val="00F957D7"/>
    <w:rsid w:val="00F95A31"/>
    <w:rsid w:val="00F95D58"/>
    <w:rsid w:val="00F961A1"/>
    <w:rsid w:val="00F962DA"/>
    <w:rsid w:val="00F96371"/>
    <w:rsid w:val="00F9641A"/>
    <w:rsid w:val="00F9653C"/>
    <w:rsid w:val="00F969CB"/>
    <w:rsid w:val="00F96B2C"/>
    <w:rsid w:val="00F96E4E"/>
    <w:rsid w:val="00F96F2D"/>
    <w:rsid w:val="00F971A9"/>
    <w:rsid w:val="00F97268"/>
    <w:rsid w:val="00F972B8"/>
    <w:rsid w:val="00F975BB"/>
    <w:rsid w:val="00F97737"/>
    <w:rsid w:val="00F97826"/>
    <w:rsid w:val="00F97896"/>
    <w:rsid w:val="00F9790E"/>
    <w:rsid w:val="00F979CF"/>
    <w:rsid w:val="00F97B69"/>
    <w:rsid w:val="00F97BC9"/>
    <w:rsid w:val="00FA005D"/>
    <w:rsid w:val="00FA0071"/>
    <w:rsid w:val="00FA00D3"/>
    <w:rsid w:val="00FA045C"/>
    <w:rsid w:val="00FA051A"/>
    <w:rsid w:val="00FA05DF"/>
    <w:rsid w:val="00FA06CB"/>
    <w:rsid w:val="00FA0799"/>
    <w:rsid w:val="00FA094E"/>
    <w:rsid w:val="00FA09BA"/>
    <w:rsid w:val="00FA0A9D"/>
    <w:rsid w:val="00FA0BB0"/>
    <w:rsid w:val="00FA0DB0"/>
    <w:rsid w:val="00FA129A"/>
    <w:rsid w:val="00FA161C"/>
    <w:rsid w:val="00FA16D6"/>
    <w:rsid w:val="00FA17BC"/>
    <w:rsid w:val="00FA1A01"/>
    <w:rsid w:val="00FA1C4F"/>
    <w:rsid w:val="00FA1D28"/>
    <w:rsid w:val="00FA1E9E"/>
    <w:rsid w:val="00FA205F"/>
    <w:rsid w:val="00FA2065"/>
    <w:rsid w:val="00FA243A"/>
    <w:rsid w:val="00FA281B"/>
    <w:rsid w:val="00FA3101"/>
    <w:rsid w:val="00FA35A2"/>
    <w:rsid w:val="00FA3A77"/>
    <w:rsid w:val="00FA3A9A"/>
    <w:rsid w:val="00FA3C1C"/>
    <w:rsid w:val="00FA3D32"/>
    <w:rsid w:val="00FA3EB0"/>
    <w:rsid w:val="00FA3ECA"/>
    <w:rsid w:val="00FA3F51"/>
    <w:rsid w:val="00FA405A"/>
    <w:rsid w:val="00FA411B"/>
    <w:rsid w:val="00FA44E5"/>
    <w:rsid w:val="00FA45CC"/>
    <w:rsid w:val="00FA4747"/>
    <w:rsid w:val="00FA4AFF"/>
    <w:rsid w:val="00FA4B16"/>
    <w:rsid w:val="00FA4DC2"/>
    <w:rsid w:val="00FA4F9A"/>
    <w:rsid w:val="00FA516D"/>
    <w:rsid w:val="00FA5278"/>
    <w:rsid w:val="00FA52FE"/>
    <w:rsid w:val="00FA538E"/>
    <w:rsid w:val="00FA5495"/>
    <w:rsid w:val="00FA5B04"/>
    <w:rsid w:val="00FA5F10"/>
    <w:rsid w:val="00FA5F51"/>
    <w:rsid w:val="00FA60DD"/>
    <w:rsid w:val="00FA648B"/>
    <w:rsid w:val="00FA699C"/>
    <w:rsid w:val="00FA6B36"/>
    <w:rsid w:val="00FA6B8C"/>
    <w:rsid w:val="00FA6C33"/>
    <w:rsid w:val="00FA6C36"/>
    <w:rsid w:val="00FA6C5C"/>
    <w:rsid w:val="00FA6F76"/>
    <w:rsid w:val="00FA7217"/>
    <w:rsid w:val="00FA72AF"/>
    <w:rsid w:val="00FA7512"/>
    <w:rsid w:val="00FA75BC"/>
    <w:rsid w:val="00FA77F1"/>
    <w:rsid w:val="00FA790D"/>
    <w:rsid w:val="00FA7A78"/>
    <w:rsid w:val="00FA7D36"/>
    <w:rsid w:val="00FB01DB"/>
    <w:rsid w:val="00FB0298"/>
    <w:rsid w:val="00FB02A2"/>
    <w:rsid w:val="00FB03A8"/>
    <w:rsid w:val="00FB03E0"/>
    <w:rsid w:val="00FB06EB"/>
    <w:rsid w:val="00FB0770"/>
    <w:rsid w:val="00FB0824"/>
    <w:rsid w:val="00FB085B"/>
    <w:rsid w:val="00FB0B82"/>
    <w:rsid w:val="00FB0C5D"/>
    <w:rsid w:val="00FB0EB1"/>
    <w:rsid w:val="00FB0F19"/>
    <w:rsid w:val="00FB11BA"/>
    <w:rsid w:val="00FB1344"/>
    <w:rsid w:val="00FB14FB"/>
    <w:rsid w:val="00FB17EA"/>
    <w:rsid w:val="00FB1A3F"/>
    <w:rsid w:val="00FB1ACA"/>
    <w:rsid w:val="00FB1C0D"/>
    <w:rsid w:val="00FB1C48"/>
    <w:rsid w:val="00FB1E78"/>
    <w:rsid w:val="00FB1FDE"/>
    <w:rsid w:val="00FB2344"/>
    <w:rsid w:val="00FB252D"/>
    <w:rsid w:val="00FB25F0"/>
    <w:rsid w:val="00FB2772"/>
    <w:rsid w:val="00FB2803"/>
    <w:rsid w:val="00FB2820"/>
    <w:rsid w:val="00FB2D09"/>
    <w:rsid w:val="00FB2F19"/>
    <w:rsid w:val="00FB321B"/>
    <w:rsid w:val="00FB39F2"/>
    <w:rsid w:val="00FB3ED6"/>
    <w:rsid w:val="00FB4160"/>
    <w:rsid w:val="00FB4404"/>
    <w:rsid w:val="00FB445F"/>
    <w:rsid w:val="00FB464D"/>
    <w:rsid w:val="00FB490D"/>
    <w:rsid w:val="00FB49D6"/>
    <w:rsid w:val="00FB4C48"/>
    <w:rsid w:val="00FB4DBB"/>
    <w:rsid w:val="00FB50CE"/>
    <w:rsid w:val="00FB5114"/>
    <w:rsid w:val="00FB5138"/>
    <w:rsid w:val="00FB51CA"/>
    <w:rsid w:val="00FB55C8"/>
    <w:rsid w:val="00FB57B5"/>
    <w:rsid w:val="00FB5992"/>
    <w:rsid w:val="00FB5B55"/>
    <w:rsid w:val="00FB5D57"/>
    <w:rsid w:val="00FB5EE8"/>
    <w:rsid w:val="00FB5F1A"/>
    <w:rsid w:val="00FB6643"/>
    <w:rsid w:val="00FB6A08"/>
    <w:rsid w:val="00FB6A30"/>
    <w:rsid w:val="00FB6F63"/>
    <w:rsid w:val="00FB6FE5"/>
    <w:rsid w:val="00FB7052"/>
    <w:rsid w:val="00FB7398"/>
    <w:rsid w:val="00FB74BD"/>
    <w:rsid w:val="00FB75D4"/>
    <w:rsid w:val="00FB7870"/>
    <w:rsid w:val="00FB788F"/>
    <w:rsid w:val="00FB7B6B"/>
    <w:rsid w:val="00FB7B83"/>
    <w:rsid w:val="00FC000F"/>
    <w:rsid w:val="00FC00C6"/>
    <w:rsid w:val="00FC0119"/>
    <w:rsid w:val="00FC02F2"/>
    <w:rsid w:val="00FC0363"/>
    <w:rsid w:val="00FC044B"/>
    <w:rsid w:val="00FC05F7"/>
    <w:rsid w:val="00FC0773"/>
    <w:rsid w:val="00FC0794"/>
    <w:rsid w:val="00FC08C9"/>
    <w:rsid w:val="00FC0991"/>
    <w:rsid w:val="00FC0A34"/>
    <w:rsid w:val="00FC0A8F"/>
    <w:rsid w:val="00FC0AA2"/>
    <w:rsid w:val="00FC0E2E"/>
    <w:rsid w:val="00FC10E4"/>
    <w:rsid w:val="00FC11BB"/>
    <w:rsid w:val="00FC1202"/>
    <w:rsid w:val="00FC181C"/>
    <w:rsid w:val="00FC1A95"/>
    <w:rsid w:val="00FC1ACE"/>
    <w:rsid w:val="00FC1B91"/>
    <w:rsid w:val="00FC1D80"/>
    <w:rsid w:val="00FC1D98"/>
    <w:rsid w:val="00FC20BE"/>
    <w:rsid w:val="00FC2430"/>
    <w:rsid w:val="00FC25DD"/>
    <w:rsid w:val="00FC2925"/>
    <w:rsid w:val="00FC29AA"/>
    <w:rsid w:val="00FC2C88"/>
    <w:rsid w:val="00FC2D53"/>
    <w:rsid w:val="00FC2DC6"/>
    <w:rsid w:val="00FC318E"/>
    <w:rsid w:val="00FC319B"/>
    <w:rsid w:val="00FC3530"/>
    <w:rsid w:val="00FC36C1"/>
    <w:rsid w:val="00FC37C0"/>
    <w:rsid w:val="00FC38D7"/>
    <w:rsid w:val="00FC39A5"/>
    <w:rsid w:val="00FC3A94"/>
    <w:rsid w:val="00FC3D4C"/>
    <w:rsid w:val="00FC415C"/>
    <w:rsid w:val="00FC444E"/>
    <w:rsid w:val="00FC4504"/>
    <w:rsid w:val="00FC45CB"/>
    <w:rsid w:val="00FC4A39"/>
    <w:rsid w:val="00FC4ADA"/>
    <w:rsid w:val="00FC4C63"/>
    <w:rsid w:val="00FC511E"/>
    <w:rsid w:val="00FC578C"/>
    <w:rsid w:val="00FC5909"/>
    <w:rsid w:val="00FC5B42"/>
    <w:rsid w:val="00FC5BDA"/>
    <w:rsid w:val="00FC5C04"/>
    <w:rsid w:val="00FC5FA4"/>
    <w:rsid w:val="00FC600A"/>
    <w:rsid w:val="00FC6149"/>
    <w:rsid w:val="00FC61EE"/>
    <w:rsid w:val="00FC6370"/>
    <w:rsid w:val="00FC63FB"/>
    <w:rsid w:val="00FC6601"/>
    <w:rsid w:val="00FC6BE7"/>
    <w:rsid w:val="00FC7370"/>
    <w:rsid w:val="00FC751C"/>
    <w:rsid w:val="00FC755A"/>
    <w:rsid w:val="00FC7647"/>
    <w:rsid w:val="00FC76D1"/>
    <w:rsid w:val="00FC77B1"/>
    <w:rsid w:val="00FC78DE"/>
    <w:rsid w:val="00FC7A3E"/>
    <w:rsid w:val="00FC7BB3"/>
    <w:rsid w:val="00FC7BC7"/>
    <w:rsid w:val="00FC7C3C"/>
    <w:rsid w:val="00FC7D79"/>
    <w:rsid w:val="00FC7E50"/>
    <w:rsid w:val="00FD01C6"/>
    <w:rsid w:val="00FD0322"/>
    <w:rsid w:val="00FD060C"/>
    <w:rsid w:val="00FD07C6"/>
    <w:rsid w:val="00FD0A58"/>
    <w:rsid w:val="00FD0BDF"/>
    <w:rsid w:val="00FD0C6D"/>
    <w:rsid w:val="00FD0CB7"/>
    <w:rsid w:val="00FD0DC2"/>
    <w:rsid w:val="00FD0E89"/>
    <w:rsid w:val="00FD151D"/>
    <w:rsid w:val="00FD1957"/>
    <w:rsid w:val="00FD1DBD"/>
    <w:rsid w:val="00FD1EDD"/>
    <w:rsid w:val="00FD1FD8"/>
    <w:rsid w:val="00FD22B2"/>
    <w:rsid w:val="00FD2693"/>
    <w:rsid w:val="00FD28F1"/>
    <w:rsid w:val="00FD29FD"/>
    <w:rsid w:val="00FD2A46"/>
    <w:rsid w:val="00FD2CD5"/>
    <w:rsid w:val="00FD32F2"/>
    <w:rsid w:val="00FD37C8"/>
    <w:rsid w:val="00FD391B"/>
    <w:rsid w:val="00FD39DF"/>
    <w:rsid w:val="00FD3C5A"/>
    <w:rsid w:val="00FD3E9F"/>
    <w:rsid w:val="00FD435C"/>
    <w:rsid w:val="00FD43B6"/>
    <w:rsid w:val="00FD46D7"/>
    <w:rsid w:val="00FD4840"/>
    <w:rsid w:val="00FD4AB6"/>
    <w:rsid w:val="00FD4C4E"/>
    <w:rsid w:val="00FD4C8A"/>
    <w:rsid w:val="00FD4F03"/>
    <w:rsid w:val="00FD4F89"/>
    <w:rsid w:val="00FD51AA"/>
    <w:rsid w:val="00FD6279"/>
    <w:rsid w:val="00FD65A6"/>
    <w:rsid w:val="00FD660C"/>
    <w:rsid w:val="00FD6651"/>
    <w:rsid w:val="00FD67DB"/>
    <w:rsid w:val="00FD6D73"/>
    <w:rsid w:val="00FD6D97"/>
    <w:rsid w:val="00FD6F77"/>
    <w:rsid w:val="00FD7041"/>
    <w:rsid w:val="00FD7182"/>
    <w:rsid w:val="00FD760A"/>
    <w:rsid w:val="00FD79F7"/>
    <w:rsid w:val="00FD7B24"/>
    <w:rsid w:val="00FE06DF"/>
    <w:rsid w:val="00FE0765"/>
    <w:rsid w:val="00FE084C"/>
    <w:rsid w:val="00FE0AB7"/>
    <w:rsid w:val="00FE0EFB"/>
    <w:rsid w:val="00FE0F69"/>
    <w:rsid w:val="00FE0FB2"/>
    <w:rsid w:val="00FE10A2"/>
    <w:rsid w:val="00FE115A"/>
    <w:rsid w:val="00FE11F0"/>
    <w:rsid w:val="00FE12DD"/>
    <w:rsid w:val="00FE137F"/>
    <w:rsid w:val="00FE159D"/>
    <w:rsid w:val="00FE1A72"/>
    <w:rsid w:val="00FE1BC6"/>
    <w:rsid w:val="00FE1DF8"/>
    <w:rsid w:val="00FE1FAD"/>
    <w:rsid w:val="00FE2162"/>
    <w:rsid w:val="00FE2378"/>
    <w:rsid w:val="00FE253E"/>
    <w:rsid w:val="00FE2768"/>
    <w:rsid w:val="00FE2904"/>
    <w:rsid w:val="00FE2D9E"/>
    <w:rsid w:val="00FE2DA1"/>
    <w:rsid w:val="00FE31D2"/>
    <w:rsid w:val="00FE3220"/>
    <w:rsid w:val="00FE33F8"/>
    <w:rsid w:val="00FE37F5"/>
    <w:rsid w:val="00FE3E33"/>
    <w:rsid w:val="00FE4546"/>
    <w:rsid w:val="00FE45D0"/>
    <w:rsid w:val="00FE4617"/>
    <w:rsid w:val="00FE49D6"/>
    <w:rsid w:val="00FE4AA6"/>
    <w:rsid w:val="00FE4AF1"/>
    <w:rsid w:val="00FE4AFC"/>
    <w:rsid w:val="00FE4DC6"/>
    <w:rsid w:val="00FE507F"/>
    <w:rsid w:val="00FE567C"/>
    <w:rsid w:val="00FE5CAE"/>
    <w:rsid w:val="00FE5D2B"/>
    <w:rsid w:val="00FE5F42"/>
    <w:rsid w:val="00FE6367"/>
    <w:rsid w:val="00FE6995"/>
    <w:rsid w:val="00FE6BAB"/>
    <w:rsid w:val="00FE6C2C"/>
    <w:rsid w:val="00FE7428"/>
    <w:rsid w:val="00FE7695"/>
    <w:rsid w:val="00FE76C4"/>
    <w:rsid w:val="00FE7C07"/>
    <w:rsid w:val="00FE7CB0"/>
    <w:rsid w:val="00FF00F8"/>
    <w:rsid w:val="00FF0227"/>
    <w:rsid w:val="00FF02E1"/>
    <w:rsid w:val="00FF0391"/>
    <w:rsid w:val="00FF0492"/>
    <w:rsid w:val="00FF0768"/>
    <w:rsid w:val="00FF07A1"/>
    <w:rsid w:val="00FF0F60"/>
    <w:rsid w:val="00FF110E"/>
    <w:rsid w:val="00FF176E"/>
    <w:rsid w:val="00FF17C6"/>
    <w:rsid w:val="00FF18C5"/>
    <w:rsid w:val="00FF1935"/>
    <w:rsid w:val="00FF1C4B"/>
    <w:rsid w:val="00FF1F73"/>
    <w:rsid w:val="00FF211D"/>
    <w:rsid w:val="00FF216C"/>
    <w:rsid w:val="00FF2238"/>
    <w:rsid w:val="00FF2568"/>
    <w:rsid w:val="00FF26E3"/>
    <w:rsid w:val="00FF2A99"/>
    <w:rsid w:val="00FF2B36"/>
    <w:rsid w:val="00FF2B6A"/>
    <w:rsid w:val="00FF2E02"/>
    <w:rsid w:val="00FF2E6B"/>
    <w:rsid w:val="00FF2F28"/>
    <w:rsid w:val="00FF2F30"/>
    <w:rsid w:val="00FF2FDF"/>
    <w:rsid w:val="00FF2FE2"/>
    <w:rsid w:val="00FF3084"/>
    <w:rsid w:val="00FF3155"/>
    <w:rsid w:val="00FF3169"/>
    <w:rsid w:val="00FF3289"/>
    <w:rsid w:val="00FF3336"/>
    <w:rsid w:val="00FF3606"/>
    <w:rsid w:val="00FF3808"/>
    <w:rsid w:val="00FF4025"/>
    <w:rsid w:val="00FF428E"/>
    <w:rsid w:val="00FF43BA"/>
    <w:rsid w:val="00FF43FD"/>
    <w:rsid w:val="00FF481B"/>
    <w:rsid w:val="00FF484A"/>
    <w:rsid w:val="00FF4971"/>
    <w:rsid w:val="00FF49B1"/>
    <w:rsid w:val="00FF4A38"/>
    <w:rsid w:val="00FF4EE1"/>
    <w:rsid w:val="00FF4EE9"/>
    <w:rsid w:val="00FF5073"/>
    <w:rsid w:val="00FF5222"/>
    <w:rsid w:val="00FF53CD"/>
    <w:rsid w:val="00FF54A8"/>
    <w:rsid w:val="00FF54D3"/>
    <w:rsid w:val="00FF573D"/>
    <w:rsid w:val="00FF5791"/>
    <w:rsid w:val="00FF57F9"/>
    <w:rsid w:val="00FF598B"/>
    <w:rsid w:val="00FF5A33"/>
    <w:rsid w:val="00FF5C33"/>
    <w:rsid w:val="00FF612F"/>
    <w:rsid w:val="00FF69A6"/>
    <w:rsid w:val="00FF6A2D"/>
    <w:rsid w:val="00FF6A49"/>
    <w:rsid w:val="00FF6C9D"/>
    <w:rsid w:val="00FF6E6F"/>
    <w:rsid w:val="00FF710F"/>
    <w:rsid w:val="00FF726D"/>
    <w:rsid w:val="00FF73D8"/>
    <w:rsid w:val="00FF7548"/>
    <w:rsid w:val="00FF78DA"/>
    <w:rsid w:val="00FF7908"/>
    <w:rsid w:val="00FF7977"/>
    <w:rsid w:val="00FF7B49"/>
    <w:rsid w:val="00FF7CCF"/>
    <w:rsid w:val="00FF7E1C"/>
    <w:rsid w:val="00FF7E67"/>
    <w:rsid w:val="010ED01C"/>
    <w:rsid w:val="0110961C"/>
    <w:rsid w:val="0142908D"/>
    <w:rsid w:val="014F181C"/>
    <w:rsid w:val="018D5C02"/>
    <w:rsid w:val="01FA66C5"/>
    <w:rsid w:val="024C9346"/>
    <w:rsid w:val="0294B084"/>
    <w:rsid w:val="02A83A26"/>
    <w:rsid w:val="039B2089"/>
    <w:rsid w:val="03D99DBB"/>
    <w:rsid w:val="049E69F4"/>
    <w:rsid w:val="04DC33A0"/>
    <w:rsid w:val="05502080"/>
    <w:rsid w:val="05B56114"/>
    <w:rsid w:val="05D6D9B7"/>
    <w:rsid w:val="05DFA359"/>
    <w:rsid w:val="05E16269"/>
    <w:rsid w:val="05EDF1E0"/>
    <w:rsid w:val="0601E49C"/>
    <w:rsid w:val="06A7482D"/>
    <w:rsid w:val="07426850"/>
    <w:rsid w:val="082790C2"/>
    <w:rsid w:val="089A3FC5"/>
    <w:rsid w:val="08BDC2C6"/>
    <w:rsid w:val="090D3394"/>
    <w:rsid w:val="09D7BEB3"/>
    <w:rsid w:val="0A0540BF"/>
    <w:rsid w:val="0A8E9F6F"/>
    <w:rsid w:val="0AA2AFCB"/>
    <w:rsid w:val="0AD81B20"/>
    <w:rsid w:val="0B02F015"/>
    <w:rsid w:val="0B8883D0"/>
    <w:rsid w:val="0BB157B9"/>
    <w:rsid w:val="0CC7F080"/>
    <w:rsid w:val="0CC8BF28"/>
    <w:rsid w:val="0CFC620B"/>
    <w:rsid w:val="0D918DD6"/>
    <w:rsid w:val="0D95D4C5"/>
    <w:rsid w:val="0DB8612B"/>
    <w:rsid w:val="0EAAD9AC"/>
    <w:rsid w:val="0ED43253"/>
    <w:rsid w:val="100DF08D"/>
    <w:rsid w:val="1024EC64"/>
    <w:rsid w:val="1072C847"/>
    <w:rsid w:val="10896479"/>
    <w:rsid w:val="10DBA8EF"/>
    <w:rsid w:val="10FF34A2"/>
    <w:rsid w:val="11E6B2B2"/>
    <w:rsid w:val="11EBB02A"/>
    <w:rsid w:val="12260E0A"/>
    <w:rsid w:val="12415399"/>
    <w:rsid w:val="12AF9915"/>
    <w:rsid w:val="12F6E766"/>
    <w:rsid w:val="130160F3"/>
    <w:rsid w:val="1302FD77"/>
    <w:rsid w:val="13341D4B"/>
    <w:rsid w:val="14527368"/>
    <w:rsid w:val="14B9B135"/>
    <w:rsid w:val="15011113"/>
    <w:rsid w:val="156FB088"/>
    <w:rsid w:val="15EADECB"/>
    <w:rsid w:val="1624310C"/>
    <w:rsid w:val="1700E812"/>
    <w:rsid w:val="17989BCD"/>
    <w:rsid w:val="17F0C02C"/>
    <w:rsid w:val="18624230"/>
    <w:rsid w:val="194B8C02"/>
    <w:rsid w:val="1A0A0750"/>
    <w:rsid w:val="1A8948BF"/>
    <w:rsid w:val="1ACF4029"/>
    <w:rsid w:val="1B1514DC"/>
    <w:rsid w:val="1B41D10E"/>
    <w:rsid w:val="1B4D2AD1"/>
    <w:rsid w:val="1B723988"/>
    <w:rsid w:val="1BCF5FFD"/>
    <w:rsid w:val="1D0581D9"/>
    <w:rsid w:val="1D63D4D4"/>
    <w:rsid w:val="1DA1622D"/>
    <w:rsid w:val="1DB95B30"/>
    <w:rsid w:val="1DD64D18"/>
    <w:rsid w:val="1DE72AB5"/>
    <w:rsid w:val="1DE93FA2"/>
    <w:rsid w:val="1E37D256"/>
    <w:rsid w:val="1E736873"/>
    <w:rsid w:val="1FDD609B"/>
    <w:rsid w:val="20026B1E"/>
    <w:rsid w:val="20C2582B"/>
    <w:rsid w:val="21472689"/>
    <w:rsid w:val="214D976C"/>
    <w:rsid w:val="21705A80"/>
    <w:rsid w:val="21BC21C9"/>
    <w:rsid w:val="21E26C05"/>
    <w:rsid w:val="22E116A7"/>
    <w:rsid w:val="23041683"/>
    <w:rsid w:val="233F867F"/>
    <w:rsid w:val="23AF9D9E"/>
    <w:rsid w:val="23E57E8A"/>
    <w:rsid w:val="24A0A787"/>
    <w:rsid w:val="24D40FD2"/>
    <w:rsid w:val="24E8BB65"/>
    <w:rsid w:val="250FF4F6"/>
    <w:rsid w:val="25FCE1D2"/>
    <w:rsid w:val="26239EAC"/>
    <w:rsid w:val="27344143"/>
    <w:rsid w:val="2746FD1B"/>
    <w:rsid w:val="27FC2825"/>
    <w:rsid w:val="284F8900"/>
    <w:rsid w:val="28AA6510"/>
    <w:rsid w:val="292E0B1D"/>
    <w:rsid w:val="297B36F4"/>
    <w:rsid w:val="2A4CD02F"/>
    <w:rsid w:val="2A9E1C79"/>
    <w:rsid w:val="2ABC2E87"/>
    <w:rsid w:val="2AFF6B90"/>
    <w:rsid w:val="2B48E5CF"/>
    <w:rsid w:val="2B784220"/>
    <w:rsid w:val="2BBE58F3"/>
    <w:rsid w:val="2C22327F"/>
    <w:rsid w:val="2C2D0D5B"/>
    <w:rsid w:val="2C696E89"/>
    <w:rsid w:val="2D56519A"/>
    <w:rsid w:val="2D732F1F"/>
    <w:rsid w:val="2DC41479"/>
    <w:rsid w:val="2DD9C4AD"/>
    <w:rsid w:val="2E350A36"/>
    <w:rsid w:val="2F22A701"/>
    <w:rsid w:val="2F6CFFB4"/>
    <w:rsid w:val="2F774196"/>
    <w:rsid w:val="302DA925"/>
    <w:rsid w:val="305A80A8"/>
    <w:rsid w:val="3116B92E"/>
    <w:rsid w:val="3161D8A4"/>
    <w:rsid w:val="324646D8"/>
    <w:rsid w:val="328F8516"/>
    <w:rsid w:val="33A3C330"/>
    <w:rsid w:val="34545160"/>
    <w:rsid w:val="3546E053"/>
    <w:rsid w:val="3555E8E7"/>
    <w:rsid w:val="35D26EB6"/>
    <w:rsid w:val="35E45505"/>
    <w:rsid w:val="35FB20C4"/>
    <w:rsid w:val="361F8469"/>
    <w:rsid w:val="37B9ACD3"/>
    <w:rsid w:val="37E62F4C"/>
    <w:rsid w:val="38D6CD04"/>
    <w:rsid w:val="38EDD9DE"/>
    <w:rsid w:val="3928397C"/>
    <w:rsid w:val="3958742D"/>
    <w:rsid w:val="397CE206"/>
    <w:rsid w:val="399560FC"/>
    <w:rsid w:val="39AA453C"/>
    <w:rsid w:val="3A6AE574"/>
    <w:rsid w:val="3A9B63FA"/>
    <w:rsid w:val="3AE0ACB4"/>
    <w:rsid w:val="3B191FAF"/>
    <w:rsid w:val="3B2E46CC"/>
    <w:rsid w:val="3C022600"/>
    <w:rsid w:val="3C1CDBCF"/>
    <w:rsid w:val="3C62DC5B"/>
    <w:rsid w:val="3C7ED56A"/>
    <w:rsid w:val="3C94515A"/>
    <w:rsid w:val="3CE29408"/>
    <w:rsid w:val="3D3495F9"/>
    <w:rsid w:val="3D37F125"/>
    <w:rsid w:val="3D96BBCB"/>
    <w:rsid w:val="3E9F417F"/>
    <w:rsid w:val="3ECDE1F6"/>
    <w:rsid w:val="3EF1ED1E"/>
    <w:rsid w:val="3F2EFCBE"/>
    <w:rsid w:val="3F5A9150"/>
    <w:rsid w:val="404C381F"/>
    <w:rsid w:val="405366AF"/>
    <w:rsid w:val="40E0E8AC"/>
    <w:rsid w:val="412B956D"/>
    <w:rsid w:val="412EAC22"/>
    <w:rsid w:val="414B078D"/>
    <w:rsid w:val="42110F1B"/>
    <w:rsid w:val="423A6712"/>
    <w:rsid w:val="423AA4CC"/>
    <w:rsid w:val="432BAF49"/>
    <w:rsid w:val="43466AE4"/>
    <w:rsid w:val="439860EB"/>
    <w:rsid w:val="43C6571C"/>
    <w:rsid w:val="44133071"/>
    <w:rsid w:val="444A771D"/>
    <w:rsid w:val="450596A6"/>
    <w:rsid w:val="453C9830"/>
    <w:rsid w:val="454A6AB2"/>
    <w:rsid w:val="45783553"/>
    <w:rsid w:val="4727B558"/>
    <w:rsid w:val="4793F92C"/>
    <w:rsid w:val="47C4F57A"/>
    <w:rsid w:val="47FBE46F"/>
    <w:rsid w:val="47FD1A8D"/>
    <w:rsid w:val="480C124F"/>
    <w:rsid w:val="4865A32E"/>
    <w:rsid w:val="4897943D"/>
    <w:rsid w:val="4991389E"/>
    <w:rsid w:val="4A4FB39A"/>
    <w:rsid w:val="4B2C8A4F"/>
    <w:rsid w:val="4B468E63"/>
    <w:rsid w:val="4B820FF5"/>
    <w:rsid w:val="4C11023D"/>
    <w:rsid w:val="4C190528"/>
    <w:rsid w:val="4C6C69BA"/>
    <w:rsid w:val="4D062F58"/>
    <w:rsid w:val="4D2816CA"/>
    <w:rsid w:val="4DC7736B"/>
    <w:rsid w:val="4EA64A95"/>
    <w:rsid w:val="4EE58E95"/>
    <w:rsid w:val="4EF275BB"/>
    <w:rsid w:val="4F27983C"/>
    <w:rsid w:val="4F42CFB5"/>
    <w:rsid w:val="4F4EBDA7"/>
    <w:rsid w:val="50493F10"/>
    <w:rsid w:val="5085F431"/>
    <w:rsid w:val="50DD8278"/>
    <w:rsid w:val="5145255D"/>
    <w:rsid w:val="51BEADC0"/>
    <w:rsid w:val="528D8BB8"/>
    <w:rsid w:val="52AAF5F8"/>
    <w:rsid w:val="5304983F"/>
    <w:rsid w:val="53A78AD0"/>
    <w:rsid w:val="53A8C015"/>
    <w:rsid w:val="53B077B8"/>
    <w:rsid w:val="53E7A09E"/>
    <w:rsid w:val="53ED5F83"/>
    <w:rsid w:val="53F7CFD5"/>
    <w:rsid w:val="542A8576"/>
    <w:rsid w:val="54686503"/>
    <w:rsid w:val="54C59A20"/>
    <w:rsid w:val="550F5090"/>
    <w:rsid w:val="55452C66"/>
    <w:rsid w:val="554D13CC"/>
    <w:rsid w:val="568F77E8"/>
    <w:rsid w:val="572833E9"/>
    <w:rsid w:val="573D7BC9"/>
    <w:rsid w:val="58A1C677"/>
    <w:rsid w:val="59C6B12F"/>
    <w:rsid w:val="59EA4B73"/>
    <w:rsid w:val="5A25ACC8"/>
    <w:rsid w:val="5AA9DC80"/>
    <w:rsid w:val="5AB6536E"/>
    <w:rsid w:val="5B387FFB"/>
    <w:rsid w:val="5C055A58"/>
    <w:rsid w:val="5C14F013"/>
    <w:rsid w:val="5C42FFDA"/>
    <w:rsid w:val="5C6C441B"/>
    <w:rsid w:val="5C791D65"/>
    <w:rsid w:val="5CB595A4"/>
    <w:rsid w:val="5D373880"/>
    <w:rsid w:val="5D7DFA17"/>
    <w:rsid w:val="5E2330D1"/>
    <w:rsid w:val="5E4B0198"/>
    <w:rsid w:val="5E71E7B5"/>
    <w:rsid w:val="5F13C556"/>
    <w:rsid w:val="5F6465B9"/>
    <w:rsid w:val="5FBF6422"/>
    <w:rsid w:val="5FD0B956"/>
    <w:rsid w:val="607C10AD"/>
    <w:rsid w:val="60DA738D"/>
    <w:rsid w:val="610F3410"/>
    <w:rsid w:val="612509D5"/>
    <w:rsid w:val="620929F4"/>
    <w:rsid w:val="62574885"/>
    <w:rsid w:val="629EAD6A"/>
    <w:rsid w:val="63490F40"/>
    <w:rsid w:val="63610310"/>
    <w:rsid w:val="63C8B34B"/>
    <w:rsid w:val="6457DFBD"/>
    <w:rsid w:val="64C26693"/>
    <w:rsid w:val="64FDB405"/>
    <w:rsid w:val="650222D7"/>
    <w:rsid w:val="6594115E"/>
    <w:rsid w:val="65F551F1"/>
    <w:rsid w:val="66136D8D"/>
    <w:rsid w:val="67571717"/>
    <w:rsid w:val="6789A67B"/>
    <w:rsid w:val="67A80A39"/>
    <w:rsid w:val="67B61F89"/>
    <w:rsid w:val="686C17E9"/>
    <w:rsid w:val="68977EB5"/>
    <w:rsid w:val="69240435"/>
    <w:rsid w:val="6A1564E9"/>
    <w:rsid w:val="6A3EF2AA"/>
    <w:rsid w:val="6AD22C4F"/>
    <w:rsid w:val="6B51E673"/>
    <w:rsid w:val="6B66ECBB"/>
    <w:rsid w:val="6C1C15DF"/>
    <w:rsid w:val="6C889518"/>
    <w:rsid w:val="6CC6D8E4"/>
    <w:rsid w:val="6CD0FDED"/>
    <w:rsid w:val="6D1B18F9"/>
    <w:rsid w:val="6D8C1B89"/>
    <w:rsid w:val="6DAF4FBF"/>
    <w:rsid w:val="6DCF9A27"/>
    <w:rsid w:val="6E6C10CE"/>
    <w:rsid w:val="6E903C9A"/>
    <w:rsid w:val="6EC13FA9"/>
    <w:rsid w:val="6EEF0121"/>
    <w:rsid w:val="6EFC4FE8"/>
    <w:rsid w:val="6F28629E"/>
    <w:rsid w:val="6F83C5E0"/>
    <w:rsid w:val="700556AF"/>
    <w:rsid w:val="709C6668"/>
    <w:rsid w:val="710ADF70"/>
    <w:rsid w:val="71EE9D39"/>
    <w:rsid w:val="726B2A6E"/>
    <w:rsid w:val="734D0EA4"/>
    <w:rsid w:val="737BC361"/>
    <w:rsid w:val="738553E7"/>
    <w:rsid w:val="73DFBE61"/>
    <w:rsid w:val="743F9435"/>
    <w:rsid w:val="74831D23"/>
    <w:rsid w:val="7484D814"/>
    <w:rsid w:val="7492B089"/>
    <w:rsid w:val="749FC467"/>
    <w:rsid w:val="74A050AC"/>
    <w:rsid w:val="74C49CD9"/>
    <w:rsid w:val="7528F4AC"/>
    <w:rsid w:val="757F0806"/>
    <w:rsid w:val="75B7BDA6"/>
    <w:rsid w:val="75C90362"/>
    <w:rsid w:val="75CC575F"/>
    <w:rsid w:val="764758E3"/>
    <w:rsid w:val="781931F0"/>
    <w:rsid w:val="781F8C4E"/>
    <w:rsid w:val="78345E4C"/>
    <w:rsid w:val="78556B59"/>
    <w:rsid w:val="78755360"/>
    <w:rsid w:val="78BBF201"/>
    <w:rsid w:val="78C760AE"/>
    <w:rsid w:val="7912EF6D"/>
    <w:rsid w:val="7927AFF6"/>
    <w:rsid w:val="79BFF96E"/>
    <w:rsid w:val="7A02AF62"/>
    <w:rsid w:val="7A755AD9"/>
    <w:rsid w:val="7A8CF13F"/>
    <w:rsid w:val="7AE5219B"/>
    <w:rsid w:val="7BAE44F8"/>
    <w:rsid w:val="7C021057"/>
    <w:rsid w:val="7C52CD7F"/>
    <w:rsid w:val="7CB36CC7"/>
    <w:rsid w:val="7D0D6E57"/>
    <w:rsid w:val="7D2F4502"/>
    <w:rsid w:val="7D6A625B"/>
    <w:rsid w:val="7D8A6A73"/>
    <w:rsid w:val="7DEC0724"/>
    <w:rsid w:val="7DF83B51"/>
    <w:rsid w:val="7E3D9864"/>
    <w:rsid w:val="7E514D79"/>
    <w:rsid w:val="7E58AF28"/>
    <w:rsid w:val="7FD61D8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shapelayout v:ext="edit">
      <o:idmap v:ext="edit" data="1"/>
    </o:shapelayout>
  </w:shapeDefaults>
  <w:decimalSymbol w:val="."/>
  <w:listSeparator w:val=","/>
  <w14:docId w14:val="2C87175D"/>
  <w15:docId w15:val="{F4D54771-B164-4B68-8C6C-BA72EBC36E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2"/>
        <w:szCs w:val="22"/>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2D50BD"/>
    <w:pPr>
      <w:autoSpaceDE w:val="0"/>
      <w:autoSpaceDN w:val="0"/>
      <w:adjustRightInd w:val="0"/>
    </w:pPr>
  </w:style>
  <w:style w:type="paragraph" w:styleId="Heading1">
    <w:name w:val="heading 1"/>
    <w:basedOn w:val="Normal"/>
    <w:next w:val="Bodytextwithparaspace"/>
    <w:link w:val="Heading1Char"/>
    <w:uiPriority w:val="9"/>
    <w:qFormat/>
    <w:rsid w:val="00F84400"/>
    <w:pPr>
      <w:keepNext/>
      <w:tabs>
        <w:tab w:val="left" w:pos="720"/>
      </w:tabs>
      <w:spacing w:after="240"/>
      <w:outlineLvl w:val="0"/>
    </w:pPr>
    <w:rPr>
      <w:b/>
      <w:bCs/>
      <w:sz w:val="32"/>
      <w:szCs w:val="24"/>
    </w:rPr>
  </w:style>
  <w:style w:type="paragraph" w:styleId="Heading2">
    <w:name w:val="heading 2"/>
    <w:basedOn w:val="Normal"/>
    <w:next w:val="Bodytextwithparaspace"/>
    <w:link w:val="Heading2Char"/>
    <w:uiPriority w:val="9"/>
    <w:qFormat/>
    <w:rsid w:val="00F84400"/>
    <w:pPr>
      <w:keepNext/>
      <w:spacing w:after="120"/>
      <w:outlineLvl w:val="1"/>
    </w:pPr>
    <w:rPr>
      <w:rFonts w:cs="Arial"/>
      <w:b/>
      <w:bCs/>
      <w:iCs/>
      <w:sz w:val="28"/>
    </w:rPr>
  </w:style>
  <w:style w:type="paragraph" w:styleId="Heading3">
    <w:name w:val="heading 3"/>
    <w:basedOn w:val="Normal"/>
    <w:next w:val="Bodytextwithparaspace"/>
    <w:link w:val="Heading3Char"/>
    <w:uiPriority w:val="9"/>
    <w:qFormat/>
    <w:rsid w:val="00F84400"/>
    <w:pPr>
      <w:keepNext/>
      <w:spacing w:after="120"/>
      <w:outlineLvl w:val="2"/>
    </w:pPr>
    <w:rPr>
      <w:rFonts w:cs="Arial"/>
      <w:b/>
      <w:bCs/>
      <w:sz w:val="24"/>
    </w:rPr>
  </w:style>
  <w:style w:type="paragraph" w:styleId="Heading4">
    <w:name w:val="heading 4"/>
    <w:basedOn w:val="Normal"/>
    <w:next w:val="Bodytextwithparaspace"/>
    <w:link w:val="Heading4Char"/>
    <w:uiPriority w:val="9"/>
    <w:qFormat/>
    <w:rsid w:val="00F84400"/>
    <w:pPr>
      <w:spacing w:after="120"/>
      <w:outlineLvl w:val="3"/>
    </w:pPr>
    <w:rPr>
      <w:color w:val="000000"/>
      <w:sz w:val="24"/>
    </w:rPr>
  </w:style>
  <w:style w:type="paragraph" w:styleId="Heading5">
    <w:name w:val="heading 5"/>
    <w:basedOn w:val="Normal"/>
    <w:next w:val="Bodytextwithparaspace"/>
    <w:link w:val="Heading5Char"/>
    <w:uiPriority w:val="9"/>
    <w:qFormat/>
    <w:rsid w:val="00F84400"/>
    <w:pPr>
      <w:spacing w:after="120"/>
      <w:outlineLvl w:val="4"/>
    </w:pPr>
    <w:rPr>
      <w:b/>
    </w:rPr>
  </w:style>
  <w:style w:type="paragraph" w:styleId="Heading6">
    <w:name w:val="heading 6"/>
    <w:basedOn w:val="Normal"/>
    <w:next w:val="Bodytextwithparaspace"/>
    <w:link w:val="Heading6Char"/>
    <w:uiPriority w:val="9"/>
    <w:qFormat/>
    <w:rsid w:val="00F84400"/>
    <w:pPr>
      <w:outlineLvl w:val="5"/>
    </w:pPr>
  </w:style>
  <w:style w:type="paragraph" w:styleId="Heading7">
    <w:name w:val="heading 7"/>
    <w:basedOn w:val="Normal"/>
    <w:next w:val="Bodytextwithparaspace"/>
    <w:link w:val="Heading7Char"/>
    <w:rsid w:val="00F84400"/>
    <w:pPr>
      <w:spacing w:after="120"/>
      <w:outlineLvl w:val="6"/>
    </w:pPr>
    <w:rPr>
      <w:b/>
    </w:rPr>
  </w:style>
  <w:style w:type="paragraph" w:styleId="Heading8">
    <w:name w:val="heading 8"/>
    <w:basedOn w:val="Normal"/>
    <w:next w:val="Bodytextwithparaspace"/>
    <w:link w:val="Heading8Char"/>
    <w:rsid w:val="00F84400"/>
    <w:pPr>
      <w:spacing w:after="120"/>
      <w:outlineLvl w:val="7"/>
    </w:pPr>
  </w:style>
  <w:style w:type="paragraph" w:styleId="Heading9">
    <w:name w:val="heading 9"/>
    <w:basedOn w:val="Normal"/>
    <w:next w:val="Bodytextwithparaspace"/>
    <w:link w:val="Heading9Char"/>
    <w:rsid w:val="00F84400"/>
    <w:pPr>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extwithparaspace">
    <w:name w:val="Body text (with para space)"/>
    <w:basedOn w:val="Normal"/>
    <w:link w:val="BodytextwithparaspaceChar"/>
    <w:qFormat/>
    <w:rsid w:val="004C037A"/>
    <w:pPr>
      <w:spacing w:after="240"/>
    </w:pPr>
  </w:style>
  <w:style w:type="paragraph" w:customStyle="1" w:styleId="Bodytextwithoutparaspace">
    <w:name w:val="Body text (without para space)"/>
    <w:basedOn w:val="Normal"/>
    <w:qFormat/>
    <w:rsid w:val="004C037A"/>
  </w:style>
  <w:style w:type="paragraph" w:styleId="Footer">
    <w:name w:val="footer"/>
    <w:aliases w:val="EY Footer"/>
    <w:basedOn w:val="Normal"/>
    <w:link w:val="FooterChar"/>
    <w:uiPriority w:val="99"/>
    <w:rsid w:val="004C037A"/>
    <w:pPr>
      <w:widowControl w:val="0"/>
      <w:tabs>
        <w:tab w:val="center" w:pos="4320"/>
        <w:tab w:val="right" w:pos="8640"/>
      </w:tabs>
    </w:pPr>
    <w:rPr>
      <w:sz w:val="18"/>
    </w:rPr>
  </w:style>
  <w:style w:type="character" w:customStyle="1" w:styleId="FooterChar">
    <w:name w:val="Footer Char"/>
    <w:aliases w:val="EY Footer Char"/>
    <w:basedOn w:val="DefaultParagraphFont"/>
    <w:link w:val="Footer"/>
    <w:uiPriority w:val="99"/>
    <w:rsid w:val="002D50BD"/>
    <w:rPr>
      <w:sz w:val="18"/>
    </w:rPr>
  </w:style>
  <w:style w:type="paragraph" w:customStyle="1" w:styleId="EYAppendix">
    <w:name w:val="EY Appendix"/>
    <w:basedOn w:val="Normal"/>
    <w:next w:val="Bodytextwithparaspace"/>
    <w:qFormat/>
    <w:rsid w:val="004C037A"/>
    <w:pPr>
      <w:numPr>
        <w:numId w:val="3"/>
      </w:numPr>
      <w:autoSpaceDE/>
      <w:autoSpaceDN/>
      <w:adjustRightInd/>
      <w:spacing w:after="360"/>
      <w:ind w:left="2268"/>
      <w:outlineLvl w:val="0"/>
    </w:pPr>
    <w:rPr>
      <w:b/>
      <w:color w:val="747480"/>
      <w:sz w:val="32"/>
      <w:szCs w:val="24"/>
    </w:rPr>
  </w:style>
  <w:style w:type="paragraph" w:styleId="Header">
    <w:name w:val="header"/>
    <w:basedOn w:val="Normal"/>
    <w:link w:val="HeaderChar"/>
    <w:uiPriority w:val="99"/>
    <w:rsid w:val="004C037A"/>
    <w:pPr>
      <w:tabs>
        <w:tab w:val="center" w:pos="4513"/>
        <w:tab w:val="right" w:pos="9026"/>
      </w:tabs>
    </w:pPr>
    <w:rPr>
      <w:sz w:val="18"/>
    </w:rPr>
  </w:style>
  <w:style w:type="character" w:customStyle="1" w:styleId="HeaderChar">
    <w:name w:val="Header Char"/>
    <w:basedOn w:val="DefaultParagraphFont"/>
    <w:link w:val="Header"/>
    <w:uiPriority w:val="99"/>
    <w:rsid w:val="002D50BD"/>
    <w:rPr>
      <w:sz w:val="18"/>
    </w:rPr>
  </w:style>
  <w:style w:type="paragraph" w:customStyle="1" w:styleId="Contents">
    <w:name w:val="Contents"/>
    <w:basedOn w:val="Normal"/>
    <w:next w:val="Bodytextwithparaspace"/>
    <w:rsid w:val="004C037A"/>
    <w:pPr>
      <w:keepNext/>
      <w:spacing w:after="240"/>
    </w:pPr>
    <w:rPr>
      <w:b/>
      <w:color w:val="747480"/>
      <w:sz w:val="28"/>
      <w:szCs w:val="24"/>
    </w:rPr>
  </w:style>
  <w:style w:type="paragraph" w:customStyle="1" w:styleId="CoverTitle">
    <w:name w:val="Cover Title"/>
    <w:basedOn w:val="Normal"/>
    <w:rsid w:val="00F84400"/>
    <w:pPr>
      <w:tabs>
        <w:tab w:val="right" w:pos="6750"/>
      </w:tabs>
      <w:spacing w:after="120" w:line="560" w:lineRule="atLeast"/>
    </w:pPr>
    <w:rPr>
      <w:color w:val="2E2E38"/>
      <w:sz w:val="48"/>
      <w:szCs w:val="48"/>
    </w:rPr>
  </w:style>
  <w:style w:type="paragraph" w:customStyle="1" w:styleId="EYHeading4">
    <w:name w:val="EY Heading 4"/>
    <w:basedOn w:val="Normal"/>
    <w:next w:val="Bodytextwithparaspace"/>
    <w:qFormat/>
    <w:rsid w:val="004C037A"/>
    <w:pPr>
      <w:keepNext/>
      <w:numPr>
        <w:ilvl w:val="3"/>
        <w:numId w:val="1"/>
      </w:numPr>
      <w:spacing w:after="120"/>
      <w:ind w:left="851"/>
      <w:outlineLvl w:val="3"/>
    </w:pPr>
    <w:rPr>
      <w:b/>
      <w:szCs w:val="24"/>
    </w:rPr>
  </w:style>
  <w:style w:type="paragraph" w:customStyle="1" w:styleId="EYIndent1">
    <w:name w:val="EY Indent 1"/>
    <w:basedOn w:val="Normal"/>
    <w:qFormat/>
    <w:rsid w:val="004C037A"/>
    <w:pPr>
      <w:autoSpaceDE/>
      <w:autoSpaceDN/>
      <w:adjustRightInd/>
      <w:spacing w:after="240"/>
      <w:ind w:left="425"/>
    </w:pPr>
    <w:rPr>
      <w:kern w:val="12"/>
      <w:szCs w:val="24"/>
      <w:lang w:eastAsia="en-AU"/>
    </w:rPr>
  </w:style>
  <w:style w:type="paragraph" w:customStyle="1" w:styleId="Source">
    <w:name w:val="Source"/>
    <w:basedOn w:val="Normal"/>
    <w:next w:val="Bodytextwithparaspace"/>
    <w:qFormat/>
    <w:rsid w:val="004C037A"/>
    <w:pPr>
      <w:autoSpaceDE/>
      <w:autoSpaceDN/>
      <w:adjustRightInd/>
      <w:spacing w:before="60" w:after="60"/>
    </w:pPr>
    <w:rPr>
      <w:i/>
      <w:sz w:val="18"/>
      <w:szCs w:val="24"/>
    </w:rPr>
  </w:style>
  <w:style w:type="paragraph" w:customStyle="1" w:styleId="TableText">
    <w:name w:val="Table Text"/>
    <w:basedOn w:val="EYTableNormal"/>
    <w:qFormat/>
    <w:rsid w:val="00BE7613"/>
    <w:pPr>
      <w:spacing w:before="60" w:after="60"/>
    </w:pPr>
  </w:style>
  <w:style w:type="paragraph" w:customStyle="1" w:styleId="TableHeading">
    <w:name w:val="Table Heading"/>
    <w:basedOn w:val="EYTableNormal"/>
    <w:qFormat/>
    <w:rsid w:val="00F84400"/>
    <w:pPr>
      <w:spacing w:before="60" w:after="60"/>
    </w:pPr>
    <w:rPr>
      <w:b/>
      <w:color w:val="747480"/>
    </w:rPr>
  </w:style>
  <w:style w:type="paragraph" w:customStyle="1" w:styleId="Tabletextbold">
    <w:name w:val="Table text bold"/>
    <w:basedOn w:val="EYTableNormal"/>
    <w:next w:val="TableText"/>
    <w:rsid w:val="00BE7613"/>
    <w:pPr>
      <w:spacing w:before="60" w:after="60"/>
    </w:pPr>
    <w:rPr>
      <w:b/>
    </w:rPr>
  </w:style>
  <w:style w:type="character" w:styleId="Hyperlink">
    <w:name w:val="Hyperlink"/>
    <w:basedOn w:val="DefaultParagraphFont"/>
    <w:uiPriority w:val="99"/>
    <w:rsid w:val="00BE7613"/>
    <w:rPr>
      <w:rFonts w:ascii="Calibri" w:hAnsi="Calibri"/>
      <w:color w:val="155CB4"/>
      <w:sz w:val="22"/>
      <w:u w:val="single"/>
    </w:rPr>
  </w:style>
  <w:style w:type="paragraph" w:styleId="TOC1">
    <w:name w:val="toc 1"/>
    <w:basedOn w:val="Normal"/>
    <w:next w:val="Normal"/>
    <w:uiPriority w:val="39"/>
    <w:rsid w:val="00F84400"/>
    <w:pPr>
      <w:tabs>
        <w:tab w:val="left" w:pos="600"/>
        <w:tab w:val="right" w:leader="dot" w:pos="13892"/>
      </w:tabs>
      <w:autoSpaceDE/>
      <w:autoSpaceDN/>
      <w:adjustRightInd/>
      <w:snapToGrid w:val="0"/>
      <w:spacing w:before="120"/>
    </w:pPr>
    <w:rPr>
      <w:rFonts w:cs="Arial"/>
      <w:noProof/>
      <w:szCs w:val="24"/>
      <w:lang w:eastAsia="en-GB"/>
    </w:rPr>
  </w:style>
  <w:style w:type="paragraph" w:styleId="TOC2">
    <w:name w:val="toc 2"/>
    <w:basedOn w:val="Normal"/>
    <w:next w:val="Normal"/>
    <w:uiPriority w:val="39"/>
    <w:rsid w:val="00F84400"/>
    <w:pPr>
      <w:tabs>
        <w:tab w:val="left" w:pos="960"/>
        <w:tab w:val="right" w:leader="dot" w:pos="13892"/>
      </w:tabs>
      <w:autoSpaceDE/>
      <w:autoSpaceDN/>
      <w:adjustRightInd/>
      <w:snapToGrid w:val="0"/>
      <w:spacing w:before="60"/>
      <w:ind w:left="198"/>
    </w:pPr>
    <w:rPr>
      <w:rFonts w:cs="Arial"/>
      <w:noProof/>
      <w:szCs w:val="24"/>
      <w:lang w:eastAsia="en-GB"/>
    </w:rPr>
  </w:style>
  <w:style w:type="paragraph" w:customStyle="1" w:styleId="TableHeadingWhite">
    <w:name w:val="Table Heading (White)"/>
    <w:basedOn w:val="EYTableNormal"/>
    <w:qFormat/>
    <w:rsid w:val="00F84400"/>
    <w:pPr>
      <w:spacing w:before="60" w:after="60"/>
    </w:pPr>
    <w:rPr>
      <w:b/>
      <w:bCs/>
      <w:color w:val="FFFFFF"/>
    </w:rPr>
  </w:style>
  <w:style w:type="paragraph" w:customStyle="1" w:styleId="CoverDate">
    <w:name w:val="Cover Date"/>
    <w:basedOn w:val="Normal"/>
    <w:rsid w:val="004C037A"/>
    <w:pPr>
      <w:autoSpaceDE/>
      <w:autoSpaceDN/>
      <w:adjustRightInd/>
      <w:spacing w:line="320" w:lineRule="atLeast"/>
    </w:pPr>
    <w:rPr>
      <w:b/>
      <w:color w:val="2E2E38"/>
      <w:sz w:val="24"/>
      <w:szCs w:val="24"/>
    </w:rPr>
  </w:style>
  <w:style w:type="paragraph" w:customStyle="1" w:styleId="CoverSubTitle">
    <w:name w:val="Cover SubTitle"/>
    <w:basedOn w:val="Normal"/>
    <w:rsid w:val="004C037A"/>
    <w:pPr>
      <w:spacing w:after="120" w:line="360" w:lineRule="atLeast"/>
    </w:pPr>
    <w:rPr>
      <w:color w:val="2E2E38"/>
      <w:sz w:val="28"/>
      <w:szCs w:val="24"/>
    </w:rPr>
  </w:style>
  <w:style w:type="character" w:styleId="FootnoteReference">
    <w:name w:val="footnote reference"/>
    <w:aliases w:val="fr"/>
    <w:basedOn w:val="DefaultParagraphFont"/>
    <w:uiPriority w:val="99"/>
    <w:semiHidden/>
    <w:rsid w:val="004C037A"/>
    <w:rPr>
      <w:rFonts w:ascii="Calibri" w:hAnsi="Calibri"/>
      <w:position w:val="0"/>
      <w:sz w:val="20"/>
      <w:szCs w:val="20"/>
      <w:vertAlign w:val="superscript"/>
    </w:rPr>
  </w:style>
  <w:style w:type="character" w:customStyle="1" w:styleId="FootnoteTextChar">
    <w:name w:val="Footnote Text Char"/>
    <w:aliases w:val="fn Char,FT Char,ft Char,SD Footnote Text Char,Footnote Text AG Char"/>
    <w:basedOn w:val="DefaultParagraphFont"/>
    <w:link w:val="FootnoteText"/>
    <w:uiPriority w:val="99"/>
    <w:semiHidden/>
    <w:rsid w:val="00F84400"/>
    <w:rPr>
      <w:rFonts w:ascii="EYInterstate Light" w:hAnsi="EYInterstate Light"/>
      <w:sz w:val="16"/>
      <w:lang w:val="en-AU"/>
    </w:rPr>
  </w:style>
  <w:style w:type="paragraph" w:styleId="FootnoteText">
    <w:name w:val="footnote text"/>
    <w:aliases w:val="fn,FT,ft,SD Footnote Text,Footnote Text AG"/>
    <w:basedOn w:val="Normal"/>
    <w:link w:val="FootnoteTextChar"/>
    <w:uiPriority w:val="99"/>
    <w:semiHidden/>
    <w:rsid w:val="00F84400"/>
    <w:pPr>
      <w:keepNext/>
      <w:keepLines/>
    </w:pPr>
    <w:rPr>
      <w:sz w:val="16"/>
    </w:rPr>
  </w:style>
  <w:style w:type="character" w:customStyle="1" w:styleId="FootnoteTextChar1">
    <w:name w:val="Footnote Text Char1"/>
    <w:basedOn w:val="DefaultParagraphFont"/>
    <w:semiHidden/>
    <w:rsid w:val="00F84400"/>
    <w:rPr>
      <w:lang w:val="en-AU"/>
    </w:rPr>
  </w:style>
  <w:style w:type="paragraph" w:customStyle="1" w:styleId="Bulletnoparaspace">
    <w:name w:val="Bullet (no para space)"/>
    <w:basedOn w:val="Normal"/>
    <w:qFormat/>
    <w:rsid w:val="004C037A"/>
    <w:pPr>
      <w:numPr>
        <w:numId w:val="2"/>
      </w:numPr>
      <w:autoSpaceDE/>
      <w:autoSpaceDN/>
      <w:adjustRightInd/>
      <w:spacing w:after="240"/>
      <w:contextualSpacing/>
    </w:pPr>
    <w:rPr>
      <w:szCs w:val="24"/>
    </w:rPr>
  </w:style>
  <w:style w:type="paragraph" w:customStyle="1" w:styleId="BulletedText1">
    <w:name w:val="Bulleted Text 1"/>
    <w:basedOn w:val="Normal"/>
    <w:qFormat/>
    <w:rsid w:val="004C037A"/>
    <w:pPr>
      <w:numPr>
        <w:numId w:val="70"/>
      </w:numPr>
      <w:autoSpaceDE/>
      <w:autoSpaceDN/>
      <w:adjustRightInd/>
      <w:spacing w:after="240"/>
    </w:pPr>
    <w:rPr>
      <w:szCs w:val="24"/>
    </w:rPr>
  </w:style>
  <w:style w:type="paragraph" w:customStyle="1" w:styleId="BulletedText2">
    <w:name w:val="Bulleted Text 2"/>
    <w:basedOn w:val="Normal"/>
    <w:qFormat/>
    <w:rsid w:val="004C037A"/>
    <w:pPr>
      <w:numPr>
        <w:ilvl w:val="1"/>
        <w:numId w:val="70"/>
      </w:numPr>
      <w:suppressAutoHyphens/>
      <w:autoSpaceDE/>
      <w:autoSpaceDN/>
      <w:adjustRightInd/>
      <w:spacing w:after="240"/>
    </w:pPr>
    <w:rPr>
      <w:kern w:val="12"/>
      <w:szCs w:val="24"/>
    </w:rPr>
  </w:style>
  <w:style w:type="paragraph" w:customStyle="1" w:styleId="BulletedText3">
    <w:name w:val="Bulleted Text 3"/>
    <w:basedOn w:val="Normal"/>
    <w:qFormat/>
    <w:rsid w:val="004C037A"/>
    <w:pPr>
      <w:numPr>
        <w:ilvl w:val="2"/>
        <w:numId w:val="70"/>
      </w:numPr>
      <w:spacing w:after="240"/>
    </w:pPr>
    <w:rPr>
      <w:szCs w:val="24"/>
    </w:rPr>
  </w:style>
  <w:style w:type="paragraph" w:customStyle="1" w:styleId="Leader">
    <w:name w:val="Leader"/>
    <w:basedOn w:val="Normal"/>
    <w:next w:val="Bodytextwithparaspace"/>
    <w:qFormat/>
    <w:rsid w:val="004C037A"/>
    <w:pPr>
      <w:spacing w:after="280" w:line="280" w:lineRule="atLeast"/>
    </w:pPr>
    <w:rPr>
      <w:color w:val="747480"/>
      <w:sz w:val="24"/>
    </w:rPr>
  </w:style>
  <w:style w:type="paragraph" w:customStyle="1" w:styleId="EY1Number">
    <w:name w:val="EY1 ( Number)"/>
    <w:basedOn w:val="Normal"/>
    <w:qFormat/>
    <w:rsid w:val="004C037A"/>
    <w:pPr>
      <w:autoSpaceDE/>
      <w:autoSpaceDN/>
      <w:adjustRightInd/>
      <w:spacing w:after="240"/>
      <w:ind w:left="425" w:hanging="425"/>
    </w:pPr>
    <w:rPr>
      <w:kern w:val="12"/>
      <w:szCs w:val="24"/>
      <w:lang w:eastAsia="en-AU"/>
    </w:rPr>
  </w:style>
  <w:style w:type="paragraph" w:customStyle="1" w:styleId="EY2Letter">
    <w:name w:val="EY2 ( Letter)"/>
    <w:basedOn w:val="EY1Number"/>
    <w:qFormat/>
    <w:rsid w:val="00F84400"/>
    <w:pPr>
      <w:ind w:left="851" w:hanging="426"/>
    </w:pPr>
  </w:style>
  <w:style w:type="paragraph" w:customStyle="1" w:styleId="EY3Roman">
    <w:name w:val="EY3 (Roman)"/>
    <w:basedOn w:val="EY1Number"/>
    <w:qFormat/>
    <w:rsid w:val="00F84400"/>
    <w:pPr>
      <w:ind w:left="1276"/>
    </w:pPr>
  </w:style>
  <w:style w:type="numbering" w:customStyle="1" w:styleId="EYBulletList">
    <w:name w:val="EYBulletList"/>
    <w:uiPriority w:val="99"/>
    <w:rsid w:val="004C037A"/>
    <w:pPr>
      <w:numPr>
        <w:numId w:val="6"/>
      </w:numPr>
    </w:pPr>
  </w:style>
  <w:style w:type="numbering" w:customStyle="1" w:styleId="EYPlainBulletList">
    <w:name w:val="EYPlainBulletList"/>
    <w:uiPriority w:val="99"/>
    <w:rsid w:val="004C037A"/>
    <w:pPr>
      <w:numPr>
        <w:numId w:val="2"/>
      </w:numPr>
    </w:pPr>
  </w:style>
  <w:style w:type="numbering" w:customStyle="1" w:styleId="EYAlphaNumList">
    <w:name w:val="EYAlphaNumList"/>
    <w:uiPriority w:val="99"/>
    <w:rsid w:val="00F84400"/>
    <w:pPr>
      <w:numPr>
        <w:numId w:val="5"/>
      </w:numPr>
    </w:pPr>
  </w:style>
  <w:style w:type="character" w:customStyle="1" w:styleId="Heading4Char">
    <w:name w:val="Heading 4 Char"/>
    <w:basedOn w:val="DefaultParagraphFont"/>
    <w:link w:val="Heading4"/>
    <w:uiPriority w:val="9"/>
    <w:rsid w:val="00F84400"/>
    <w:rPr>
      <w:rFonts w:ascii="EYInterstate Light" w:hAnsi="EYInterstate Light"/>
      <w:color w:val="000000"/>
      <w:sz w:val="24"/>
      <w:lang w:val="en-AU"/>
    </w:rPr>
  </w:style>
  <w:style w:type="character" w:customStyle="1" w:styleId="Heading5Char">
    <w:name w:val="Heading 5 Char"/>
    <w:basedOn w:val="DefaultParagraphFont"/>
    <w:link w:val="Heading5"/>
    <w:uiPriority w:val="9"/>
    <w:rsid w:val="00F84400"/>
    <w:rPr>
      <w:rFonts w:ascii="EYInterstate Light" w:hAnsi="EYInterstate Light"/>
      <w:b/>
      <w:sz w:val="22"/>
      <w:lang w:val="en-AU"/>
    </w:rPr>
  </w:style>
  <w:style w:type="character" w:customStyle="1" w:styleId="Heading6Char">
    <w:name w:val="Heading 6 Char"/>
    <w:basedOn w:val="DefaultParagraphFont"/>
    <w:link w:val="Heading6"/>
    <w:uiPriority w:val="9"/>
    <w:rsid w:val="00F84400"/>
    <w:rPr>
      <w:rFonts w:ascii="EYInterstate Light" w:hAnsi="EYInterstate Light"/>
      <w:sz w:val="22"/>
      <w:lang w:val="en-AU"/>
    </w:rPr>
  </w:style>
  <w:style w:type="character" w:customStyle="1" w:styleId="Heading7Char">
    <w:name w:val="Heading 7 Char"/>
    <w:basedOn w:val="DefaultParagraphFont"/>
    <w:link w:val="Heading7"/>
    <w:rsid w:val="00F84400"/>
    <w:rPr>
      <w:rFonts w:ascii="EYInterstate Light" w:hAnsi="EYInterstate Light"/>
      <w:b/>
      <w:lang w:val="en-AU"/>
    </w:rPr>
  </w:style>
  <w:style w:type="character" w:customStyle="1" w:styleId="Heading8Char">
    <w:name w:val="Heading 8 Char"/>
    <w:basedOn w:val="DefaultParagraphFont"/>
    <w:link w:val="Heading8"/>
    <w:rsid w:val="00F84400"/>
    <w:rPr>
      <w:rFonts w:ascii="EYInterstate Light" w:hAnsi="EYInterstate Light"/>
      <w:lang w:val="en-AU"/>
    </w:rPr>
  </w:style>
  <w:style w:type="character" w:customStyle="1" w:styleId="Heading9Char">
    <w:name w:val="Heading 9 Char"/>
    <w:basedOn w:val="DefaultParagraphFont"/>
    <w:link w:val="Heading9"/>
    <w:rsid w:val="00F84400"/>
    <w:rPr>
      <w:rFonts w:ascii="EYInterstate Light" w:hAnsi="EYInterstate Light"/>
      <w:i/>
      <w:lang w:val="en-AU"/>
    </w:rPr>
  </w:style>
  <w:style w:type="paragraph" w:customStyle="1" w:styleId="EYAppendixHeading2">
    <w:name w:val="EY Appendix Heading 2"/>
    <w:basedOn w:val="Normal"/>
    <w:next w:val="Bodytextwithparaspace"/>
    <w:qFormat/>
    <w:rsid w:val="004C037A"/>
    <w:pPr>
      <w:keepNext/>
      <w:autoSpaceDE/>
      <w:autoSpaceDN/>
      <w:adjustRightInd/>
      <w:spacing w:after="120"/>
    </w:pPr>
    <w:rPr>
      <w:b/>
      <w:sz w:val="28"/>
      <w:szCs w:val="24"/>
    </w:rPr>
  </w:style>
  <w:style w:type="paragraph" w:customStyle="1" w:styleId="EYAppendixHeading3">
    <w:name w:val="EY Appendix Heading 3"/>
    <w:basedOn w:val="Normal"/>
    <w:next w:val="Bodytextwithparaspace"/>
    <w:qFormat/>
    <w:rsid w:val="004C037A"/>
    <w:pPr>
      <w:keepNext/>
      <w:autoSpaceDE/>
      <w:autoSpaceDN/>
      <w:adjustRightInd/>
      <w:spacing w:after="120"/>
    </w:pPr>
    <w:rPr>
      <w:b/>
      <w:sz w:val="26"/>
      <w:szCs w:val="24"/>
    </w:rPr>
  </w:style>
  <w:style w:type="paragraph" w:customStyle="1" w:styleId="EYIndent2">
    <w:name w:val="EY Indent 2"/>
    <w:basedOn w:val="EYIndent1"/>
    <w:qFormat/>
    <w:rsid w:val="00F84400"/>
    <w:pPr>
      <w:ind w:left="851"/>
    </w:pPr>
  </w:style>
  <w:style w:type="paragraph" w:customStyle="1" w:styleId="EYIndent3">
    <w:name w:val="EY Indent 3"/>
    <w:basedOn w:val="EYIndent1"/>
    <w:qFormat/>
    <w:rsid w:val="00F84400"/>
    <w:pPr>
      <w:ind w:left="1276"/>
    </w:pPr>
  </w:style>
  <w:style w:type="paragraph" w:customStyle="1" w:styleId="Subheading">
    <w:name w:val="Subheading"/>
    <w:basedOn w:val="Normal"/>
    <w:next w:val="Bodytextwithparaspace"/>
    <w:qFormat/>
    <w:rsid w:val="004C037A"/>
    <w:pPr>
      <w:keepNext/>
      <w:autoSpaceDE/>
      <w:autoSpaceDN/>
      <w:adjustRightInd/>
      <w:spacing w:after="120"/>
    </w:pPr>
    <w:rPr>
      <w:b/>
      <w:kern w:val="12"/>
      <w:szCs w:val="24"/>
      <w:lang w:eastAsia="en-AU"/>
    </w:rPr>
  </w:style>
  <w:style w:type="paragraph" w:customStyle="1" w:styleId="EYTableNormal">
    <w:name w:val="EY Table Normal"/>
    <w:basedOn w:val="Normal"/>
    <w:rsid w:val="002D50BD"/>
    <w:pPr>
      <w:autoSpaceDE/>
      <w:autoSpaceDN/>
      <w:adjustRightInd/>
    </w:pPr>
    <w:rPr>
      <w:sz w:val="18"/>
      <w:szCs w:val="24"/>
    </w:rPr>
  </w:style>
  <w:style w:type="paragraph" w:customStyle="1" w:styleId="Tablebullet1">
    <w:name w:val="Table bullet 1"/>
    <w:basedOn w:val="EYTableNormal"/>
    <w:qFormat/>
    <w:rsid w:val="00F84400"/>
    <w:pPr>
      <w:numPr>
        <w:numId w:val="4"/>
      </w:numPr>
      <w:spacing w:before="60" w:after="60"/>
    </w:pPr>
    <w:rPr>
      <w:lang w:eastAsia="en-AU"/>
    </w:rPr>
  </w:style>
  <w:style w:type="paragraph" w:customStyle="1" w:styleId="Tablebullet2">
    <w:name w:val="Table bullet 2"/>
    <w:basedOn w:val="EYTableNormal"/>
    <w:qFormat/>
    <w:rsid w:val="00F84400"/>
    <w:pPr>
      <w:numPr>
        <w:ilvl w:val="1"/>
        <w:numId w:val="4"/>
      </w:numPr>
      <w:spacing w:before="60" w:after="60"/>
    </w:pPr>
  </w:style>
  <w:style w:type="paragraph" w:styleId="TOC3">
    <w:name w:val="toc 3"/>
    <w:basedOn w:val="Normal"/>
    <w:next w:val="Normal"/>
    <w:uiPriority w:val="39"/>
    <w:rsid w:val="00F84400"/>
    <w:pPr>
      <w:tabs>
        <w:tab w:val="left" w:pos="1200"/>
        <w:tab w:val="right" w:leader="dot" w:pos="13892"/>
      </w:tabs>
      <w:autoSpaceDE/>
      <w:autoSpaceDN/>
      <w:adjustRightInd/>
      <w:snapToGrid w:val="0"/>
      <w:spacing w:before="60"/>
      <w:ind w:left="403"/>
    </w:pPr>
    <w:rPr>
      <w:rFonts w:cs="Arial"/>
      <w:noProof/>
      <w:szCs w:val="24"/>
      <w:lang w:eastAsia="en-GB"/>
    </w:rPr>
  </w:style>
  <w:style w:type="paragraph" w:styleId="TOC4">
    <w:name w:val="toc 4"/>
    <w:basedOn w:val="Normal"/>
    <w:next w:val="Normal"/>
    <w:uiPriority w:val="39"/>
    <w:rsid w:val="00F84400"/>
    <w:pPr>
      <w:tabs>
        <w:tab w:val="left" w:pos="1680"/>
        <w:tab w:val="right" w:leader="dot" w:pos="13892"/>
      </w:tabs>
      <w:autoSpaceDE/>
      <w:autoSpaceDN/>
      <w:adjustRightInd/>
      <w:snapToGrid w:val="0"/>
      <w:spacing w:before="60"/>
      <w:ind w:left="601"/>
    </w:pPr>
    <w:rPr>
      <w:rFonts w:cs="Arial"/>
      <w:noProof/>
      <w:szCs w:val="24"/>
      <w:lang w:eastAsia="en-GB"/>
    </w:rPr>
  </w:style>
  <w:style w:type="paragraph" w:styleId="BalloonText">
    <w:name w:val="Balloon Text"/>
    <w:basedOn w:val="Normal"/>
    <w:link w:val="BalloonTextChar"/>
    <w:uiPriority w:val="99"/>
    <w:semiHidden/>
    <w:rsid w:val="00F84400"/>
    <w:rPr>
      <w:rFonts w:ascii="Tahoma" w:hAnsi="Tahoma" w:cs="Tahoma"/>
      <w:sz w:val="16"/>
      <w:szCs w:val="16"/>
    </w:rPr>
  </w:style>
  <w:style w:type="character" w:customStyle="1" w:styleId="BalloonTextChar">
    <w:name w:val="Balloon Text Char"/>
    <w:basedOn w:val="DefaultParagraphFont"/>
    <w:link w:val="BalloonText"/>
    <w:uiPriority w:val="99"/>
    <w:semiHidden/>
    <w:rsid w:val="00F84400"/>
    <w:rPr>
      <w:rFonts w:ascii="Tahoma" w:hAnsi="Tahoma" w:cs="Tahoma"/>
      <w:sz w:val="16"/>
      <w:szCs w:val="16"/>
      <w:lang w:val="en-AU"/>
    </w:rPr>
  </w:style>
  <w:style w:type="character" w:styleId="EndnoteReference">
    <w:name w:val="endnote reference"/>
    <w:basedOn w:val="DefaultParagraphFont"/>
    <w:semiHidden/>
    <w:rsid w:val="00F84400"/>
    <w:rPr>
      <w:vertAlign w:val="superscript"/>
    </w:rPr>
  </w:style>
  <w:style w:type="paragraph" w:styleId="EndnoteText">
    <w:name w:val="endnote text"/>
    <w:basedOn w:val="Normal"/>
    <w:link w:val="EndnoteTextChar"/>
    <w:semiHidden/>
    <w:rsid w:val="00F84400"/>
  </w:style>
  <w:style w:type="character" w:customStyle="1" w:styleId="EndnoteTextChar">
    <w:name w:val="Endnote Text Char"/>
    <w:basedOn w:val="DefaultParagraphFont"/>
    <w:link w:val="EndnoteText"/>
    <w:semiHidden/>
    <w:rsid w:val="00F84400"/>
    <w:rPr>
      <w:rFonts w:ascii="EYInterstate Light" w:hAnsi="EYInterstate Light"/>
      <w:lang w:val="en-AU"/>
    </w:rPr>
  </w:style>
  <w:style w:type="numbering" w:customStyle="1" w:styleId="StyleNumbered">
    <w:name w:val="Style Numbered"/>
    <w:basedOn w:val="NoList"/>
    <w:rsid w:val="00F84400"/>
    <w:pPr>
      <w:numPr>
        <w:numId w:val="8"/>
      </w:numPr>
    </w:pPr>
  </w:style>
  <w:style w:type="paragraph" w:styleId="Caption">
    <w:name w:val="caption"/>
    <w:basedOn w:val="Normal"/>
    <w:next w:val="Normal"/>
    <w:uiPriority w:val="35"/>
    <w:unhideWhenUsed/>
    <w:qFormat/>
    <w:rsid w:val="00F979CF"/>
    <w:pPr>
      <w:spacing w:after="60"/>
    </w:pPr>
    <w:rPr>
      <w:b/>
      <w:bCs/>
      <w:color w:val="747480"/>
      <w:sz w:val="18"/>
      <w:szCs w:val="18"/>
    </w:rPr>
  </w:style>
  <w:style w:type="paragraph" w:customStyle="1" w:styleId="EYHeading1">
    <w:name w:val="EY Heading 1"/>
    <w:basedOn w:val="Normal"/>
    <w:next w:val="Bodytextwithparaspace"/>
    <w:qFormat/>
    <w:rsid w:val="004C037A"/>
    <w:pPr>
      <w:pageBreakBefore/>
      <w:numPr>
        <w:numId w:val="1"/>
      </w:numPr>
      <w:autoSpaceDE/>
      <w:autoSpaceDN/>
      <w:adjustRightInd/>
      <w:spacing w:after="360"/>
      <w:outlineLvl w:val="0"/>
    </w:pPr>
    <w:rPr>
      <w:b/>
      <w:color w:val="747480"/>
      <w:sz w:val="32"/>
      <w:szCs w:val="24"/>
    </w:rPr>
  </w:style>
  <w:style w:type="paragraph" w:customStyle="1" w:styleId="EYHeading2">
    <w:name w:val="EY Heading 2"/>
    <w:basedOn w:val="Normal"/>
    <w:next w:val="Bodytextwithparaspace"/>
    <w:qFormat/>
    <w:rsid w:val="004C037A"/>
    <w:pPr>
      <w:keepNext/>
      <w:numPr>
        <w:ilvl w:val="1"/>
        <w:numId w:val="1"/>
      </w:numPr>
      <w:spacing w:before="120" w:after="120"/>
      <w:ind w:left="851"/>
      <w:outlineLvl w:val="1"/>
    </w:pPr>
    <w:rPr>
      <w:b/>
      <w:sz w:val="28"/>
      <w:szCs w:val="24"/>
    </w:rPr>
  </w:style>
  <w:style w:type="paragraph" w:customStyle="1" w:styleId="EYHeading3">
    <w:name w:val="EY Heading 3"/>
    <w:basedOn w:val="Normal"/>
    <w:next w:val="Bodytextwithparaspace"/>
    <w:qFormat/>
    <w:rsid w:val="004C037A"/>
    <w:pPr>
      <w:keepNext/>
      <w:numPr>
        <w:ilvl w:val="2"/>
        <w:numId w:val="1"/>
      </w:numPr>
      <w:spacing w:before="120" w:after="120"/>
      <w:ind w:left="851"/>
      <w:outlineLvl w:val="2"/>
    </w:pPr>
    <w:rPr>
      <w:b/>
      <w:sz w:val="26"/>
      <w:szCs w:val="24"/>
    </w:rPr>
  </w:style>
  <w:style w:type="paragraph" w:styleId="ListParagraph">
    <w:name w:val="List Paragraph"/>
    <w:aliases w:val="List Paragraph1,Recommendation,List Paragraph11,L,Bullet points,#List Paragraph"/>
    <w:basedOn w:val="Normal"/>
    <w:link w:val="ListParagraphChar"/>
    <w:uiPriority w:val="34"/>
    <w:qFormat/>
    <w:rsid w:val="002766B2"/>
    <w:pPr>
      <w:autoSpaceDE/>
      <w:autoSpaceDN/>
      <w:adjustRightInd/>
      <w:spacing w:before="120" w:after="120" w:line="276" w:lineRule="auto"/>
      <w:ind w:left="720"/>
      <w:contextualSpacing/>
    </w:pPr>
    <w:rPr>
      <w:rFonts w:asciiTheme="minorHAnsi" w:eastAsiaTheme="minorEastAsia" w:hAnsiTheme="minorHAnsi" w:cstheme="minorBidi"/>
    </w:rPr>
  </w:style>
  <w:style w:type="character" w:customStyle="1" w:styleId="ListParagraphChar">
    <w:name w:val="List Paragraph Char"/>
    <w:aliases w:val="List Paragraph1 Char,Recommendation Char,List Paragraph11 Char,L Char,Bullet points Char,#List Paragraph Char"/>
    <w:basedOn w:val="DefaultParagraphFont"/>
    <w:link w:val="ListParagraph"/>
    <w:uiPriority w:val="98"/>
    <w:locked/>
    <w:rsid w:val="002766B2"/>
    <w:rPr>
      <w:rFonts w:asciiTheme="minorHAnsi" w:eastAsiaTheme="minorEastAsia" w:hAnsiTheme="minorHAnsi" w:cstheme="minorBidi"/>
      <w:sz w:val="22"/>
      <w:szCs w:val="22"/>
      <w:lang w:val="en-AU"/>
    </w:rPr>
  </w:style>
  <w:style w:type="character" w:styleId="CommentReference">
    <w:name w:val="annotation reference"/>
    <w:basedOn w:val="DefaultParagraphFont"/>
    <w:uiPriority w:val="99"/>
    <w:semiHidden/>
    <w:unhideWhenUsed/>
    <w:rsid w:val="00C1638D"/>
    <w:rPr>
      <w:sz w:val="16"/>
      <w:szCs w:val="16"/>
    </w:rPr>
  </w:style>
  <w:style w:type="paragraph" w:styleId="CommentText">
    <w:name w:val="annotation text"/>
    <w:basedOn w:val="Normal"/>
    <w:link w:val="CommentTextChar"/>
    <w:uiPriority w:val="99"/>
    <w:unhideWhenUsed/>
    <w:rsid w:val="00C1638D"/>
  </w:style>
  <w:style w:type="character" w:customStyle="1" w:styleId="CommentTextChar">
    <w:name w:val="Comment Text Char"/>
    <w:basedOn w:val="DefaultParagraphFont"/>
    <w:link w:val="CommentText"/>
    <w:uiPriority w:val="99"/>
    <w:rsid w:val="00C1638D"/>
    <w:rPr>
      <w:lang w:val="en-AU"/>
    </w:rPr>
  </w:style>
  <w:style w:type="paragraph" w:styleId="CommentSubject">
    <w:name w:val="annotation subject"/>
    <w:basedOn w:val="CommentText"/>
    <w:next w:val="CommentText"/>
    <w:link w:val="CommentSubjectChar"/>
    <w:uiPriority w:val="99"/>
    <w:semiHidden/>
    <w:unhideWhenUsed/>
    <w:rsid w:val="00C1638D"/>
    <w:rPr>
      <w:b/>
      <w:bCs/>
    </w:rPr>
  </w:style>
  <w:style w:type="character" w:customStyle="1" w:styleId="CommentSubjectChar">
    <w:name w:val="Comment Subject Char"/>
    <w:basedOn w:val="CommentTextChar"/>
    <w:link w:val="CommentSubject"/>
    <w:uiPriority w:val="99"/>
    <w:semiHidden/>
    <w:rsid w:val="00C1638D"/>
    <w:rPr>
      <w:b/>
      <w:bCs/>
      <w:lang w:val="en-AU"/>
    </w:rPr>
  </w:style>
  <w:style w:type="table" w:styleId="TableGrid">
    <w:name w:val="Table Grid"/>
    <w:aliases w:val="none,CV table"/>
    <w:basedOn w:val="TableNormal"/>
    <w:rsid w:val="00D067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D2088D"/>
    <w:rPr>
      <w:lang w:val="en-AU"/>
    </w:rPr>
  </w:style>
  <w:style w:type="character" w:customStyle="1" w:styleId="Heading1Char">
    <w:name w:val="Heading 1 Char"/>
    <w:basedOn w:val="DefaultParagraphFont"/>
    <w:link w:val="Heading1"/>
    <w:uiPriority w:val="9"/>
    <w:rsid w:val="004206B0"/>
    <w:rPr>
      <w:b/>
      <w:bCs/>
      <w:sz w:val="32"/>
      <w:szCs w:val="24"/>
      <w:lang w:val="en-AU"/>
    </w:rPr>
  </w:style>
  <w:style w:type="character" w:customStyle="1" w:styleId="Heading2Char">
    <w:name w:val="Heading 2 Char"/>
    <w:basedOn w:val="DefaultParagraphFont"/>
    <w:link w:val="Heading2"/>
    <w:uiPriority w:val="9"/>
    <w:rsid w:val="004206B0"/>
    <w:rPr>
      <w:rFonts w:cs="Arial"/>
      <w:b/>
      <w:bCs/>
      <w:iCs/>
      <w:sz w:val="28"/>
      <w:lang w:val="en-AU"/>
    </w:rPr>
  </w:style>
  <w:style w:type="character" w:customStyle="1" w:styleId="Heading3Char">
    <w:name w:val="Heading 3 Char"/>
    <w:basedOn w:val="DefaultParagraphFont"/>
    <w:link w:val="Heading3"/>
    <w:uiPriority w:val="9"/>
    <w:rsid w:val="004206B0"/>
    <w:rPr>
      <w:rFonts w:cs="Arial"/>
      <w:b/>
      <w:bCs/>
      <w:sz w:val="24"/>
      <w:lang w:val="en-AU"/>
    </w:rPr>
  </w:style>
  <w:style w:type="table" w:styleId="GridTable3-Accent1">
    <w:name w:val="Grid Table 3 Accent 1"/>
    <w:basedOn w:val="TableNormal"/>
    <w:uiPriority w:val="48"/>
    <w:rsid w:val="004206B0"/>
    <w:rPr>
      <w:rFonts w:asciiTheme="minorHAnsi" w:eastAsiaTheme="minorHAnsi" w:hAnsiTheme="minorHAnsi" w:cstheme="minorBidi"/>
      <w:lang w:val="en-AU"/>
    </w:rPr>
    <w:tblPr>
      <w:tblStyleRowBandSize w:val="1"/>
      <w:tblStyleColBandSize w:val="1"/>
      <w:tblBorders>
        <w:top w:val="single" w:sz="4" w:space="0" w:color="77DD96" w:themeColor="accent1" w:themeTint="99"/>
        <w:left w:val="single" w:sz="4" w:space="0" w:color="77DD96" w:themeColor="accent1" w:themeTint="99"/>
        <w:bottom w:val="single" w:sz="4" w:space="0" w:color="77DD96" w:themeColor="accent1" w:themeTint="99"/>
        <w:right w:val="single" w:sz="4" w:space="0" w:color="77DD96" w:themeColor="accent1" w:themeTint="99"/>
        <w:insideH w:val="single" w:sz="4" w:space="0" w:color="77DD96" w:themeColor="accent1" w:themeTint="99"/>
        <w:insideV w:val="single" w:sz="4" w:space="0" w:color="77DD96"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1F3DB" w:themeFill="accent1" w:themeFillTint="33"/>
      </w:tcPr>
    </w:tblStylePr>
    <w:tblStylePr w:type="band1Horz">
      <w:tblPr/>
      <w:tcPr>
        <w:shd w:val="clear" w:color="auto" w:fill="D1F3DB" w:themeFill="accent1" w:themeFillTint="33"/>
      </w:tcPr>
    </w:tblStylePr>
    <w:tblStylePr w:type="neCell">
      <w:tblPr/>
      <w:tcPr>
        <w:tcBorders>
          <w:bottom w:val="single" w:sz="4" w:space="0" w:color="77DD96" w:themeColor="accent1" w:themeTint="99"/>
        </w:tcBorders>
      </w:tcPr>
    </w:tblStylePr>
    <w:tblStylePr w:type="nwCell">
      <w:tblPr/>
      <w:tcPr>
        <w:tcBorders>
          <w:bottom w:val="single" w:sz="4" w:space="0" w:color="77DD96" w:themeColor="accent1" w:themeTint="99"/>
        </w:tcBorders>
      </w:tcPr>
    </w:tblStylePr>
    <w:tblStylePr w:type="seCell">
      <w:tblPr/>
      <w:tcPr>
        <w:tcBorders>
          <w:top w:val="single" w:sz="4" w:space="0" w:color="77DD96" w:themeColor="accent1" w:themeTint="99"/>
        </w:tcBorders>
      </w:tcPr>
    </w:tblStylePr>
    <w:tblStylePr w:type="swCell">
      <w:tblPr/>
      <w:tcPr>
        <w:tcBorders>
          <w:top w:val="single" w:sz="4" w:space="0" w:color="77DD96" w:themeColor="accent1" w:themeTint="99"/>
        </w:tcBorders>
      </w:tcPr>
    </w:tblStylePr>
  </w:style>
  <w:style w:type="table" w:styleId="GridTable1Light-Accent1">
    <w:name w:val="Grid Table 1 Light Accent 1"/>
    <w:basedOn w:val="TableNormal"/>
    <w:uiPriority w:val="46"/>
    <w:rsid w:val="004206B0"/>
    <w:rPr>
      <w:rFonts w:asciiTheme="minorHAnsi" w:eastAsiaTheme="minorHAnsi" w:hAnsiTheme="minorHAnsi" w:cstheme="minorBidi"/>
      <w:lang w:val="en-AU"/>
    </w:rPr>
    <w:tblPr>
      <w:tblStyleRowBandSize w:val="1"/>
      <w:tblStyleColBandSize w:val="1"/>
      <w:tblBorders>
        <w:top w:val="single" w:sz="4" w:space="0" w:color="A4E8B8" w:themeColor="accent1" w:themeTint="66"/>
        <w:left w:val="single" w:sz="4" w:space="0" w:color="A4E8B8" w:themeColor="accent1" w:themeTint="66"/>
        <w:bottom w:val="single" w:sz="4" w:space="0" w:color="A4E8B8" w:themeColor="accent1" w:themeTint="66"/>
        <w:right w:val="single" w:sz="4" w:space="0" w:color="A4E8B8" w:themeColor="accent1" w:themeTint="66"/>
        <w:insideH w:val="single" w:sz="4" w:space="0" w:color="A4E8B8" w:themeColor="accent1" w:themeTint="66"/>
        <w:insideV w:val="single" w:sz="4" w:space="0" w:color="A4E8B8" w:themeColor="accent1" w:themeTint="66"/>
      </w:tblBorders>
    </w:tblPr>
    <w:tblStylePr w:type="firstRow">
      <w:rPr>
        <w:b/>
        <w:bCs/>
      </w:rPr>
      <w:tblPr/>
      <w:tcPr>
        <w:tcBorders>
          <w:bottom w:val="single" w:sz="12" w:space="0" w:color="77DD96" w:themeColor="accent1" w:themeTint="99"/>
        </w:tcBorders>
      </w:tcPr>
    </w:tblStylePr>
    <w:tblStylePr w:type="lastRow">
      <w:rPr>
        <w:b/>
        <w:bCs/>
      </w:rPr>
      <w:tblPr/>
      <w:tcPr>
        <w:tcBorders>
          <w:top w:val="double" w:sz="2" w:space="0" w:color="77DD96" w:themeColor="accent1" w:themeTint="99"/>
        </w:tcBorders>
      </w:tcPr>
    </w:tblStylePr>
    <w:tblStylePr w:type="firstCol">
      <w:rPr>
        <w:b/>
        <w:bCs/>
      </w:rPr>
    </w:tblStylePr>
    <w:tblStylePr w:type="lastCol">
      <w:rPr>
        <w:b/>
        <w:bCs/>
      </w:rPr>
    </w:tblStylePr>
  </w:style>
  <w:style w:type="paragraph" w:styleId="TableofFigures">
    <w:name w:val="table of figures"/>
    <w:basedOn w:val="Normal"/>
    <w:next w:val="Normal"/>
    <w:uiPriority w:val="99"/>
    <w:unhideWhenUsed/>
    <w:rsid w:val="004206B0"/>
    <w:pPr>
      <w:autoSpaceDE/>
      <w:autoSpaceDN/>
      <w:adjustRightInd/>
      <w:spacing w:line="259" w:lineRule="auto"/>
    </w:pPr>
    <w:rPr>
      <w:rFonts w:asciiTheme="minorHAnsi" w:eastAsiaTheme="minorHAnsi" w:hAnsiTheme="minorHAnsi" w:cstheme="minorBidi"/>
    </w:rPr>
  </w:style>
  <w:style w:type="table" w:customStyle="1" w:styleId="Style1">
    <w:name w:val="Style1"/>
    <w:basedOn w:val="TableNormal"/>
    <w:uiPriority w:val="99"/>
    <w:rsid w:val="003170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shd w:val="clear" w:color="auto" w:fill="2E2E38" w:themeFill="text1"/>
      </w:tcPr>
    </w:tblStylePr>
    <w:tblStylePr w:type="swCell">
      <w:rPr>
        <w:b/>
      </w:rPr>
    </w:tblStylePr>
  </w:style>
  <w:style w:type="character" w:styleId="FollowedHyperlink">
    <w:name w:val="FollowedHyperlink"/>
    <w:basedOn w:val="DefaultParagraphFont"/>
    <w:semiHidden/>
    <w:unhideWhenUsed/>
    <w:rsid w:val="00902445"/>
    <w:rPr>
      <w:color w:val="800080" w:themeColor="followedHyperlink"/>
      <w:u w:val="single"/>
    </w:rPr>
  </w:style>
  <w:style w:type="character" w:customStyle="1" w:styleId="BodytextwithparaspaceChar">
    <w:name w:val="Body text (with para space) Char"/>
    <w:basedOn w:val="DefaultParagraphFont"/>
    <w:link w:val="Bodytextwithparaspace"/>
    <w:rsid w:val="00ED1387"/>
    <w:rPr>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488852">
      <w:bodyDiv w:val="1"/>
      <w:marLeft w:val="0"/>
      <w:marRight w:val="0"/>
      <w:marTop w:val="0"/>
      <w:marBottom w:val="0"/>
      <w:divBdr>
        <w:top w:val="none" w:sz="0" w:space="0" w:color="auto"/>
        <w:left w:val="none" w:sz="0" w:space="0" w:color="auto"/>
        <w:bottom w:val="none" w:sz="0" w:space="0" w:color="auto"/>
        <w:right w:val="none" w:sz="0" w:space="0" w:color="auto"/>
      </w:divBdr>
    </w:div>
    <w:div w:id="379592263">
      <w:bodyDiv w:val="1"/>
      <w:marLeft w:val="0"/>
      <w:marRight w:val="0"/>
      <w:marTop w:val="0"/>
      <w:marBottom w:val="0"/>
      <w:divBdr>
        <w:top w:val="none" w:sz="0" w:space="0" w:color="auto"/>
        <w:left w:val="none" w:sz="0" w:space="0" w:color="auto"/>
        <w:bottom w:val="none" w:sz="0" w:space="0" w:color="auto"/>
        <w:right w:val="none" w:sz="0" w:space="0" w:color="auto"/>
      </w:divBdr>
      <w:divsChild>
        <w:div w:id="150370400">
          <w:marLeft w:val="1224"/>
          <w:marRight w:val="0"/>
          <w:marTop w:val="0"/>
          <w:marBottom w:val="120"/>
          <w:divBdr>
            <w:top w:val="none" w:sz="0" w:space="0" w:color="auto"/>
            <w:left w:val="none" w:sz="0" w:space="0" w:color="auto"/>
            <w:bottom w:val="none" w:sz="0" w:space="0" w:color="auto"/>
            <w:right w:val="none" w:sz="0" w:space="0" w:color="auto"/>
          </w:divBdr>
        </w:div>
        <w:div w:id="232861297">
          <w:marLeft w:val="2002"/>
          <w:marRight w:val="0"/>
          <w:marTop w:val="0"/>
          <w:marBottom w:val="120"/>
          <w:divBdr>
            <w:top w:val="none" w:sz="0" w:space="0" w:color="auto"/>
            <w:left w:val="none" w:sz="0" w:space="0" w:color="auto"/>
            <w:bottom w:val="none" w:sz="0" w:space="0" w:color="auto"/>
            <w:right w:val="none" w:sz="0" w:space="0" w:color="auto"/>
          </w:divBdr>
        </w:div>
        <w:div w:id="355035476">
          <w:marLeft w:val="1224"/>
          <w:marRight w:val="0"/>
          <w:marTop w:val="0"/>
          <w:marBottom w:val="120"/>
          <w:divBdr>
            <w:top w:val="none" w:sz="0" w:space="0" w:color="auto"/>
            <w:left w:val="none" w:sz="0" w:space="0" w:color="auto"/>
            <w:bottom w:val="none" w:sz="0" w:space="0" w:color="auto"/>
            <w:right w:val="none" w:sz="0" w:space="0" w:color="auto"/>
          </w:divBdr>
        </w:div>
        <w:div w:id="505436332">
          <w:marLeft w:val="2002"/>
          <w:marRight w:val="0"/>
          <w:marTop w:val="0"/>
          <w:marBottom w:val="120"/>
          <w:divBdr>
            <w:top w:val="none" w:sz="0" w:space="0" w:color="auto"/>
            <w:left w:val="none" w:sz="0" w:space="0" w:color="auto"/>
            <w:bottom w:val="none" w:sz="0" w:space="0" w:color="auto"/>
            <w:right w:val="none" w:sz="0" w:space="0" w:color="auto"/>
          </w:divBdr>
        </w:div>
        <w:div w:id="977606199">
          <w:marLeft w:val="2002"/>
          <w:marRight w:val="0"/>
          <w:marTop w:val="0"/>
          <w:marBottom w:val="120"/>
          <w:divBdr>
            <w:top w:val="none" w:sz="0" w:space="0" w:color="auto"/>
            <w:left w:val="none" w:sz="0" w:space="0" w:color="auto"/>
            <w:bottom w:val="none" w:sz="0" w:space="0" w:color="auto"/>
            <w:right w:val="none" w:sz="0" w:space="0" w:color="auto"/>
          </w:divBdr>
        </w:div>
        <w:div w:id="1003897410">
          <w:marLeft w:val="2002"/>
          <w:marRight w:val="0"/>
          <w:marTop w:val="0"/>
          <w:marBottom w:val="120"/>
          <w:divBdr>
            <w:top w:val="none" w:sz="0" w:space="0" w:color="auto"/>
            <w:left w:val="none" w:sz="0" w:space="0" w:color="auto"/>
            <w:bottom w:val="none" w:sz="0" w:space="0" w:color="auto"/>
            <w:right w:val="none" w:sz="0" w:space="0" w:color="auto"/>
          </w:divBdr>
        </w:div>
        <w:div w:id="1079449601">
          <w:marLeft w:val="2002"/>
          <w:marRight w:val="0"/>
          <w:marTop w:val="0"/>
          <w:marBottom w:val="120"/>
          <w:divBdr>
            <w:top w:val="none" w:sz="0" w:space="0" w:color="auto"/>
            <w:left w:val="none" w:sz="0" w:space="0" w:color="auto"/>
            <w:bottom w:val="none" w:sz="0" w:space="0" w:color="auto"/>
            <w:right w:val="none" w:sz="0" w:space="0" w:color="auto"/>
          </w:divBdr>
        </w:div>
        <w:div w:id="1258976391">
          <w:marLeft w:val="2002"/>
          <w:marRight w:val="0"/>
          <w:marTop w:val="0"/>
          <w:marBottom w:val="120"/>
          <w:divBdr>
            <w:top w:val="none" w:sz="0" w:space="0" w:color="auto"/>
            <w:left w:val="none" w:sz="0" w:space="0" w:color="auto"/>
            <w:bottom w:val="none" w:sz="0" w:space="0" w:color="auto"/>
            <w:right w:val="none" w:sz="0" w:space="0" w:color="auto"/>
          </w:divBdr>
        </w:div>
        <w:div w:id="1585993058">
          <w:marLeft w:val="1224"/>
          <w:marRight w:val="0"/>
          <w:marTop w:val="0"/>
          <w:marBottom w:val="120"/>
          <w:divBdr>
            <w:top w:val="none" w:sz="0" w:space="0" w:color="auto"/>
            <w:left w:val="none" w:sz="0" w:space="0" w:color="auto"/>
            <w:bottom w:val="none" w:sz="0" w:space="0" w:color="auto"/>
            <w:right w:val="none" w:sz="0" w:space="0" w:color="auto"/>
          </w:divBdr>
        </w:div>
      </w:divsChild>
    </w:div>
    <w:div w:id="391078329">
      <w:bodyDiv w:val="1"/>
      <w:marLeft w:val="0"/>
      <w:marRight w:val="0"/>
      <w:marTop w:val="0"/>
      <w:marBottom w:val="0"/>
      <w:divBdr>
        <w:top w:val="none" w:sz="0" w:space="0" w:color="auto"/>
        <w:left w:val="none" w:sz="0" w:space="0" w:color="auto"/>
        <w:bottom w:val="none" w:sz="0" w:space="0" w:color="auto"/>
        <w:right w:val="none" w:sz="0" w:space="0" w:color="auto"/>
      </w:divBdr>
    </w:div>
    <w:div w:id="497159183">
      <w:bodyDiv w:val="1"/>
      <w:marLeft w:val="0"/>
      <w:marRight w:val="0"/>
      <w:marTop w:val="0"/>
      <w:marBottom w:val="0"/>
      <w:divBdr>
        <w:top w:val="none" w:sz="0" w:space="0" w:color="auto"/>
        <w:left w:val="none" w:sz="0" w:space="0" w:color="auto"/>
        <w:bottom w:val="none" w:sz="0" w:space="0" w:color="auto"/>
        <w:right w:val="none" w:sz="0" w:space="0" w:color="auto"/>
      </w:divBdr>
    </w:div>
    <w:div w:id="662853166">
      <w:bodyDiv w:val="1"/>
      <w:marLeft w:val="0"/>
      <w:marRight w:val="0"/>
      <w:marTop w:val="0"/>
      <w:marBottom w:val="0"/>
      <w:divBdr>
        <w:top w:val="none" w:sz="0" w:space="0" w:color="auto"/>
        <w:left w:val="none" w:sz="0" w:space="0" w:color="auto"/>
        <w:bottom w:val="none" w:sz="0" w:space="0" w:color="auto"/>
        <w:right w:val="none" w:sz="0" w:space="0" w:color="auto"/>
      </w:divBdr>
      <w:divsChild>
        <w:div w:id="217280372">
          <w:marLeft w:val="2002"/>
          <w:marRight w:val="0"/>
          <w:marTop w:val="0"/>
          <w:marBottom w:val="120"/>
          <w:divBdr>
            <w:top w:val="none" w:sz="0" w:space="0" w:color="auto"/>
            <w:left w:val="none" w:sz="0" w:space="0" w:color="auto"/>
            <w:bottom w:val="none" w:sz="0" w:space="0" w:color="auto"/>
            <w:right w:val="none" w:sz="0" w:space="0" w:color="auto"/>
          </w:divBdr>
        </w:div>
        <w:div w:id="356194789">
          <w:marLeft w:val="1224"/>
          <w:marRight w:val="0"/>
          <w:marTop w:val="0"/>
          <w:marBottom w:val="120"/>
          <w:divBdr>
            <w:top w:val="none" w:sz="0" w:space="0" w:color="auto"/>
            <w:left w:val="none" w:sz="0" w:space="0" w:color="auto"/>
            <w:bottom w:val="none" w:sz="0" w:space="0" w:color="auto"/>
            <w:right w:val="none" w:sz="0" w:space="0" w:color="auto"/>
          </w:divBdr>
        </w:div>
        <w:div w:id="527987791">
          <w:marLeft w:val="2002"/>
          <w:marRight w:val="0"/>
          <w:marTop w:val="0"/>
          <w:marBottom w:val="120"/>
          <w:divBdr>
            <w:top w:val="none" w:sz="0" w:space="0" w:color="auto"/>
            <w:left w:val="none" w:sz="0" w:space="0" w:color="auto"/>
            <w:bottom w:val="none" w:sz="0" w:space="0" w:color="auto"/>
            <w:right w:val="none" w:sz="0" w:space="0" w:color="auto"/>
          </w:divBdr>
        </w:div>
        <w:div w:id="900166618">
          <w:marLeft w:val="2002"/>
          <w:marRight w:val="0"/>
          <w:marTop w:val="0"/>
          <w:marBottom w:val="120"/>
          <w:divBdr>
            <w:top w:val="none" w:sz="0" w:space="0" w:color="auto"/>
            <w:left w:val="none" w:sz="0" w:space="0" w:color="auto"/>
            <w:bottom w:val="none" w:sz="0" w:space="0" w:color="auto"/>
            <w:right w:val="none" w:sz="0" w:space="0" w:color="auto"/>
          </w:divBdr>
        </w:div>
        <w:div w:id="924269066">
          <w:marLeft w:val="1224"/>
          <w:marRight w:val="0"/>
          <w:marTop w:val="0"/>
          <w:marBottom w:val="120"/>
          <w:divBdr>
            <w:top w:val="none" w:sz="0" w:space="0" w:color="auto"/>
            <w:left w:val="none" w:sz="0" w:space="0" w:color="auto"/>
            <w:bottom w:val="none" w:sz="0" w:space="0" w:color="auto"/>
            <w:right w:val="none" w:sz="0" w:space="0" w:color="auto"/>
          </w:divBdr>
        </w:div>
        <w:div w:id="1081487011">
          <w:marLeft w:val="1224"/>
          <w:marRight w:val="0"/>
          <w:marTop w:val="0"/>
          <w:marBottom w:val="120"/>
          <w:divBdr>
            <w:top w:val="none" w:sz="0" w:space="0" w:color="auto"/>
            <w:left w:val="none" w:sz="0" w:space="0" w:color="auto"/>
            <w:bottom w:val="none" w:sz="0" w:space="0" w:color="auto"/>
            <w:right w:val="none" w:sz="0" w:space="0" w:color="auto"/>
          </w:divBdr>
        </w:div>
        <w:div w:id="1490319000">
          <w:marLeft w:val="1224"/>
          <w:marRight w:val="0"/>
          <w:marTop w:val="0"/>
          <w:marBottom w:val="120"/>
          <w:divBdr>
            <w:top w:val="none" w:sz="0" w:space="0" w:color="auto"/>
            <w:left w:val="none" w:sz="0" w:space="0" w:color="auto"/>
            <w:bottom w:val="none" w:sz="0" w:space="0" w:color="auto"/>
            <w:right w:val="none" w:sz="0" w:space="0" w:color="auto"/>
          </w:divBdr>
        </w:div>
        <w:div w:id="1717660420">
          <w:marLeft w:val="1224"/>
          <w:marRight w:val="0"/>
          <w:marTop w:val="0"/>
          <w:marBottom w:val="120"/>
          <w:divBdr>
            <w:top w:val="none" w:sz="0" w:space="0" w:color="auto"/>
            <w:left w:val="none" w:sz="0" w:space="0" w:color="auto"/>
            <w:bottom w:val="none" w:sz="0" w:space="0" w:color="auto"/>
            <w:right w:val="none" w:sz="0" w:space="0" w:color="auto"/>
          </w:divBdr>
        </w:div>
        <w:div w:id="1717660516">
          <w:marLeft w:val="1224"/>
          <w:marRight w:val="0"/>
          <w:marTop w:val="0"/>
          <w:marBottom w:val="120"/>
          <w:divBdr>
            <w:top w:val="none" w:sz="0" w:space="0" w:color="auto"/>
            <w:left w:val="none" w:sz="0" w:space="0" w:color="auto"/>
            <w:bottom w:val="none" w:sz="0" w:space="0" w:color="auto"/>
            <w:right w:val="none" w:sz="0" w:space="0" w:color="auto"/>
          </w:divBdr>
        </w:div>
        <w:div w:id="1727337840">
          <w:marLeft w:val="2002"/>
          <w:marRight w:val="0"/>
          <w:marTop w:val="0"/>
          <w:marBottom w:val="120"/>
          <w:divBdr>
            <w:top w:val="none" w:sz="0" w:space="0" w:color="auto"/>
            <w:left w:val="none" w:sz="0" w:space="0" w:color="auto"/>
            <w:bottom w:val="none" w:sz="0" w:space="0" w:color="auto"/>
            <w:right w:val="none" w:sz="0" w:space="0" w:color="auto"/>
          </w:divBdr>
        </w:div>
        <w:div w:id="2017615845">
          <w:marLeft w:val="1224"/>
          <w:marRight w:val="0"/>
          <w:marTop w:val="0"/>
          <w:marBottom w:val="120"/>
          <w:divBdr>
            <w:top w:val="none" w:sz="0" w:space="0" w:color="auto"/>
            <w:left w:val="none" w:sz="0" w:space="0" w:color="auto"/>
            <w:bottom w:val="none" w:sz="0" w:space="0" w:color="auto"/>
            <w:right w:val="none" w:sz="0" w:space="0" w:color="auto"/>
          </w:divBdr>
        </w:div>
        <w:div w:id="2079982212">
          <w:marLeft w:val="2002"/>
          <w:marRight w:val="0"/>
          <w:marTop w:val="0"/>
          <w:marBottom w:val="120"/>
          <w:divBdr>
            <w:top w:val="none" w:sz="0" w:space="0" w:color="auto"/>
            <w:left w:val="none" w:sz="0" w:space="0" w:color="auto"/>
            <w:bottom w:val="none" w:sz="0" w:space="0" w:color="auto"/>
            <w:right w:val="none" w:sz="0" w:space="0" w:color="auto"/>
          </w:divBdr>
        </w:div>
      </w:divsChild>
    </w:div>
    <w:div w:id="778337648">
      <w:bodyDiv w:val="1"/>
      <w:marLeft w:val="0"/>
      <w:marRight w:val="0"/>
      <w:marTop w:val="0"/>
      <w:marBottom w:val="0"/>
      <w:divBdr>
        <w:top w:val="none" w:sz="0" w:space="0" w:color="auto"/>
        <w:left w:val="none" w:sz="0" w:space="0" w:color="auto"/>
        <w:bottom w:val="none" w:sz="0" w:space="0" w:color="auto"/>
        <w:right w:val="none" w:sz="0" w:space="0" w:color="auto"/>
      </w:divBdr>
    </w:div>
    <w:div w:id="906652974">
      <w:bodyDiv w:val="1"/>
      <w:marLeft w:val="0"/>
      <w:marRight w:val="0"/>
      <w:marTop w:val="0"/>
      <w:marBottom w:val="0"/>
      <w:divBdr>
        <w:top w:val="none" w:sz="0" w:space="0" w:color="auto"/>
        <w:left w:val="none" w:sz="0" w:space="0" w:color="auto"/>
        <w:bottom w:val="none" w:sz="0" w:space="0" w:color="auto"/>
        <w:right w:val="none" w:sz="0" w:space="0" w:color="auto"/>
      </w:divBdr>
    </w:div>
    <w:div w:id="1131481164">
      <w:bodyDiv w:val="1"/>
      <w:marLeft w:val="0"/>
      <w:marRight w:val="0"/>
      <w:marTop w:val="0"/>
      <w:marBottom w:val="0"/>
      <w:divBdr>
        <w:top w:val="none" w:sz="0" w:space="0" w:color="auto"/>
        <w:left w:val="none" w:sz="0" w:space="0" w:color="auto"/>
        <w:bottom w:val="none" w:sz="0" w:space="0" w:color="auto"/>
        <w:right w:val="none" w:sz="0" w:space="0" w:color="auto"/>
      </w:divBdr>
    </w:div>
    <w:div w:id="1866479284">
      <w:bodyDiv w:val="1"/>
      <w:marLeft w:val="0"/>
      <w:marRight w:val="0"/>
      <w:marTop w:val="0"/>
      <w:marBottom w:val="0"/>
      <w:divBdr>
        <w:top w:val="none" w:sz="0" w:space="0" w:color="auto"/>
        <w:left w:val="none" w:sz="0" w:space="0" w:color="auto"/>
        <w:bottom w:val="none" w:sz="0" w:space="0" w:color="auto"/>
        <w:right w:val="none" w:sz="0" w:space="0" w:color="auto"/>
      </w:divBdr>
    </w:div>
    <w:div w:id="1923904430">
      <w:bodyDiv w:val="1"/>
      <w:marLeft w:val="0"/>
      <w:marRight w:val="0"/>
      <w:marTop w:val="0"/>
      <w:marBottom w:val="0"/>
      <w:divBdr>
        <w:top w:val="none" w:sz="0" w:space="0" w:color="auto"/>
        <w:left w:val="none" w:sz="0" w:space="0" w:color="auto"/>
        <w:bottom w:val="none" w:sz="0" w:space="0" w:color="auto"/>
        <w:right w:val="none" w:sz="0" w:space="0" w:color="auto"/>
      </w:divBdr>
    </w:div>
    <w:div w:id="2064937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40.png"/><Relationship Id="rId63" Type="http://schemas.openxmlformats.org/officeDocument/2006/relationships/image" Target="media/image48.png"/><Relationship Id="rId68" Type="http://schemas.openxmlformats.org/officeDocument/2006/relationships/image" Target="media/image53.png"/><Relationship Id="rId76" Type="http://schemas.openxmlformats.org/officeDocument/2006/relationships/chart" Target="charts/chart1.xml"/><Relationship Id="rId7" Type="http://schemas.openxmlformats.org/officeDocument/2006/relationships/settings" Target="settings.xml"/><Relationship Id="rId71" Type="http://schemas.openxmlformats.org/officeDocument/2006/relationships/image" Target="media/image56.png"/><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14.png"/><Relationship Id="rId11" Type="http://schemas.openxmlformats.org/officeDocument/2006/relationships/header" Target="header1.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image" Target="media/image43.png"/><Relationship Id="rId66" Type="http://schemas.openxmlformats.org/officeDocument/2006/relationships/image" Target="media/image51.png"/><Relationship Id="rId74" Type="http://schemas.openxmlformats.org/officeDocument/2006/relationships/image" Target="media/image59.png"/><Relationship Id="rId79" Type="http://schemas.openxmlformats.org/officeDocument/2006/relationships/footer" Target="footer5.xml"/><Relationship Id="rId5" Type="http://schemas.openxmlformats.org/officeDocument/2006/relationships/numbering" Target="numbering.xml"/><Relationship Id="rId61" Type="http://schemas.openxmlformats.org/officeDocument/2006/relationships/image" Target="media/image46.png"/><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image" Target="media/image58.png"/><Relationship Id="rId78" Type="http://schemas.openxmlformats.org/officeDocument/2006/relationships/footer" Target="footer4.xml"/><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image" Target="media/image49.png"/><Relationship Id="rId69" Type="http://schemas.openxmlformats.org/officeDocument/2006/relationships/image" Target="media/image54.png"/><Relationship Id="rId77" Type="http://schemas.openxmlformats.org/officeDocument/2006/relationships/header" Target="header3.xml"/><Relationship Id="rId8" Type="http://schemas.openxmlformats.org/officeDocument/2006/relationships/webSettings" Target="webSettings.xml"/><Relationship Id="rId51" Type="http://schemas.openxmlformats.org/officeDocument/2006/relationships/image" Target="media/image36.png"/><Relationship Id="rId72" Type="http://schemas.openxmlformats.org/officeDocument/2006/relationships/image" Target="media/image57.png"/><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4.png"/><Relationship Id="rId67" Type="http://schemas.openxmlformats.org/officeDocument/2006/relationships/image" Target="media/image52.png"/><Relationship Id="rId20" Type="http://schemas.openxmlformats.org/officeDocument/2006/relationships/image" Target="media/image5.pn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image" Target="media/image55.png"/><Relationship Id="rId75" Type="http://schemas.openxmlformats.org/officeDocument/2006/relationships/image" Target="media/image60.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2.png"/></Relationships>
</file>

<file path=word/_rels/footnotes.xml.rels><?xml version="1.0" encoding="UTF-8" standalone="yes"?>
<Relationships xmlns="http://schemas.openxmlformats.org/package/2006/relationships"><Relationship Id="rId2" Type="http://schemas.openxmlformats.org/officeDocument/2006/relationships/hyperlink" Target="https://www1.health.gov.au/internet/main/publishing.nsf/Content/health-casemix-data-collections-about-HCP" TargetMode="External"/><Relationship Id="rId1" Type="http://schemas.openxmlformats.org/officeDocument/2006/relationships/hyperlink" Target="https://www.mtaa.org.au/sites/default/files/uploaded-content/field_f_content_file/affordability_of_medical_devices_agreement_between_government_and_mtaa.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ranema1\AppData\Roaming\Microsoft\Templates\EYWord\Reports\AUS_EY_Report_Portrait_Cover_Included.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fishedo\Documents\01.%20Department%20of%20Health\4.%20Benchmarking\General%20Miscellaneous%20Prostheses%20List%20-%20Benchmarking.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bg2"/>
                </a:solidFill>
                <a:latin typeface="EYInterstate Light" panose="02000506000000020004" pitchFamily="2" charset="0"/>
                <a:ea typeface="+mn-ea"/>
                <a:cs typeface="+mn-cs"/>
              </a:defRPr>
            </a:pPr>
            <a:r>
              <a:rPr lang="en-AU"/>
              <a:t>Public vs Private Benchmarking Prices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bg2"/>
              </a:solidFill>
              <a:latin typeface="EYInterstate Light" panose="02000506000000020004" pitchFamily="2" charset="0"/>
              <a:ea typeface="+mn-ea"/>
              <a:cs typeface="+mn-cs"/>
            </a:defRPr>
          </a:pPr>
          <a:endParaRPr lang="en-US"/>
        </a:p>
      </c:txPr>
    </c:title>
    <c:autoTitleDeleted val="0"/>
    <c:plotArea>
      <c:layout/>
      <c:scatterChart>
        <c:scatterStyle val="lineMarker"/>
        <c:varyColors val="0"/>
        <c:ser>
          <c:idx val="0"/>
          <c:order val="0"/>
          <c:tx>
            <c:strRef>
              <c:f>'Scatter Plot Priority'!$B$1</c:f>
              <c:strCache>
                <c:ptCount val="1"/>
                <c:pt idx="0">
                  <c:v>Public Health System A</c:v>
                </c:pt>
              </c:strCache>
            </c:strRef>
          </c:tx>
          <c:spPr>
            <a:ln w="28575" cap="rnd">
              <a:noFill/>
              <a:round/>
            </a:ln>
            <a:effectLst/>
          </c:spPr>
          <c:marker>
            <c:symbol val="circle"/>
            <c:size val="5"/>
            <c:spPr>
              <a:solidFill>
                <a:schemeClr val="tx2"/>
              </a:solidFill>
              <a:ln w="9525">
                <a:solidFill>
                  <a:schemeClr val="tx2"/>
                </a:solidFill>
              </a:ln>
              <a:effectLst/>
            </c:spPr>
          </c:marker>
          <c:xVal>
            <c:numRef>
              <c:f>'Scatter Plot Priority'!$A$2:$A$549</c:f>
              <c:numCache>
                <c:formatCode>General</c:formatCode>
                <c:ptCount val="548"/>
                <c:pt idx="2" formatCode="&quot;$&quot;#,##0">
                  <c:v>26</c:v>
                </c:pt>
                <c:pt idx="3" formatCode="&quot;$&quot;#,##0">
                  <c:v>26</c:v>
                </c:pt>
                <c:pt idx="4" formatCode="&quot;$&quot;#,##0">
                  <c:v>26</c:v>
                </c:pt>
                <c:pt idx="5" formatCode="&quot;$&quot;#,##0">
                  <c:v>7</c:v>
                </c:pt>
                <c:pt idx="6" formatCode="&quot;$&quot;#,##0">
                  <c:v>7</c:v>
                </c:pt>
                <c:pt idx="7" formatCode="&quot;$&quot;#,##0">
                  <c:v>7</c:v>
                </c:pt>
                <c:pt idx="8" formatCode="&quot;$&quot;#,##0">
                  <c:v>45</c:v>
                </c:pt>
                <c:pt idx="9" formatCode="&quot;$&quot;#,##0">
                  <c:v>1760</c:v>
                </c:pt>
                <c:pt idx="10" formatCode="&quot;$&quot;#,##0">
                  <c:v>2234</c:v>
                </c:pt>
                <c:pt idx="11" formatCode="&quot;$&quot;#,##0">
                  <c:v>1760</c:v>
                </c:pt>
                <c:pt idx="12" formatCode="&quot;$&quot;#,##0">
                  <c:v>1760</c:v>
                </c:pt>
                <c:pt idx="13" formatCode="&quot;$&quot;#,##0">
                  <c:v>1760</c:v>
                </c:pt>
                <c:pt idx="22" formatCode="&quot;$&quot;#,##0">
                  <c:v>154</c:v>
                </c:pt>
                <c:pt idx="23" formatCode="&quot;$&quot;#,##0">
                  <c:v>46</c:v>
                </c:pt>
                <c:pt idx="24" formatCode="&quot;$&quot;#,##0">
                  <c:v>46</c:v>
                </c:pt>
                <c:pt idx="25" formatCode="&quot;$&quot;#,##0">
                  <c:v>136</c:v>
                </c:pt>
                <c:pt idx="26" formatCode="&quot;$&quot;#,##0">
                  <c:v>136</c:v>
                </c:pt>
                <c:pt idx="27" formatCode="&quot;$&quot;#,##0">
                  <c:v>225</c:v>
                </c:pt>
                <c:pt idx="28" formatCode="&quot;$&quot;#,##0">
                  <c:v>136</c:v>
                </c:pt>
                <c:pt idx="29" formatCode="&quot;$&quot;#,##0">
                  <c:v>113</c:v>
                </c:pt>
                <c:pt idx="30" formatCode="&quot;$&quot;#,##0">
                  <c:v>158</c:v>
                </c:pt>
                <c:pt idx="31" formatCode="&quot;$&quot;#,##0">
                  <c:v>225</c:v>
                </c:pt>
                <c:pt idx="32" formatCode="&quot;$&quot;#,##0">
                  <c:v>90</c:v>
                </c:pt>
                <c:pt idx="33" formatCode="&quot;$&quot;#,##0">
                  <c:v>45</c:v>
                </c:pt>
                <c:pt idx="34" formatCode="&quot;$&quot;#,##0">
                  <c:v>45</c:v>
                </c:pt>
                <c:pt idx="35" formatCode="&quot;$&quot;#,##0">
                  <c:v>15</c:v>
                </c:pt>
                <c:pt idx="36" formatCode="&quot;$&quot;#,##0">
                  <c:v>15</c:v>
                </c:pt>
                <c:pt idx="37" formatCode="&quot;$&quot;#,##0">
                  <c:v>8</c:v>
                </c:pt>
                <c:pt idx="38" formatCode="&quot;$&quot;#,##0">
                  <c:v>8</c:v>
                </c:pt>
                <c:pt idx="39" formatCode="&quot;$&quot;#,##0">
                  <c:v>8</c:v>
                </c:pt>
                <c:pt idx="40" formatCode="&quot;$&quot;#,##0">
                  <c:v>8</c:v>
                </c:pt>
                <c:pt idx="41" formatCode="&quot;$&quot;#,##0">
                  <c:v>8</c:v>
                </c:pt>
                <c:pt idx="42" formatCode="&quot;$&quot;#,##0">
                  <c:v>8</c:v>
                </c:pt>
                <c:pt idx="43" formatCode="&quot;$&quot;#,##0">
                  <c:v>8</c:v>
                </c:pt>
                <c:pt idx="44" formatCode="&quot;$&quot;#,##0">
                  <c:v>8</c:v>
                </c:pt>
                <c:pt idx="45" formatCode="&quot;$&quot;#,##0">
                  <c:v>27</c:v>
                </c:pt>
                <c:pt idx="46" formatCode="&quot;$&quot;#,##0">
                  <c:v>19</c:v>
                </c:pt>
                <c:pt idx="47" formatCode="&quot;$&quot;#,##0">
                  <c:v>19</c:v>
                </c:pt>
                <c:pt idx="48" formatCode="&quot;$&quot;#,##0">
                  <c:v>19</c:v>
                </c:pt>
                <c:pt idx="49" formatCode="&quot;$&quot;#,##0">
                  <c:v>19</c:v>
                </c:pt>
                <c:pt idx="50" formatCode="&quot;$&quot;#,##0">
                  <c:v>34</c:v>
                </c:pt>
                <c:pt idx="51" formatCode="&quot;$&quot;#,##0">
                  <c:v>34</c:v>
                </c:pt>
                <c:pt idx="52" formatCode="&quot;$&quot;#,##0">
                  <c:v>34</c:v>
                </c:pt>
                <c:pt idx="53" formatCode="&quot;$&quot;#,##0">
                  <c:v>33</c:v>
                </c:pt>
                <c:pt idx="54" formatCode="&quot;$&quot;#,##0">
                  <c:v>33</c:v>
                </c:pt>
                <c:pt idx="55" formatCode="&quot;$&quot;#,##0">
                  <c:v>8</c:v>
                </c:pt>
                <c:pt idx="56" formatCode="&quot;$&quot;#,##0">
                  <c:v>19</c:v>
                </c:pt>
                <c:pt idx="57" formatCode="&quot;$&quot;#,##0">
                  <c:v>69</c:v>
                </c:pt>
                <c:pt idx="58" formatCode="&quot;$&quot;#,##0">
                  <c:v>69</c:v>
                </c:pt>
                <c:pt idx="59" formatCode="&quot;$&quot;#,##0">
                  <c:v>69</c:v>
                </c:pt>
                <c:pt idx="60" formatCode="&quot;$&quot;#,##0">
                  <c:v>65</c:v>
                </c:pt>
                <c:pt idx="61" formatCode="&quot;$&quot;#,##0">
                  <c:v>33</c:v>
                </c:pt>
                <c:pt idx="62" formatCode="&quot;$&quot;#,##0">
                  <c:v>34</c:v>
                </c:pt>
                <c:pt idx="63" formatCode="&quot;$&quot;#,##0">
                  <c:v>34</c:v>
                </c:pt>
                <c:pt idx="64" formatCode="&quot;$&quot;#,##0">
                  <c:v>98</c:v>
                </c:pt>
                <c:pt idx="65" formatCode="&quot;$&quot;#,##0">
                  <c:v>98</c:v>
                </c:pt>
                <c:pt idx="66" formatCode="&quot;$&quot;#,##0">
                  <c:v>98</c:v>
                </c:pt>
                <c:pt idx="67" formatCode="&quot;$&quot;#,##0">
                  <c:v>91</c:v>
                </c:pt>
                <c:pt idx="68" formatCode="&quot;$&quot;#,##0">
                  <c:v>91</c:v>
                </c:pt>
                <c:pt idx="69" formatCode="&quot;$&quot;#,##0">
                  <c:v>26</c:v>
                </c:pt>
                <c:pt idx="70" formatCode="&quot;$&quot;#,##0">
                  <c:v>632</c:v>
                </c:pt>
                <c:pt idx="71" formatCode="&quot;$&quot;#,##0">
                  <c:v>632</c:v>
                </c:pt>
                <c:pt idx="72" formatCode="&quot;$&quot;#,##0">
                  <c:v>407</c:v>
                </c:pt>
                <c:pt idx="73" formatCode="&quot;$&quot;#,##0">
                  <c:v>903</c:v>
                </c:pt>
                <c:pt idx="74" formatCode="&quot;$&quot;#,##0">
                  <c:v>903</c:v>
                </c:pt>
                <c:pt idx="75" formatCode="&quot;$&quot;#,##0">
                  <c:v>28</c:v>
                </c:pt>
                <c:pt idx="76" formatCode="&quot;$&quot;#,##0">
                  <c:v>28</c:v>
                </c:pt>
                <c:pt idx="174" formatCode="&quot;$&quot;#,##0">
                  <c:v>158</c:v>
                </c:pt>
                <c:pt idx="175" formatCode="&quot;$&quot;#,##0">
                  <c:v>1173</c:v>
                </c:pt>
                <c:pt idx="176" formatCode="&quot;$&quot;#,##0">
                  <c:v>1173</c:v>
                </c:pt>
                <c:pt idx="177" formatCode="&quot;$&quot;#,##0">
                  <c:v>1235</c:v>
                </c:pt>
                <c:pt idx="178" formatCode="&quot;$&quot;#,##0">
                  <c:v>1173</c:v>
                </c:pt>
                <c:pt idx="179" formatCode="&quot;$&quot;#,##0">
                  <c:v>119</c:v>
                </c:pt>
                <c:pt idx="180" formatCode="&quot;$&quot;#,##0">
                  <c:v>327</c:v>
                </c:pt>
                <c:pt idx="181" formatCode="&quot;$&quot;#,##0">
                  <c:v>327</c:v>
                </c:pt>
                <c:pt idx="182" formatCode="&quot;$&quot;#,##0">
                  <c:v>327</c:v>
                </c:pt>
                <c:pt idx="183" formatCode="&quot;$&quot;#,##0">
                  <c:v>42</c:v>
                </c:pt>
                <c:pt idx="184" formatCode="&quot;$&quot;#,##0">
                  <c:v>42</c:v>
                </c:pt>
                <c:pt idx="185" formatCode="&quot;$&quot;#,##0">
                  <c:v>258</c:v>
                </c:pt>
                <c:pt idx="186" formatCode="&quot;$&quot;#,##0">
                  <c:v>258</c:v>
                </c:pt>
                <c:pt idx="187" formatCode="&quot;$&quot;#,##0">
                  <c:v>258</c:v>
                </c:pt>
                <c:pt idx="188" formatCode="&quot;$&quot;#,##0">
                  <c:v>258</c:v>
                </c:pt>
                <c:pt idx="189" formatCode="&quot;$&quot;#,##0">
                  <c:v>42</c:v>
                </c:pt>
                <c:pt idx="190" formatCode="&quot;$&quot;#,##0">
                  <c:v>42</c:v>
                </c:pt>
                <c:pt idx="191" formatCode="&quot;$&quot;#,##0">
                  <c:v>258</c:v>
                </c:pt>
                <c:pt idx="192" formatCode="&quot;$&quot;#,##0">
                  <c:v>602</c:v>
                </c:pt>
                <c:pt idx="193" formatCode="&quot;$&quot;#,##0">
                  <c:v>602</c:v>
                </c:pt>
                <c:pt idx="194" formatCode="&quot;$&quot;#,##0">
                  <c:v>602</c:v>
                </c:pt>
                <c:pt idx="195" formatCode="&quot;$&quot;#,##0">
                  <c:v>516</c:v>
                </c:pt>
                <c:pt idx="196" formatCode="&quot;$&quot;#,##0">
                  <c:v>1204</c:v>
                </c:pt>
                <c:pt idx="197" formatCode="&quot;$&quot;#,##0">
                  <c:v>1204</c:v>
                </c:pt>
                <c:pt idx="198" formatCode="&quot;$&quot;#,##0">
                  <c:v>1204</c:v>
                </c:pt>
                <c:pt idx="199" formatCode="&quot;$&quot;#,##0">
                  <c:v>1204</c:v>
                </c:pt>
                <c:pt idx="200" formatCode="&quot;$&quot;#,##0">
                  <c:v>963</c:v>
                </c:pt>
                <c:pt idx="201" formatCode="&quot;$&quot;#,##0">
                  <c:v>22</c:v>
                </c:pt>
                <c:pt idx="202" formatCode="&quot;$&quot;#,##0">
                  <c:v>22</c:v>
                </c:pt>
                <c:pt idx="203" formatCode="&quot;$&quot;#,##0">
                  <c:v>22</c:v>
                </c:pt>
                <c:pt idx="204" formatCode="&quot;$&quot;#,##0">
                  <c:v>22</c:v>
                </c:pt>
                <c:pt idx="205" formatCode="&quot;$&quot;#,##0">
                  <c:v>22</c:v>
                </c:pt>
                <c:pt idx="206" formatCode="&quot;$&quot;#,##0">
                  <c:v>27</c:v>
                </c:pt>
                <c:pt idx="207" formatCode="&quot;$&quot;#,##0">
                  <c:v>27</c:v>
                </c:pt>
                <c:pt idx="208" formatCode="&quot;$&quot;#,##0">
                  <c:v>27</c:v>
                </c:pt>
                <c:pt idx="209" formatCode="&quot;$&quot;#,##0">
                  <c:v>27</c:v>
                </c:pt>
                <c:pt idx="210" formatCode="&quot;$&quot;#,##0">
                  <c:v>27</c:v>
                </c:pt>
                <c:pt idx="211" formatCode="&quot;$&quot;#,##0">
                  <c:v>27</c:v>
                </c:pt>
                <c:pt idx="212" formatCode="&quot;$&quot;#,##0">
                  <c:v>27</c:v>
                </c:pt>
                <c:pt idx="213" formatCode="&quot;$&quot;#,##0">
                  <c:v>27</c:v>
                </c:pt>
                <c:pt idx="214" formatCode="&quot;$&quot;#,##0">
                  <c:v>27</c:v>
                </c:pt>
                <c:pt idx="215" formatCode="&quot;$&quot;#,##0">
                  <c:v>27</c:v>
                </c:pt>
                <c:pt idx="216" formatCode="&quot;$&quot;#,##0">
                  <c:v>27</c:v>
                </c:pt>
                <c:pt idx="217" formatCode="&quot;$&quot;#,##0">
                  <c:v>27</c:v>
                </c:pt>
                <c:pt idx="218" formatCode="&quot;$&quot;#,##0">
                  <c:v>27</c:v>
                </c:pt>
                <c:pt idx="219" formatCode="&quot;$&quot;#,##0">
                  <c:v>27</c:v>
                </c:pt>
                <c:pt idx="220" formatCode="&quot;$&quot;#,##0">
                  <c:v>27</c:v>
                </c:pt>
                <c:pt idx="221" formatCode="&quot;$&quot;#,##0">
                  <c:v>53</c:v>
                </c:pt>
                <c:pt idx="222" formatCode="&quot;$&quot;#,##0">
                  <c:v>53</c:v>
                </c:pt>
                <c:pt idx="223" formatCode="&quot;$&quot;#,##0">
                  <c:v>53</c:v>
                </c:pt>
                <c:pt idx="224" formatCode="&quot;$&quot;#,##0">
                  <c:v>53</c:v>
                </c:pt>
                <c:pt idx="225" formatCode="&quot;$&quot;#,##0">
                  <c:v>53</c:v>
                </c:pt>
                <c:pt idx="226" formatCode="&quot;$&quot;#,##0">
                  <c:v>138</c:v>
                </c:pt>
                <c:pt idx="227" formatCode="&quot;$&quot;#,##0">
                  <c:v>138</c:v>
                </c:pt>
                <c:pt idx="228" formatCode="&quot;$&quot;#,##0">
                  <c:v>138</c:v>
                </c:pt>
                <c:pt idx="229" formatCode="&quot;$&quot;#,##0">
                  <c:v>138</c:v>
                </c:pt>
                <c:pt idx="230" formatCode="&quot;$&quot;#,##0">
                  <c:v>138</c:v>
                </c:pt>
                <c:pt idx="231" formatCode="&quot;$&quot;#,##0">
                  <c:v>138</c:v>
                </c:pt>
                <c:pt idx="232" formatCode="&quot;$&quot;#,##0">
                  <c:v>138</c:v>
                </c:pt>
                <c:pt idx="233" formatCode="&quot;$&quot;#,##0">
                  <c:v>138</c:v>
                </c:pt>
                <c:pt idx="234" formatCode="&quot;$&quot;#,##0">
                  <c:v>68</c:v>
                </c:pt>
                <c:pt idx="235" formatCode="&quot;$&quot;#,##0">
                  <c:v>68</c:v>
                </c:pt>
                <c:pt idx="236" formatCode="&quot;$&quot;#,##0">
                  <c:v>208</c:v>
                </c:pt>
                <c:pt idx="237" formatCode="&quot;$&quot;#,##0">
                  <c:v>412</c:v>
                </c:pt>
                <c:pt idx="238" formatCode="&quot;$&quot;#,##0">
                  <c:v>412</c:v>
                </c:pt>
                <c:pt idx="239" formatCode="&quot;$&quot;#,##0">
                  <c:v>718</c:v>
                </c:pt>
                <c:pt idx="240" formatCode="&quot;$&quot;#,##0">
                  <c:v>40</c:v>
                </c:pt>
                <c:pt idx="241" formatCode="&quot;$&quot;#,##0">
                  <c:v>40</c:v>
                </c:pt>
                <c:pt idx="242" formatCode="&quot;$&quot;#,##0">
                  <c:v>29</c:v>
                </c:pt>
                <c:pt idx="243" formatCode="&quot;$&quot;#,##0">
                  <c:v>15</c:v>
                </c:pt>
                <c:pt idx="244" formatCode="&quot;$&quot;#,##0">
                  <c:v>40</c:v>
                </c:pt>
                <c:pt idx="245" formatCode="&quot;$&quot;#,##0">
                  <c:v>40</c:v>
                </c:pt>
                <c:pt idx="246" formatCode="&quot;$&quot;#,##0">
                  <c:v>11</c:v>
                </c:pt>
                <c:pt idx="247" formatCode="&quot;$&quot;#,##0">
                  <c:v>11</c:v>
                </c:pt>
                <c:pt idx="248" formatCode="&quot;$&quot;#,##0">
                  <c:v>41</c:v>
                </c:pt>
                <c:pt idx="249" formatCode="&quot;$&quot;#,##0">
                  <c:v>11</c:v>
                </c:pt>
                <c:pt idx="250" formatCode="&quot;$&quot;#,##0">
                  <c:v>11</c:v>
                </c:pt>
                <c:pt idx="251" formatCode="&quot;$&quot;#,##0">
                  <c:v>10</c:v>
                </c:pt>
                <c:pt idx="252" formatCode="&quot;$&quot;#,##0">
                  <c:v>41</c:v>
                </c:pt>
                <c:pt idx="253" formatCode="&quot;$&quot;#,##0">
                  <c:v>10</c:v>
                </c:pt>
                <c:pt idx="254" formatCode="&quot;$&quot;#,##0">
                  <c:v>41</c:v>
                </c:pt>
                <c:pt idx="255" formatCode="&quot;$&quot;#,##0">
                  <c:v>10</c:v>
                </c:pt>
                <c:pt idx="256" formatCode="&quot;$&quot;#,##0">
                  <c:v>41</c:v>
                </c:pt>
                <c:pt idx="257" formatCode="&quot;$&quot;#,##0">
                  <c:v>10</c:v>
                </c:pt>
                <c:pt idx="258" formatCode="&quot;$&quot;#,##0">
                  <c:v>41</c:v>
                </c:pt>
                <c:pt idx="259" formatCode="&quot;$&quot;#,##0">
                  <c:v>11</c:v>
                </c:pt>
                <c:pt idx="260" formatCode="&quot;$&quot;#,##0">
                  <c:v>41</c:v>
                </c:pt>
                <c:pt idx="261" formatCode="&quot;$&quot;#,##0">
                  <c:v>16</c:v>
                </c:pt>
                <c:pt idx="262" formatCode="&quot;$&quot;#,##0">
                  <c:v>47</c:v>
                </c:pt>
                <c:pt idx="263" formatCode="&quot;$&quot;#,##0">
                  <c:v>11</c:v>
                </c:pt>
                <c:pt idx="264" formatCode="&quot;$&quot;#,##0">
                  <c:v>11</c:v>
                </c:pt>
                <c:pt idx="265" formatCode="&quot;$&quot;#,##0">
                  <c:v>34</c:v>
                </c:pt>
                <c:pt idx="266" formatCode="&quot;$&quot;#,##0">
                  <c:v>10</c:v>
                </c:pt>
                <c:pt idx="267" formatCode="&quot;$&quot;#,##0">
                  <c:v>41</c:v>
                </c:pt>
                <c:pt idx="268" formatCode="&quot;$&quot;#,##0">
                  <c:v>11</c:v>
                </c:pt>
                <c:pt idx="269" formatCode="&quot;$&quot;#,##0">
                  <c:v>41</c:v>
                </c:pt>
                <c:pt idx="270" formatCode="&quot;$&quot;#,##0">
                  <c:v>11</c:v>
                </c:pt>
                <c:pt idx="271" formatCode="&quot;$&quot;#,##0">
                  <c:v>41</c:v>
                </c:pt>
                <c:pt idx="272" formatCode="&quot;$&quot;#,##0">
                  <c:v>11</c:v>
                </c:pt>
                <c:pt idx="273" formatCode="&quot;$&quot;#,##0">
                  <c:v>41</c:v>
                </c:pt>
                <c:pt idx="274" formatCode="&quot;$&quot;#,##0">
                  <c:v>11</c:v>
                </c:pt>
                <c:pt idx="275" formatCode="&quot;$&quot;#,##0">
                  <c:v>41</c:v>
                </c:pt>
                <c:pt idx="276" formatCode="&quot;$&quot;#,##0">
                  <c:v>249</c:v>
                </c:pt>
                <c:pt idx="277" formatCode="&quot;$&quot;#,##0">
                  <c:v>249</c:v>
                </c:pt>
                <c:pt idx="278" formatCode="&quot;$&quot;#,##0">
                  <c:v>125</c:v>
                </c:pt>
                <c:pt idx="279" formatCode="&quot;$&quot;#,##0">
                  <c:v>844</c:v>
                </c:pt>
                <c:pt idx="280" formatCode="&quot;$&quot;#,##0">
                  <c:v>80</c:v>
                </c:pt>
                <c:pt idx="281" formatCode="&quot;$&quot;#,##0">
                  <c:v>125</c:v>
                </c:pt>
                <c:pt idx="282" formatCode="&quot;$&quot;#,##0">
                  <c:v>125</c:v>
                </c:pt>
                <c:pt idx="283" formatCode="&quot;$&quot;#,##0">
                  <c:v>125</c:v>
                </c:pt>
                <c:pt idx="284" formatCode="&quot;$&quot;#,##0">
                  <c:v>125</c:v>
                </c:pt>
                <c:pt idx="285" formatCode="&quot;$&quot;#,##0">
                  <c:v>125</c:v>
                </c:pt>
                <c:pt idx="286" formatCode="&quot;$&quot;#,##0">
                  <c:v>125</c:v>
                </c:pt>
                <c:pt idx="287" formatCode="&quot;$&quot;#,##0">
                  <c:v>125</c:v>
                </c:pt>
                <c:pt idx="288" formatCode="&quot;$&quot;#,##0">
                  <c:v>884</c:v>
                </c:pt>
                <c:pt idx="289" formatCode="&quot;$&quot;#,##0">
                  <c:v>950</c:v>
                </c:pt>
                <c:pt idx="290" formatCode="&quot;$&quot;#,##0">
                  <c:v>2581</c:v>
                </c:pt>
                <c:pt idx="291" formatCode="&quot;$&quot;#,##0">
                  <c:v>2581</c:v>
                </c:pt>
                <c:pt idx="292" formatCode="&quot;$&quot;#,##0">
                  <c:v>354</c:v>
                </c:pt>
                <c:pt idx="293" formatCode="&quot;$&quot;#,##0">
                  <c:v>354</c:v>
                </c:pt>
                <c:pt idx="294" formatCode="&quot;$&quot;#,##0">
                  <c:v>354</c:v>
                </c:pt>
                <c:pt idx="295" formatCode="&quot;$&quot;#,##0">
                  <c:v>354</c:v>
                </c:pt>
                <c:pt idx="296" formatCode="&quot;$&quot;#,##0">
                  <c:v>354</c:v>
                </c:pt>
                <c:pt idx="297" formatCode="&quot;$&quot;#,##0">
                  <c:v>354</c:v>
                </c:pt>
                <c:pt idx="298" formatCode="&quot;$&quot;#,##0">
                  <c:v>354</c:v>
                </c:pt>
                <c:pt idx="299" formatCode="&quot;$&quot;#,##0">
                  <c:v>215</c:v>
                </c:pt>
                <c:pt idx="300" formatCode="&quot;$&quot;#,##0">
                  <c:v>215</c:v>
                </c:pt>
                <c:pt idx="301" formatCode="&quot;$&quot;#,##0">
                  <c:v>215</c:v>
                </c:pt>
                <c:pt idx="302" formatCode="&quot;$&quot;#,##0">
                  <c:v>215</c:v>
                </c:pt>
                <c:pt idx="303" formatCode="&quot;$&quot;#,##0">
                  <c:v>56</c:v>
                </c:pt>
                <c:pt idx="304" formatCode="&quot;$&quot;#,##0">
                  <c:v>56</c:v>
                </c:pt>
                <c:pt idx="305" formatCode="&quot;$&quot;#,##0">
                  <c:v>56</c:v>
                </c:pt>
                <c:pt idx="306" formatCode="&quot;$&quot;#,##0">
                  <c:v>56</c:v>
                </c:pt>
                <c:pt idx="307" formatCode="&quot;$&quot;#,##0">
                  <c:v>56</c:v>
                </c:pt>
                <c:pt idx="308" formatCode="&quot;$&quot;#,##0">
                  <c:v>86</c:v>
                </c:pt>
                <c:pt idx="309" formatCode="&quot;$&quot;#,##0">
                  <c:v>236</c:v>
                </c:pt>
                <c:pt idx="310" formatCode="&quot;$&quot;#,##0">
                  <c:v>236</c:v>
                </c:pt>
                <c:pt idx="311" formatCode="&quot;$&quot;#,##0">
                  <c:v>49</c:v>
                </c:pt>
                <c:pt idx="312" formatCode="&quot;$&quot;#,##0">
                  <c:v>236</c:v>
                </c:pt>
                <c:pt idx="313" formatCode="&quot;$&quot;#,##0">
                  <c:v>60</c:v>
                </c:pt>
                <c:pt idx="314" formatCode="&quot;$&quot;#,##0">
                  <c:v>226</c:v>
                </c:pt>
                <c:pt idx="315" formatCode="&quot;$&quot;#,##0">
                  <c:v>323</c:v>
                </c:pt>
                <c:pt idx="316" formatCode="&quot;$&quot;#,##0">
                  <c:v>323</c:v>
                </c:pt>
                <c:pt idx="317" formatCode="&quot;$&quot;#,##0">
                  <c:v>323</c:v>
                </c:pt>
                <c:pt idx="318" formatCode="&quot;$&quot;#,##0">
                  <c:v>210</c:v>
                </c:pt>
                <c:pt idx="319" formatCode="&quot;$&quot;#,##0">
                  <c:v>210</c:v>
                </c:pt>
                <c:pt idx="320" formatCode="&quot;$&quot;#,##0">
                  <c:v>210</c:v>
                </c:pt>
                <c:pt idx="321" formatCode="&quot;$&quot;#,##0">
                  <c:v>210</c:v>
                </c:pt>
                <c:pt idx="322" formatCode="&quot;$&quot;#,##0">
                  <c:v>210</c:v>
                </c:pt>
                <c:pt idx="323" formatCode="&quot;$&quot;#,##0">
                  <c:v>210</c:v>
                </c:pt>
                <c:pt idx="324" formatCode="&quot;$&quot;#,##0">
                  <c:v>210</c:v>
                </c:pt>
                <c:pt idx="325" formatCode="&quot;$&quot;#,##0">
                  <c:v>210</c:v>
                </c:pt>
                <c:pt idx="326" formatCode="&quot;$&quot;#,##0">
                  <c:v>210</c:v>
                </c:pt>
                <c:pt idx="327" formatCode="&quot;$&quot;#,##0">
                  <c:v>210</c:v>
                </c:pt>
                <c:pt idx="328" formatCode="&quot;$&quot;#,##0">
                  <c:v>357</c:v>
                </c:pt>
                <c:pt idx="329" formatCode="&quot;$&quot;#,##0">
                  <c:v>357</c:v>
                </c:pt>
                <c:pt idx="330" formatCode="&quot;$&quot;#,##0">
                  <c:v>357</c:v>
                </c:pt>
                <c:pt idx="331" formatCode="&quot;$&quot;#,##0">
                  <c:v>357</c:v>
                </c:pt>
                <c:pt idx="332" formatCode="&quot;$&quot;#,##0">
                  <c:v>447</c:v>
                </c:pt>
                <c:pt idx="333" formatCode="&quot;$&quot;#,##0">
                  <c:v>447</c:v>
                </c:pt>
                <c:pt idx="334" formatCode="&quot;$&quot;#,##0">
                  <c:v>69</c:v>
                </c:pt>
                <c:pt idx="335" formatCode="&quot;$&quot;#,##0">
                  <c:v>69</c:v>
                </c:pt>
                <c:pt idx="336" formatCode="&quot;$&quot;#,##0">
                  <c:v>521</c:v>
                </c:pt>
                <c:pt idx="337" formatCode="&quot;$&quot;#,##0">
                  <c:v>198</c:v>
                </c:pt>
                <c:pt idx="338" formatCode="&quot;$&quot;#,##0">
                  <c:v>662</c:v>
                </c:pt>
                <c:pt idx="339" formatCode="&quot;$&quot;#,##0">
                  <c:v>648</c:v>
                </c:pt>
                <c:pt idx="340" formatCode="&quot;$&quot;#,##0">
                  <c:v>648</c:v>
                </c:pt>
                <c:pt idx="341" formatCode="&quot;$&quot;#,##0">
                  <c:v>648</c:v>
                </c:pt>
                <c:pt idx="342" formatCode="&quot;$&quot;#,##0">
                  <c:v>648</c:v>
                </c:pt>
                <c:pt idx="343" formatCode="&quot;$&quot;#,##0">
                  <c:v>648</c:v>
                </c:pt>
                <c:pt idx="344" formatCode="&quot;$&quot;#,##0">
                  <c:v>559</c:v>
                </c:pt>
                <c:pt idx="345" formatCode="&quot;$&quot;#,##0">
                  <c:v>473</c:v>
                </c:pt>
                <c:pt idx="346" formatCode="&quot;$&quot;#,##0">
                  <c:v>473</c:v>
                </c:pt>
                <c:pt idx="347" formatCode="&quot;$&quot;#,##0">
                  <c:v>473</c:v>
                </c:pt>
                <c:pt idx="348" formatCode="&quot;$&quot;#,##0">
                  <c:v>671</c:v>
                </c:pt>
                <c:pt idx="349" formatCode="&quot;$&quot;#,##0">
                  <c:v>671</c:v>
                </c:pt>
                <c:pt idx="350" formatCode="&quot;$&quot;#,##0">
                  <c:v>318</c:v>
                </c:pt>
                <c:pt idx="351" formatCode="&quot;$&quot;#,##0">
                  <c:v>318</c:v>
                </c:pt>
                <c:pt idx="352" formatCode="&quot;$&quot;#,##0">
                  <c:v>318</c:v>
                </c:pt>
                <c:pt idx="353" formatCode="&quot;$&quot;#,##0">
                  <c:v>318</c:v>
                </c:pt>
                <c:pt idx="354" formatCode="&quot;$&quot;#,##0">
                  <c:v>318</c:v>
                </c:pt>
                <c:pt idx="355" formatCode="&quot;$&quot;#,##0">
                  <c:v>318</c:v>
                </c:pt>
                <c:pt idx="356" formatCode="&quot;$&quot;#,##0">
                  <c:v>318</c:v>
                </c:pt>
                <c:pt idx="357" formatCode="&quot;$&quot;#,##0">
                  <c:v>473</c:v>
                </c:pt>
                <c:pt idx="358" formatCode="&quot;$&quot;#,##0">
                  <c:v>473</c:v>
                </c:pt>
                <c:pt idx="359" formatCode="&quot;$&quot;#,##0">
                  <c:v>473</c:v>
                </c:pt>
                <c:pt idx="360" formatCode="&quot;$&quot;#,##0">
                  <c:v>473</c:v>
                </c:pt>
                <c:pt idx="361" formatCode="&quot;$&quot;#,##0">
                  <c:v>473</c:v>
                </c:pt>
                <c:pt idx="362" formatCode="&quot;$&quot;#,##0">
                  <c:v>374</c:v>
                </c:pt>
                <c:pt idx="363" formatCode="&quot;$&quot;#,##0">
                  <c:v>374</c:v>
                </c:pt>
                <c:pt idx="364" formatCode="&quot;$&quot;#,##0">
                  <c:v>234</c:v>
                </c:pt>
                <c:pt idx="365" formatCode="&quot;$&quot;#,##0">
                  <c:v>234</c:v>
                </c:pt>
                <c:pt idx="366" formatCode="&quot;$&quot;#,##0">
                  <c:v>51</c:v>
                </c:pt>
                <c:pt idx="367" formatCode="&quot;$&quot;#,##0">
                  <c:v>308</c:v>
                </c:pt>
                <c:pt idx="368" formatCode="&quot;$&quot;#,##0">
                  <c:v>323</c:v>
                </c:pt>
                <c:pt idx="369" formatCode="&quot;$&quot;#,##0">
                  <c:v>473</c:v>
                </c:pt>
                <c:pt idx="370" formatCode="&quot;$&quot;#,##0">
                  <c:v>215</c:v>
                </c:pt>
                <c:pt idx="371" formatCode="&quot;$&quot;#,##0">
                  <c:v>681</c:v>
                </c:pt>
                <c:pt idx="372" formatCode="&quot;$&quot;#,##0">
                  <c:v>316</c:v>
                </c:pt>
                <c:pt idx="373" formatCode="&quot;$&quot;#,##0">
                  <c:v>185</c:v>
                </c:pt>
                <c:pt idx="374" formatCode="&quot;$&quot;#,##0">
                  <c:v>185</c:v>
                </c:pt>
                <c:pt idx="375" formatCode="&quot;$&quot;#,##0">
                  <c:v>185</c:v>
                </c:pt>
                <c:pt idx="376" formatCode="&quot;$&quot;#,##0">
                  <c:v>185</c:v>
                </c:pt>
                <c:pt idx="377" formatCode="&quot;$&quot;#,##0">
                  <c:v>185</c:v>
                </c:pt>
                <c:pt idx="378" formatCode="&quot;$&quot;#,##0">
                  <c:v>185</c:v>
                </c:pt>
                <c:pt idx="379" formatCode="&quot;$&quot;#,##0">
                  <c:v>238</c:v>
                </c:pt>
                <c:pt idx="380" formatCode="&quot;$&quot;#,##0">
                  <c:v>72</c:v>
                </c:pt>
                <c:pt idx="381" formatCode="&quot;$&quot;#,##0">
                  <c:v>72</c:v>
                </c:pt>
                <c:pt idx="382" formatCode="&quot;$&quot;#,##0">
                  <c:v>72</c:v>
                </c:pt>
                <c:pt idx="383" formatCode="&quot;$&quot;#,##0">
                  <c:v>72</c:v>
                </c:pt>
                <c:pt idx="384" formatCode="&quot;$&quot;#,##0">
                  <c:v>72</c:v>
                </c:pt>
                <c:pt idx="385" formatCode="&quot;$&quot;#,##0">
                  <c:v>72</c:v>
                </c:pt>
                <c:pt idx="386" formatCode="&quot;$&quot;#,##0">
                  <c:v>72</c:v>
                </c:pt>
                <c:pt idx="387" formatCode="&quot;$&quot;#,##0">
                  <c:v>72</c:v>
                </c:pt>
                <c:pt idx="388" formatCode="&quot;$&quot;#,##0">
                  <c:v>72</c:v>
                </c:pt>
                <c:pt idx="389" formatCode="&quot;$&quot;#,##0">
                  <c:v>72</c:v>
                </c:pt>
                <c:pt idx="390" formatCode="&quot;$&quot;#,##0">
                  <c:v>72</c:v>
                </c:pt>
                <c:pt idx="391" formatCode="&quot;$&quot;#,##0">
                  <c:v>72</c:v>
                </c:pt>
                <c:pt idx="392" formatCode="&quot;$&quot;#,##0">
                  <c:v>862</c:v>
                </c:pt>
                <c:pt idx="393" formatCode="&quot;$&quot;#,##0">
                  <c:v>501</c:v>
                </c:pt>
                <c:pt idx="394" formatCode="&quot;$&quot;#,##0">
                  <c:v>271</c:v>
                </c:pt>
                <c:pt idx="395" formatCode="&quot;$&quot;#,##0">
                  <c:v>77</c:v>
                </c:pt>
                <c:pt idx="396" formatCode="&quot;$&quot;#,##0">
                  <c:v>77</c:v>
                </c:pt>
                <c:pt idx="397" formatCode="&quot;$&quot;#,##0">
                  <c:v>77</c:v>
                </c:pt>
                <c:pt idx="398" formatCode="&quot;$&quot;#,##0">
                  <c:v>77</c:v>
                </c:pt>
                <c:pt idx="399" formatCode="&quot;$&quot;#,##0">
                  <c:v>77</c:v>
                </c:pt>
                <c:pt idx="400" formatCode="&quot;$&quot;#,##0">
                  <c:v>77</c:v>
                </c:pt>
                <c:pt idx="401" formatCode="&quot;$&quot;#,##0">
                  <c:v>77</c:v>
                </c:pt>
                <c:pt idx="402" formatCode="&quot;$&quot;#,##0">
                  <c:v>77</c:v>
                </c:pt>
                <c:pt idx="403" formatCode="&quot;$&quot;#,##0">
                  <c:v>77</c:v>
                </c:pt>
                <c:pt idx="404" formatCode="&quot;$&quot;#,##0">
                  <c:v>77</c:v>
                </c:pt>
                <c:pt idx="405" formatCode="&quot;$&quot;#,##0">
                  <c:v>1467</c:v>
                </c:pt>
                <c:pt idx="406" formatCode="&quot;$&quot;#,##0">
                  <c:v>3042</c:v>
                </c:pt>
                <c:pt idx="407" formatCode="&quot;$&quot;#,##0">
                  <c:v>248</c:v>
                </c:pt>
                <c:pt idx="408" formatCode="&quot;$&quot;#,##0">
                  <c:v>248</c:v>
                </c:pt>
                <c:pt idx="409" formatCode="&quot;$&quot;#,##0">
                  <c:v>248</c:v>
                </c:pt>
                <c:pt idx="410" formatCode="&quot;$&quot;#,##0">
                  <c:v>248</c:v>
                </c:pt>
                <c:pt idx="411" formatCode="&quot;$&quot;#,##0">
                  <c:v>248</c:v>
                </c:pt>
                <c:pt idx="412" formatCode="&quot;$&quot;#,##0">
                  <c:v>248</c:v>
                </c:pt>
                <c:pt idx="413" formatCode="&quot;$&quot;#,##0">
                  <c:v>248</c:v>
                </c:pt>
                <c:pt idx="414" formatCode="&quot;$&quot;#,##0">
                  <c:v>248</c:v>
                </c:pt>
                <c:pt idx="415" formatCode="&quot;$&quot;#,##0">
                  <c:v>582</c:v>
                </c:pt>
                <c:pt idx="416" formatCode="&quot;$&quot;#,##0">
                  <c:v>582</c:v>
                </c:pt>
              </c:numCache>
            </c:numRef>
          </c:xVal>
          <c:yVal>
            <c:numRef>
              <c:f>'Scatter Plot Priority'!$B$2:$B$549</c:f>
              <c:numCache>
                <c:formatCode>General</c:formatCode>
                <c:ptCount val="548"/>
                <c:pt idx="2" formatCode="&quot;$&quot;#,##0">
                  <c:v>118</c:v>
                </c:pt>
                <c:pt idx="3" formatCode="&quot;$&quot;#,##0">
                  <c:v>25</c:v>
                </c:pt>
                <c:pt idx="4" formatCode="&quot;$&quot;#,##0">
                  <c:v>11</c:v>
                </c:pt>
                <c:pt idx="5" formatCode="&quot;$&quot;#,##0">
                  <c:v>12</c:v>
                </c:pt>
                <c:pt idx="6" formatCode="&quot;$&quot;#,##0">
                  <c:v>2</c:v>
                </c:pt>
                <c:pt idx="7" formatCode="&quot;$&quot;#,##0">
                  <c:v>12</c:v>
                </c:pt>
                <c:pt idx="8" formatCode="&quot;$&quot;#,##0">
                  <c:v>19</c:v>
                </c:pt>
                <c:pt idx="9" formatCode="&quot;$&quot;#,##0">
                  <c:v>1950</c:v>
                </c:pt>
                <c:pt idx="10" formatCode="&quot;$&quot;#,##0">
                  <c:v>2476</c:v>
                </c:pt>
                <c:pt idx="11" formatCode="&quot;$&quot;#,##0">
                  <c:v>1950</c:v>
                </c:pt>
                <c:pt idx="12" formatCode="&quot;$&quot;#,##0">
                  <c:v>1950</c:v>
                </c:pt>
                <c:pt idx="13" formatCode="&quot;$&quot;#,##0">
                  <c:v>1450</c:v>
                </c:pt>
                <c:pt idx="22" formatCode="&quot;$&quot;#,##0">
                  <c:v>161</c:v>
                </c:pt>
                <c:pt idx="25" formatCode="&quot;$&quot;#,##0">
                  <c:v>143</c:v>
                </c:pt>
                <c:pt idx="26" formatCode="&quot;$&quot;#,##0">
                  <c:v>143</c:v>
                </c:pt>
                <c:pt idx="27" formatCode="&quot;$&quot;#,##0">
                  <c:v>143</c:v>
                </c:pt>
                <c:pt idx="31" formatCode="&quot;$&quot;#,##0">
                  <c:v>250</c:v>
                </c:pt>
                <c:pt idx="32" formatCode="&quot;$&quot;#,##0">
                  <c:v>100</c:v>
                </c:pt>
                <c:pt idx="33" formatCode="&quot;$&quot;#,##0">
                  <c:v>66.66</c:v>
                </c:pt>
                <c:pt idx="35" formatCode="&quot;$&quot;#,##0">
                  <c:v>17</c:v>
                </c:pt>
                <c:pt idx="36" formatCode="&quot;$&quot;#,##0">
                  <c:v>17</c:v>
                </c:pt>
                <c:pt idx="37" formatCode="&quot;$&quot;#,##0">
                  <c:v>12.5</c:v>
                </c:pt>
                <c:pt idx="38" formatCode="&quot;$&quot;#,##0">
                  <c:v>10</c:v>
                </c:pt>
                <c:pt idx="39" formatCode="&quot;$&quot;#,##0">
                  <c:v>6.21</c:v>
                </c:pt>
                <c:pt idx="45" formatCode="&quot;$&quot;#,##0">
                  <c:v>25</c:v>
                </c:pt>
                <c:pt idx="47" formatCode="&quot;$&quot;#,##0">
                  <c:v>21.29</c:v>
                </c:pt>
                <c:pt idx="48" formatCode="&quot;$&quot;#,##0">
                  <c:v>21</c:v>
                </c:pt>
                <c:pt idx="49" formatCode="&quot;$&quot;#,##0">
                  <c:v>16</c:v>
                </c:pt>
                <c:pt idx="51" formatCode="&quot;$&quot;#,##0">
                  <c:v>38</c:v>
                </c:pt>
                <c:pt idx="52" formatCode="&quot;$&quot;#,##0">
                  <c:v>38</c:v>
                </c:pt>
                <c:pt idx="53" formatCode="&quot;$&quot;#,##0">
                  <c:v>18.309999999999999</c:v>
                </c:pt>
                <c:pt idx="54" formatCode="&quot;$&quot;#,##0">
                  <c:v>25</c:v>
                </c:pt>
                <c:pt idx="56" formatCode="&quot;$&quot;#,##0">
                  <c:v>12.5625</c:v>
                </c:pt>
                <c:pt idx="58" formatCode="&quot;$&quot;#,##0">
                  <c:v>75</c:v>
                </c:pt>
                <c:pt idx="59" formatCode="&quot;$&quot;#,##0">
                  <c:v>75</c:v>
                </c:pt>
                <c:pt idx="60" formatCode="&quot;$&quot;#,##0">
                  <c:v>44.16</c:v>
                </c:pt>
                <c:pt idx="62" formatCode="&quot;$&quot;#,##0">
                  <c:v>36.74</c:v>
                </c:pt>
                <c:pt idx="63" formatCode="&quot;$&quot;#,##0">
                  <c:v>38</c:v>
                </c:pt>
                <c:pt idx="65" formatCode="&quot;$&quot;#,##0">
                  <c:v>107</c:v>
                </c:pt>
                <c:pt idx="66" formatCode="&quot;$&quot;#,##0">
                  <c:v>107</c:v>
                </c:pt>
                <c:pt idx="67" formatCode="&quot;$&quot;#,##0">
                  <c:v>18.309999999999999</c:v>
                </c:pt>
                <c:pt idx="68" formatCode="&quot;$&quot;#,##0">
                  <c:v>100</c:v>
                </c:pt>
                <c:pt idx="70" formatCode="&quot;$&quot;#,##0">
                  <c:v>390</c:v>
                </c:pt>
                <c:pt idx="71" formatCode="&quot;$&quot;#,##0">
                  <c:v>580</c:v>
                </c:pt>
                <c:pt idx="72" formatCode="&quot;$&quot;#,##0">
                  <c:v>345</c:v>
                </c:pt>
                <c:pt idx="73" formatCode="&quot;$&quot;#,##0">
                  <c:v>595</c:v>
                </c:pt>
                <c:pt idx="74" formatCode="&quot;$&quot;#,##0">
                  <c:v>380</c:v>
                </c:pt>
                <c:pt idx="75" formatCode="&quot;$&quot;#,##0">
                  <c:v>23.512499999999999</c:v>
                </c:pt>
                <c:pt idx="76" formatCode="&quot;$&quot;#,##0">
                  <c:v>30</c:v>
                </c:pt>
                <c:pt idx="174" formatCode="&quot;$&quot;#,##0">
                  <c:v>166</c:v>
                </c:pt>
                <c:pt idx="175" formatCode="&quot;$&quot;#,##0">
                  <c:v>561</c:v>
                </c:pt>
                <c:pt idx="176" formatCode="&quot;$&quot;#,##0">
                  <c:v>1112</c:v>
                </c:pt>
                <c:pt idx="177" formatCode="&quot;$&quot;#,##0">
                  <c:v>1112</c:v>
                </c:pt>
                <c:pt idx="178" formatCode="&quot;$&quot;#,##0">
                  <c:v>934</c:v>
                </c:pt>
                <c:pt idx="179" formatCode="&quot;$&quot;#,##0">
                  <c:v>125</c:v>
                </c:pt>
                <c:pt idx="180" formatCode="&quot;$&quot;#,##0">
                  <c:v>351</c:v>
                </c:pt>
                <c:pt idx="181" formatCode="&quot;$&quot;#,##0">
                  <c:v>323</c:v>
                </c:pt>
                <c:pt idx="182" formatCode="&quot;$&quot;#,##0">
                  <c:v>323</c:v>
                </c:pt>
                <c:pt idx="183" formatCode="&quot;$&quot;#,##0">
                  <c:v>65</c:v>
                </c:pt>
                <c:pt idx="184" formatCode="&quot;$&quot;#,##0">
                  <c:v>73</c:v>
                </c:pt>
                <c:pt idx="185" formatCode="&quot;$&quot;#,##0">
                  <c:v>122</c:v>
                </c:pt>
                <c:pt idx="186" formatCode="&quot;$&quot;#,##0">
                  <c:v>122</c:v>
                </c:pt>
                <c:pt idx="187" formatCode="&quot;$&quot;#,##0">
                  <c:v>278</c:v>
                </c:pt>
                <c:pt idx="188" formatCode="&quot;$&quot;#,##0">
                  <c:v>225</c:v>
                </c:pt>
                <c:pt idx="189" formatCode="&quot;$&quot;#,##0">
                  <c:v>16.5</c:v>
                </c:pt>
                <c:pt idx="190" formatCode="&quot;$&quot;#,##0">
                  <c:v>24</c:v>
                </c:pt>
                <c:pt idx="191" formatCode="&quot;$&quot;#,##0">
                  <c:v>99.5</c:v>
                </c:pt>
                <c:pt idx="192" formatCode="&quot;$&quot;#,##0">
                  <c:v>648</c:v>
                </c:pt>
                <c:pt idx="193" formatCode="&quot;$&quot;#,##0">
                  <c:v>595</c:v>
                </c:pt>
                <c:pt idx="194" formatCode="&quot;$&quot;#,##0">
                  <c:v>595</c:v>
                </c:pt>
                <c:pt idx="195" formatCode="&quot;$&quot;#,##0">
                  <c:v>540</c:v>
                </c:pt>
                <c:pt idx="196" formatCode="&quot;$&quot;#,##0">
                  <c:v>1295</c:v>
                </c:pt>
                <c:pt idx="197" formatCode="&quot;$&quot;#,##0">
                  <c:v>1295</c:v>
                </c:pt>
                <c:pt idx="198" formatCode="&quot;$&quot;#,##0">
                  <c:v>1295</c:v>
                </c:pt>
                <c:pt idx="199" formatCode="&quot;$&quot;#,##0">
                  <c:v>1000</c:v>
                </c:pt>
                <c:pt idx="200" formatCode="&quot;$&quot;#,##0">
                  <c:v>1008</c:v>
                </c:pt>
                <c:pt idx="201" formatCode="&quot;$&quot;#,##0">
                  <c:v>29</c:v>
                </c:pt>
                <c:pt idx="203" formatCode="&quot;$&quot;#,##0">
                  <c:v>57</c:v>
                </c:pt>
                <c:pt idx="204" formatCode="&quot;$&quot;#,##0">
                  <c:v>24</c:v>
                </c:pt>
                <c:pt idx="206" formatCode="&quot;$&quot;#,##0">
                  <c:v>29</c:v>
                </c:pt>
                <c:pt idx="207" formatCode="&quot;$&quot;#,##0">
                  <c:v>29</c:v>
                </c:pt>
                <c:pt idx="208" formatCode="&quot;$&quot;#,##0">
                  <c:v>29</c:v>
                </c:pt>
                <c:pt idx="210" formatCode="&quot;$&quot;#,##0">
                  <c:v>57</c:v>
                </c:pt>
                <c:pt idx="211" formatCode="&quot;$&quot;#,##0">
                  <c:v>26</c:v>
                </c:pt>
                <c:pt idx="212" formatCode="&quot;$&quot;#,##0">
                  <c:v>29</c:v>
                </c:pt>
                <c:pt idx="213" formatCode="&quot;$&quot;#,##0">
                  <c:v>26</c:v>
                </c:pt>
                <c:pt idx="214" formatCode="&quot;$&quot;#,##0">
                  <c:v>14</c:v>
                </c:pt>
                <c:pt idx="215" formatCode="&quot;$&quot;#,##0">
                  <c:v>26</c:v>
                </c:pt>
                <c:pt idx="216" formatCode="&quot;$&quot;#,##0">
                  <c:v>26</c:v>
                </c:pt>
                <c:pt idx="217" formatCode="&quot;$&quot;#,##0">
                  <c:v>31</c:v>
                </c:pt>
                <c:pt idx="218" formatCode="&quot;$&quot;#,##0">
                  <c:v>26</c:v>
                </c:pt>
                <c:pt idx="219" formatCode="&quot;$&quot;#,##0">
                  <c:v>29</c:v>
                </c:pt>
                <c:pt idx="220" formatCode="&quot;$&quot;#,##0">
                  <c:v>24</c:v>
                </c:pt>
                <c:pt idx="221" formatCode="&quot;$&quot;#,##0">
                  <c:v>29</c:v>
                </c:pt>
                <c:pt idx="222" formatCode="&quot;$&quot;#,##0">
                  <c:v>31</c:v>
                </c:pt>
                <c:pt idx="223" formatCode="&quot;$&quot;#,##0">
                  <c:v>57</c:v>
                </c:pt>
                <c:pt idx="224" formatCode="&quot;$&quot;#,##0">
                  <c:v>57</c:v>
                </c:pt>
                <c:pt idx="225" formatCode="&quot;$&quot;#,##0">
                  <c:v>57</c:v>
                </c:pt>
                <c:pt idx="226" formatCode="&quot;$&quot;#,##0">
                  <c:v>57</c:v>
                </c:pt>
                <c:pt idx="227" formatCode="&quot;$&quot;#,##0">
                  <c:v>91</c:v>
                </c:pt>
                <c:pt idx="228" formatCode="&quot;$&quot;#,##0">
                  <c:v>31</c:v>
                </c:pt>
                <c:pt idx="229" formatCode="&quot;$&quot;#,##0">
                  <c:v>57</c:v>
                </c:pt>
                <c:pt idx="230" formatCode="&quot;$&quot;#,##0">
                  <c:v>23.512499999999999</c:v>
                </c:pt>
                <c:pt idx="231" formatCode="&quot;$&quot;#,##0">
                  <c:v>149</c:v>
                </c:pt>
                <c:pt idx="232" formatCode="&quot;$&quot;#,##0">
                  <c:v>31</c:v>
                </c:pt>
                <c:pt idx="233" formatCode="&quot;$&quot;#,##0">
                  <c:v>31</c:v>
                </c:pt>
                <c:pt idx="234" formatCode="&quot;$&quot;#,##0">
                  <c:v>74</c:v>
                </c:pt>
                <c:pt idx="236" formatCode="&quot;$&quot;#,##0">
                  <c:v>224</c:v>
                </c:pt>
                <c:pt idx="237" formatCode="&quot;$&quot;#,##0">
                  <c:v>417.1</c:v>
                </c:pt>
                <c:pt idx="238" formatCode="&quot;$&quot;#,##0">
                  <c:v>427</c:v>
                </c:pt>
                <c:pt idx="240" formatCode="&quot;$&quot;#,##0">
                  <c:v>7</c:v>
                </c:pt>
                <c:pt idx="244" formatCode="&quot;$&quot;#,##0">
                  <c:v>8.83</c:v>
                </c:pt>
                <c:pt idx="245" formatCode="&quot;$&quot;#,##0">
                  <c:v>11.86</c:v>
                </c:pt>
                <c:pt idx="246" formatCode="&quot;$&quot;#,##0">
                  <c:v>170</c:v>
                </c:pt>
                <c:pt idx="247" formatCode="&quot;$&quot;#,##0">
                  <c:v>1.06</c:v>
                </c:pt>
                <c:pt idx="248" formatCode="&quot;$&quot;#,##0">
                  <c:v>1.04</c:v>
                </c:pt>
                <c:pt idx="249" formatCode="&quot;$&quot;#,##0">
                  <c:v>1.1299999999999999</c:v>
                </c:pt>
                <c:pt idx="250" formatCode="&quot;$&quot;#,##0">
                  <c:v>1.73</c:v>
                </c:pt>
                <c:pt idx="251" formatCode="&quot;$&quot;#,##0">
                  <c:v>0.76</c:v>
                </c:pt>
                <c:pt idx="252" formatCode="&quot;$&quot;#,##0">
                  <c:v>0.71</c:v>
                </c:pt>
                <c:pt idx="253" formatCode="&quot;$&quot;#,##0">
                  <c:v>0.81</c:v>
                </c:pt>
                <c:pt idx="254" formatCode="&quot;$&quot;#,##0">
                  <c:v>0.75</c:v>
                </c:pt>
                <c:pt idx="255" formatCode="&quot;$&quot;#,##0">
                  <c:v>1.1599999999999999</c:v>
                </c:pt>
                <c:pt idx="256" formatCode="&quot;$&quot;#,##0">
                  <c:v>0.71614583333333337</c:v>
                </c:pt>
                <c:pt idx="257" formatCode="&quot;$&quot;#,##0">
                  <c:v>1.36</c:v>
                </c:pt>
                <c:pt idx="258" formatCode="&quot;$&quot;#,##0">
                  <c:v>1.31</c:v>
                </c:pt>
                <c:pt idx="259" formatCode="&quot;$&quot;#,##0">
                  <c:v>1.5</c:v>
                </c:pt>
                <c:pt idx="260" formatCode="&quot;$&quot;#,##0">
                  <c:v>1.5</c:v>
                </c:pt>
                <c:pt idx="261" formatCode="&quot;$&quot;#,##0">
                  <c:v>279</c:v>
                </c:pt>
                <c:pt idx="262" formatCode="&quot;$&quot;#,##0">
                  <c:v>324</c:v>
                </c:pt>
                <c:pt idx="268" formatCode="&quot;$&quot;#,##0">
                  <c:v>1.56</c:v>
                </c:pt>
                <c:pt idx="269" formatCode="&quot;$&quot;#,##0">
                  <c:v>1.33</c:v>
                </c:pt>
                <c:pt idx="270" formatCode="&quot;$&quot;#,##0">
                  <c:v>1.47</c:v>
                </c:pt>
                <c:pt idx="271" formatCode="&quot;$&quot;#,##0">
                  <c:v>1.1200000000000001</c:v>
                </c:pt>
                <c:pt idx="272" formatCode="&quot;$&quot;#,##0">
                  <c:v>2.5</c:v>
                </c:pt>
                <c:pt idx="273" formatCode="&quot;$&quot;#,##0">
                  <c:v>2.2000000000000002</c:v>
                </c:pt>
                <c:pt idx="274" formatCode="&quot;$&quot;#,##0">
                  <c:v>2.2000000000000002</c:v>
                </c:pt>
                <c:pt idx="275" formatCode="&quot;$&quot;#,##0">
                  <c:v>2.15</c:v>
                </c:pt>
                <c:pt idx="276" formatCode="&quot;$&quot;#,##0">
                  <c:v>2280</c:v>
                </c:pt>
                <c:pt idx="277" formatCode="&quot;$&quot;#,##0">
                  <c:v>2280</c:v>
                </c:pt>
                <c:pt idx="279" formatCode="&quot;$&quot;#,##0">
                  <c:v>725</c:v>
                </c:pt>
                <c:pt idx="280" formatCode="&quot;$&quot;#,##0">
                  <c:v>80</c:v>
                </c:pt>
                <c:pt idx="281" formatCode="&quot;$&quot;#,##0">
                  <c:v>134</c:v>
                </c:pt>
                <c:pt idx="283" formatCode="&quot;$&quot;#,##0">
                  <c:v>145</c:v>
                </c:pt>
                <c:pt idx="284" formatCode="&quot;$&quot;#,##0">
                  <c:v>72.180000000000007</c:v>
                </c:pt>
                <c:pt idx="289" formatCode="&quot;$&quot;#,##0">
                  <c:v>946</c:v>
                </c:pt>
                <c:pt idx="290" formatCode="&quot;$&quot;#,##0">
                  <c:v>946</c:v>
                </c:pt>
                <c:pt idx="291" formatCode="&quot;$&quot;#,##0">
                  <c:v>2775</c:v>
                </c:pt>
                <c:pt idx="292" formatCode="&quot;$&quot;#,##0">
                  <c:v>145</c:v>
                </c:pt>
                <c:pt idx="293" formatCode="&quot;$&quot;#,##0">
                  <c:v>110</c:v>
                </c:pt>
                <c:pt idx="295" formatCode="&quot;$&quot;#,##0">
                  <c:v>325</c:v>
                </c:pt>
                <c:pt idx="296" formatCode="&quot;$&quot;#,##0">
                  <c:v>160</c:v>
                </c:pt>
                <c:pt idx="297" formatCode="&quot;$&quot;#,##0">
                  <c:v>145</c:v>
                </c:pt>
                <c:pt idx="298" formatCode="&quot;$&quot;#,##0">
                  <c:v>352</c:v>
                </c:pt>
                <c:pt idx="299" formatCode="&quot;$&quot;#,##0">
                  <c:v>189</c:v>
                </c:pt>
                <c:pt idx="300" formatCode="&quot;$&quot;#,##0">
                  <c:v>201.6</c:v>
                </c:pt>
                <c:pt idx="301" formatCode="&quot;$&quot;#,##0">
                  <c:v>110</c:v>
                </c:pt>
                <c:pt idx="302" formatCode="&quot;$&quot;#,##0">
                  <c:v>220</c:v>
                </c:pt>
                <c:pt idx="303" formatCode="&quot;$&quot;#,##0">
                  <c:v>120</c:v>
                </c:pt>
                <c:pt idx="304" formatCode="&quot;$&quot;#,##0">
                  <c:v>1.046875</c:v>
                </c:pt>
                <c:pt idx="305" formatCode="&quot;$&quot;#,##0">
                  <c:v>1.046875</c:v>
                </c:pt>
                <c:pt idx="306" formatCode="&quot;$&quot;#,##0">
                  <c:v>1.046875</c:v>
                </c:pt>
                <c:pt idx="307" formatCode="&quot;$&quot;#,##0">
                  <c:v>495</c:v>
                </c:pt>
                <c:pt idx="308" formatCode="&quot;$&quot;#,##0">
                  <c:v>12</c:v>
                </c:pt>
                <c:pt idx="309" formatCode="&quot;$&quot;#,##0">
                  <c:v>55</c:v>
                </c:pt>
                <c:pt idx="310" formatCode="&quot;$&quot;#,##0">
                  <c:v>254</c:v>
                </c:pt>
                <c:pt idx="311" formatCode="&quot;$&quot;#,##0">
                  <c:v>51</c:v>
                </c:pt>
                <c:pt idx="312" formatCode="&quot;$&quot;#,##0">
                  <c:v>254</c:v>
                </c:pt>
                <c:pt idx="313" formatCode="&quot;$&quot;#,##0">
                  <c:v>55</c:v>
                </c:pt>
                <c:pt idx="314" formatCode="&quot;$&quot;#,##0">
                  <c:v>229</c:v>
                </c:pt>
                <c:pt idx="315" formatCode="&quot;$&quot;#,##0">
                  <c:v>325</c:v>
                </c:pt>
                <c:pt idx="316" formatCode="&quot;$&quot;#,##0">
                  <c:v>308</c:v>
                </c:pt>
                <c:pt idx="317" formatCode="&quot;$&quot;#,##0">
                  <c:v>270</c:v>
                </c:pt>
                <c:pt idx="318" formatCode="&quot;$&quot;#,##0">
                  <c:v>260</c:v>
                </c:pt>
                <c:pt idx="319" formatCode="&quot;$&quot;#,##0">
                  <c:v>366</c:v>
                </c:pt>
                <c:pt idx="320" formatCode="&quot;$&quot;#,##0">
                  <c:v>170</c:v>
                </c:pt>
                <c:pt idx="321" formatCode="&quot;$&quot;#,##0">
                  <c:v>109.66666666666667</c:v>
                </c:pt>
                <c:pt idx="322" formatCode="&quot;$&quot;#,##0">
                  <c:v>229</c:v>
                </c:pt>
                <c:pt idx="323" formatCode="&quot;$&quot;#,##0">
                  <c:v>210</c:v>
                </c:pt>
                <c:pt idx="324" formatCode="&quot;$&quot;#,##0">
                  <c:v>229</c:v>
                </c:pt>
                <c:pt idx="325" formatCode="&quot;$&quot;#,##0">
                  <c:v>75</c:v>
                </c:pt>
                <c:pt idx="326" formatCode="&quot;$&quot;#,##0">
                  <c:v>195</c:v>
                </c:pt>
                <c:pt idx="327" formatCode="&quot;$&quot;#,##0">
                  <c:v>299</c:v>
                </c:pt>
                <c:pt idx="328" formatCode="&quot;$&quot;#,##0">
                  <c:v>342</c:v>
                </c:pt>
                <c:pt idx="329" formatCode="&quot;$&quot;#,##0">
                  <c:v>390</c:v>
                </c:pt>
                <c:pt idx="330" formatCode="&quot;$&quot;#,##0">
                  <c:v>390</c:v>
                </c:pt>
                <c:pt idx="331" formatCode="&quot;$&quot;#,##0">
                  <c:v>390</c:v>
                </c:pt>
                <c:pt idx="332" formatCode="&quot;$&quot;#,##0">
                  <c:v>479</c:v>
                </c:pt>
                <c:pt idx="333" formatCode="&quot;$&quot;#,##0">
                  <c:v>520</c:v>
                </c:pt>
                <c:pt idx="334" formatCode="&quot;$&quot;#,##0">
                  <c:v>170.75</c:v>
                </c:pt>
                <c:pt idx="335" formatCode="&quot;$&quot;#,##0">
                  <c:v>75</c:v>
                </c:pt>
                <c:pt idx="336" formatCode="&quot;$&quot;#,##0">
                  <c:v>308</c:v>
                </c:pt>
                <c:pt idx="337" formatCode="&quot;$&quot;#,##0">
                  <c:v>230</c:v>
                </c:pt>
                <c:pt idx="338" formatCode="&quot;$&quot;#,##0">
                  <c:v>684</c:v>
                </c:pt>
                <c:pt idx="339" formatCode="&quot;$&quot;#,##0">
                  <c:v>722</c:v>
                </c:pt>
                <c:pt idx="340" formatCode="&quot;$&quot;#,##0">
                  <c:v>567</c:v>
                </c:pt>
                <c:pt idx="341" formatCode="&quot;$&quot;#,##0">
                  <c:v>956</c:v>
                </c:pt>
                <c:pt idx="342" formatCode="&quot;$&quot;#,##0">
                  <c:v>549</c:v>
                </c:pt>
                <c:pt idx="343" formatCode="&quot;$&quot;#,##0">
                  <c:v>699</c:v>
                </c:pt>
                <c:pt idx="344" formatCode="&quot;$&quot;#,##0">
                  <c:v>611</c:v>
                </c:pt>
                <c:pt idx="345" formatCode="&quot;$&quot;#,##0">
                  <c:v>517</c:v>
                </c:pt>
                <c:pt idx="346" formatCode="&quot;$&quot;#,##0">
                  <c:v>415</c:v>
                </c:pt>
                <c:pt idx="347" formatCode="&quot;$&quot;#,##0">
                  <c:v>247</c:v>
                </c:pt>
                <c:pt idx="348" formatCode="&quot;$&quot;#,##0">
                  <c:v>733</c:v>
                </c:pt>
                <c:pt idx="349" formatCode="&quot;$&quot;#,##0">
                  <c:v>733</c:v>
                </c:pt>
                <c:pt idx="350" formatCode="&quot;$&quot;#,##0">
                  <c:v>610</c:v>
                </c:pt>
                <c:pt idx="351" formatCode="&quot;$&quot;#,##0">
                  <c:v>215.66</c:v>
                </c:pt>
                <c:pt idx="352" formatCode="&quot;$&quot;#,##0">
                  <c:v>290</c:v>
                </c:pt>
                <c:pt idx="353" formatCode="&quot;$&quot;#,##0">
                  <c:v>312</c:v>
                </c:pt>
                <c:pt idx="354" formatCode="&quot;$&quot;#,##0">
                  <c:v>229</c:v>
                </c:pt>
                <c:pt idx="355" formatCode="&quot;$&quot;#,##0">
                  <c:v>299</c:v>
                </c:pt>
                <c:pt idx="356" formatCode="&quot;$&quot;#,##0">
                  <c:v>299</c:v>
                </c:pt>
                <c:pt idx="357" formatCode="&quot;$&quot;#,##0">
                  <c:v>517</c:v>
                </c:pt>
                <c:pt idx="358" formatCode="&quot;$&quot;#,##0">
                  <c:v>517</c:v>
                </c:pt>
                <c:pt idx="359" formatCode="&quot;$&quot;#,##0">
                  <c:v>517</c:v>
                </c:pt>
                <c:pt idx="360" formatCode="&quot;$&quot;#,##0">
                  <c:v>500</c:v>
                </c:pt>
                <c:pt idx="361" formatCode="&quot;$&quot;#,##0">
                  <c:v>500</c:v>
                </c:pt>
                <c:pt idx="362" formatCode="&quot;$&quot;#,##0">
                  <c:v>363.45</c:v>
                </c:pt>
                <c:pt idx="363" formatCode="&quot;$&quot;#,##0">
                  <c:v>409</c:v>
                </c:pt>
                <c:pt idx="364" formatCode="&quot;$&quot;#,##0">
                  <c:v>213</c:v>
                </c:pt>
                <c:pt idx="365" formatCode="&quot;$&quot;#,##0">
                  <c:v>137</c:v>
                </c:pt>
                <c:pt idx="366" formatCode="&quot;$&quot;#,##0">
                  <c:v>600</c:v>
                </c:pt>
                <c:pt idx="367" formatCode="&quot;$&quot;#,##0">
                  <c:v>3600</c:v>
                </c:pt>
                <c:pt idx="368" formatCode="&quot;$&quot;#,##0">
                  <c:v>550</c:v>
                </c:pt>
                <c:pt idx="369" formatCode="&quot;$&quot;#,##0">
                  <c:v>517</c:v>
                </c:pt>
                <c:pt idx="371" formatCode="&quot;$&quot;#,##0">
                  <c:v>717.75</c:v>
                </c:pt>
                <c:pt idx="372" formatCode="&quot;$&quot;#,##0">
                  <c:v>336</c:v>
                </c:pt>
                <c:pt idx="373" formatCode="&quot;$&quot;#,##0">
                  <c:v>180.5</c:v>
                </c:pt>
                <c:pt idx="374" formatCode="&quot;$&quot;#,##0">
                  <c:v>197</c:v>
                </c:pt>
                <c:pt idx="375" formatCode="&quot;$&quot;#,##0">
                  <c:v>197</c:v>
                </c:pt>
                <c:pt idx="376" formatCode="&quot;$&quot;#,##0">
                  <c:v>197</c:v>
                </c:pt>
                <c:pt idx="377" formatCode="&quot;$&quot;#,##0">
                  <c:v>197</c:v>
                </c:pt>
                <c:pt idx="378" formatCode="&quot;$&quot;#,##0">
                  <c:v>197</c:v>
                </c:pt>
                <c:pt idx="379" formatCode="&quot;$&quot;#,##0">
                  <c:v>252</c:v>
                </c:pt>
                <c:pt idx="380" formatCode="&quot;$&quot;#,##0">
                  <c:v>77</c:v>
                </c:pt>
                <c:pt idx="381" formatCode="&quot;$&quot;#,##0">
                  <c:v>77</c:v>
                </c:pt>
                <c:pt idx="382" formatCode="&quot;$&quot;#,##0">
                  <c:v>157.57650000000001</c:v>
                </c:pt>
                <c:pt idx="383" formatCode="&quot;$&quot;#,##0">
                  <c:v>77</c:v>
                </c:pt>
                <c:pt idx="384" formatCode="&quot;$&quot;#,##0">
                  <c:v>77</c:v>
                </c:pt>
                <c:pt idx="385" formatCode="&quot;$&quot;#,##0">
                  <c:v>60.13</c:v>
                </c:pt>
                <c:pt idx="386" formatCode="&quot;$&quot;#,##0">
                  <c:v>66.48</c:v>
                </c:pt>
                <c:pt idx="387" formatCode="&quot;$&quot;#,##0">
                  <c:v>77</c:v>
                </c:pt>
                <c:pt idx="388" formatCode="&quot;$&quot;#,##0">
                  <c:v>77</c:v>
                </c:pt>
                <c:pt idx="389" formatCode="&quot;$&quot;#,##0">
                  <c:v>66.483333333333334</c:v>
                </c:pt>
                <c:pt idx="390" formatCode="&quot;$&quot;#,##0">
                  <c:v>76.03</c:v>
                </c:pt>
                <c:pt idx="391" formatCode="&quot;$&quot;#,##0">
                  <c:v>40.589999999999996</c:v>
                </c:pt>
                <c:pt idx="392" formatCode="&quot;$&quot;#,##0">
                  <c:v>1485</c:v>
                </c:pt>
                <c:pt idx="393" formatCode="&quot;$&quot;#,##0">
                  <c:v>533</c:v>
                </c:pt>
                <c:pt idx="394" formatCode="&quot;$&quot;#,##0">
                  <c:v>288</c:v>
                </c:pt>
                <c:pt idx="395" formatCode="&quot;$&quot;#,##0">
                  <c:v>157.57650000000001</c:v>
                </c:pt>
                <c:pt idx="396" formatCode="&quot;$&quot;#,##0">
                  <c:v>157.57650000000001</c:v>
                </c:pt>
                <c:pt idx="397" formatCode="&quot;$&quot;#,##0">
                  <c:v>157.57650000000001</c:v>
                </c:pt>
                <c:pt idx="398" formatCode="&quot;$&quot;#,##0">
                  <c:v>252</c:v>
                </c:pt>
                <c:pt idx="399" formatCode="&quot;$&quot;#,##0">
                  <c:v>157.57650000000001</c:v>
                </c:pt>
                <c:pt idx="400" formatCode="&quot;$&quot;#,##0">
                  <c:v>82</c:v>
                </c:pt>
                <c:pt idx="401" formatCode="&quot;$&quot;#,##0">
                  <c:v>82</c:v>
                </c:pt>
                <c:pt idx="402" formatCode="&quot;$&quot;#,##0">
                  <c:v>82</c:v>
                </c:pt>
                <c:pt idx="403" formatCode="&quot;$&quot;#,##0">
                  <c:v>84.42</c:v>
                </c:pt>
                <c:pt idx="404" formatCode="&quot;$&quot;#,##0">
                  <c:v>53.57</c:v>
                </c:pt>
                <c:pt idx="405" formatCode="&quot;$&quot;#,##0">
                  <c:v>1499</c:v>
                </c:pt>
                <c:pt idx="406" formatCode="&quot;$&quot;#,##0">
                  <c:v>717.75</c:v>
                </c:pt>
                <c:pt idx="407" formatCode="&quot;$&quot;#,##0">
                  <c:v>157.57650000000001</c:v>
                </c:pt>
                <c:pt idx="408" formatCode="&quot;$&quot;#,##0">
                  <c:v>218.12</c:v>
                </c:pt>
                <c:pt idx="409" formatCode="&quot;$&quot;#,##0">
                  <c:v>264</c:v>
                </c:pt>
                <c:pt idx="410" formatCode="&quot;$&quot;#,##0">
                  <c:v>264</c:v>
                </c:pt>
                <c:pt idx="411" formatCode="&quot;$&quot;#,##0">
                  <c:v>66.483333333333334</c:v>
                </c:pt>
                <c:pt idx="412" formatCode="&quot;$&quot;#,##0">
                  <c:v>224.06</c:v>
                </c:pt>
                <c:pt idx="413" formatCode="&quot;$&quot;#,##0">
                  <c:v>284.48</c:v>
                </c:pt>
                <c:pt idx="414" formatCode="&quot;$&quot;#,##0">
                  <c:v>168.85</c:v>
                </c:pt>
                <c:pt idx="415" formatCode="&quot;$&quot;#,##0">
                  <c:v>77</c:v>
                </c:pt>
                <c:pt idx="416" formatCode="&quot;$&quot;#,##0">
                  <c:v>306.63</c:v>
                </c:pt>
              </c:numCache>
            </c:numRef>
          </c:yVal>
          <c:smooth val="0"/>
          <c:extLst>
            <c:ext xmlns:c16="http://schemas.microsoft.com/office/drawing/2014/chart" uri="{C3380CC4-5D6E-409C-BE32-E72D297353CC}">
              <c16:uniqueId val="{00000000-EF3E-4E32-9C8B-6BFE59B701E5}"/>
            </c:ext>
          </c:extLst>
        </c:ser>
        <c:ser>
          <c:idx val="1"/>
          <c:order val="1"/>
          <c:tx>
            <c:strRef>
              <c:f>'Scatter Plot Priority'!$C$1</c:f>
              <c:strCache>
                <c:ptCount val="1"/>
                <c:pt idx="0">
                  <c:v>Public Health System B</c:v>
                </c:pt>
              </c:strCache>
            </c:strRef>
          </c:tx>
          <c:spPr>
            <a:ln w="28575" cap="rnd">
              <a:noFill/>
              <a:round/>
            </a:ln>
            <a:effectLst/>
          </c:spPr>
          <c:marker>
            <c:symbol val="circle"/>
            <c:size val="5"/>
            <c:spPr>
              <a:solidFill>
                <a:schemeClr val="accent2"/>
              </a:solidFill>
              <a:ln w="9525">
                <a:solidFill>
                  <a:schemeClr val="accent2"/>
                </a:solidFill>
              </a:ln>
              <a:effectLst/>
            </c:spPr>
          </c:marker>
          <c:xVal>
            <c:numRef>
              <c:f>'Scatter Plot Priority'!$A$2:$A$549</c:f>
              <c:numCache>
                <c:formatCode>General</c:formatCode>
                <c:ptCount val="548"/>
                <c:pt idx="2" formatCode="&quot;$&quot;#,##0">
                  <c:v>26</c:v>
                </c:pt>
                <c:pt idx="3" formatCode="&quot;$&quot;#,##0">
                  <c:v>26</c:v>
                </c:pt>
                <c:pt idx="4" formatCode="&quot;$&quot;#,##0">
                  <c:v>26</c:v>
                </c:pt>
                <c:pt idx="5" formatCode="&quot;$&quot;#,##0">
                  <c:v>7</c:v>
                </c:pt>
                <c:pt idx="6" formatCode="&quot;$&quot;#,##0">
                  <c:v>7</c:v>
                </c:pt>
                <c:pt idx="7" formatCode="&quot;$&quot;#,##0">
                  <c:v>7</c:v>
                </c:pt>
                <c:pt idx="8" formatCode="&quot;$&quot;#,##0">
                  <c:v>45</c:v>
                </c:pt>
                <c:pt idx="9" formatCode="&quot;$&quot;#,##0">
                  <c:v>1760</c:v>
                </c:pt>
                <c:pt idx="10" formatCode="&quot;$&quot;#,##0">
                  <c:v>2234</c:v>
                </c:pt>
                <c:pt idx="11" formatCode="&quot;$&quot;#,##0">
                  <c:v>1760</c:v>
                </c:pt>
                <c:pt idx="12" formatCode="&quot;$&quot;#,##0">
                  <c:v>1760</c:v>
                </c:pt>
                <c:pt idx="13" formatCode="&quot;$&quot;#,##0">
                  <c:v>1760</c:v>
                </c:pt>
                <c:pt idx="22" formatCode="&quot;$&quot;#,##0">
                  <c:v>154</c:v>
                </c:pt>
                <c:pt idx="23" formatCode="&quot;$&quot;#,##0">
                  <c:v>46</c:v>
                </c:pt>
                <c:pt idx="24" formatCode="&quot;$&quot;#,##0">
                  <c:v>46</c:v>
                </c:pt>
                <c:pt idx="25" formatCode="&quot;$&quot;#,##0">
                  <c:v>136</c:v>
                </c:pt>
                <c:pt idx="26" formatCode="&quot;$&quot;#,##0">
                  <c:v>136</c:v>
                </c:pt>
                <c:pt idx="27" formatCode="&quot;$&quot;#,##0">
                  <c:v>225</c:v>
                </c:pt>
                <c:pt idx="28" formatCode="&quot;$&quot;#,##0">
                  <c:v>136</c:v>
                </c:pt>
                <c:pt idx="29" formatCode="&quot;$&quot;#,##0">
                  <c:v>113</c:v>
                </c:pt>
                <c:pt idx="30" formatCode="&quot;$&quot;#,##0">
                  <c:v>158</c:v>
                </c:pt>
                <c:pt idx="31" formatCode="&quot;$&quot;#,##0">
                  <c:v>225</c:v>
                </c:pt>
                <c:pt idx="32" formatCode="&quot;$&quot;#,##0">
                  <c:v>90</c:v>
                </c:pt>
                <c:pt idx="33" formatCode="&quot;$&quot;#,##0">
                  <c:v>45</c:v>
                </c:pt>
                <c:pt idx="34" formatCode="&quot;$&quot;#,##0">
                  <c:v>45</c:v>
                </c:pt>
                <c:pt idx="35" formatCode="&quot;$&quot;#,##0">
                  <c:v>15</c:v>
                </c:pt>
                <c:pt idx="36" formatCode="&quot;$&quot;#,##0">
                  <c:v>15</c:v>
                </c:pt>
                <c:pt idx="37" formatCode="&quot;$&quot;#,##0">
                  <c:v>8</c:v>
                </c:pt>
                <c:pt idx="38" formatCode="&quot;$&quot;#,##0">
                  <c:v>8</c:v>
                </c:pt>
                <c:pt idx="39" formatCode="&quot;$&quot;#,##0">
                  <c:v>8</c:v>
                </c:pt>
                <c:pt idx="40" formatCode="&quot;$&quot;#,##0">
                  <c:v>8</c:v>
                </c:pt>
                <c:pt idx="41" formatCode="&quot;$&quot;#,##0">
                  <c:v>8</c:v>
                </c:pt>
                <c:pt idx="42" formatCode="&quot;$&quot;#,##0">
                  <c:v>8</c:v>
                </c:pt>
                <c:pt idx="43" formatCode="&quot;$&quot;#,##0">
                  <c:v>8</c:v>
                </c:pt>
                <c:pt idx="44" formatCode="&quot;$&quot;#,##0">
                  <c:v>8</c:v>
                </c:pt>
                <c:pt idx="45" formatCode="&quot;$&quot;#,##0">
                  <c:v>27</c:v>
                </c:pt>
                <c:pt idx="46" formatCode="&quot;$&quot;#,##0">
                  <c:v>19</c:v>
                </c:pt>
                <c:pt idx="47" formatCode="&quot;$&quot;#,##0">
                  <c:v>19</c:v>
                </c:pt>
                <c:pt idx="48" formatCode="&quot;$&quot;#,##0">
                  <c:v>19</c:v>
                </c:pt>
                <c:pt idx="49" formatCode="&quot;$&quot;#,##0">
                  <c:v>19</c:v>
                </c:pt>
                <c:pt idx="50" formatCode="&quot;$&quot;#,##0">
                  <c:v>34</c:v>
                </c:pt>
                <c:pt idx="51" formatCode="&quot;$&quot;#,##0">
                  <c:v>34</c:v>
                </c:pt>
                <c:pt idx="52" formatCode="&quot;$&quot;#,##0">
                  <c:v>34</c:v>
                </c:pt>
                <c:pt idx="53" formatCode="&quot;$&quot;#,##0">
                  <c:v>33</c:v>
                </c:pt>
                <c:pt idx="54" formatCode="&quot;$&quot;#,##0">
                  <c:v>33</c:v>
                </c:pt>
                <c:pt idx="55" formatCode="&quot;$&quot;#,##0">
                  <c:v>8</c:v>
                </c:pt>
                <c:pt idx="56" formatCode="&quot;$&quot;#,##0">
                  <c:v>19</c:v>
                </c:pt>
                <c:pt idx="57" formatCode="&quot;$&quot;#,##0">
                  <c:v>69</c:v>
                </c:pt>
                <c:pt idx="58" formatCode="&quot;$&quot;#,##0">
                  <c:v>69</c:v>
                </c:pt>
                <c:pt idx="59" formatCode="&quot;$&quot;#,##0">
                  <c:v>69</c:v>
                </c:pt>
                <c:pt idx="60" formatCode="&quot;$&quot;#,##0">
                  <c:v>65</c:v>
                </c:pt>
                <c:pt idx="61" formatCode="&quot;$&quot;#,##0">
                  <c:v>33</c:v>
                </c:pt>
                <c:pt idx="62" formatCode="&quot;$&quot;#,##0">
                  <c:v>34</c:v>
                </c:pt>
                <c:pt idx="63" formatCode="&quot;$&quot;#,##0">
                  <c:v>34</c:v>
                </c:pt>
                <c:pt idx="64" formatCode="&quot;$&quot;#,##0">
                  <c:v>98</c:v>
                </c:pt>
                <c:pt idx="65" formatCode="&quot;$&quot;#,##0">
                  <c:v>98</c:v>
                </c:pt>
                <c:pt idx="66" formatCode="&quot;$&quot;#,##0">
                  <c:v>98</c:v>
                </c:pt>
                <c:pt idx="67" formatCode="&quot;$&quot;#,##0">
                  <c:v>91</c:v>
                </c:pt>
                <c:pt idx="68" formatCode="&quot;$&quot;#,##0">
                  <c:v>91</c:v>
                </c:pt>
                <c:pt idx="69" formatCode="&quot;$&quot;#,##0">
                  <c:v>26</c:v>
                </c:pt>
                <c:pt idx="70" formatCode="&quot;$&quot;#,##0">
                  <c:v>632</c:v>
                </c:pt>
                <c:pt idx="71" formatCode="&quot;$&quot;#,##0">
                  <c:v>632</c:v>
                </c:pt>
                <c:pt idx="72" formatCode="&quot;$&quot;#,##0">
                  <c:v>407</c:v>
                </c:pt>
                <c:pt idx="73" formatCode="&quot;$&quot;#,##0">
                  <c:v>903</c:v>
                </c:pt>
                <c:pt idx="74" formatCode="&quot;$&quot;#,##0">
                  <c:v>903</c:v>
                </c:pt>
                <c:pt idx="75" formatCode="&quot;$&quot;#,##0">
                  <c:v>28</c:v>
                </c:pt>
                <c:pt idx="76" formatCode="&quot;$&quot;#,##0">
                  <c:v>28</c:v>
                </c:pt>
                <c:pt idx="174" formatCode="&quot;$&quot;#,##0">
                  <c:v>158</c:v>
                </c:pt>
                <c:pt idx="175" formatCode="&quot;$&quot;#,##0">
                  <c:v>1173</c:v>
                </c:pt>
                <c:pt idx="176" formatCode="&quot;$&quot;#,##0">
                  <c:v>1173</c:v>
                </c:pt>
                <c:pt idx="177" formatCode="&quot;$&quot;#,##0">
                  <c:v>1235</c:v>
                </c:pt>
                <c:pt idx="178" formatCode="&quot;$&quot;#,##0">
                  <c:v>1173</c:v>
                </c:pt>
                <c:pt idx="179" formatCode="&quot;$&quot;#,##0">
                  <c:v>119</c:v>
                </c:pt>
                <c:pt idx="180" formatCode="&quot;$&quot;#,##0">
                  <c:v>327</c:v>
                </c:pt>
                <c:pt idx="181" formatCode="&quot;$&quot;#,##0">
                  <c:v>327</c:v>
                </c:pt>
                <c:pt idx="182" formatCode="&quot;$&quot;#,##0">
                  <c:v>327</c:v>
                </c:pt>
                <c:pt idx="183" formatCode="&quot;$&quot;#,##0">
                  <c:v>42</c:v>
                </c:pt>
                <c:pt idx="184" formatCode="&quot;$&quot;#,##0">
                  <c:v>42</c:v>
                </c:pt>
                <c:pt idx="185" formatCode="&quot;$&quot;#,##0">
                  <c:v>258</c:v>
                </c:pt>
                <c:pt idx="186" formatCode="&quot;$&quot;#,##0">
                  <c:v>258</c:v>
                </c:pt>
                <c:pt idx="187" formatCode="&quot;$&quot;#,##0">
                  <c:v>258</c:v>
                </c:pt>
                <c:pt idx="188" formatCode="&quot;$&quot;#,##0">
                  <c:v>258</c:v>
                </c:pt>
                <c:pt idx="189" formatCode="&quot;$&quot;#,##0">
                  <c:v>42</c:v>
                </c:pt>
                <c:pt idx="190" formatCode="&quot;$&quot;#,##0">
                  <c:v>42</c:v>
                </c:pt>
                <c:pt idx="191" formatCode="&quot;$&quot;#,##0">
                  <c:v>258</c:v>
                </c:pt>
                <c:pt idx="192" formatCode="&quot;$&quot;#,##0">
                  <c:v>602</c:v>
                </c:pt>
                <c:pt idx="193" formatCode="&quot;$&quot;#,##0">
                  <c:v>602</c:v>
                </c:pt>
                <c:pt idx="194" formatCode="&quot;$&quot;#,##0">
                  <c:v>602</c:v>
                </c:pt>
                <c:pt idx="195" formatCode="&quot;$&quot;#,##0">
                  <c:v>516</c:v>
                </c:pt>
                <c:pt idx="196" formatCode="&quot;$&quot;#,##0">
                  <c:v>1204</c:v>
                </c:pt>
                <c:pt idx="197" formatCode="&quot;$&quot;#,##0">
                  <c:v>1204</c:v>
                </c:pt>
                <c:pt idx="198" formatCode="&quot;$&quot;#,##0">
                  <c:v>1204</c:v>
                </c:pt>
                <c:pt idx="199" formatCode="&quot;$&quot;#,##0">
                  <c:v>1204</c:v>
                </c:pt>
                <c:pt idx="200" formatCode="&quot;$&quot;#,##0">
                  <c:v>963</c:v>
                </c:pt>
                <c:pt idx="201" formatCode="&quot;$&quot;#,##0">
                  <c:v>22</c:v>
                </c:pt>
                <c:pt idx="202" formatCode="&quot;$&quot;#,##0">
                  <c:v>22</c:v>
                </c:pt>
                <c:pt idx="203" formatCode="&quot;$&quot;#,##0">
                  <c:v>22</c:v>
                </c:pt>
                <c:pt idx="204" formatCode="&quot;$&quot;#,##0">
                  <c:v>22</c:v>
                </c:pt>
                <c:pt idx="205" formatCode="&quot;$&quot;#,##0">
                  <c:v>22</c:v>
                </c:pt>
                <c:pt idx="206" formatCode="&quot;$&quot;#,##0">
                  <c:v>27</c:v>
                </c:pt>
                <c:pt idx="207" formatCode="&quot;$&quot;#,##0">
                  <c:v>27</c:v>
                </c:pt>
                <c:pt idx="208" formatCode="&quot;$&quot;#,##0">
                  <c:v>27</c:v>
                </c:pt>
                <c:pt idx="209" formatCode="&quot;$&quot;#,##0">
                  <c:v>27</c:v>
                </c:pt>
                <c:pt idx="210" formatCode="&quot;$&quot;#,##0">
                  <c:v>27</c:v>
                </c:pt>
                <c:pt idx="211" formatCode="&quot;$&quot;#,##0">
                  <c:v>27</c:v>
                </c:pt>
                <c:pt idx="212" formatCode="&quot;$&quot;#,##0">
                  <c:v>27</c:v>
                </c:pt>
                <c:pt idx="213" formatCode="&quot;$&quot;#,##0">
                  <c:v>27</c:v>
                </c:pt>
                <c:pt idx="214" formatCode="&quot;$&quot;#,##0">
                  <c:v>27</c:v>
                </c:pt>
                <c:pt idx="215" formatCode="&quot;$&quot;#,##0">
                  <c:v>27</c:v>
                </c:pt>
                <c:pt idx="216" formatCode="&quot;$&quot;#,##0">
                  <c:v>27</c:v>
                </c:pt>
                <c:pt idx="217" formatCode="&quot;$&quot;#,##0">
                  <c:v>27</c:v>
                </c:pt>
                <c:pt idx="218" formatCode="&quot;$&quot;#,##0">
                  <c:v>27</c:v>
                </c:pt>
                <c:pt idx="219" formatCode="&quot;$&quot;#,##0">
                  <c:v>27</c:v>
                </c:pt>
                <c:pt idx="220" formatCode="&quot;$&quot;#,##0">
                  <c:v>27</c:v>
                </c:pt>
                <c:pt idx="221" formatCode="&quot;$&quot;#,##0">
                  <c:v>53</c:v>
                </c:pt>
                <c:pt idx="222" formatCode="&quot;$&quot;#,##0">
                  <c:v>53</c:v>
                </c:pt>
                <c:pt idx="223" formatCode="&quot;$&quot;#,##0">
                  <c:v>53</c:v>
                </c:pt>
                <c:pt idx="224" formatCode="&quot;$&quot;#,##0">
                  <c:v>53</c:v>
                </c:pt>
                <c:pt idx="225" formatCode="&quot;$&quot;#,##0">
                  <c:v>53</c:v>
                </c:pt>
                <c:pt idx="226" formatCode="&quot;$&quot;#,##0">
                  <c:v>138</c:v>
                </c:pt>
                <c:pt idx="227" formatCode="&quot;$&quot;#,##0">
                  <c:v>138</c:v>
                </c:pt>
                <c:pt idx="228" formatCode="&quot;$&quot;#,##0">
                  <c:v>138</c:v>
                </c:pt>
                <c:pt idx="229" formatCode="&quot;$&quot;#,##0">
                  <c:v>138</c:v>
                </c:pt>
                <c:pt idx="230" formatCode="&quot;$&quot;#,##0">
                  <c:v>138</c:v>
                </c:pt>
                <c:pt idx="231" formatCode="&quot;$&quot;#,##0">
                  <c:v>138</c:v>
                </c:pt>
                <c:pt idx="232" formatCode="&quot;$&quot;#,##0">
                  <c:v>138</c:v>
                </c:pt>
                <c:pt idx="233" formatCode="&quot;$&quot;#,##0">
                  <c:v>138</c:v>
                </c:pt>
                <c:pt idx="234" formatCode="&quot;$&quot;#,##0">
                  <c:v>68</c:v>
                </c:pt>
                <c:pt idx="235" formatCode="&quot;$&quot;#,##0">
                  <c:v>68</c:v>
                </c:pt>
                <c:pt idx="236" formatCode="&quot;$&quot;#,##0">
                  <c:v>208</c:v>
                </c:pt>
                <c:pt idx="237" formatCode="&quot;$&quot;#,##0">
                  <c:v>412</c:v>
                </c:pt>
                <c:pt idx="238" formatCode="&quot;$&quot;#,##0">
                  <c:v>412</c:v>
                </c:pt>
                <c:pt idx="239" formatCode="&quot;$&quot;#,##0">
                  <c:v>718</c:v>
                </c:pt>
                <c:pt idx="240" formatCode="&quot;$&quot;#,##0">
                  <c:v>40</c:v>
                </c:pt>
                <c:pt idx="241" formatCode="&quot;$&quot;#,##0">
                  <c:v>40</c:v>
                </c:pt>
                <c:pt idx="242" formatCode="&quot;$&quot;#,##0">
                  <c:v>29</c:v>
                </c:pt>
                <c:pt idx="243" formatCode="&quot;$&quot;#,##0">
                  <c:v>15</c:v>
                </c:pt>
                <c:pt idx="244" formatCode="&quot;$&quot;#,##0">
                  <c:v>40</c:v>
                </c:pt>
                <c:pt idx="245" formatCode="&quot;$&quot;#,##0">
                  <c:v>40</c:v>
                </c:pt>
                <c:pt idx="246" formatCode="&quot;$&quot;#,##0">
                  <c:v>11</c:v>
                </c:pt>
                <c:pt idx="247" formatCode="&quot;$&quot;#,##0">
                  <c:v>11</c:v>
                </c:pt>
                <c:pt idx="248" formatCode="&quot;$&quot;#,##0">
                  <c:v>41</c:v>
                </c:pt>
                <c:pt idx="249" formatCode="&quot;$&quot;#,##0">
                  <c:v>11</c:v>
                </c:pt>
                <c:pt idx="250" formatCode="&quot;$&quot;#,##0">
                  <c:v>11</c:v>
                </c:pt>
                <c:pt idx="251" formatCode="&quot;$&quot;#,##0">
                  <c:v>10</c:v>
                </c:pt>
                <c:pt idx="252" formatCode="&quot;$&quot;#,##0">
                  <c:v>41</c:v>
                </c:pt>
                <c:pt idx="253" formatCode="&quot;$&quot;#,##0">
                  <c:v>10</c:v>
                </c:pt>
                <c:pt idx="254" formatCode="&quot;$&quot;#,##0">
                  <c:v>41</c:v>
                </c:pt>
                <c:pt idx="255" formatCode="&quot;$&quot;#,##0">
                  <c:v>10</c:v>
                </c:pt>
                <c:pt idx="256" formatCode="&quot;$&quot;#,##0">
                  <c:v>41</c:v>
                </c:pt>
                <c:pt idx="257" formatCode="&quot;$&quot;#,##0">
                  <c:v>10</c:v>
                </c:pt>
                <c:pt idx="258" formatCode="&quot;$&quot;#,##0">
                  <c:v>41</c:v>
                </c:pt>
                <c:pt idx="259" formatCode="&quot;$&quot;#,##0">
                  <c:v>11</c:v>
                </c:pt>
                <c:pt idx="260" formatCode="&quot;$&quot;#,##0">
                  <c:v>41</c:v>
                </c:pt>
                <c:pt idx="261" formatCode="&quot;$&quot;#,##0">
                  <c:v>16</c:v>
                </c:pt>
                <c:pt idx="262" formatCode="&quot;$&quot;#,##0">
                  <c:v>47</c:v>
                </c:pt>
                <c:pt idx="263" formatCode="&quot;$&quot;#,##0">
                  <c:v>11</c:v>
                </c:pt>
                <c:pt idx="264" formatCode="&quot;$&quot;#,##0">
                  <c:v>11</c:v>
                </c:pt>
                <c:pt idx="265" formatCode="&quot;$&quot;#,##0">
                  <c:v>34</c:v>
                </c:pt>
                <c:pt idx="266" formatCode="&quot;$&quot;#,##0">
                  <c:v>10</c:v>
                </c:pt>
                <c:pt idx="267" formatCode="&quot;$&quot;#,##0">
                  <c:v>41</c:v>
                </c:pt>
                <c:pt idx="268" formatCode="&quot;$&quot;#,##0">
                  <c:v>11</c:v>
                </c:pt>
                <c:pt idx="269" formatCode="&quot;$&quot;#,##0">
                  <c:v>41</c:v>
                </c:pt>
                <c:pt idx="270" formatCode="&quot;$&quot;#,##0">
                  <c:v>11</c:v>
                </c:pt>
                <c:pt idx="271" formatCode="&quot;$&quot;#,##0">
                  <c:v>41</c:v>
                </c:pt>
                <c:pt idx="272" formatCode="&quot;$&quot;#,##0">
                  <c:v>11</c:v>
                </c:pt>
                <c:pt idx="273" formatCode="&quot;$&quot;#,##0">
                  <c:v>41</c:v>
                </c:pt>
                <c:pt idx="274" formatCode="&quot;$&quot;#,##0">
                  <c:v>11</c:v>
                </c:pt>
                <c:pt idx="275" formatCode="&quot;$&quot;#,##0">
                  <c:v>41</c:v>
                </c:pt>
                <c:pt idx="276" formatCode="&quot;$&quot;#,##0">
                  <c:v>249</c:v>
                </c:pt>
                <c:pt idx="277" formatCode="&quot;$&quot;#,##0">
                  <c:v>249</c:v>
                </c:pt>
                <c:pt idx="278" formatCode="&quot;$&quot;#,##0">
                  <c:v>125</c:v>
                </c:pt>
                <c:pt idx="279" formatCode="&quot;$&quot;#,##0">
                  <c:v>844</c:v>
                </c:pt>
                <c:pt idx="280" formatCode="&quot;$&quot;#,##0">
                  <c:v>80</c:v>
                </c:pt>
                <c:pt idx="281" formatCode="&quot;$&quot;#,##0">
                  <c:v>125</c:v>
                </c:pt>
                <c:pt idx="282" formatCode="&quot;$&quot;#,##0">
                  <c:v>125</c:v>
                </c:pt>
                <c:pt idx="283" formatCode="&quot;$&quot;#,##0">
                  <c:v>125</c:v>
                </c:pt>
                <c:pt idx="284" formatCode="&quot;$&quot;#,##0">
                  <c:v>125</c:v>
                </c:pt>
                <c:pt idx="285" formatCode="&quot;$&quot;#,##0">
                  <c:v>125</c:v>
                </c:pt>
                <c:pt idx="286" formatCode="&quot;$&quot;#,##0">
                  <c:v>125</c:v>
                </c:pt>
                <c:pt idx="287" formatCode="&quot;$&quot;#,##0">
                  <c:v>125</c:v>
                </c:pt>
                <c:pt idx="288" formatCode="&quot;$&quot;#,##0">
                  <c:v>884</c:v>
                </c:pt>
                <c:pt idx="289" formatCode="&quot;$&quot;#,##0">
                  <c:v>950</c:v>
                </c:pt>
                <c:pt idx="290" formatCode="&quot;$&quot;#,##0">
                  <c:v>2581</c:v>
                </c:pt>
                <c:pt idx="291" formatCode="&quot;$&quot;#,##0">
                  <c:v>2581</c:v>
                </c:pt>
                <c:pt idx="292" formatCode="&quot;$&quot;#,##0">
                  <c:v>354</c:v>
                </c:pt>
                <c:pt idx="293" formatCode="&quot;$&quot;#,##0">
                  <c:v>354</c:v>
                </c:pt>
                <c:pt idx="294" formatCode="&quot;$&quot;#,##0">
                  <c:v>354</c:v>
                </c:pt>
                <c:pt idx="295" formatCode="&quot;$&quot;#,##0">
                  <c:v>354</c:v>
                </c:pt>
                <c:pt idx="296" formatCode="&quot;$&quot;#,##0">
                  <c:v>354</c:v>
                </c:pt>
                <c:pt idx="297" formatCode="&quot;$&quot;#,##0">
                  <c:v>354</c:v>
                </c:pt>
                <c:pt idx="298" formatCode="&quot;$&quot;#,##0">
                  <c:v>354</c:v>
                </c:pt>
                <c:pt idx="299" formatCode="&quot;$&quot;#,##0">
                  <c:v>215</c:v>
                </c:pt>
                <c:pt idx="300" formatCode="&quot;$&quot;#,##0">
                  <c:v>215</c:v>
                </c:pt>
                <c:pt idx="301" formatCode="&quot;$&quot;#,##0">
                  <c:v>215</c:v>
                </c:pt>
                <c:pt idx="302" formatCode="&quot;$&quot;#,##0">
                  <c:v>215</c:v>
                </c:pt>
                <c:pt idx="303" formatCode="&quot;$&quot;#,##0">
                  <c:v>56</c:v>
                </c:pt>
                <c:pt idx="304" formatCode="&quot;$&quot;#,##0">
                  <c:v>56</c:v>
                </c:pt>
                <c:pt idx="305" formatCode="&quot;$&quot;#,##0">
                  <c:v>56</c:v>
                </c:pt>
                <c:pt idx="306" formatCode="&quot;$&quot;#,##0">
                  <c:v>56</c:v>
                </c:pt>
                <c:pt idx="307" formatCode="&quot;$&quot;#,##0">
                  <c:v>56</c:v>
                </c:pt>
                <c:pt idx="308" formatCode="&quot;$&quot;#,##0">
                  <c:v>86</c:v>
                </c:pt>
                <c:pt idx="309" formatCode="&quot;$&quot;#,##0">
                  <c:v>236</c:v>
                </c:pt>
                <c:pt idx="310" formatCode="&quot;$&quot;#,##0">
                  <c:v>236</c:v>
                </c:pt>
                <c:pt idx="311" formatCode="&quot;$&quot;#,##0">
                  <c:v>49</c:v>
                </c:pt>
                <c:pt idx="312" formatCode="&quot;$&quot;#,##0">
                  <c:v>236</c:v>
                </c:pt>
                <c:pt idx="313" formatCode="&quot;$&quot;#,##0">
                  <c:v>60</c:v>
                </c:pt>
                <c:pt idx="314" formatCode="&quot;$&quot;#,##0">
                  <c:v>226</c:v>
                </c:pt>
                <c:pt idx="315" formatCode="&quot;$&quot;#,##0">
                  <c:v>323</c:v>
                </c:pt>
                <c:pt idx="316" formatCode="&quot;$&quot;#,##0">
                  <c:v>323</c:v>
                </c:pt>
                <c:pt idx="317" formatCode="&quot;$&quot;#,##0">
                  <c:v>323</c:v>
                </c:pt>
                <c:pt idx="318" formatCode="&quot;$&quot;#,##0">
                  <c:v>210</c:v>
                </c:pt>
                <c:pt idx="319" formatCode="&quot;$&quot;#,##0">
                  <c:v>210</c:v>
                </c:pt>
                <c:pt idx="320" formatCode="&quot;$&quot;#,##0">
                  <c:v>210</c:v>
                </c:pt>
                <c:pt idx="321" formatCode="&quot;$&quot;#,##0">
                  <c:v>210</c:v>
                </c:pt>
                <c:pt idx="322" formatCode="&quot;$&quot;#,##0">
                  <c:v>210</c:v>
                </c:pt>
                <c:pt idx="323" formatCode="&quot;$&quot;#,##0">
                  <c:v>210</c:v>
                </c:pt>
                <c:pt idx="324" formatCode="&quot;$&quot;#,##0">
                  <c:v>210</c:v>
                </c:pt>
                <c:pt idx="325" formatCode="&quot;$&quot;#,##0">
                  <c:v>210</c:v>
                </c:pt>
                <c:pt idx="326" formatCode="&quot;$&quot;#,##0">
                  <c:v>210</c:v>
                </c:pt>
                <c:pt idx="327" formatCode="&quot;$&quot;#,##0">
                  <c:v>210</c:v>
                </c:pt>
                <c:pt idx="328" formatCode="&quot;$&quot;#,##0">
                  <c:v>357</c:v>
                </c:pt>
                <c:pt idx="329" formatCode="&quot;$&quot;#,##0">
                  <c:v>357</c:v>
                </c:pt>
                <c:pt idx="330" formatCode="&quot;$&quot;#,##0">
                  <c:v>357</c:v>
                </c:pt>
                <c:pt idx="331" formatCode="&quot;$&quot;#,##0">
                  <c:v>357</c:v>
                </c:pt>
                <c:pt idx="332" formatCode="&quot;$&quot;#,##0">
                  <c:v>447</c:v>
                </c:pt>
                <c:pt idx="333" formatCode="&quot;$&quot;#,##0">
                  <c:v>447</c:v>
                </c:pt>
                <c:pt idx="334" formatCode="&quot;$&quot;#,##0">
                  <c:v>69</c:v>
                </c:pt>
                <c:pt idx="335" formatCode="&quot;$&quot;#,##0">
                  <c:v>69</c:v>
                </c:pt>
                <c:pt idx="336" formatCode="&quot;$&quot;#,##0">
                  <c:v>521</c:v>
                </c:pt>
                <c:pt idx="337" formatCode="&quot;$&quot;#,##0">
                  <c:v>198</c:v>
                </c:pt>
                <c:pt idx="338" formatCode="&quot;$&quot;#,##0">
                  <c:v>662</c:v>
                </c:pt>
                <c:pt idx="339" formatCode="&quot;$&quot;#,##0">
                  <c:v>648</c:v>
                </c:pt>
                <c:pt idx="340" formatCode="&quot;$&quot;#,##0">
                  <c:v>648</c:v>
                </c:pt>
                <c:pt idx="341" formatCode="&quot;$&quot;#,##0">
                  <c:v>648</c:v>
                </c:pt>
                <c:pt idx="342" formatCode="&quot;$&quot;#,##0">
                  <c:v>648</c:v>
                </c:pt>
                <c:pt idx="343" formatCode="&quot;$&quot;#,##0">
                  <c:v>648</c:v>
                </c:pt>
                <c:pt idx="344" formatCode="&quot;$&quot;#,##0">
                  <c:v>559</c:v>
                </c:pt>
                <c:pt idx="345" formatCode="&quot;$&quot;#,##0">
                  <c:v>473</c:v>
                </c:pt>
                <c:pt idx="346" formatCode="&quot;$&quot;#,##0">
                  <c:v>473</c:v>
                </c:pt>
                <c:pt idx="347" formatCode="&quot;$&quot;#,##0">
                  <c:v>473</c:v>
                </c:pt>
                <c:pt idx="348" formatCode="&quot;$&quot;#,##0">
                  <c:v>671</c:v>
                </c:pt>
                <c:pt idx="349" formatCode="&quot;$&quot;#,##0">
                  <c:v>671</c:v>
                </c:pt>
                <c:pt idx="350" formatCode="&quot;$&quot;#,##0">
                  <c:v>318</c:v>
                </c:pt>
                <c:pt idx="351" formatCode="&quot;$&quot;#,##0">
                  <c:v>318</c:v>
                </c:pt>
                <c:pt idx="352" formatCode="&quot;$&quot;#,##0">
                  <c:v>318</c:v>
                </c:pt>
                <c:pt idx="353" formatCode="&quot;$&quot;#,##0">
                  <c:v>318</c:v>
                </c:pt>
                <c:pt idx="354" formatCode="&quot;$&quot;#,##0">
                  <c:v>318</c:v>
                </c:pt>
                <c:pt idx="355" formatCode="&quot;$&quot;#,##0">
                  <c:v>318</c:v>
                </c:pt>
                <c:pt idx="356" formatCode="&quot;$&quot;#,##0">
                  <c:v>318</c:v>
                </c:pt>
                <c:pt idx="357" formatCode="&quot;$&quot;#,##0">
                  <c:v>473</c:v>
                </c:pt>
                <c:pt idx="358" formatCode="&quot;$&quot;#,##0">
                  <c:v>473</c:v>
                </c:pt>
                <c:pt idx="359" formatCode="&quot;$&quot;#,##0">
                  <c:v>473</c:v>
                </c:pt>
                <c:pt idx="360" formatCode="&quot;$&quot;#,##0">
                  <c:v>473</c:v>
                </c:pt>
                <c:pt idx="361" formatCode="&quot;$&quot;#,##0">
                  <c:v>473</c:v>
                </c:pt>
                <c:pt idx="362" formatCode="&quot;$&quot;#,##0">
                  <c:v>374</c:v>
                </c:pt>
                <c:pt idx="363" formatCode="&quot;$&quot;#,##0">
                  <c:v>374</c:v>
                </c:pt>
                <c:pt idx="364" formatCode="&quot;$&quot;#,##0">
                  <c:v>234</c:v>
                </c:pt>
                <c:pt idx="365" formatCode="&quot;$&quot;#,##0">
                  <c:v>234</c:v>
                </c:pt>
                <c:pt idx="366" formatCode="&quot;$&quot;#,##0">
                  <c:v>51</c:v>
                </c:pt>
                <c:pt idx="367" formatCode="&quot;$&quot;#,##0">
                  <c:v>308</c:v>
                </c:pt>
                <c:pt idx="368" formatCode="&quot;$&quot;#,##0">
                  <c:v>323</c:v>
                </c:pt>
                <c:pt idx="369" formatCode="&quot;$&quot;#,##0">
                  <c:v>473</c:v>
                </c:pt>
                <c:pt idx="370" formatCode="&quot;$&quot;#,##0">
                  <c:v>215</c:v>
                </c:pt>
                <c:pt idx="371" formatCode="&quot;$&quot;#,##0">
                  <c:v>681</c:v>
                </c:pt>
                <c:pt idx="372" formatCode="&quot;$&quot;#,##0">
                  <c:v>316</c:v>
                </c:pt>
                <c:pt idx="373" formatCode="&quot;$&quot;#,##0">
                  <c:v>185</c:v>
                </c:pt>
                <c:pt idx="374" formatCode="&quot;$&quot;#,##0">
                  <c:v>185</c:v>
                </c:pt>
                <c:pt idx="375" formatCode="&quot;$&quot;#,##0">
                  <c:v>185</c:v>
                </c:pt>
                <c:pt idx="376" formatCode="&quot;$&quot;#,##0">
                  <c:v>185</c:v>
                </c:pt>
                <c:pt idx="377" formatCode="&quot;$&quot;#,##0">
                  <c:v>185</c:v>
                </c:pt>
                <c:pt idx="378" formatCode="&quot;$&quot;#,##0">
                  <c:v>185</c:v>
                </c:pt>
                <c:pt idx="379" formatCode="&quot;$&quot;#,##0">
                  <c:v>238</c:v>
                </c:pt>
                <c:pt idx="380" formatCode="&quot;$&quot;#,##0">
                  <c:v>72</c:v>
                </c:pt>
                <c:pt idx="381" formatCode="&quot;$&quot;#,##0">
                  <c:v>72</c:v>
                </c:pt>
                <c:pt idx="382" formatCode="&quot;$&quot;#,##0">
                  <c:v>72</c:v>
                </c:pt>
                <c:pt idx="383" formatCode="&quot;$&quot;#,##0">
                  <c:v>72</c:v>
                </c:pt>
                <c:pt idx="384" formatCode="&quot;$&quot;#,##0">
                  <c:v>72</c:v>
                </c:pt>
                <c:pt idx="385" formatCode="&quot;$&quot;#,##0">
                  <c:v>72</c:v>
                </c:pt>
                <c:pt idx="386" formatCode="&quot;$&quot;#,##0">
                  <c:v>72</c:v>
                </c:pt>
                <c:pt idx="387" formatCode="&quot;$&quot;#,##0">
                  <c:v>72</c:v>
                </c:pt>
                <c:pt idx="388" formatCode="&quot;$&quot;#,##0">
                  <c:v>72</c:v>
                </c:pt>
                <c:pt idx="389" formatCode="&quot;$&quot;#,##0">
                  <c:v>72</c:v>
                </c:pt>
                <c:pt idx="390" formatCode="&quot;$&quot;#,##0">
                  <c:v>72</c:v>
                </c:pt>
                <c:pt idx="391" formatCode="&quot;$&quot;#,##0">
                  <c:v>72</c:v>
                </c:pt>
                <c:pt idx="392" formatCode="&quot;$&quot;#,##0">
                  <c:v>862</c:v>
                </c:pt>
                <c:pt idx="393" formatCode="&quot;$&quot;#,##0">
                  <c:v>501</c:v>
                </c:pt>
                <c:pt idx="394" formatCode="&quot;$&quot;#,##0">
                  <c:v>271</c:v>
                </c:pt>
                <c:pt idx="395" formatCode="&quot;$&quot;#,##0">
                  <c:v>77</c:v>
                </c:pt>
                <c:pt idx="396" formatCode="&quot;$&quot;#,##0">
                  <c:v>77</c:v>
                </c:pt>
                <c:pt idx="397" formatCode="&quot;$&quot;#,##0">
                  <c:v>77</c:v>
                </c:pt>
                <c:pt idx="398" formatCode="&quot;$&quot;#,##0">
                  <c:v>77</c:v>
                </c:pt>
                <c:pt idx="399" formatCode="&quot;$&quot;#,##0">
                  <c:v>77</c:v>
                </c:pt>
                <c:pt idx="400" formatCode="&quot;$&quot;#,##0">
                  <c:v>77</c:v>
                </c:pt>
                <c:pt idx="401" formatCode="&quot;$&quot;#,##0">
                  <c:v>77</c:v>
                </c:pt>
                <c:pt idx="402" formatCode="&quot;$&quot;#,##0">
                  <c:v>77</c:v>
                </c:pt>
                <c:pt idx="403" formatCode="&quot;$&quot;#,##0">
                  <c:v>77</c:v>
                </c:pt>
                <c:pt idx="404" formatCode="&quot;$&quot;#,##0">
                  <c:v>77</c:v>
                </c:pt>
                <c:pt idx="405" formatCode="&quot;$&quot;#,##0">
                  <c:v>1467</c:v>
                </c:pt>
                <c:pt idx="406" formatCode="&quot;$&quot;#,##0">
                  <c:v>3042</c:v>
                </c:pt>
                <c:pt idx="407" formatCode="&quot;$&quot;#,##0">
                  <c:v>248</c:v>
                </c:pt>
                <c:pt idx="408" formatCode="&quot;$&quot;#,##0">
                  <c:v>248</c:v>
                </c:pt>
                <c:pt idx="409" formatCode="&quot;$&quot;#,##0">
                  <c:v>248</c:v>
                </c:pt>
                <c:pt idx="410" formatCode="&quot;$&quot;#,##0">
                  <c:v>248</c:v>
                </c:pt>
                <c:pt idx="411" formatCode="&quot;$&quot;#,##0">
                  <c:v>248</c:v>
                </c:pt>
                <c:pt idx="412" formatCode="&quot;$&quot;#,##0">
                  <c:v>248</c:v>
                </c:pt>
                <c:pt idx="413" formatCode="&quot;$&quot;#,##0">
                  <c:v>248</c:v>
                </c:pt>
                <c:pt idx="414" formatCode="&quot;$&quot;#,##0">
                  <c:v>248</c:v>
                </c:pt>
                <c:pt idx="415" formatCode="&quot;$&quot;#,##0">
                  <c:v>582</c:v>
                </c:pt>
                <c:pt idx="416" formatCode="&quot;$&quot;#,##0">
                  <c:v>582</c:v>
                </c:pt>
              </c:numCache>
            </c:numRef>
          </c:xVal>
          <c:yVal>
            <c:numRef>
              <c:f>'Scatter Plot Priority'!$C$2:$C$549</c:f>
              <c:numCache>
                <c:formatCode>General</c:formatCode>
                <c:ptCount val="548"/>
                <c:pt idx="23" formatCode="&quot;$&quot;#,##0">
                  <c:v>21</c:v>
                </c:pt>
                <c:pt idx="24" formatCode="&quot;$&quot;#,##0">
                  <c:v>21</c:v>
                </c:pt>
                <c:pt idx="28" formatCode="&quot;$&quot;#,##0">
                  <c:v>715</c:v>
                </c:pt>
                <c:pt idx="29" formatCode="&quot;$&quot;#,##0">
                  <c:v>119</c:v>
                </c:pt>
                <c:pt idx="30" formatCode="&quot;$&quot;#,##0">
                  <c:v>119</c:v>
                </c:pt>
                <c:pt idx="33" formatCode="&quot;$&quot;#,##0">
                  <c:v>437</c:v>
                </c:pt>
                <c:pt idx="34" formatCode="&quot;$&quot;#,##0">
                  <c:v>188</c:v>
                </c:pt>
                <c:pt idx="35" formatCode="&quot;$&quot;#,##0">
                  <c:v>31</c:v>
                </c:pt>
                <c:pt idx="36" formatCode="&quot;$&quot;#,##0">
                  <c:v>442</c:v>
                </c:pt>
                <c:pt idx="37" formatCode="&quot;$&quot;#,##0">
                  <c:v>272</c:v>
                </c:pt>
                <c:pt idx="38" formatCode="&quot;$&quot;#,##0">
                  <c:v>250</c:v>
                </c:pt>
                <c:pt idx="39" formatCode="&quot;$&quot;#,##0">
                  <c:v>31</c:v>
                </c:pt>
                <c:pt idx="40" formatCode="&quot;$&quot;#,##0">
                  <c:v>11</c:v>
                </c:pt>
                <c:pt idx="41" formatCode="&quot;$&quot;#,##0">
                  <c:v>18</c:v>
                </c:pt>
                <c:pt idx="42" formatCode="&quot;$&quot;#,##0">
                  <c:v>105</c:v>
                </c:pt>
                <c:pt idx="43" formatCode="&quot;$&quot;#,##0">
                  <c:v>157.5</c:v>
                </c:pt>
                <c:pt idx="44" formatCode="&quot;$&quot;#,##0">
                  <c:v>11</c:v>
                </c:pt>
                <c:pt idx="45" formatCode="&quot;$&quot;#,##0">
                  <c:v>31</c:v>
                </c:pt>
                <c:pt idx="46" formatCode="&quot;$&quot;#,##0">
                  <c:v>10</c:v>
                </c:pt>
                <c:pt idx="47" formatCode="&quot;$&quot;#,##0">
                  <c:v>13</c:v>
                </c:pt>
                <c:pt idx="48" formatCode="&quot;$&quot;#,##0">
                  <c:v>284.5</c:v>
                </c:pt>
                <c:pt idx="49" formatCode="&quot;$&quot;#,##0">
                  <c:v>200</c:v>
                </c:pt>
                <c:pt idx="50" formatCode="&quot;$&quot;#,##0">
                  <c:v>39</c:v>
                </c:pt>
                <c:pt idx="51" formatCode="&quot;$&quot;#,##0">
                  <c:v>416.5</c:v>
                </c:pt>
                <c:pt idx="52" formatCode="&quot;$&quot;#,##0">
                  <c:v>416.5</c:v>
                </c:pt>
                <c:pt idx="53" formatCode="&quot;$&quot;#,##0">
                  <c:v>19</c:v>
                </c:pt>
                <c:pt idx="55" formatCode="&quot;$&quot;#,##0">
                  <c:v>31</c:v>
                </c:pt>
                <c:pt idx="56" formatCode="&quot;$&quot;#,##0">
                  <c:v>13</c:v>
                </c:pt>
                <c:pt idx="57" formatCode="&quot;$&quot;#,##0">
                  <c:v>725.61</c:v>
                </c:pt>
                <c:pt idx="58" formatCode="&quot;$&quot;#,##0">
                  <c:v>788</c:v>
                </c:pt>
                <c:pt idx="59" formatCode="&quot;$&quot;#,##0">
                  <c:v>31</c:v>
                </c:pt>
                <c:pt idx="61" formatCode="&quot;$&quot;#,##0">
                  <c:v>10</c:v>
                </c:pt>
                <c:pt idx="62" formatCode="&quot;$&quot;#,##0">
                  <c:v>489.5</c:v>
                </c:pt>
                <c:pt idx="63" formatCode="&quot;$&quot;#,##0">
                  <c:v>516.5</c:v>
                </c:pt>
                <c:pt idx="64" formatCode="&quot;$&quot;#,##0">
                  <c:v>1134.44</c:v>
                </c:pt>
                <c:pt idx="65" formatCode="&quot;$&quot;#,##0">
                  <c:v>1181</c:v>
                </c:pt>
                <c:pt idx="66" formatCode="&quot;$&quot;#,##0">
                  <c:v>1181</c:v>
                </c:pt>
                <c:pt idx="67" formatCode="&quot;$&quot;#,##0">
                  <c:v>1054.1199999999999</c:v>
                </c:pt>
                <c:pt idx="68" formatCode="&quot;$&quot;#,##0">
                  <c:v>530</c:v>
                </c:pt>
                <c:pt idx="69" formatCode="&quot;$&quot;#,##0">
                  <c:v>31.5</c:v>
                </c:pt>
                <c:pt idx="70" formatCode="&quot;$&quot;#,##0">
                  <c:v>360</c:v>
                </c:pt>
                <c:pt idx="72" formatCode="&quot;$&quot;#,##0">
                  <c:v>300</c:v>
                </c:pt>
                <c:pt idx="73" formatCode="&quot;$&quot;#,##0">
                  <c:v>360</c:v>
                </c:pt>
                <c:pt idx="75" formatCode="&quot;$&quot;#,##0">
                  <c:v>30</c:v>
                </c:pt>
                <c:pt idx="76" formatCode="&quot;$&quot;#,##0">
                  <c:v>310</c:v>
                </c:pt>
                <c:pt idx="181" formatCode="&quot;$&quot;#,##0">
                  <c:v>312</c:v>
                </c:pt>
                <c:pt idx="182" formatCode="&quot;$&quot;#,##0">
                  <c:v>352</c:v>
                </c:pt>
                <c:pt idx="188" formatCode="&quot;$&quot;#,##0">
                  <c:v>270</c:v>
                </c:pt>
                <c:pt idx="193" formatCode="&quot;$&quot;#,##0">
                  <c:v>312</c:v>
                </c:pt>
                <c:pt idx="194" formatCode="&quot;$&quot;#,##0">
                  <c:v>352</c:v>
                </c:pt>
                <c:pt idx="195" formatCode="&quot;$&quot;#,##0">
                  <c:v>600</c:v>
                </c:pt>
                <c:pt idx="197" formatCode="&quot;$&quot;#,##0">
                  <c:v>312</c:v>
                </c:pt>
                <c:pt idx="198" formatCode="&quot;$&quot;#,##0">
                  <c:v>352</c:v>
                </c:pt>
                <c:pt idx="199" formatCode="&quot;$&quot;#,##0">
                  <c:v>1000</c:v>
                </c:pt>
                <c:pt idx="200" formatCode="&quot;$&quot;#,##0">
                  <c:v>1120</c:v>
                </c:pt>
                <c:pt idx="202" formatCode="&quot;$&quot;#,##0">
                  <c:v>68</c:v>
                </c:pt>
                <c:pt idx="203" formatCode="&quot;$&quot;#,##0">
                  <c:v>31</c:v>
                </c:pt>
                <c:pt idx="205" formatCode="&quot;$&quot;#,##0">
                  <c:v>24</c:v>
                </c:pt>
                <c:pt idx="209" formatCode="&quot;$&quot;#,##0">
                  <c:v>68</c:v>
                </c:pt>
                <c:pt idx="210" formatCode="&quot;$&quot;#,##0">
                  <c:v>31</c:v>
                </c:pt>
                <c:pt idx="211" formatCode="&quot;$&quot;#,##0">
                  <c:v>3.1</c:v>
                </c:pt>
                <c:pt idx="212" formatCode="&quot;$&quot;#,##0">
                  <c:v>31</c:v>
                </c:pt>
                <c:pt idx="213" formatCode="&quot;$&quot;#,##0">
                  <c:v>31</c:v>
                </c:pt>
                <c:pt idx="214" formatCode="&quot;$&quot;#,##0">
                  <c:v>3.1</c:v>
                </c:pt>
                <c:pt idx="215" formatCode="&quot;$&quot;#,##0">
                  <c:v>31</c:v>
                </c:pt>
                <c:pt idx="216" formatCode="&quot;$&quot;#,##0">
                  <c:v>3.1</c:v>
                </c:pt>
                <c:pt idx="217" formatCode="&quot;$&quot;#,##0">
                  <c:v>31</c:v>
                </c:pt>
                <c:pt idx="219" formatCode="&quot;$&quot;#,##0">
                  <c:v>3.1</c:v>
                </c:pt>
                <c:pt idx="220" formatCode="&quot;$&quot;#,##0">
                  <c:v>24</c:v>
                </c:pt>
                <c:pt idx="222" formatCode="&quot;$&quot;#,##0">
                  <c:v>3.1</c:v>
                </c:pt>
                <c:pt idx="223" formatCode="&quot;$&quot;#,##0">
                  <c:v>31</c:v>
                </c:pt>
                <c:pt idx="224" formatCode="&quot;$&quot;#,##0">
                  <c:v>31</c:v>
                </c:pt>
                <c:pt idx="225" formatCode="&quot;$&quot;#,##0">
                  <c:v>31</c:v>
                </c:pt>
                <c:pt idx="226" formatCode="&quot;$&quot;#,##0">
                  <c:v>31</c:v>
                </c:pt>
                <c:pt idx="227" formatCode="&quot;$&quot;#,##0">
                  <c:v>31</c:v>
                </c:pt>
                <c:pt idx="228" formatCode="&quot;$&quot;#,##0">
                  <c:v>72</c:v>
                </c:pt>
                <c:pt idx="229" formatCode="&quot;$&quot;#,##0">
                  <c:v>31</c:v>
                </c:pt>
                <c:pt idx="230" formatCode="&quot;$&quot;#,##0">
                  <c:v>30</c:v>
                </c:pt>
                <c:pt idx="231" formatCode="&quot;$&quot;#,##0">
                  <c:v>148</c:v>
                </c:pt>
                <c:pt idx="232" formatCode="&quot;$&quot;#,##0">
                  <c:v>186</c:v>
                </c:pt>
                <c:pt idx="233" formatCode="&quot;$&quot;#,##0">
                  <c:v>31</c:v>
                </c:pt>
                <c:pt idx="234" formatCode="&quot;$&quot;#,##0">
                  <c:v>400</c:v>
                </c:pt>
                <c:pt idx="235" formatCode="&quot;$&quot;#,##0">
                  <c:v>443</c:v>
                </c:pt>
                <c:pt idx="236" formatCode="&quot;$&quot;#,##0">
                  <c:v>242</c:v>
                </c:pt>
                <c:pt idx="237" formatCode="&quot;$&quot;#,##0">
                  <c:v>400</c:v>
                </c:pt>
                <c:pt idx="238" formatCode="&quot;$&quot;#,##0">
                  <c:v>443</c:v>
                </c:pt>
                <c:pt idx="239" formatCode="&quot;$&quot;#,##0">
                  <c:v>856.66</c:v>
                </c:pt>
                <c:pt idx="241" formatCode="&quot;$&quot;#,##0">
                  <c:v>455</c:v>
                </c:pt>
                <c:pt idx="242" formatCode="&quot;$&quot;#,##0">
                  <c:v>455</c:v>
                </c:pt>
                <c:pt idx="243" formatCode="&quot;$&quot;#,##0">
                  <c:v>455</c:v>
                </c:pt>
                <c:pt idx="244" formatCode="&quot;$&quot;#,##0">
                  <c:v>742</c:v>
                </c:pt>
                <c:pt idx="245" formatCode="&quot;$&quot;#,##0">
                  <c:v>997</c:v>
                </c:pt>
                <c:pt idx="246" formatCode="&quot;$&quot;#,##0">
                  <c:v>720</c:v>
                </c:pt>
                <c:pt idx="247" formatCode="&quot;$&quot;#,##0">
                  <c:v>720</c:v>
                </c:pt>
                <c:pt idx="248" formatCode="&quot;$&quot;#,##0">
                  <c:v>720</c:v>
                </c:pt>
                <c:pt idx="249" formatCode="&quot;$&quot;#,##0">
                  <c:v>734.4</c:v>
                </c:pt>
                <c:pt idx="250" formatCode="&quot;$&quot;#,##0">
                  <c:v>720</c:v>
                </c:pt>
                <c:pt idx="263" formatCode="&quot;$&quot;#,##0">
                  <c:v>10</c:v>
                </c:pt>
                <c:pt idx="264" formatCode="&quot;$&quot;#,##0">
                  <c:v>10</c:v>
                </c:pt>
                <c:pt idx="265" formatCode="&quot;$&quot;#,##0">
                  <c:v>10</c:v>
                </c:pt>
                <c:pt idx="266" formatCode="&quot;$&quot;#,##0">
                  <c:v>180</c:v>
                </c:pt>
                <c:pt idx="267" formatCode="&quot;$&quot;#,##0">
                  <c:v>180</c:v>
                </c:pt>
                <c:pt idx="268" formatCode="&quot;$&quot;#,##0">
                  <c:v>9</c:v>
                </c:pt>
                <c:pt idx="270" formatCode="&quot;$&quot;#,##0">
                  <c:v>298</c:v>
                </c:pt>
                <c:pt idx="271" formatCode="&quot;$&quot;#,##0">
                  <c:v>959.5</c:v>
                </c:pt>
                <c:pt idx="272" formatCode="&quot;$&quot;#,##0">
                  <c:v>336.3</c:v>
                </c:pt>
                <c:pt idx="274" formatCode="&quot;$&quot;#,##0">
                  <c:v>377</c:v>
                </c:pt>
                <c:pt idx="278" formatCode="&quot;$&quot;#,##0">
                  <c:v>63.5</c:v>
                </c:pt>
                <c:pt idx="282" formatCode="&quot;$&quot;#,##0">
                  <c:v>145</c:v>
                </c:pt>
                <c:pt idx="284" formatCode="&quot;$&quot;#,##0">
                  <c:v>134</c:v>
                </c:pt>
                <c:pt idx="285" formatCode="&quot;$&quot;#,##0">
                  <c:v>120</c:v>
                </c:pt>
                <c:pt idx="286" formatCode="&quot;$&quot;#,##0">
                  <c:v>134</c:v>
                </c:pt>
                <c:pt idx="287" formatCode="&quot;$&quot;#,##0">
                  <c:v>145</c:v>
                </c:pt>
                <c:pt idx="288" formatCode="&quot;$&quot;#,##0">
                  <c:v>950</c:v>
                </c:pt>
                <c:pt idx="292" formatCode="&quot;$&quot;#,##0">
                  <c:v>131.25</c:v>
                </c:pt>
                <c:pt idx="293" formatCode="&quot;$&quot;#,##0">
                  <c:v>10</c:v>
                </c:pt>
                <c:pt idx="294" formatCode="&quot;$&quot;#,##0">
                  <c:v>1274</c:v>
                </c:pt>
                <c:pt idx="295" formatCode="&quot;$&quot;#,##0">
                  <c:v>63.5</c:v>
                </c:pt>
                <c:pt idx="296" formatCode="&quot;$&quot;#,##0">
                  <c:v>480</c:v>
                </c:pt>
                <c:pt idx="297" formatCode="&quot;$&quot;#,##0">
                  <c:v>150</c:v>
                </c:pt>
                <c:pt idx="298" formatCode="&quot;$&quot;#,##0">
                  <c:v>352</c:v>
                </c:pt>
                <c:pt idx="299" formatCode="&quot;$&quot;#,##0">
                  <c:v>189</c:v>
                </c:pt>
                <c:pt idx="300" formatCode="&quot;$&quot;#,##0">
                  <c:v>10</c:v>
                </c:pt>
                <c:pt idx="301" formatCode="&quot;$&quot;#,##0">
                  <c:v>10</c:v>
                </c:pt>
                <c:pt idx="302" formatCode="&quot;$&quot;#,##0">
                  <c:v>705</c:v>
                </c:pt>
                <c:pt idx="304" formatCode="&quot;$&quot;#,##0">
                  <c:v>58.8</c:v>
                </c:pt>
                <c:pt idx="305" formatCode="&quot;$&quot;#,##0">
                  <c:v>58.8</c:v>
                </c:pt>
                <c:pt idx="306" formatCode="&quot;$&quot;#,##0">
                  <c:v>58.8</c:v>
                </c:pt>
                <c:pt idx="307" formatCode="&quot;$&quot;#,##0">
                  <c:v>10</c:v>
                </c:pt>
                <c:pt idx="310" formatCode="&quot;$&quot;#,##0">
                  <c:v>1100</c:v>
                </c:pt>
                <c:pt idx="311" formatCode="&quot;$&quot;#,##0">
                  <c:v>49.5</c:v>
                </c:pt>
                <c:pt idx="312" formatCode="&quot;$&quot;#,##0">
                  <c:v>275</c:v>
                </c:pt>
                <c:pt idx="358" formatCode="&quot;$&quot;#,##0">
                  <c:v>92.3</c:v>
                </c:pt>
                <c:pt idx="359" formatCode="&quot;$&quot;#,##0">
                  <c:v>103</c:v>
                </c:pt>
                <c:pt idx="360" formatCode="&quot;$&quot;#,##0">
                  <c:v>585</c:v>
                </c:pt>
                <c:pt idx="361" formatCode="&quot;$&quot;#,##0">
                  <c:v>523</c:v>
                </c:pt>
                <c:pt idx="363" formatCode="&quot;$&quot;#,##0">
                  <c:v>515</c:v>
                </c:pt>
                <c:pt idx="370" formatCode="&quot;$&quot;#,##0">
                  <c:v>231</c:v>
                </c:pt>
                <c:pt idx="371" formatCode="&quot;$&quot;#,##0">
                  <c:v>400</c:v>
                </c:pt>
                <c:pt idx="372" formatCode="&quot;$&quot;#,##0">
                  <c:v>110</c:v>
                </c:pt>
                <c:pt idx="373" formatCode="&quot;$&quot;#,##0">
                  <c:v>159</c:v>
                </c:pt>
                <c:pt idx="374" formatCode="&quot;$&quot;#,##0">
                  <c:v>56.4</c:v>
                </c:pt>
                <c:pt idx="375" formatCode="&quot;$&quot;#,##0">
                  <c:v>56.4</c:v>
                </c:pt>
                <c:pt idx="376" formatCode="&quot;$&quot;#,##0">
                  <c:v>56.4</c:v>
                </c:pt>
                <c:pt idx="377" formatCode="&quot;$&quot;#,##0">
                  <c:v>56.4</c:v>
                </c:pt>
                <c:pt idx="378" formatCode="&quot;$&quot;#,##0">
                  <c:v>56.4</c:v>
                </c:pt>
                <c:pt idx="379" formatCode="&quot;$&quot;#,##0">
                  <c:v>110</c:v>
                </c:pt>
                <c:pt idx="380" formatCode="&quot;$&quot;#,##0">
                  <c:v>66.825000000000003</c:v>
                </c:pt>
                <c:pt idx="382" formatCode="&quot;$&quot;#,##0">
                  <c:v>66.825000000000003</c:v>
                </c:pt>
                <c:pt idx="383" formatCode="&quot;$&quot;#,##0">
                  <c:v>159</c:v>
                </c:pt>
                <c:pt idx="384" formatCode="&quot;$&quot;#,##0">
                  <c:v>110</c:v>
                </c:pt>
                <c:pt idx="385" formatCode="&quot;$&quot;#,##0">
                  <c:v>56.4</c:v>
                </c:pt>
                <c:pt idx="386" formatCode="&quot;$&quot;#,##0">
                  <c:v>56.4</c:v>
                </c:pt>
                <c:pt idx="387" formatCode="&quot;$&quot;#,##0">
                  <c:v>120</c:v>
                </c:pt>
                <c:pt idx="388" formatCode="&quot;$&quot;#,##0">
                  <c:v>120</c:v>
                </c:pt>
                <c:pt idx="389" formatCode="&quot;$&quot;#,##0">
                  <c:v>120</c:v>
                </c:pt>
                <c:pt idx="390" formatCode="&quot;$&quot;#,##0">
                  <c:v>86.4</c:v>
                </c:pt>
                <c:pt idx="392" formatCode="&quot;$&quot;#,##0">
                  <c:v>480</c:v>
                </c:pt>
                <c:pt idx="394" formatCode="&quot;$&quot;#,##0">
                  <c:v>259</c:v>
                </c:pt>
                <c:pt idx="395" formatCode="&quot;$&quot;#,##0">
                  <c:v>66.825000000000003</c:v>
                </c:pt>
                <c:pt idx="396" formatCode="&quot;$&quot;#,##0">
                  <c:v>66.825000000000003</c:v>
                </c:pt>
                <c:pt idx="397" formatCode="&quot;$&quot;#,##0">
                  <c:v>66.825000000000003</c:v>
                </c:pt>
                <c:pt idx="399" formatCode="&quot;$&quot;#,##0">
                  <c:v>66.825000000000003</c:v>
                </c:pt>
                <c:pt idx="400" formatCode="&quot;$&quot;#,##0">
                  <c:v>159</c:v>
                </c:pt>
                <c:pt idx="401" formatCode="&quot;$&quot;#,##0">
                  <c:v>110</c:v>
                </c:pt>
                <c:pt idx="402" formatCode="&quot;$&quot;#,##0">
                  <c:v>56.4</c:v>
                </c:pt>
                <c:pt idx="403" formatCode="&quot;$&quot;#,##0">
                  <c:v>86.4</c:v>
                </c:pt>
                <c:pt idx="405" formatCode="&quot;$&quot;#,##0">
                  <c:v>580</c:v>
                </c:pt>
                <c:pt idx="406" formatCode="&quot;$&quot;#,##0">
                  <c:v>840</c:v>
                </c:pt>
                <c:pt idx="407" formatCode="&quot;$&quot;#,##0">
                  <c:v>171</c:v>
                </c:pt>
                <c:pt idx="408" formatCode="&quot;$&quot;#,##0">
                  <c:v>66.825000000000003</c:v>
                </c:pt>
                <c:pt idx="409" formatCode="&quot;$&quot;#,##0">
                  <c:v>159</c:v>
                </c:pt>
                <c:pt idx="410" formatCode="&quot;$&quot;#,##0">
                  <c:v>110</c:v>
                </c:pt>
                <c:pt idx="411" formatCode="&quot;$&quot;#,##0">
                  <c:v>120</c:v>
                </c:pt>
                <c:pt idx="412" formatCode="&quot;$&quot;#,##0">
                  <c:v>56.4</c:v>
                </c:pt>
                <c:pt idx="413" formatCode="&quot;$&quot;#,##0">
                  <c:v>86.4</c:v>
                </c:pt>
                <c:pt idx="415" formatCode="&quot;$&quot;#,##0">
                  <c:v>159</c:v>
                </c:pt>
                <c:pt idx="416" formatCode="&quot;$&quot;#,##0">
                  <c:v>86.4</c:v>
                </c:pt>
              </c:numCache>
            </c:numRef>
          </c:yVal>
          <c:smooth val="0"/>
          <c:extLst>
            <c:ext xmlns:c16="http://schemas.microsoft.com/office/drawing/2014/chart" uri="{C3380CC4-5D6E-409C-BE32-E72D297353CC}">
              <c16:uniqueId val="{00000001-EF3E-4E32-9C8B-6BFE59B701E5}"/>
            </c:ext>
          </c:extLst>
        </c:ser>
        <c:dLbls>
          <c:showLegendKey val="0"/>
          <c:showVal val="0"/>
          <c:showCatName val="0"/>
          <c:showSerName val="0"/>
          <c:showPercent val="0"/>
          <c:showBubbleSize val="0"/>
        </c:dLbls>
        <c:axId val="1108318504"/>
        <c:axId val="1108319160"/>
      </c:scatterChart>
      <c:valAx>
        <c:axId val="1108318504"/>
        <c:scaling>
          <c:orientation val="minMax"/>
          <c:max val="30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bg2"/>
                    </a:solidFill>
                    <a:latin typeface="EYInterstate Light" panose="02000506000000020004" pitchFamily="2" charset="0"/>
                    <a:ea typeface="+mn-ea"/>
                    <a:cs typeface="+mn-cs"/>
                  </a:defRPr>
                </a:pPr>
                <a:r>
                  <a:rPr lang="en-AU" sz="1000" b="0" i="0" u="none" strike="noStrike" kern="1200" baseline="0">
                    <a:solidFill>
                      <a:srgbClr val="000000"/>
                    </a:solidFill>
                    <a:latin typeface="EYInterstate Light" panose="02000506000000020004" pitchFamily="2" charset="0"/>
                    <a:ea typeface="+mn-ea"/>
                    <a:cs typeface="+mn-cs"/>
                  </a:rPr>
                  <a:t>PL</a:t>
                </a:r>
                <a:r>
                  <a:rPr lang="en-AU"/>
                  <a:t> Price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bg2"/>
                  </a:solidFill>
                  <a:latin typeface="EYInterstate Light" panose="02000506000000020004" pitchFamily="2"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bg2"/>
                </a:solidFill>
                <a:latin typeface="EYInterstate Light" panose="02000506000000020004" pitchFamily="2" charset="0"/>
                <a:ea typeface="+mn-ea"/>
                <a:cs typeface="+mn-cs"/>
              </a:defRPr>
            </a:pPr>
            <a:endParaRPr lang="en-US"/>
          </a:p>
        </c:txPr>
        <c:crossAx val="1108319160"/>
        <c:crosses val="autoZero"/>
        <c:crossBetween val="midCat"/>
      </c:valAx>
      <c:valAx>
        <c:axId val="1108319160"/>
        <c:scaling>
          <c:orientation val="minMax"/>
          <c:max val="3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bg2"/>
                    </a:solidFill>
                    <a:latin typeface="EYInterstate Light" panose="02000506000000020004" pitchFamily="2" charset="0"/>
                    <a:ea typeface="+mn-ea"/>
                    <a:cs typeface="+mn-cs"/>
                  </a:defRPr>
                </a:pPr>
                <a:r>
                  <a:rPr lang="en-AU"/>
                  <a:t>Public Price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bg2"/>
                  </a:solidFill>
                  <a:latin typeface="EYInterstate Light" panose="02000506000000020004" pitchFamily="2"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bg2"/>
                </a:solidFill>
                <a:latin typeface="EYInterstate Light" panose="02000506000000020004" pitchFamily="2" charset="0"/>
                <a:ea typeface="+mn-ea"/>
                <a:cs typeface="+mn-cs"/>
              </a:defRPr>
            </a:pPr>
            <a:endParaRPr lang="en-US"/>
          </a:p>
        </c:txPr>
        <c:crossAx val="1108318504"/>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bg2"/>
              </a:solidFill>
              <a:latin typeface="EYInterstate Light" panose="02000506000000020004" pitchFamily="2"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bg2"/>
      </a:solidFill>
      <a:round/>
    </a:ln>
    <a:effectLst/>
  </c:spPr>
  <c:txPr>
    <a:bodyPr/>
    <a:lstStyle/>
    <a:p>
      <a:pPr>
        <a:defRPr>
          <a:solidFill>
            <a:schemeClr val="bg2"/>
          </a:solidFill>
          <a:latin typeface="EYInterstate Light" panose="02000506000000020004" pitchFamily="2"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EY Color">
      <a:dk1>
        <a:srgbClr val="2E2E38"/>
      </a:dk1>
      <a:lt1>
        <a:sysClr val="window" lastClr="FFFFFF"/>
      </a:lt1>
      <a:dk2>
        <a:srgbClr val="FFE600"/>
      </a:dk2>
      <a:lt2>
        <a:srgbClr val="000000"/>
      </a:lt2>
      <a:accent1>
        <a:srgbClr val="2DB757"/>
      </a:accent1>
      <a:accent2>
        <a:srgbClr val="27ACAA"/>
      </a:accent2>
      <a:accent3>
        <a:srgbClr val="188CE5"/>
      </a:accent3>
      <a:accent4>
        <a:srgbClr val="3D108A"/>
      </a:accent4>
      <a:accent5>
        <a:srgbClr val="FF4136"/>
      </a:accent5>
      <a:accent6>
        <a:srgbClr val="FF6D00"/>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raClrScheme>
      <a:clrScheme name="EY colors">
        <a:dk1>
          <a:srgbClr val="000000"/>
        </a:dk1>
        <a:lt1>
          <a:srgbClr val="646464"/>
        </a:lt1>
        <a:dk2>
          <a:srgbClr val="FFFFFF"/>
        </a:dk2>
        <a:lt2>
          <a:srgbClr val="646464"/>
        </a:lt2>
        <a:accent1>
          <a:srgbClr val="808080"/>
        </a:accent1>
        <a:accent2>
          <a:srgbClr val="FFE600"/>
        </a:accent2>
        <a:accent3>
          <a:srgbClr val="999999"/>
        </a:accent3>
        <a:accent4>
          <a:srgbClr val="F0F0F0"/>
        </a:accent4>
        <a:accent5>
          <a:srgbClr val="00A3AE"/>
        </a:accent5>
        <a:accent6>
          <a:srgbClr val="C0C0C0"/>
        </a:accent6>
        <a:hlink>
          <a:srgbClr val="336699"/>
        </a:hlink>
        <a:folHlink>
          <a:srgbClr val="91278F"/>
        </a:folHlink>
      </a:clrScheme>
      <a:clrMap bg1="lt1" tx1="dk1" bg2="lt2" tx2="dk2" accent1="accent1" accent2="accent2" accent3="accent3" accent4="accent4" accent5="accent5" accent6="accent6" hlink="hlink" folHlink="folHlink"/>
    </a:extraClrScheme>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E69CB6BF3E30B4B8BB391C12D7A2397" ma:contentTypeVersion="6" ma:contentTypeDescription="Create a new document." ma:contentTypeScope="" ma:versionID="4cccd4a89fca8fe1b78b7bbaf90f8227">
  <xsd:schema xmlns:xsd="http://www.w3.org/2001/XMLSchema" xmlns:xs="http://www.w3.org/2001/XMLSchema" xmlns:p="http://schemas.microsoft.com/office/2006/metadata/properties" xmlns:ns2="e2ed3287-c380-40a6-ad39-c5dd93dcaa8a" xmlns:ns3="d26000e3-c41f-4028-bd87-01d294f43f3b" targetNamespace="http://schemas.microsoft.com/office/2006/metadata/properties" ma:root="true" ma:fieldsID="9d2bee50c7c17a0eb38da8d735e2277f" ns2:_="" ns3:_="">
    <xsd:import namespace="e2ed3287-c380-40a6-ad39-c5dd93dcaa8a"/>
    <xsd:import namespace="d26000e3-c41f-4028-bd87-01d294f43f3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ed3287-c380-40a6-ad39-c5dd93dcaa8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26000e3-c41f-4028-bd87-01d294f43f3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2842B6-8862-4638-8E4E-0B154D0B97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2ed3287-c380-40a6-ad39-c5dd93dcaa8a"/>
    <ds:schemaRef ds:uri="d26000e3-c41f-4028-bd87-01d294f43f3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C298814-ACC6-4985-B145-A4665C65193C}">
  <ds:schemaRefs>
    <ds:schemaRef ds:uri="http://schemas.microsoft.com/sharepoint/v3/contenttype/forms"/>
  </ds:schemaRefs>
</ds:datastoreItem>
</file>

<file path=customXml/itemProps3.xml><?xml version="1.0" encoding="utf-8"?>
<ds:datastoreItem xmlns:ds="http://schemas.openxmlformats.org/officeDocument/2006/customXml" ds:itemID="{2AF8C0CA-019C-4E0D-B7A6-808D175AAAF7}">
  <ds:schemaRefs>
    <ds:schemaRef ds:uri="http://purl.org/dc/terms/"/>
    <ds:schemaRef ds:uri="http://schemas.microsoft.com/office/2006/metadata/properties"/>
    <ds:schemaRef ds:uri="http://schemas.microsoft.com/office/2006/documentManagement/types"/>
    <ds:schemaRef ds:uri="d26000e3-c41f-4028-bd87-01d294f43f3b"/>
    <ds:schemaRef ds:uri="e2ed3287-c380-40a6-ad39-c5dd93dcaa8a"/>
    <ds:schemaRef ds:uri="http://purl.org/dc/elements/1.1/"/>
    <ds:schemaRef ds:uri="http://www.w3.org/XML/1998/namespace"/>
    <ds:schemaRef ds:uri="http://schemas.microsoft.com/office/infopath/2007/PartnerControls"/>
    <ds:schemaRef ds:uri="http://schemas.openxmlformats.org/package/2006/metadata/core-properties"/>
    <ds:schemaRef ds:uri="http://purl.org/dc/dcmitype/"/>
  </ds:schemaRefs>
</ds:datastoreItem>
</file>

<file path=customXml/itemProps4.xml><?xml version="1.0" encoding="utf-8"?>
<ds:datastoreItem xmlns:ds="http://schemas.openxmlformats.org/officeDocument/2006/customXml" ds:itemID="{2E69BB11-A9E9-4654-9968-C9220D0909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AUS_EY_Report_Portrait_Cover_Included</Template>
  <TotalTime>1</TotalTime>
  <Pages>109</Pages>
  <Words>43518</Words>
  <Characters>230647</Characters>
  <Application>Microsoft Office Word</Application>
  <DocSecurity>4</DocSecurity>
  <Lines>4907</Lines>
  <Paragraphs>2562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Lachlan O'Hare</dc:creator>
  <cp:keywords/>
  <cp:lastModifiedBy>MARTIN, Mel</cp:lastModifiedBy>
  <cp:revision>2</cp:revision>
  <cp:lastPrinted>2020-12-14T05:06:00Z</cp:lastPrinted>
  <dcterms:created xsi:type="dcterms:W3CDTF">2020-12-18T04:51:00Z</dcterms:created>
  <dcterms:modified xsi:type="dcterms:W3CDTF">2020-12-18T04:51:00Z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0x0101001E69CB6BF3E30B4B8BB391C12D7A2397</vt:lpwstr>
  </property>
</Properties>
</file>