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CE4C32" w14:textId="77777777" w:rsidR="009A7BA2" w:rsidRDefault="009A7BA2" w:rsidP="009A7BA2">
      <w:pPr>
        <w:pStyle w:val="CoverH1White"/>
        <w:tabs>
          <w:tab w:val="right" w:pos="8312"/>
        </w:tabs>
      </w:pPr>
      <w:bookmarkStart w:id="0" w:name="_GoBack"/>
      <w:bookmarkEnd w:id="0"/>
      <w:r>
        <w:tab/>
      </w:r>
    </w:p>
    <w:bookmarkStart w:id="1" w:name="_Hlk503433997"/>
    <w:bookmarkEnd w:id="1"/>
    <w:p w14:paraId="554DDB20" w14:textId="77777777" w:rsidR="008A49F1" w:rsidRPr="00C7715C" w:rsidRDefault="00DC2360" w:rsidP="00905497">
      <w:pPr>
        <w:rPr>
          <w:rStyle w:val="IntenseEmphasis"/>
        </w:rPr>
      </w:pPr>
      <w:r>
        <w:rPr>
          <w:b/>
          <w:bCs/>
          <w:i/>
          <w:iCs/>
          <w:noProof/>
          <w:color w:val="1952F3"/>
        </w:rPr>
        <mc:AlternateContent>
          <mc:Choice Requires="wps">
            <w:drawing>
              <wp:anchor distT="0" distB="0" distL="114300" distR="114300" simplePos="0" relativeHeight="251660288" behindDoc="0" locked="0" layoutInCell="1" allowOverlap="1" wp14:anchorId="07F95ABB" wp14:editId="041A78C0">
                <wp:simplePos x="0" y="0"/>
                <wp:positionH relativeFrom="margin">
                  <wp:align>left</wp:align>
                </wp:positionH>
                <wp:positionV relativeFrom="page">
                  <wp:posOffset>2701925</wp:posOffset>
                </wp:positionV>
                <wp:extent cx="5255895" cy="7082790"/>
                <wp:effectExtent l="0" t="0" r="0" b="381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7082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CB9CDB" w14:textId="77777777" w:rsidR="008565D3" w:rsidRPr="005C7FB0" w:rsidRDefault="008565D3"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4D4C62" w14:textId="77777777" w:rsidR="008565D3" w:rsidRPr="005C7FB0" w:rsidRDefault="008565D3" w:rsidP="005C7FB0">
                            <w:pPr>
                              <w:pStyle w:val="CoverH1Green"/>
                            </w:pPr>
                            <w:r w:rsidRPr="005C7FB0">
                              <w:t xml:space="preserve">Report from the </w:t>
                            </w:r>
                            <w:r>
                              <w:t>General Practice and Primary Care</w:t>
                            </w:r>
                            <w:r w:rsidRPr="005C7FB0">
                              <w:t xml:space="preserve"> Clinical Committee</w:t>
                            </w:r>
                            <w:r>
                              <w:t>: Phase 2</w:t>
                            </w:r>
                          </w:p>
                          <w:p w14:paraId="78783FBD" w14:textId="19E37FC3" w:rsidR="008565D3" w:rsidRPr="005C7FB0" w:rsidRDefault="00706385" w:rsidP="005C7FB0">
                            <w:pPr>
                              <w:pStyle w:val="Coverdate"/>
                              <w:tabs>
                                <w:tab w:val="center" w:pos="4156"/>
                              </w:tabs>
                            </w:pPr>
                            <w:r>
                              <w:t>August</w:t>
                            </w:r>
                            <w:r w:rsidR="008565D3">
                              <w:t xml:space="preserve"> 2019</w:t>
                            </w:r>
                            <w:r w:rsidR="008565D3" w:rsidRPr="005C7FB0">
                              <w:tab/>
                            </w:r>
                          </w:p>
                          <w:p w14:paraId="38322454" w14:textId="77777777" w:rsidR="008565D3" w:rsidRDefault="008565D3"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5ABB" id="_x0000_t202" coordsize="21600,21600" o:spt="202" path="m,l,21600r21600,l21600,xe">
                <v:stroke joinstyle="miter"/>
                <v:path gradientshapeok="t" o:connecttype="rect"/>
              </v:shapetype>
              <v:shape id="Text Box 11" o:spid="_x0000_s1026" type="#_x0000_t202" style="position:absolute;margin-left:0;margin-top:212.75pt;width:413.85pt;height:557.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" filled="f" stroked="f">
                <v:textbox>
                  <w:txbxContent>
                    <w:p w14:paraId="52CB9CDB" w14:textId="77777777" w:rsidR="008565D3" w:rsidRPr="005C7FB0" w:rsidRDefault="008565D3"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684D4C62" w14:textId="77777777" w:rsidR="008565D3" w:rsidRPr="005C7FB0" w:rsidRDefault="008565D3" w:rsidP="005C7FB0">
                      <w:pPr>
                        <w:pStyle w:val="CoverH1Green"/>
                      </w:pPr>
                      <w:r w:rsidRPr="005C7FB0">
                        <w:t xml:space="preserve">Report from the </w:t>
                      </w:r>
                      <w:r>
                        <w:t>General Practice and Primary Care</w:t>
                      </w:r>
                      <w:r w:rsidRPr="005C7FB0">
                        <w:t xml:space="preserve"> Clinical Committee</w:t>
                      </w:r>
                      <w:r>
                        <w:t>: Phase 2</w:t>
                      </w:r>
                    </w:p>
                    <w:p w14:paraId="78783FBD" w14:textId="19E37FC3" w:rsidR="008565D3" w:rsidRPr="005C7FB0" w:rsidRDefault="00706385" w:rsidP="005C7FB0">
                      <w:pPr>
                        <w:pStyle w:val="Coverdate"/>
                        <w:tabs>
                          <w:tab w:val="center" w:pos="4156"/>
                        </w:tabs>
                      </w:pPr>
                      <w:r>
                        <w:t>August</w:t>
                      </w:r>
                      <w:r w:rsidR="008565D3">
                        <w:t xml:space="preserve"> 2019</w:t>
                      </w:r>
                      <w:r w:rsidR="008565D3" w:rsidRPr="005C7FB0">
                        <w:tab/>
                      </w:r>
                    </w:p>
                    <w:p w14:paraId="38322454" w14:textId="77777777" w:rsidR="008565D3" w:rsidRDefault="008565D3" w:rsidP="005C7FB0"/>
                  </w:txbxContent>
                </v:textbox>
                <w10:wrap type="square" anchorx="margin" anchory="page"/>
              </v:shape>
            </w:pict>
          </mc:Fallback>
        </mc:AlternateContent>
      </w:r>
      <w:r w:rsidR="008A49F1" w:rsidRPr="00C7715C">
        <w:rPr>
          <w:rStyle w:val="IntenseEmphasis"/>
        </w:rPr>
        <w:br w:type="page"/>
      </w:r>
    </w:p>
    <w:p w14:paraId="26DC46F9" w14:textId="77777777" w:rsidR="009B4B96" w:rsidRPr="00B8089F" w:rsidRDefault="009B4B96" w:rsidP="00684AA4">
      <w:pPr>
        <w:pStyle w:val="Footer"/>
        <w:rPr>
          <w:lang w:val="en-GB"/>
        </w:rPr>
        <w:sectPr w:rsidR="009B4B96" w:rsidRPr="00B8089F" w:rsidSect="00F639DA">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6B9B8AF5" w14:textId="77777777" w:rsidR="00D67260" w:rsidRDefault="00D67260" w:rsidP="00D67260">
      <w:pPr>
        <w:spacing w:before="0" w:after="0" w:line="240" w:lineRule="auto"/>
        <w:rPr>
          <w:rFonts w:ascii="Calibri" w:hAnsi="Calibri" w:cs="Arial"/>
          <w:b/>
          <w:bCs/>
          <w:color w:val="01653F"/>
          <w:sz w:val="32"/>
          <w:szCs w:val="28"/>
        </w:rPr>
      </w:pPr>
    </w:p>
    <w:p w14:paraId="492EC44D" w14:textId="77777777" w:rsidR="00EB68E0" w:rsidRDefault="00EB68E0" w:rsidP="00D67260">
      <w:pPr>
        <w:spacing w:before="0" w:after="0" w:line="240" w:lineRule="auto"/>
        <w:rPr>
          <w:rFonts w:ascii="Calibri" w:hAnsi="Calibri" w:cs="Arial"/>
          <w:b/>
          <w:bCs/>
          <w:color w:val="01653F"/>
          <w:sz w:val="32"/>
          <w:szCs w:val="28"/>
        </w:rPr>
      </w:pPr>
    </w:p>
    <w:tbl>
      <w:tblPr>
        <w:tblW w:w="5000" w:type="pct"/>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top w:w="28" w:type="dxa"/>
          <w:left w:w="28" w:type="dxa"/>
          <w:bottom w:w="28" w:type="dxa"/>
          <w:right w:w="28" w:type="dxa"/>
        </w:tblCellMar>
        <w:tblLook w:val="04A0" w:firstRow="1" w:lastRow="0" w:firstColumn="1" w:lastColumn="0" w:noHBand="0" w:noVBand="1"/>
        <w:tblCaption w:val="Important Note"/>
        <w:tblDescription w:val="The views and recommendations in this report from the Clinical Committee have been released for the purpose of seeking the views of stakeholders. This report does not constitute the final position on these items, which is subject to stakeholder feedback.&#10;Then consideration by the MBS Review Taskforce.&#10;Then, if endorsed, consideration by the Minister for Health and the Government. &#10;&#10;Stakeholders should provide comment on the recommendations via mbsreviews@health.gov.au.&#10;&#10;If you would like your feedback to remain confidential, please mark it as such. It is important to be aware that confidential feedback may still be subject to access under freedom of information law."/>
      </w:tblPr>
      <w:tblGrid>
        <w:gridCol w:w="8282"/>
      </w:tblGrid>
      <w:tr w:rsidR="006970BC" w:rsidRPr="00637752" w14:paraId="30903D55" w14:textId="77777777" w:rsidTr="006970BC">
        <w:trPr>
          <w:tblHeader/>
        </w:trPr>
        <w:tc>
          <w:tcPr>
            <w:tcW w:w="9016" w:type="dxa"/>
            <w:shd w:val="clear" w:color="auto" w:fill="auto"/>
          </w:tcPr>
          <w:p w14:paraId="222D9C03" w14:textId="77777777" w:rsidR="006970BC" w:rsidRPr="008356B8" w:rsidRDefault="006970BC" w:rsidP="00250A5D">
            <w:pPr>
              <w:rPr>
                <w:rFonts w:cstheme="minorHAnsi"/>
                <w:b/>
                <w:color w:val="01653F"/>
                <w:sz w:val="32"/>
                <w:szCs w:val="32"/>
              </w:rPr>
            </w:pPr>
            <w:r w:rsidRPr="008356B8">
              <w:rPr>
                <w:rFonts w:cstheme="minorHAnsi"/>
                <w:b/>
                <w:color w:val="01653F"/>
                <w:sz w:val="32"/>
                <w:szCs w:val="32"/>
              </w:rPr>
              <w:t>Important note</w:t>
            </w:r>
          </w:p>
          <w:p w14:paraId="484C7910" w14:textId="44AD57AD" w:rsidR="00250A5D" w:rsidRDefault="00250A5D" w:rsidP="009B0335">
            <w:pPr>
              <w:pStyle w:val="BoxText0"/>
              <w:pBdr>
                <w:top w:val="none" w:sz="0" w:space="0" w:color="auto"/>
                <w:left w:val="single" w:sz="4" w:space="4" w:color="auto"/>
                <w:bottom w:val="none" w:sz="0" w:space="0" w:color="auto"/>
                <w:right w:val="none" w:sz="0" w:space="0" w:color="auto"/>
              </w:pBdr>
            </w:pPr>
            <w:r>
              <w:rPr>
                <w:lang w:val="en-GB"/>
              </w:rPr>
              <w:t>T</w:t>
            </w:r>
            <w:r w:rsidRPr="002B657F">
              <w:t xml:space="preserve">he recommendations from the </w:t>
            </w:r>
            <w:r>
              <w:t>General Practice and Primary Care Cl</w:t>
            </w:r>
            <w:r w:rsidRPr="002B657F">
              <w:t>inical Committee</w:t>
            </w:r>
            <w:r>
              <w:t xml:space="preserve"> (Committee)</w:t>
            </w:r>
            <w:r w:rsidRPr="002B657F">
              <w:t xml:space="preserve"> were relea</w:t>
            </w:r>
            <w:r>
              <w:t>sed for public</w:t>
            </w:r>
            <w:r w:rsidRPr="002B657F">
              <w:t xml:space="preserve"> consultation </w:t>
            </w:r>
            <w:r w:rsidR="005F6AB3">
              <w:t xml:space="preserve">in </w:t>
            </w:r>
            <w:r w:rsidRPr="00F44F16">
              <w:t>September 201</w:t>
            </w:r>
            <w:r w:rsidR="005F6AB3" w:rsidRPr="00F44F16">
              <w:t>8</w:t>
            </w:r>
            <w:r w:rsidRPr="00777FA3">
              <w:t>.</w:t>
            </w:r>
            <w:r w:rsidRPr="002B657F">
              <w:t xml:space="preserve"> </w:t>
            </w:r>
          </w:p>
          <w:p w14:paraId="38CD3E05" w14:textId="77777777" w:rsidR="00250A5D" w:rsidRDefault="00250A5D" w:rsidP="009B0335">
            <w:pPr>
              <w:pStyle w:val="BoxText0"/>
              <w:pBdr>
                <w:top w:val="none" w:sz="0" w:space="0" w:color="auto"/>
                <w:left w:val="single" w:sz="4" w:space="4" w:color="auto"/>
                <w:bottom w:val="none" w:sz="0" w:space="0" w:color="auto"/>
                <w:right w:val="none" w:sz="0" w:space="0" w:color="auto"/>
              </w:pBdr>
            </w:pPr>
          </w:p>
          <w:p w14:paraId="34D10C2D" w14:textId="77777777" w:rsidR="00250A5D" w:rsidRDefault="00250A5D" w:rsidP="009B0335">
            <w:pPr>
              <w:pStyle w:val="BoxText0"/>
              <w:pBdr>
                <w:top w:val="none" w:sz="0" w:space="0" w:color="auto"/>
                <w:left w:val="single" w:sz="4" w:space="4" w:color="auto"/>
                <w:bottom w:val="none" w:sz="0" w:space="0" w:color="auto"/>
                <w:right w:val="none" w:sz="0" w:space="0" w:color="auto"/>
              </w:pBdr>
              <w:rPr>
                <w:rFonts w:cs="Arial"/>
                <w:bCs/>
              </w:rPr>
            </w:pPr>
            <w:r w:rsidRPr="002B657F">
              <w:t xml:space="preserve">The </w:t>
            </w:r>
            <w:r>
              <w:t xml:space="preserve">Committee </w:t>
            </w:r>
            <w:r w:rsidRPr="002B657F">
              <w:t xml:space="preserve">considered feedback </w:t>
            </w:r>
            <w:r>
              <w:t xml:space="preserve">from the public consultation </w:t>
            </w:r>
            <w:r w:rsidRPr="002B657F">
              <w:t>and made changes to a number of recommendat</w:t>
            </w:r>
            <w:r>
              <w:t xml:space="preserve">ions as is reflected in this </w:t>
            </w:r>
            <w:r w:rsidRPr="002B657F">
              <w:t xml:space="preserve">report.  </w:t>
            </w:r>
          </w:p>
          <w:p w14:paraId="52CCE354" w14:textId="77777777" w:rsidR="00250A5D" w:rsidRDefault="00250A5D" w:rsidP="009B0335">
            <w:pPr>
              <w:pStyle w:val="BoxText0"/>
              <w:pBdr>
                <w:top w:val="none" w:sz="0" w:space="0" w:color="auto"/>
                <w:left w:val="single" w:sz="4" w:space="4" w:color="auto"/>
                <w:bottom w:val="none" w:sz="0" w:space="0" w:color="auto"/>
                <w:right w:val="none" w:sz="0" w:space="0" w:color="auto"/>
              </w:pBdr>
            </w:pPr>
          </w:p>
          <w:p w14:paraId="1939E436" w14:textId="77777777" w:rsidR="00250A5D" w:rsidRPr="00430F38" w:rsidRDefault="00250A5D" w:rsidP="009B0335">
            <w:pPr>
              <w:pStyle w:val="BoxText0"/>
              <w:pBdr>
                <w:top w:val="none" w:sz="0" w:space="0" w:color="auto"/>
                <w:left w:val="single" w:sz="4" w:space="4" w:color="auto"/>
                <w:bottom w:val="none" w:sz="0" w:space="0" w:color="auto"/>
                <w:right w:val="none" w:sz="0" w:space="0" w:color="auto"/>
              </w:pBdr>
              <w:rPr>
                <w:rFonts w:cs="Arial"/>
                <w:bCs/>
              </w:rPr>
            </w:pPr>
            <w:r w:rsidRPr="002B657F">
              <w:t>The final recommendations</w:t>
            </w:r>
            <w:r>
              <w:t xml:space="preserve"> from the Committee</w:t>
            </w:r>
            <w:r w:rsidRPr="002B657F">
              <w:t xml:space="preserve"> and </w:t>
            </w:r>
            <w:r>
              <w:t>feedback from the public consultation</w:t>
            </w:r>
            <w:r w:rsidRPr="002B657F">
              <w:t xml:space="preserve"> wi</w:t>
            </w:r>
            <w:r>
              <w:t>ll be provided to the Medicare Benefits Schedule (MBS) Review Taskforce (the Taskforce) for consideration before the Taskforce makes its final recommendations to Government.</w:t>
            </w:r>
          </w:p>
          <w:p w14:paraId="710038CE" w14:textId="124136AD" w:rsidR="006970BC" w:rsidRPr="00637752" w:rsidRDefault="006970BC" w:rsidP="006970BC"/>
        </w:tc>
      </w:tr>
    </w:tbl>
    <w:p w14:paraId="288DC185" w14:textId="77777777" w:rsidR="00C14752" w:rsidRDefault="00C14752" w:rsidP="00D67260">
      <w:pPr>
        <w:spacing w:before="120" w:after="120"/>
        <w:rPr>
          <w:rFonts w:cs="Arial"/>
        </w:rPr>
      </w:pPr>
    </w:p>
    <w:p w14:paraId="6145C469" w14:textId="77777777" w:rsidR="00D67260" w:rsidRDefault="00D67260" w:rsidP="00D67260">
      <w:pPr>
        <w:spacing w:before="120" w:after="120"/>
        <w:rPr>
          <w:rFonts w:cs="Arial"/>
        </w:rPr>
      </w:pPr>
    </w:p>
    <w:p w14:paraId="4C8CD9B8" w14:textId="77777777" w:rsidR="000F6EE9" w:rsidRDefault="000F6EE9" w:rsidP="00D67260">
      <w:pPr>
        <w:spacing w:before="120" w:after="120"/>
        <w:rPr>
          <w:rFonts w:cs="Arial"/>
        </w:rPr>
      </w:pPr>
    </w:p>
    <w:p w14:paraId="52893F0F" w14:textId="77777777" w:rsidR="000F6EE9" w:rsidRDefault="000F6EE9" w:rsidP="00D67260">
      <w:pPr>
        <w:spacing w:before="120" w:after="120"/>
        <w:rPr>
          <w:rFonts w:cs="Arial"/>
        </w:rPr>
        <w:sectPr w:rsidR="000F6EE9" w:rsidSect="009A7BA2">
          <w:pgSz w:w="11906" w:h="16838" w:code="9"/>
          <w:pgMar w:top="1440" w:right="1797" w:bottom="1440" w:left="1797" w:header="720" w:footer="720" w:gutter="0"/>
          <w:cols w:space="720"/>
          <w:docGrid w:linePitch="326"/>
        </w:sectPr>
      </w:pPr>
    </w:p>
    <w:p w14:paraId="76450CC5" w14:textId="77777777" w:rsidR="00C56DF9" w:rsidRPr="009A7BA2" w:rsidRDefault="00C56DF9" w:rsidP="005C7FB0">
      <w:pPr>
        <w:pStyle w:val="TOCHeading"/>
      </w:pPr>
      <w:r w:rsidRPr="009A7BA2">
        <w:lastRenderedPageBreak/>
        <w:t xml:space="preserve">Table of </w:t>
      </w:r>
      <w:r w:rsidR="005C2F46">
        <w:t>c</w:t>
      </w:r>
      <w:r w:rsidRPr="009A7BA2">
        <w:t>ontents</w:t>
      </w:r>
    </w:p>
    <w:p w14:paraId="63F6E466" w14:textId="71867319" w:rsidR="003B2F8C" w:rsidRDefault="00A0282E">
      <w:pPr>
        <w:pStyle w:val="TOC1"/>
        <w:rPr>
          <w:rFonts w:eastAsiaTheme="minorEastAsia" w:cstheme="minorBidi"/>
          <w:b w:val="0"/>
        </w:rPr>
      </w:pPr>
      <w:r>
        <w:fldChar w:fldCharType="begin"/>
      </w:r>
      <w:r>
        <w:instrText xml:space="preserve"> TOC \o "1-3" \h \z \u </w:instrText>
      </w:r>
      <w:r>
        <w:fldChar w:fldCharType="separate"/>
      </w:r>
      <w:hyperlink w:anchor="_Toc15644838" w:history="1">
        <w:r w:rsidR="003B2F8C" w:rsidRPr="00725D3D">
          <w:rPr>
            <w:rStyle w:val="Hyperlink"/>
          </w:rPr>
          <w:t>1.</w:t>
        </w:r>
        <w:r w:rsidR="003B2F8C">
          <w:rPr>
            <w:rFonts w:eastAsiaTheme="minorEastAsia" w:cstheme="minorBidi"/>
            <w:b w:val="0"/>
          </w:rPr>
          <w:tab/>
        </w:r>
        <w:r w:rsidR="003B2F8C" w:rsidRPr="00725D3D">
          <w:rPr>
            <w:rStyle w:val="Hyperlink"/>
          </w:rPr>
          <w:t>Executive summary</w:t>
        </w:r>
        <w:r w:rsidR="003B2F8C">
          <w:rPr>
            <w:webHidden/>
          </w:rPr>
          <w:tab/>
        </w:r>
        <w:r w:rsidR="003B2F8C">
          <w:rPr>
            <w:webHidden/>
          </w:rPr>
          <w:fldChar w:fldCharType="begin"/>
        </w:r>
        <w:r w:rsidR="003B2F8C">
          <w:rPr>
            <w:webHidden/>
          </w:rPr>
          <w:instrText xml:space="preserve"> PAGEREF _Toc15644838 \h </w:instrText>
        </w:r>
        <w:r w:rsidR="003B2F8C">
          <w:rPr>
            <w:webHidden/>
          </w:rPr>
        </w:r>
        <w:r w:rsidR="003B2F8C">
          <w:rPr>
            <w:webHidden/>
          </w:rPr>
          <w:fldChar w:fldCharType="separate"/>
        </w:r>
        <w:r w:rsidR="003B2F8C">
          <w:rPr>
            <w:webHidden/>
          </w:rPr>
          <w:t>8</w:t>
        </w:r>
        <w:r w:rsidR="003B2F8C">
          <w:rPr>
            <w:webHidden/>
          </w:rPr>
          <w:fldChar w:fldCharType="end"/>
        </w:r>
      </w:hyperlink>
    </w:p>
    <w:p w14:paraId="11A51492" w14:textId="377B5EB0" w:rsidR="003B2F8C" w:rsidRDefault="009A6E3D">
      <w:pPr>
        <w:pStyle w:val="TOC2"/>
        <w:tabs>
          <w:tab w:val="left" w:pos="1474"/>
          <w:tab w:val="right" w:leader="dot" w:pos="8302"/>
        </w:tabs>
        <w:rPr>
          <w:rFonts w:eastAsiaTheme="minorEastAsia" w:cstheme="minorBidi"/>
        </w:rPr>
      </w:pPr>
      <w:hyperlink w:anchor="_Toc15644839" w:history="1">
        <w:r w:rsidR="003B2F8C" w:rsidRPr="00725D3D">
          <w:rPr>
            <w:rStyle w:val="Hyperlink"/>
          </w:rPr>
          <w:t>1.1</w:t>
        </w:r>
        <w:r w:rsidR="003B2F8C">
          <w:rPr>
            <w:rFonts w:eastAsiaTheme="minorEastAsia" w:cstheme="minorBidi"/>
          </w:rPr>
          <w:tab/>
        </w:r>
        <w:r w:rsidR="003B2F8C" w:rsidRPr="00725D3D">
          <w:rPr>
            <w:rStyle w:val="Hyperlink"/>
          </w:rPr>
          <w:t>Key recommendations</w:t>
        </w:r>
        <w:r w:rsidR="003B2F8C">
          <w:rPr>
            <w:webHidden/>
          </w:rPr>
          <w:tab/>
        </w:r>
        <w:r w:rsidR="003B2F8C">
          <w:rPr>
            <w:webHidden/>
          </w:rPr>
          <w:fldChar w:fldCharType="begin"/>
        </w:r>
        <w:r w:rsidR="003B2F8C">
          <w:rPr>
            <w:webHidden/>
          </w:rPr>
          <w:instrText xml:space="preserve"> PAGEREF _Toc15644839 \h </w:instrText>
        </w:r>
        <w:r w:rsidR="003B2F8C">
          <w:rPr>
            <w:webHidden/>
          </w:rPr>
        </w:r>
        <w:r w:rsidR="003B2F8C">
          <w:rPr>
            <w:webHidden/>
          </w:rPr>
          <w:fldChar w:fldCharType="separate"/>
        </w:r>
        <w:r w:rsidR="003B2F8C">
          <w:rPr>
            <w:webHidden/>
          </w:rPr>
          <w:t>9</w:t>
        </w:r>
        <w:r w:rsidR="003B2F8C">
          <w:rPr>
            <w:webHidden/>
          </w:rPr>
          <w:fldChar w:fldCharType="end"/>
        </w:r>
      </w:hyperlink>
    </w:p>
    <w:p w14:paraId="0512CDA7" w14:textId="1F12ACD8" w:rsidR="003B2F8C" w:rsidRDefault="009A6E3D">
      <w:pPr>
        <w:pStyle w:val="TOC2"/>
        <w:tabs>
          <w:tab w:val="left" w:pos="1474"/>
          <w:tab w:val="right" w:leader="dot" w:pos="8302"/>
        </w:tabs>
        <w:rPr>
          <w:rFonts w:eastAsiaTheme="minorEastAsia" w:cstheme="minorBidi"/>
        </w:rPr>
      </w:pPr>
      <w:hyperlink w:anchor="_Toc15644840" w:history="1">
        <w:r w:rsidR="003B2F8C" w:rsidRPr="00725D3D">
          <w:rPr>
            <w:rStyle w:val="Hyperlink"/>
          </w:rPr>
          <w:t>1.2</w:t>
        </w:r>
        <w:r w:rsidR="003B2F8C">
          <w:rPr>
            <w:rFonts w:eastAsiaTheme="minorEastAsia" w:cstheme="minorBidi"/>
          </w:rPr>
          <w:tab/>
        </w:r>
        <w:r w:rsidR="003B2F8C" w:rsidRPr="00725D3D">
          <w:rPr>
            <w:rStyle w:val="Hyperlink"/>
          </w:rPr>
          <w:t>Consumer impact</w:t>
        </w:r>
        <w:r w:rsidR="003B2F8C">
          <w:rPr>
            <w:webHidden/>
          </w:rPr>
          <w:tab/>
        </w:r>
        <w:r w:rsidR="003B2F8C">
          <w:rPr>
            <w:webHidden/>
          </w:rPr>
          <w:fldChar w:fldCharType="begin"/>
        </w:r>
        <w:r w:rsidR="003B2F8C">
          <w:rPr>
            <w:webHidden/>
          </w:rPr>
          <w:instrText xml:space="preserve"> PAGEREF _Toc15644840 \h </w:instrText>
        </w:r>
        <w:r w:rsidR="003B2F8C">
          <w:rPr>
            <w:webHidden/>
          </w:rPr>
        </w:r>
        <w:r w:rsidR="003B2F8C">
          <w:rPr>
            <w:webHidden/>
          </w:rPr>
          <w:fldChar w:fldCharType="separate"/>
        </w:r>
        <w:r w:rsidR="003B2F8C">
          <w:rPr>
            <w:webHidden/>
          </w:rPr>
          <w:t>11</w:t>
        </w:r>
        <w:r w:rsidR="003B2F8C">
          <w:rPr>
            <w:webHidden/>
          </w:rPr>
          <w:fldChar w:fldCharType="end"/>
        </w:r>
      </w:hyperlink>
    </w:p>
    <w:p w14:paraId="3D684461" w14:textId="11EBB3AB" w:rsidR="003B2F8C" w:rsidRDefault="009A6E3D">
      <w:pPr>
        <w:pStyle w:val="TOC1"/>
        <w:rPr>
          <w:rFonts w:eastAsiaTheme="minorEastAsia" w:cstheme="minorBidi"/>
          <w:b w:val="0"/>
        </w:rPr>
      </w:pPr>
      <w:hyperlink w:anchor="_Toc15644841" w:history="1">
        <w:r w:rsidR="003B2F8C" w:rsidRPr="00725D3D">
          <w:rPr>
            <w:rStyle w:val="Hyperlink"/>
          </w:rPr>
          <w:t>2.</w:t>
        </w:r>
        <w:r w:rsidR="003B2F8C">
          <w:rPr>
            <w:rFonts w:eastAsiaTheme="minorEastAsia" w:cstheme="minorBidi"/>
            <w:b w:val="0"/>
          </w:rPr>
          <w:tab/>
        </w:r>
        <w:r w:rsidR="003B2F8C" w:rsidRPr="00725D3D">
          <w:rPr>
            <w:rStyle w:val="Hyperlink"/>
          </w:rPr>
          <w:t>About the Medicare Benefits Schedule (MBS) Review</w:t>
        </w:r>
        <w:r w:rsidR="003B2F8C">
          <w:rPr>
            <w:webHidden/>
          </w:rPr>
          <w:tab/>
        </w:r>
        <w:r w:rsidR="003B2F8C">
          <w:rPr>
            <w:webHidden/>
          </w:rPr>
          <w:fldChar w:fldCharType="begin"/>
        </w:r>
        <w:r w:rsidR="003B2F8C">
          <w:rPr>
            <w:webHidden/>
          </w:rPr>
          <w:instrText xml:space="preserve"> PAGEREF _Toc15644841 \h </w:instrText>
        </w:r>
        <w:r w:rsidR="003B2F8C">
          <w:rPr>
            <w:webHidden/>
          </w:rPr>
        </w:r>
        <w:r w:rsidR="003B2F8C">
          <w:rPr>
            <w:webHidden/>
          </w:rPr>
          <w:fldChar w:fldCharType="separate"/>
        </w:r>
        <w:r w:rsidR="003B2F8C">
          <w:rPr>
            <w:webHidden/>
          </w:rPr>
          <w:t>12</w:t>
        </w:r>
        <w:r w:rsidR="003B2F8C">
          <w:rPr>
            <w:webHidden/>
          </w:rPr>
          <w:fldChar w:fldCharType="end"/>
        </w:r>
      </w:hyperlink>
    </w:p>
    <w:p w14:paraId="6414065E" w14:textId="1CF76273" w:rsidR="003B2F8C" w:rsidRDefault="009A6E3D">
      <w:pPr>
        <w:pStyle w:val="TOC2"/>
        <w:tabs>
          <w:tab w:val="left" w:pos="1474"/>
          <w:tab w:val="right" w:leader="dot" w:pos="8302"/>
        </w:tabs>
        <w:rPr>
          <w:rFonts w:eastAsiaTheme="minorEastAsia" w:cstheme="minorBidi"/>
        </w:rPr>
      </w:pPr>
      <w:hyperlink w:anchor="_Toc15644842" w:history="1">
        <w:r w:rsidR="003B2F8C" w:rsidRPr="00725D3D">
          <w:rPr>
            <w:rStyle w:val="Hyperlink"/>
          </w:rPr>
          <w:t>2.1</w:t>
        </w:r>
        <w:r w:rsidR="003B2F8C">
          <w:rPr>
            <w:rFonts w:eastAsiaTheme="minorEastAsia" w:cstheme="minorBidi"/>
          </w:rPr>
          <w:tab/>
        </w:r>
        <w:r w:rsidR="003B2F8C" w:rsidRPr="00725D3D">
          <w:rPr>
            <w:rStyle w:val="Hyperlink"/>
          </w:rPr>
          <w:t>Medicare and the MBS</w:t>
        </w:r>
        <w:r w:rsidR="003B2F8C">
          <w:rPr>
            <w:webHidden/>
          </w:rPr>
          <w:tab/>
        </w:r>
        <w:r w:rsidR="003B2F8C">
          <w:rPr>
            <w:webHidden/>
          </w:rPr>
          <w:fldChar w:fldCharType="begin"/>
        </w:r>
        <w:r w:rsidR="003B2F8C">
          <w:rPr>
            <w:webHidden/>
          </w:rPr>
          <w:instrText xml:space="preserve"> PAGEREF _Toc15644842 \h </w:instrText>
        </w:r>
        <w:r w:rsidR="003B2F8C">
          <w:rPr>
            <w:webHidden/>
          </w:rPr>
        </w:r>
        <w:r w:rsidR="003B2F8C">
          <w:rPr>
            <w:webHidden/>
          </w:rPr>
          <w:fldChar w:fldCharType="separate"/>
        </w:r>
        <w:r w:rsidR="003B2F8C">
          <w:rPr>
            <w:webHidden/>
          </w:rPr>
          <w:t>12</w:t>
        </w:r>
        <w:r w:rsidR="003B2F8C">
          <w:rPr>
            <w:webHidden/>
          </w:rPr>
          <w:fldChar w:fldCharType="end"/>
        </w:r>
      </w:hyperlink>
    </w:p>
    <w:p w14:paraId="6F4528C6" w14:textId="35DCFA2A" w:rsidR="003B2F8C" w:rsidRDefault="009A6E3D">
      <w:pPr>
        <w:pStyle w:val="TOC3"/>
        <w:tabs>
          <w:tab w:val="left" w:pos="1474"/>
          <w:tab w:val="right" w:leader="dot" w:pos="8302"/>
        </w:tabs>
        <w:rPr>
          <w:rFonts w:eastAsiaTheme="minorEastAsia" w:cstheme="minorBidi"/>
        </w:rPr>
      </w:pPr>
      <w:hyperlink w:anchor="_Toc15644843" w:history="1">
        <w:r w:rsidR="003B2F8C" w:rsidRPr="00725D3D">
          <w:rPr>
            <w:rStyle w:val="Hyperlink"/>
          </w:rPr>
          <w:t>2.1.1</w:t>
        </w:r>
        <w:r w:rsidR="003B2F8C">
          <w:rPr>
            <w:rFonts w:eastAsiaTheme="minorEastAsia" w:cstheme="minorBidi"/>
          </w:rPr>
          <w:tab/>
        </w:r>
        <w:r w:rsidR="003B2F8C" w:rsidRPr="00725D3D">
          <w:rPr>
            <w:rStyle w:val="Hyperlink"/>
          </w:rPr>
          <w:t>What is Medicare?</w:t>
        </w:r>
        <w:r w:rsidR="003B2F8C">
          <w:rPr>
            <w:webHidden/>
          </w:rPr>
          <w:tab/>
        </w:r>
        <w:r w:rsidR="003B2F8C">
          <w:rPr>
            <w:webHidden/>
          </w:rPr>
          <w:fldChar w:fldCharType="begin"/>
        </w:r>
        <w:r w:rsidR="003B2F8C">
          <w:rPr>
            <w:webHidden/>
          </w:rPr>
          <w:instrText xml:space="preserve"> PAGEREF _Toc15644843 \h </w:instrText>
        </w:r>
        <w:r w:rsidR="003B2F8C">
          <w:rPr>
            <w:webHidden/>
          </w:rPr>
        </w:r>
        <w:r w:rsidR="003B2F8C">
          <w:rPr>
            <w:webHidden/>
          </w:rPr>
          <w:fldChar w:fldCharType="separate"/>
        </w:r>
        <w:r w:rsidR="003B2F8C">
          <w:rPr>
            <w:webHidden/>
          </w:rPr>
          <w:t>12</w:t>
        </w:r>
        <w:r w:rsidR="003B2F8C">
          <w:rPr>
            <w:webHidden/>
          </w:rPr>
          <w:fldChar w:fldCharType="end"/>
        </w:r>
      </w:hyperlink>
    </w:p>
    <w:p w14:paraId="4B3A31F5" w14:textId="1904C6D1" w:rsidR="003B2F8C" w:rsidRDefault="009A6E3D">
      <w:pPr>
        <w:pStyle w:val="TOC2"/>
        <w:tabs>
          <w:tab w:val="left" w:pos="1474"/>
          <w:tab w:val="right" w:leader="dot" w:pos="8302"/>
        </w:tabs>
        <w:rPr>
          <w:rFonts w:eastAsiaTheme="minorEastAsia" w:cstheme="minorBidi"/>
        </w:rPr>
      </w:pPr>
      <w:hyperlink w:anchor="_Toc15644844" w:history="1">
        <w:r w:rsidR="003B2F8C" w:rsidRPr="00725D3D">
          <w:rPr>
            <w:rStyle w:val="Hyperlink"/>
          </w:rPr>
          <w:t>2.2</w:t>
        </w:r>
        <w:r w:rsidR="003B2F8C">
          <w:rPr>
            <w:rFonts w:eastAsiaTheme="minorEastAsia" w:cstheme="minorBidi"/>
          </w:rPr>
          <w:tab/>
        </w:r>
        <w:r w:rsidR="003B2F8C" w:rsidRPr="00725D3D">
          <w:rPr>
            <w:rStyle w:val="Hyperlink"/>
          </w:rPr>
          <w:t>What is the MBS?</w:t>
        </w:r>
        <w:r w:rsidR="003B2F8C">
          <w:rPr>
            <w:webHidden/>
          </w:rPr>
          <w:tab/>
        </w:r>
        <w:r w:rsidR="003B2F8C">
          <w:rPr>
            <w:webHidden/>
          </w:rPr>
          <w:fldChar w:fldCharType="begin"/>
        </w:r>
        <w:r w:rsidR="003B2F8C">
          <w:rPr>
            <w:webHidden/>
          </w:rPr>
          <w:instrText xml:space="preserve"> PAGEREF _Toc15644844 \h </w:instrText>
        </w:r>
        <w:r w:rsidR="003B2F8C">
          <w:rPr>
            <w:webHidden/>
          </w:rPr>
        </w:r>
        <w:r w:rsidR="003B2F8C">
          <w:rPr>
            <w:webHidden/>
          </w:rPr>
          <w:fldChar w:fldCharType="separate"/>
        </w:r>
        <w:r w:rsidR="003B2F8C">
          <w:rPr>
            <w:webHidden/>
          </w:rPr>
          <w:t>12</w:t>
        </w:r>
        <w:r w:rsidR="003B2F8C">
          <w:rPr>
            <w:webHidden/>
          </w:rPr>
          <w:fldChar w:fldCharType="end"/>
        </w:r>
      </w:hyperlink>
    </w:p>
    <w:p w14:paraId="129B71ED" w14:textId="4692DB69" w:rsidR="003B2F8C" w:rsidRDefault="009A6E3D">
      <w:pPr>
        <w:pStyle w:val="TOC2"/>
        <w:tabs>
          <w:tab w:val="left" w:pos="1474"/>
          <w:tab w:val="right" w:leader="dot" w:pos="8302"/>
        </w:tabs>
        <w:rPr>
          <w:rFonts w:eastAsiaTheme="minorEastAsia" w:cstheme="minorBidi"/>
        </w:rPr>
      </w:pPr>
      <w:hyperlink w:anchor="_Toc15644845" w:history="1">
        <w:r w:rsidR="003B2F8C" w:rsidRPr="00725D3D">
          <w:rPr>
            <w:rStyle w:val="Hyperlink"/>
          </w:rPr>
          <w:t>2.3</w:t>
        </w:r>
        <w:r w:rsidR="003B2F8C">
          <w:rPr>
            <w:rFonts w:eastAsiaTheme="minorEastAsia" w:cstheme="minorBidi"/>
          </w:rPr>
          <w:tab/>
        </w:r>
        <w:r w:rsidR="003B2F8C" w:rsidRPr="00725D3D">
          <w:rPr>
            <w:rStyle w:val="Hyperlink"/>
          </w:rPr>
          <w:t>What is the MBS Review Taskforce?</w:t>
        </w:r>
        <w:r w:rsidR="003B2F8C">
          <w:rPr>
            <w:webHidden/>
          </w:rPr>
          <w:tab/>
        </w:r>
        <w:r w:rsidR="003B2F8C">
          <w:rPr>
            <w:webHidden/>
          </w:rPr>
          <w:fldChar w:fldCharType="begin"/>
        </w:r>
        <w:r w:rsidR="003B2F8C">
          <w:rPr>
            <w:webHidden/>
          </w:rPr>
          <w:instrText xml:space="preserve"> PAGEREF _Toc15644845 \h </w:instrText>
        </w:r>
        <w:r w:rsidR="003B2F8C">
          <w:rPr>
            <w:webHidden/>
          </w:rPr>
        </w:r>
        <w:r w:rsidR="003B2F8C">
          <w:rPr>
            <w:webHidden/>
          </w:rPr>
          <w:fldChar w:fldCharType="separate"/>
        </w:r>
        <w:r w:rsidR="003B2F8C">
          <w:rPr>
            <w:webHidden/>
          </w:rPr>
          <w:t>13</w:t>
        </w:r>
        <w:r w:rsidR="003B2F8C">
          <w:rPr>
            <w:webHidden/>
          </w:rPr>
          <w:fldChar w:fldCharType="end"/>
        </w:r>
      </w:hyperlink>
    </w:p>
    <w:p w14:paraId="706E567B" w14:textId="40DDA71E" w:rsidR="003B2F8C" w:rsidRDefault="009A6E3D">
      <w:pPr>
        <w:pStyle w:val="TOC3"/>
        <w:tabs>
          <w:tab w:val="left" w:pos="1474"/>
          <w:tab w:val="right" w:leader="dot" w:pos="8302"/>
        </w:tabs>
        <w:rPr>
          <w:rFonts w:eastAsiaTheme="minorEastAsia" w:cstheme="minorBidi"/>
        </w:rPr>
      </w:pPr>
      <w:hyperlink w:anchor="_Toc15644846" w:history="1">
        <w:r w:rsidR="003B2F8C" w:rsidRPr="00725D3D">
          <w:rPr>
            <w:rStyle w:val="Hyperlink"/>
          </w:rPr>
          <w:t>2.3.1</w:t>
        </w:r>
        <w:r w:rsidR="003B2F8C">
          <w:rPr>
            <w:rFonts w:eastAsiaTheme="minorEastAsia" w:cstheme="minorBidi"/>
          </w:rPr>
          <w:tab/>
        </w:r>
        <w:r w:rsidR="003B2F8C" w:rsidRPr="00725D3D">
          <w:rPr>
            <w:rStyle w:val="Hyperlink"/>
          </w:rPr>
          <w:t>What are the goals of the Taskforce?</w:t>
        </w:r>
        <w:r w:rsidR="003B2F8C">
          <w:rPr>
            <w:webHidden/>
          </w:rPr>
          <w:tab/>
        </w:r>
        <w:r w:rsidR="003B2F8C">
          <w:rPr>
            <w:webHidden/>
          </w:rPr>
          <w:fldChar w:fldCharType="begin"/>
        </w:r>
        <w:r w:rsidR="003B2F8C">
          <w:rPr>
            <w:webHidden/>
          </w:rPr>
          <w:instrText xml:space="preserve"> PAGEREF _Toc15644846 \h </w:instrText>
        </w:r>
        <w:r w:rsidR="003B2F8C">
          <w:rPr>
            <w:webHidden/>
          </w:rPr>
        </w:r>
        <w:r w:rsidR="003B2F8C">
          <w:rPr>
            <w:webHidden/>
          </w:rPr>
          <w:fldChar w:fldCharType="separate"/>
        </w:r>
        <w:r w:rsidR="003B2F8C">
          <w:rPr>
            <w:webHidden/>
          </w:rPr>
          <w:t>13</w:t>
        </w:r>
        <w:r w:rsidR="003B2F8C">
          <w:rPr>
            <w:webHidden/>
          </w:rPr>
          <w:fldChar w:fldCharType="end"/>
        </w:r>
      </w:hyperlink>
    </w:p>
    <w:p w14:paraId="53F88E2A" w14:textId="3CBCE9D6" w:rsidR="003B2F8C" w:rsidRDefault="009A6E3D">
      <w:pPr>
        <w:pStyle w:val="TOC2"/>
        <w:tabs>
          <w:tab w:val="left" w:pos="1474"/>
          <w:tab w:val="right" w:leader="dot" w:pos="8302"/>
        </w:tabs>
        <w:rPr>
          <w:rFonts w:eastAsiaTheme="minorEastAsia" w:cstheme="minorBidi"/>
        </w:rPr>
      </w:pPr>
      <w:hyperlink w:anchor="_Toc15644847" w:history="1">
        <w:r w:rsidR="003B2F8C" w:rsidRPr="00725D3D">
          <w:rPr>
            <w:rStyle w:val="Hyperlink"/>
          </w:rPr>
          <w:t>2.4</w:t>
        </w:r>
        <w:r w:rsidR="003B2F8C">
          <w:rPr>
            <w:rFonts w:eastAsiaTheme="minorEastAsia" w:cstheme="minorBidi"/>
          </w:rPr>
          <w:tab/>
        </w:r>
        <w:r w:rsidR="003B2F8C" w:rsidRPr="00725D3D">
          <w:rPr>
            <w:rStyle w:val="Hyperlink"/>
          </w:rPr>
          <w:t>The Taskforce’s approach</w:t>
        </w:r>
        <w:r w:rsidR="003B2F8C">
          <w:rPr>
            <w:webHidden/>
          </w:rPr>
          <w:tab/>
        </w:r>
        <w:r w:rsidR="003B2F8C">
          <w:rPr>
            <w:webHidden/>
          </w:rPr>
          <w:fldChar w:fldCharType="begin"/>
        </w:r>
        <w:r w:rsidR="003B2F8C">
          <w:rPr>
            <w:webHidden/>
          </w:rPr>
          <w:instrText xml:space="preserve"> PAGEREF _Toc15644847 \h </w:instrText>
        </w:r>
        <w:r w:rsidR="003B2F8C">
          <w:rPr>
            <w:webHidden/>
          </w:rPr>
        </w:r>
        <w:r w:rsidR="003B2F8C">
          <w:rPr>
            <w:webHidden/>
          </w:rPr>
          <w:fldChar w:fldCharType="separate"/>
        </w:r>
        <w:r w:rsidR="003B2F8C">
          <w:rPr>
            <w:webHidden/>
          </w:rPr>
          <w:t>13</w:t>
        </w:r>
        <w:r w:rsidR="003B2F8C">
          <w:rPr>
            <w:webHidden/>
          </w:rPr>
          <w:fldChar w:fldCharType="end"/>
        </w:r>
      </w:hyperlink>
    </w:p>
    <w:p w14:paraId="0172C73D" w14:textId="69B55255" w:rsidR="003B2F8C" w:rsidRDefault="009A6E3D">
      <w:pPr>
        <w:pStyle w:val="TOC1"/>
        <w:rPr>
          <w:rFonts w:eastAsiaTheme="minorEastAsia" w:cstheme="minorBidi"/>
          <w:b w:val="0"/>
        </w:rPr>
      </w:pPr>
      <w:hyperlink w:anchor="_Toc15644848" w:history="1">
        <w:r w:rsidR="003B2F8C" w:rsidRPr="00725D3D">
          <w:rPr>
            <w:rStyle w:val="Hyperlink"/>
          </w:rPr>
          <w:t>3.</w:t>
        </w:r>
        <w:r w:rsidR="003B2F8C">
          <w:rPr>
            <w:rFonts w:eastAsiaTheme="minorEastAsia" w:cstheme="minorBidi"/>
            <w:b w:val="0"/>
          </w:rPr>
          <w:tab/>
        </w:r>
        <w:r w:rsidR="003B2F8C" w:rsidRPr="00725D3D">
          <w:rPr>
            <w:rStyle w:val="Hyperlink"/>
          </w:rPr>
          <w:t>About the General Practice and Primary Care Clinical Committee</w:t>
        </w:r>
        <w:r w:rsidR="003B2F8C">
          <w:rPr>
            <w:webHidden/>
          </w:rPr>
          <w:tab/>
        </w:r>
        <w:r w:rsidR="003B2F8C">
          <w:rPr>
            <w:webHidden/>
          </w:rPr>
          <w:fldChar w:fldCharType="begin"/>
        </w:r>
        <w:r w:rsidR="003B2F8C">
          <w:rPr>
            <w:webHidden/>
          </w:rPr>
          <w:instrText xml:space="preserve"> PAGEREF _Toc15644848 \h </w:instrText>
        </w:r>
        <w:r w:rsidR="003B2F8C">
          <w:rPr>
            <w:webHidden/>
          </w:rPr>
        </w:r>
        <w:r w:rsidR="003B2F8C">
          <w:rPr>
            <w:webHidden/>
          </w:rPr>
          <w:fldChar w:fldCharType="separate"/>
        </w:r>
        <w:r w:rsidR="003B2F8C">
          <w:rPr>
            <w:webHidden/>
          </w:rPr>
          <w:t>17</w:t>
        </w:r>
        <w:r w:rsidR="003B2F8C">
          <w:rPr>
            <w:webHidden/>
          </w:rPr>
          <w:fldChar w:fldCharType="end"/>
        </w:r>
      </w:hyperlink>
    </w:p>
    <w:p w14:paraId="2B522ACE" w14:textId="7D042D73" w:rsidR="003B2F8C" w:rsidRDefault="009A6E3D">
      <w:pPr>
        <w:pStyle w:val="TOC2"/>
        <w:tabs>
          <w:tab w:val="left" w:pos="1474"/>
          <w:tab w:val="right" w:leader="dot" w:pos="8302"/>
        </w:tabs>
        <w:rPr>
          <w:rFonts w:eastAsiaTheme="minorEastAsia" w:cstheme="minorBidi"/>
        </w:rPr>
      </w:pPr>
      <w:hyperlink w:anchor="_Toc15644849" w:history="1">
        <w:r w:rsidR="003B2F8C" w:rsidRPr="00725D3D">
          <w:rPr>
            <w:rStyle w:val="Hyperlink"/>
          </w:rPr>
          <w:t>3.1</w:t>
        </w:r>
        <w:r w:rsidR="003B2F8C">
          <w:rPr>
            <w:rFonts w:eastAsiaTheme="minorEastAsia" w:cstheme="minorBidi"/>
          </w:rPr>
          <w:tab/>
        </w:r>
        <w:r w:rsidR="003B2F8C" w:rsidRPr="00725D3D">
          <w:rPr>
            <w:rStyle w:val="Hyperlink"/>
          </w:rPr>
          <w:t>General Practice and Primary Care Clinical Committee members</w:t>
        </w:r>
        <w:r w:rsidR="003B2F8C">
          <w:rPr>
            <w:webHidden/>
          </w:rPr>
          <w:tab/>
        </w:r>
        <w:r w:rsidR="003B2F8C">
          <w:rPr>
            <w:webHidden/>
          </w:rPr>
          <w:fldChar w:fldCharType="begin"/>
        </w:r>
        <w:r w:rsidR="003B2F8C">
          <w:rPr>
            <w:webHidden/>
          </w:rPr>
          <w:instrText xml:space="preserve"> PAGEREF _Toc15644849 \h </w:instrText>
        </w:r>
        <w:r w:rsidR="003B2F8C">
          <w:rPr>
            <w:webHidden/>
          </w:rPr>
        </w:r>
        <w:r w:rsidR="003B2F8C">
          <w:rPr>
            <w:webHidden/>
          </w:rPr>
          <w:fldChar w:fldCharType="separate"/>
        </w:r>
        <w:r w:rsidR="003B2F8C">
          <w:rPr>
            <w:webHidden/>
          </w:rPr>
          <w:t>17</w:t>
        </w:r>
        <w:r w:rsidR="003B2F8C">
          <w:rPr>
            <w:webHidden/>
          </w:rPr>
          <w:fldChar w:fldCharType="end"/>
        </w:r>
      </w:hyperlink>
    </w:p>
    <w:p w14:paraId="0A40EACC" w14:textId="414938E7" w:rsidR="003B2F8C" w:rsidRDefault="009A6E3D">
      <w:pPr>
        <w:pStyle w:val="TOC2"/>
        <w:tabs>
          <w:tab w:val="left" w:pos="1474"/>
          <w:tab w:val="right" w:leader="dot" w:pos="8302"/>
        </w:tabs>
        <w:rPr>
          <w:rFonts w:eastAsiaTheme="minorEastAsia" w:cstheme="minorBidi"/>
        </w:rPr>
      </w:pPr>
      <w:hyperlink w:anchor="_Toc15644850" w:history="1">
        <w:r w:rsidR="003B2F8C" w:rsidRPr="00725D3D">
          <w:rPr>
            <w:rStyle w:val="Hyperlink"/>
          </w:rPr>
          <w:t>3.2</w:t>
        </w:r>
        <w:r w:rsidR="003B2F8C">
          <w:rPr>
            <w:rFonts w:eastAsiaTheme="minorEastAsia" w:cstheme="minorBidi"/>
          </w:rPr>
          <w:tab/>
        </w:r>
        <w:r w:rsidR="003B2F8C" w:rsidRPr="00725D3D">
          <w:rPr>
            <w:rStyle w:val="Hyperlink"/>
          </w:rPr>
          <w:t>Chronic Disease Management Working Group members</w:t>
        </w:r>
        <w:r w:rsidR="003B2F8C">
          <w:rPr>
            <w:webHidden/>
          </w:rPr>
          <w:tab/>
        </w:r>
        <w:r w:rsidR="003B2F8C">
          <w:rPr>
            <w:webHidden/>
          </w:rPr>
          <w:fldChar w:fldCharType="begin"/>
        </w:r>
        <w:r w:rsidR="003B2F8C">
          <w:rPr>
            <w:webHidden/>
          </w:rPr>
          <w:instrText xml:space="preserve"> PAGEREF _Toc15644850 \h </w:instrText>
        </w:r>
        <w:r w:rsidR="003B2F8C">
          <w:rPr>
            <w:webHidden/>
          </w:rPr>
        </w:r>
        <w:r w:rsidR="003B2F8C">
          <w:rPr>
            <w:webHidden/>
          </w:rPr>
          <w:fldChar w:fldCharType="separate"/>
        </w:r>
        <w:r w:rsidR="003B2F8C">
          <w:rPr>
            <w:webHidden/>
          </w:rPr>
          <w:t>22</w:t>
        </w:r>
        <w:r w:rsidR="003B2F8C">
          <w:rPr>
            <w:webHidden/>
          </w:rPr>
          <w:fldChar w:fldCharType="end"/>
        </w:r>
      </w:hyperlink>
    </w:p>
    <w:p w14:paraId="777C376F" w14:textId="5D306783" w:rsidR="003B2F8C" w:rsidRDefault="009A6E3D">
      <w:pPr>
        <w:pStyle w:val="TOC2"/>
        <w:tabs>
          <w:tab w:val="left" w:pos="1474"/>
          <w:tab w:val="right" w:leader="dot" w:pos="8302"/>
        </w:tabs>
        <w:rPr>
          <w:rFonts w:eastAsiaTheme="minorEastAsia" w:cstheme="minorBidi"/>
        </w:rPr>
      </w:pPr>
      <w:hyperlink w:anchor="_Toc15644851" w:history="1">
        <w:r w:rsidR="003B2F8C" w:rsidRPr="00725D3D">
          <w:rPr>
            <w:rStyle w:val="Hyperlink"/>
          </w:rPr>
          <w:t>3.3</w:t>
        </w:r>
        <w:r w:rsidR="003B2F8C">
          <w:rPr>
            <w:rFonts w:eastAsiaTheme="minorEastAsia" w:cstheme="minorBidi"/>
          </w:rPr>
          <w:tab/>
        </w:r>
        <w:r w:rsidR="003B2F8C" w:rsidRPr="00725D3D">
          <w:rPr>
            <w:rStyle w:val="Hyperlink"/>
          </w:rPr>
          <w:t>Medication Management Working Group members</w:t>
        </w:r>
        <w:r w:rsidR="003B2F8C">
          <w:rPr>
            <w:webHidden/>
          </w:rPr>
          <w:tab/>
        </w:r>
        <w:r w:rsidR="003B2F8C">
          <w:rPr>
            <w:webHidden/>
          </w:rPr>
          <w:fldChar w:fldCharType="begin"/>
        </w:r>
        <w:r w:rsidR="003B2F8C">
          <w:rPr>
            <w:webHidden/>
          </w:rPr>
          <w:instrText xml:space="preserve"> PAGEREF _Toc15644851 \h </w:instrText>
        </w:r>
        <w:r w:rsidR="003B2F8C">
          <w:rPr>
            <w:webHidden/>
          </w:rPr>
        </w:r>
        <w:r w:rsidR="003B2F8C">
          <w:rPr>
            <w:webHidden/>
          </w:rPr>
          <w:fldChar w:fldCharType="separate"/>
        </w:r>
        <w:r w:rsidR="003B2F8C">
          <w:rPr>
            <w:webHidden/>
          </w:rPr>
          <w:t>22</w:t>
        </w:r>
        <w:r w:rsidR="003B2F8C">
          <w:rPr>
            <w:webHidden/>
          </w:rPr>
          <w:fldChar w:fldCharType="end"/>
        </w:r>
      </w:hyperlink>
    </w:p>
    <w:p w14:paraId="7367A308" w14:textId="3D9B742C" w:rsidR="003B2F8C" w:rsidRDefault="009A6E3D">
      <w:pPr>
        <w:pStyle w:val="TOC2"/>
        <w:tabs>
          <w:tab w:val="left" w:pos="1474"/>
          <w:tab w:val="right" w:leader="dot" w:pos="8302"/>
        </w:tabs>
        <w:rPr>
          <w:rFonts w:eastAsiaTheme="minorEastAsia" w:cstheme="minorBidi"/>
        </w:rPr>
      </w:pPr>
      <w:hyperlink w:anchor="_Toc15644852" w:history="1">
        <w:r w:rsidR="003B2F8C" w:rsidRPr="00725D3D">
          <w:rPr>
            <w:rStyle w:val="Hyperlink"/>
          </w:rPr>
          <w:t>3.4</w:t>
        </w:r>
        <w:r w:rsidR="003B2F8C">
          <w:rPr>
            <w:rFonts w:eastAsiaTheme="minorEastAsia" w:cstheme="minorBidi"/>
          </w:rPr>
          <w:tab/>
        </w:r>
        <w:r w:rsidR="003B2F8C" w:rsidRPr="00725D3D">
          <w:rPr>
            <w:rStyle w:val="Hyperlink"/>
          </w:rPr>
          <w:t>Health Assessment Working Group members</w:t>
        </w:r>
        <w:r w:rsidR="003B2F8C">
          <w:rPr>
            <w:webHidden/>
          </w:rPr>
          <w:tab/>
        </w:r>
        <w:r w:rsidR="003B2F8C">
          <w:rPr>
            <w:webHidden/>
          </w:rPr>
          <w:fldChar w:fldCharType="begin"/>
        </w:r>
        <w:r w:rsidR="003B2F8C">
          <w:rPr>
            <w:webHidden/>
          </w:rPr>
          <w:instrText xml:space="preserve"> PAGEREF _Toc15644852 \h </w:instrText>
        </w:r>
        <w:r w:rsidR="003B2F8C">
          <w:rPr>
            <w:webHidden/>
          </w:rPr>
        </w:r>
        <w:r w:rsidR="003B2F8C">
          <w:rPr>
            <w:webHidden/>
          </w:rPr>
          <w:fldChar w:fldCharType="separate"/>
        </w:r>
        <w:r w:rsidR="003B2F8C">
          <w:rPr>
            <w:webHidden/>
          </w:rPr>
          <w:t>23</w:t>
        </w:r>
        <w:r w:rsidR="003B2F8C">
          <w:rPr>
            <w:webHidden/>
          </w:rPr>
          <w:fldChar w:fldCharType="end"/>
        </w:r>
      </w:hyperlink>
    </w:p>
    <w:p w14:paraId="69E65C52" w14:textId="2CA127FA" w:rsidR="003B2F8C" w:rsidRDefault="009A6E3D">
      <w:pPr>
        <w:pStyle w:val="TOC2"/>
        <w:tabs>
          <w:tab w:val="left" w:pos="1474"/>
          <w:tab w:val="right" w:leader="dot" w:pos="8302"/>
        </w:tabs>
        <w:rPr>
          <w:rFonts w:eastAsiaTheme="minorEastAsia" w:cstheme="minorBidi"/>
        </w:rPr>
      </w:pPr>
      <w:hyperlink w:anchor="_Toc15644853" w:history="1">
        <w:r w:rsidR="003B2F8C" w:rsidRPr="00725D3D">
          <w:rPr>
            <w:rStyle w:val="Hyperlink"/>
          </w:rPr>
          <w:t>3.5</w:t>
        </w:r>
        <w:r w:rsidR="003B2F8C">
          <w:rPr>
            <w:rFonts w:eastAsiaTheme="minorEastAsia" w:cstheme="minorBidi"/>
          </w:rPr>
          <w:tab/>
        </w:r>
        <w:r w:rsidR="003B2F8C" w:rsidRPr="00725D3D">
          <w:rPr>
            <w:rStyle w:val="Hyperlink"/>
          </w:rPr>
          <w:t>Consultation Item Working Group members</w:t>
        </w:r>
        <w:r w:rsidR="003B2F8C">
          <w:rPr>
            <w:webHidden/>
          </w:rPr>
          <w:tab/>
        </w:r>
        <w:r w:rsidR="003B2F8C">
          <w:rPr>
            <w:webHidden/>
          </w:rPr>
          <w:fldChar w:fldCharType="begin"/>
        </w:r>
        <w:r w:rsidR="003B2F8C">
          <w:rPr>
            <w:webHidden/>
          </w:rPr>
          <w:instrText xml:space="preserve"> PAGEREF _Toc15644853 \h </w:instrText>
        </w:r>
        <w:r w:rsidR="003B2F8C">
          <w:rPr>
            <w:webHidden/>
          </w:rPr>
        </w:r>
        <w:r w:rsidR="003B2F8C">
          <w:rPr>
            <w:webHidden/>
          </w:rPr>
          <w:fldChar w:fldCharType="separate"/>
        </w:r>
        <w:r w:rsidR="003B2F8C">
          <w:rPr>
            <w:webHidden/>
          </w:rPr>
          <w:t>23</w:t>
        </w:r>
        <w:r w:rsidR="003B2F8C">
          <w:rPr>
            <w:webHidden/>
          </w:rPr>
          <w:fldChar w:fldCharType="end"/>
        </w:r>
      </w:hyperlink>
    </w:p>
    <w:p w14:paraId="45709DB7" w14:textId="7A2136B3" w:rsidR="003B2F8C" w:rsidRDefault="009A6E3D">
      <w:pPr>
        <w:pStyle w:val="TOC2"/>
        <w:tabs>
          <w:tab w:val="left" w:pos="1474"/>
          <w:tab w:val="right" w:leader="dot" w:pos="8302"/>
        </w:tabs>
        <w:rPr>
          <w:rFonts w:eastAsiaTheme="minorEastAsia" w:cstheme="minorBidi"/>
        </w:rPr>
      </w:pPr>
      <w:hyperlink w:anchor="_Toc15644854" w:history="1">
        <w:r w:rsidR="003B2F8C" w:rsidRPr="00725D3D">
          <w:rPr>
            <w:rStyle w:val="Hyperlink"/>
          </w:rPr>
          <w:t>3.6</w:t>
        </w:r>
        <w:r w:rsidR="003B2F8C">
          <w:rPr>
            <w:rFonts w:eastAsiaTheme="minorEastAsia" w:cstheme="minorBidi"/>
          </w:rPr>
          <w:tab/>
        </w:r>
        <w:r w:rsidR="003B2F8C" w:rsidRPr="00725D3D">
          <w:rPr>
            <w:rStyle w:val="Hyperlink"/>
          </w:rPr>
          <w:t>Referrals and Repeat Scripts Working Group members</w:t>
        </w:r>
        <w:r w:rsidR="003B2F8C">
          <w:rPr>
            <w:webHidden/>
          </w:rPr>
          <w:tab/>
        </w:r>
        <w:r w:rsidR="003B2F8C">
          <w:rPr>
            <w:webHidden/>
          </w:rPr>
          <w:fldChar w:fldCharType="begin"/>
        </w:r>
        <w:r w:rsidR="003B2F8C">
          <w:rPr>
            <w:webHidden/>
          </w:rPr>
          <w:instrText xml:space="preserve"> PAGEREF _Toc15644854 \h </w:instrText>
        </w:r>
        <w:r w:rsidR="003B2F8C">
          <w:rPr>
            <w:webHidden/>
          </w:rPr>
        </w:r>
        <w:r w:rsidR="003B2F8C">
          <w:rPr>
            <w:webHidden/>
          </w:rPr>
          <w:fldChar w:fldCharType="separate"/>
        </w:r>
        <w:r w:rsidR="003B2F8C">
          <w:rPr>
            <w:webHidden/>
          </w:rPr>
          <w:t>24</w:t>
        </w:r>
        <w:r w:rsidR="003B2F8C">
          <w:rPr>
            <w:webHidden/>
          </w:rPr>
          <w:fldChar w:fldCharType="end"/>
        </w:r>
      </w:hyperlink>
    </w:p>
    <w:p w14:paraId="0C5F4CDA" w14:textId="59F1E57F" w:rsidR="003B2F8C" w:rsidRDefault="009A6E3D">
      <w:pPr>
        <w:pStyle w:val="TOC2"/>
        <w:tabs>
          <w:tab w:val="left" w:pos="1474"/>
          <w:tab w:val="right" w:leader="dot" w:pos="8302"/>
        </w:tabs>
        <w:rPr>
          <w:rFonts w:eastAsiaTheme="minorEastAsia" w:cstheme="minorBidi"/>
        </w:rPr>
      </w:pPr>
      <w:hyperlink w:anchor="_Toc15644855" w:history="1">
        <w:r w:rsidR="003B2F8C" w:rsidRPr="00725D3D">
          <w:rPr>
            <w:rStyle w:val="Hyperlink"/>
          </w:rPr>
          <w:t>3.7</w:t>
        </w:r>
        <w:r w:rsidR="003B2F8C">
          <w:rPr>
            <w:rFonts w:eastAsiaTheme="minorEastAsia" w:cstheme="minorBidi"/>
          </w:rPr>
          <w:tab/>
        </w:r>
        <w:r w:rsidR="003B2F8C" w:rsidRPr="00725D3D">
          <w:rPr>
            <w:rStyle w:val="Hyperlink"/>
          </w:rPr>
          <w:t>Conflicts of interest</w:t>
        </w:r>
        <w:r w:rsidR="003B2F8C">
          <w:rPr>
            <w:webHidden/>
          </w:rPr>
          <w:tab/>
        </w:r>
        <w:r w:rsidR="003B2F8C">
          <w:rPr>
            <w:webHidden/>
          </w:rPr>
          <w:fldChar w:fldCharType="begin"/>
        </w:r>
        <w:r w:rsidR="003B2F8C">
          <w:rPr>
            <w:webHidden/>
          </w:rPr>
          <w:instrText xml:space="preserve"> PAGEREF _Toc15644855 \h </w:instrText>
        </w:r>
        <w:r w:rsidR="003B2F8C">
          <w:rPr>
            <w:webHidden/>
          </w:rPr>
        </w:r>
        <w:r w:rsidR="003B2F8C">
          <w:rPr>
            <w:webHidden/>
          </w:rPr>
          <w:fldChar w:fldCharType="separate"/>
        </w:r>
        <w:r w:rsidR="003B2F8C">
          <w:rPr>
            <w:webHidden/>
          </w:rPr>
          <w:t>25</w:t>
        </w:r>
        <w:r w:rsidR="003B2F8C">
          <w:rPr>
            <w:webHidden/>
          </w:rPr>
          <w:fldChar w:fldCharType="end"/>
        </w:r>
      </w:hyperlink>
    </w:p>
    <w:p w14:paraId="3F13F2BB" w14:textId="2D5021FD" w:rsidR="003B2F8C" w:rsidRDefault="009A6E3D">
      <w:pPr>
        <w:pStyle w:val="TOC2"/>
        <w:tabs>
          <w:tab w:val="left" w:pos="1474"/>
          <w:tab w:val="right" w:leader="dot" w:pos="8302"/>
        </w:tabs>
        <w:rPr>
          <w:rFonts w:eastAsiaTheme="minorEastAsia" w:cstheme="minorBidi"/>
        </w:rPr>
      </w:pPr>
      <w:hyperlink w:anchor="_Toc15644856" w:history="1">
        <w:r w:rsidR="003B2F8C" w:rsidRPr="00725D3D">
          <w:rPr>
            <w:rStyle w:val="Hyperlink"/>
          </w:rPr>
          <w:t>3.8</w:t>
        </w:r>
        <w:r w:rsidR="003B2F8C">
          <w:rPr>
            <w:rFonts w:eastAsiaTheme="minorEastAsia" w:cstheme="minorBidi"/>
          </w:rPr>
          <w:tab/>
        </w:r>
        <w:r w:rsidR="003B2F8C" w:rsidRPr="00725D3D">
          <w:rPr>
            <w:rStyle w:val="Hyperlink"/>
          </w:rPr>
          <w:t>Areas of responsibility of the Committee</w:t>
        </w:r>
        <w:r w:rsidR="003B2F8C">
          <w:rPr>
            <w:webHidden/>
          </w:rPr>
          <w:tab/>
        </w:r>
        <w:r w:rsidR="003B2F8C">
          <w:rPr>
            <w:webHidden/>
          </w:rPr>
          <w:fldChar w:fldCharType="begin"/>
        </w:r>
        <w:r w:rsidR="003B2F8C">
          <w:rPr>
            <w:webHidden/>
          </w:rPr>
          <w:instrText xml:space="preserve"> PAGEREF _Toc15644856 \h </w:instrText>
        </w:r>
        <w:r w:rsidR="003B2F8C">
          <w:rPr>
            <w:webHidden/>
          </w:rPr>
        </w:r>
        <w:r w:rsidR="003B2F8C">
          <w:rPr>
            <w:webHidden/>
          </w:rPr>
          <w:fldChar w:fldCharType="separate"/>
        </w:r>
        <w:r w:rsidR="003B2F8C">
          <w:rPr>
            <w:webHidden/>
          </w:rPr>
          <w:t>25</w:t>
        </w:r>
        <w:r w:rsidR="003B2F8C">
          <w:rPr>
            <w:webHidden/>
          </w:rPr>
          <w:fldChar w:fldCharType="end"/>
        </w:r>
      </w:hyperlink>
    </w:p>
    <w:p w14:paraId="7B53B7DD" w14:textId="659BFB5B" w:rsidR="003B2F8C" w:rsidRDefault="009A6E3D">
      <w:pPr>
        <w:pStyle w:val="TOC2"/>
        <w:tabs>
          <w:tab w:val="left" w:pos="1474"/>
          <w:tab w:val="right" w:leader="dot" w:pos="8302"/>
        </w:tabs>
        <w:rPr>
          <w:rFonts w:eastAsiaTheme="minorEastAsia" w:cstheme="minorBidi"/>
        </w:rPr>
      </w:pPr>
      <w:hyperlink w:anchor="_Toc15644857" w:history="1">
        <w:r w:rsidR="003B2F8C" w:rsidRPr="00725D3D">
          <w:rPr>
            <w:rStyle w:val="Hyperlink"/>
          </w:rPr>
          <w:t>3.9</w:t>
        </w:r>
        <w:r w:rsidR="003B2F8C">
          <w:rPr>
            <w:rFonts w:eastAsiaTheme="minorEastAsia" w:cstheme="minorBidi"/>
          </w:rPr>
          <w:tab/>
        </w:r>
        <w:r w:rsidR="003B2F8C" w:rsidRPr="00725D3D">
          <w:rPr>
            <w:rStyle w:val="Hyperlink"/>
          </w:rPr>
          <w:t>Summary of the Committee’s review approach</w:t>
        </w:r>
        <w:r w:rsidR="003B2F8C">
          <w:rPr>
            <w:webHidden/>
          </w:rPr>
          <w:tab/>
        </w:r>
        <w:r w:rsidR="003B2F8C">
          <w:rPr>
            <w:webHidden/>
          </w:rPr>
          <w:fldChar w:fldCharType="begin"/>
        </w:r>
        <w:r w:rsidR="003B2F8C">
          <w:rPr>
            <w:webHidden/>
          </w:rPr>
          <w:instrText xml:space="preserve"> PAGEREF _Toc15644857 \h </w:instrText>
        </w:r>
        <w:r w:rsidR="003B2F8C">
          <w:rPr>
            <w:webHidden/>
          </w:rPr>
        </w:r>
        <w:r w:rsidR="003B2F8C">
          <w:rPr>
            <w:webHidden/>
          </w:rPr>
          <w:fldChar w:fldCharType="separate"/>
        </w:r>
        <w:r w:rsidR="003B2F8C">
          <w:rPr>
            <w:webHidden/>
          </w:rPr>
          <w:t>30</w:t>
        </w:r>
        <w:r w:rsidR="003B2F8C">
          <w:rPr>
            <w:webHidden/>
          </w:rPr>
          <w:fldChar w:fldCharType="end"/>
        </w:r>
      </w:hyperlink>
    </w:p>
    <w:p w14:paraId="55C18182" w14:textId="3CB41C83" w:rsidR="003B2F8C" w:rsidRDefault="009A6E3D">
      <w:pPr>
        <w:pStyle w:val="TOC1"/>
        <w:rPr>
          <w:rFonts w:eastAsiaTheme="minorEastAsia" w:cstheme="minorBidi"/>
          <w:b w:val="0"/>
        </w:rPr>
      </w:pPr>
      <w:hyperlink w:anchor="_Toc15644858" w:history="1">
        <w:r w:rsidR="003B2F8C" w:rsidRPr="00725D3D">
          <w:rPr>
            <w:rStyle w:val="Hyperlink"/>
          </w:rPr>
          <w:t>4.</w:t>
        </w:r>
        <w:r w:rsidR="003B2F8C">
          <w:rPr>
            <w:rFonts w:eastAsiaTheme="minorEastAsia" w:cstheme="minorBidi"/>
            <w:b w:val="0"/>
          </w:rPr>
          <w:tab/>
        </w:r>
        <w:r w:rsidR="003B2F8C" w:rsidRPr="00725D3D">
          <w:rPr>
            <w:rStyle w:val="Hyperlink"/>
          </w:rPr>
          <w:t>Recommendations</w:t>
        </w:r>
        <w:r w:rsidR="003B2F8C">
          <w:rPr>
            <w:webHidden/>
          </w:rPr>
          <w:tab/>
        </w:r>
        <w:r w:rsidR="003B2F8C">
          <w:rPr>
            <w:webHidden/>
          </w:rPr>
          <w:fldChar w:fldCharType="begin"/>
        </w:r>
        <w:r w:rsidR="003B2F8C">
          <w:rPr>
            <w:webHidden/>
          </w:rPr>
          <w:instrText xml:space="preserve"> PAGEREF _Toc15644858 \h </w:instrText>
        </w:r>
        <w:r w:rsidR="003B2F8C">
          <w:rPr>
            <w:webHidden/>
          </w:rPr>
        </w:r>
        <w:r w:rsidR="003B2F8C">
          <w:rPr>
            <w:webHidden/>
          </w:rPr>
          <w:fldChar w:fldCharType="separate"/>
        </w:r>
        <w:r w:rsidR="003B2F8C">
          <w:rPr>
            <w:webHidden/>
          </w:rPr>
          <w:t>31</w:t>
        </w:r>
        <w:r w:rsidR="003B2F8C">
          <w:rPr>
            <w:webHidden/>
          </w:rPr>
          <w:fldChar w:fldCharType="end"/>
        </w:r>
      </w:hyperlink>
    </w:p>
    <w:p w14:paraId="7B924B8A" w14:textId="43C0FCF3" w:rsidR="003B2F8C" w:rsidRDefault="009A6E3D">
      <w:pPr>
        <w:pStyle w:val="TOC2"/>
        <w:tabs>
          <w:tab w:val="right" w:leader="dot" w:pos="8302"/>
        </w:tabs>
        <w:rPr>
          <w:rFonts w:eastAsiaTheme="minorEastAsia" w:cstheme="minorBidi"/>
        </w:rPr>
      </w:pPr>
      <w:hyperlink w:anchor="_Toc15644859" w:history="1">
        <w:r w:rsidR="003B2F8C" w:rsidRPr="00725D3D">
          <w:rPr>
            <w:rStyle w:val="Hyperlink"/>
          </w:rPr>
          <w:t>Vision for the future – GP Stewardship and team based care</w:t>
        </w:r>
        <w:r w:rsidR="003B2F8C">
          <w:rPr>
            <w:webHidden/>
          </w:rPr>
          <w:tab/>
        </w:r>
        <w:r w:rsidR="003B2F8C">
          <w:rPr>
            <w:webHidden/>
          </w:rPr>
          <w:fldChar w:fldCharType="begin"/>
        </w:r>
        <w:r w:rsidR="003B2F8C">
          <w:rPr>
            <w:webHidden/>
          </w:rPr>
          <w:instrText xml:space="preserve"> PAGEREF _Toc15644859 \h </w:instrText>
        </w:r>
        <w:r w:rsidR="003B2F8C">
          <w:rPr>
            <w:webHidden/>
          </w:rPr>
        </w:r>
        <w:r w:rsidR="003B2F8C">
          <w:rPr>
            <w:webHidden/>
          </w:rPr>
          <w:fldChar w:fldCharType="separate"/>
        </w:r>
        <w:r w:rsidR="003B2F8C">
          <w:rPr>
            <w:webHidden/>
          </w:rPr>
          <w:t>31</w:t>
        </w:r>
        <w:r w:rsidR="003B2F8C">
          <w:rPr>
            <w:webHidden/>
          </w:rPr>
          <w:fldChar w:fldCharType="end"/>
        </w:r>
      </w:hyperlink>
    </w:p>
    <w:p w14:paraId="3668DBE1" w14:textId="56042CD5" w:rsidR="003B2F8C" w:rsidRDefault="009A6E3D">
      <w:pPr>
        <w:pStyle w:val="TOC3"/>
        <w:tabs>
          <w:tab w:val="right" w:leader="dot" w:pos="8302"/>
        </w:tabs>
        <w:rPr>
          <w:rFonts w:eastAsiaTheme="minorEastAsia" w:cstheme="minorBidi"/>
        </w:rPr>
      </w:pPr>
      <w:hyperlink w:anchor="_Toc15644860" w:history="1">
        <w:r w:rsidR="003B2F8C" w:rsidRPr="00725D3D">
          <w:rPr>
            <w:rStyle w:val="Hyperlink"/>
          </w:rPr>
          <w:t>Recommendation 1</w:t>
        </w:r>
        <w:r w:rsidR="003B2F8C">
          <w:rPr>
            <w:webHidden/>
          </w:rPr>
          <w:tab/>
        </w:r>
        <w:r w:rsidR="003B2F8C">
          <w:rPr>
            <w:webHidden/>
          </w:rPr>
          <w:fldChar w:fldCharType="begin"/>
        </w:r>
        <w:r w:rsidR="003B2F8C">
          <w:rPr>
            <w:webHidden/>
          </w:rPr>
          <w:instrText xml:space="preserve"> PAGEREF _Toc15644860 \h </w:instrText>
        </w:r>
        <w:r w:rsidR="003B2F8C">
          <w:rPr>
            <w:webHidden/>
          </w:rPr>
        </w:r>
        <w:r w:rsidR="003B2F8C">
          <w:rPr>
            <w:webHidden/>
          </w:rPr>
          <w:fldChar w:fldCharType="separate"/>
        </w:r>
        <w:r w:rsidR="003B2F8C">
          <w:rPr>
            <w:webHidden/>
          </w:rPr>
          <w:t>31</w:t>
        </w:r>
        <w:r w:rsidR="003B2F8C">
          <w:rPr>
            <w:webHidden/>
          </w:rPr>
          <w:fldChar w:fldCharType="end"/>
        </w:r>
      </w:hyperlink>
    </w:p>
    <w:p w14:paraId="6FC80C32" w14:textId="031BAE58" w:rsidR="003B2F8C" w:rsidRDefault="009A6E3D">
      <w:pPr>
        <w:pStyle w:val="TOC3"/>
        <w:tabs>
          <w:tab w:val="right" w:leader="dot" w:pos="8302"/>
        </w:tabs>
        <w:rPr>
          <w:rFonts w:eastAsiaTheme="minorEastAsia" w:cstheme="minorBidi"/>
        </w:rPr>
      </w:pPr>
      <w:hyperlink w:anchor="_Toc15644861" w:history="1">
        <w:r w:rsidR="003B2F8C" w:rsidRPr="00725D3D">
          <w:rPr>
            <w:rStyle w:val="Hyperlink"/>
          </w:rPr>
          <w:t>Rationale 1</w:t>
        </w:r>
        <w:r w:rsidR="003B2F8C">
          <w:rPr>
            <w:webHidden/>
          </w:rPr>
          <w:tab/>
        </w:r>
        <w:r w:rsidR="003B2F8C">
          <w:rPr>
            <w:webHidden/>
          </w:rPr>
          <w:fldChar w:fldCharType="begin"/>
        </w:r>
        <w:r w:rsidR="003B2F8C">
          <w:rPr>
            <w:webHidden/>
          </w:rPr>
          <w:instrText xml:space="preserve"> PAGEREF _Toc15644861 \h </w:instrText>
        </w:r>
        <w:r w:rsidR="003B2F8C">
          <w:rPr>
            <w:webHidden/>
          </w:rPr>
        </w:r>
        <w:r w:rsidR="003B2F8C">
          <w:rPr>
            <w:webHidden/>
          </w:rPr>
          <w:fldChar w:fldCharType="separate"/>
        </w:r>
        <w:r w:rsidR="003B2F8C">
          <w:rPr>
            <w:webHidden/>
          </w:rPr>
          <w:t>32</w:t>
        </w:r>
        <w:r w:rsidR="003B2F8C">
          <w:rPr>
            <w:webHidden/>
          </w:rPr>
          <w:fldChar w:fldCharType="end"/>
        </w:r>
      </w:hyperlink>
    </w:p>
    <w:p w14:paraId="6888C29D" w14:textId="53E602EE" w:rsidR="003B2F8C" w:rsidRDefault="009A6E3D">
      <w:pPr>
        <w:pStyle w:val="TOC2"/>
        <w:tabs>
          <w:tab w:val="right" w:leader="dot" w:pos="8302"/>
        </w:tabs>
        <w:rPr>
          <w:rFonts w:eastAsiaTheme="minorEastAsia" w:cstheme="minorBidi"/>
        </w:rPr>
      </w:pPr>
      <w:hyperlink w:anchor="_Toc15644862" w:history="1">
        <w:r w:rsidR="003B2F8C" w:rsidRPr="00725D3D">
          <w:rPr>
            <w:rStyle w:val="Hyperlink"/>
          </w:rPr>
          <w:t>Voluntary patient enrolment – enhancing patient access</w:t>
        </w:r>
        <w:r w:rsidR="003B2F8C">
          <w:rPr>
            <w:webHidden/>
          </w:rPr>
          <w:tab/>
        </w:r>
        <w:r w:rsidR="003B2F8C">
          <w:rPr>
            <w:webHidden/>
          </w:rPr>
          <w:fldChar w:fldCharType="begin"/>
        </w:r>
        <w:r w:rsidR="003B2F8C">
          <w:rPr>
            <w:webHidden/>
          </w:rPr>
          <w:instrText xml:space="preserve"> PAGEREF _Toc15644862 \h </w:instrText>
        </w:r>
        <w:r w:rsidR="003B2F8C">
          <w:rPr>
            <w:webHidden/>
          </w:rPr>
        </w:r>
        <w:r w:rsidR="003B2F8C">
          <w:rPr>
            <w:webHidden/>
          </w:rPr>
          <w:fldChar w:fldCharType="separate"/>
        </w:r>
        <w:r w:rsidR="003B2F8C">
          <w:rPr>
            <w:webHidden/>
          </w:rPr>
          <w:t>33</w:t>
        </w:r>
        <w:r w:rsidR="003B2F8C">
          <w:rPr>
            <w:webHidden/>
          </w:rPr>
          <w:fldChar w:fldCharType="end"/>
        </w:r>
      </w:hyperlink>
    </w:p>
    <w:p w14:paraId="619EE2F7" w14:textId="48874776" w:rsidR="003B2F8C" w:rsidRDefault="009A6E3D">
      <w:pPr>
        <w:pStyle w:val="TOC3"/>
        <w:tabs>
          <w:tab w:val="right" w:leader="dot" w:pos="8302"/>
        </w:tabs>
        <w:rPr>
          <w:rFonts w:eastAsiaTheme="minorEastAsia" w:cstheme="minorBidi"/>
        </w:rPr>
      </w:pPr>
      <w:hyperlink w:anchor="_Toc15644863" w:history="1">
        <w:r w:rsidR="003B2F8C" w:rsidRPr="00725D3D">
          <w:rPr>
            <w:rStyle w:val="Hyperlink"/>
          </w:rPr>
          <w:t>Recommendation 2</w:t>
        </w:r>
        <w:r w:rsidR="003B2F8C">
          <w:rPr>
            <w:webHidden/>
          </w:rPr>
          <w:tab/>
        </w:r>
        <w:r w:rsidR="003B2F8C">
          <w:rPr>
            <w:webHidden/>
          </w:rPr>
          <w:fldChar w:fldCharType="begin"/>
        </w:r>
        <w:r w:rsidR="003B2F8C">
          <w:rPr>
            <w:webHidden/>
          </w:rPr>
          <w:instrText xml:space="preserve"> PAGEREF _Toc15644863 \h </w:instrText>
        </w:r>
        <w:r w:rsidR="003B2F8C">
          <w:rPr>
            <w:webHidden/>
          </w:rPr>
        </w:r>
        <w:r w:rsidR="003B2F8C">
          <w:rPr>
            <w:webHidden/>
          </w:rPr>
          <w:fldChar w:fldCharType="separate"/>
        </w:r>
        <w:r w:rsidR="003B2F8C">
          <w:rPr>
            <w:webHidden/>
          </w:rPr>
          <w:t>33</w:t>
        </w:r>
        <w:r w:rsidR="003B2F8C">
          <w:rPr>
            <w:webHidden/>
          </w:rPr>
          <w:fldChar w:fldCharType="end"/>
        </w:r>
      </w:hyperlink>
    </w:p>
    <w:p w14:paraId="27760715" w14:textId="39C07EBF" w:rsidR="003B2F8C" w:rsidRDefault="009A6E3D">
      <w:pPr>
        <w:pStyle w:val="TOC3"/>
        <w:tabs>
          <w:tab w:val="right" w:leader="dot" w:pos="8302"/>
        </w:tabs>
        <w:rPr>
          <w:rFonts w:eastAsiaTheme="minorEastAsia" w:cstheme="minorBidi"/>
        </w:rPr>
      </w:pPr>
      <w:hyperlink w:anchor="_Toc15644864" w:history="1">
        <w:r w:rsidR="003B2F8C" w:rsidRPr="00725D3D">
          <w:rPr>
            <w:rStyle w:val="Hyperlink"/>
          </w:rPr>
          <w:t>Rationale 2</w:t>
        </w:r>
        <w:r w:rsidR="003B2F8C">
          <w:rPr>
            <w:webHidden/>
          </w:rPr>
          <w:tab/>
        </w:r>
        <w:r w:rsidR="003B2F8C">
          <w:rPr>
            <w:webHidden/>
          </w:rPr>
          <w:fldChar w:fldCharType="begin"/>
        </w:r>
        <w:r w:rsidR="003B2F8C">
          <w:rPr>
            <w:webHidden/>
          </w:rPr>
          <w:instrText xml:space="preserve"> PAGEREF _Toc15644864 \h </w:instrText>
        </w:r>
        <w:r w:rsidR="003B2F8C">
          <w:rPr>
            <w:webHidden/>
          </w:rPr>
        </w:r>
        <w:r w:rsidR="003B2F8C">
          <w:rPr>
            <w:webHidden/>
          </w:rPr>
          <w:fldChar w:fldCharType="separate"/>
        </w:r>
        <w:r w:rsidR="003B2F8C">
          <w:rPr>
            <w:webHidden/>
          </w:rPr>
          <w:t>35</w:t>
        </w:r>
        <w:r w:rsidR="003B2F8C">
          <w:rPr>
            <w:webHidden/>
          </w:rPr>
          <w:fldChar w:fldCharType="end"/>
        </w:r>
      </w:hyperlink>
    </w:p>
    <w:p w14:paraId="75FA72F0" w14:textId="288277A6" w:rsidR="003B2F8C" w:rsidRDefault="009A6E3D">
      <w:pPr>
        <w:pStyle w:val="TOC3"/>
        <w:tabs>
          <w:tab w:val="right" w:leader="dot" w:pos="8302"/>
        </w:tabs>
        <w:rPr>
          <w:rFonts w:eastAsiaTheme="minorEastAsia" w:cstheme="minorBidi"/>
        </w:rPr>
      </w:pPr>
      <w:hyperlink w:anchor="_Toc15644865" w:history="1">
        <w:r w:rsidR="003B2F8C" w:rsidRPr="00725D3D">
          <w:rPr>
            <w:rStyle w:val="Hyperlink"/>
          </w:rPr>
          <w:t>Recommendation 3</w:t>
        </w:r>
        <w:r w:rsidR="003B2F8C">
          <w:rPr>
            <w:webHidden/>
          </w:rPr>
          <w:tab/>
        </w:r>
        <w:r w:rsidR="003B2F8C">
          <w:rPr>
            <w:webHidden/>
          </w:rPr>
          <w:fldChar w:fldCharType="begin"/>
        </w:r>
        <w:r w:rsidR="003B2F8C">
          <w:rPr>
            <w:webHidden/>
          </w:rPr>
          <w:instrText xml:space="preserve"> PAGEREF _Toc15644865 \h </w:instrText>
        </w:r>
        <w:r w:rsidR="003B2F8C">
          <w:rPr>
            <w:webHidden/>
          </w:rPr>
        </w:r>
        <w:r w:rsidR="003B2F8C">
          <w:rPr>
            <w:webHidden/>
          </w:rPr>
          <w:fldChar w:fldCharType="separate"/>
        </w:r>
        <w:r w:rsidR="003B2F8C">
          <w:rPr>
            <w:webHidden/>
          </w:rPr>
          <w:t>35</w:t>
        </w:r>
        <w:r w:rsidR="003B2F8C">
          <w:rPr>
            <w:webHidden/>
          </w:rPr>
          <w:fldChar w:fldCharType="end"/>
        </w:r>
      </w:hyperlink>
    </w:p>
    <w:p w14:paraId="241857E0" w14:textId="6E5BD77B" w:rsidR="003B2F8C" w:rsidRDefault="009A6E3D">
      <w:pPr>
        <w:pStyle w:val="TOC3"/>
        <w:tabs>
          <w:tab w:val="right" w:leader="dot" w:pos="8302"/>
        </w:tabs>
        <w:rPr>
          <w:rFonts w:eastAsiaTheme="minorEastAsia" w:cstheme="minorBidi"/>
        </w:rPr>
      </w:pPr>
      <w:hyperlink w:anchor="_Toc15644866" w:history="1">
        <w:r w:rsidR="003B2F8C" w:rsidRPr="00725D3D">
          <w:rPr>
            <w:rStyle w:val="Hyperlink"/>
          </w:rPr>
          <w:t>Rationale 3</w:t>
        </w:r>
        <w:r w:rsidR="003B2F8C">
          <w:rPr>
            <w:webHidden/>
          </w:rPr>
          <w:tab/>
        </w:r>
        <w:r w:rsidR="003B2F8C">
          <w:rPr>
            <w:webHidden/>
          </w:rPr>
          <w:fldChar w:fldCharType="begin"/>
        </w:r>
        <w:r w:rsidR="003B2F8C">
          <w:rPr>
            <w:webHidden/>
          </w:rPr>
          <w:instrText xml:space="preserve"> PAGEREF _Toc15644866 \h </w:instrText>
        </w:r>
        <w:r w:rsidR="003B2F8C">
          <w:rPr>
            <w:webHidden/>
          </w:rPr>
        </w:r>
        <w:r w:rsidR="003B2F8C">
          <w:rPr>
            <w:webHidden/>
          </w:rPr>
          <w:fldChar w:fldCharType="separate"/>
        </w:r>
        <w:r w:rsidR="003B2F8C">
          <w:rPr>
            <w:webHidden/>
          </w:rPr>
          <w:t>36</w:t>
        </w:r>
        <w:r w:rsidR="003B2F8C">
          <w:rPr>
            <w:webHidden/>
          </w:rPr>
          <w:fldChar w:fldCharType="end"/>
        </w:r>
      </w:hyperlink>
    </w:p>
    <w:p w14:paraId="54EFFB6C" w14:textId="2A8B031F" w:rsidR="003B2F8C" w:rsidRDefault="009A6E3D">
      <w:pPr>
        <w:pStyle w:val="TOC2"/>
        <w:tabs>
          <w:tab w:val="right" w:leader="dot" w:pos="8302"/>
        </w:tabs>
        <w:rPr>
          <w:rFonts w:eastAsiaTheme="minorEastAsia" w:cstheme="minorBidi"/>
        </w:rPr>
      </w:pPr>
      <w:hyperlink w:anchor="_Toc15644867" w:history="1">
        <w:r w:rsidR="003B2F8C" w:rsidRPr="00725D3D">
          <w:rPr>
            <w:rStyle w:val="Hyperlink"/>
          </w:rPr>
          <w:t>Chronic disease management – supporting coordinated, comprehensive and continuing care</w:t>
        </w:r>
        <w:r w:rsidR="003B2F8C">
          <w:rPr>
            <w:webHidden/>
          </w:rPr>
          <w:tab/>
        </w:r>
        <w:r w:rsidR="003B2F8C">
          <w:rPr>
            <w:webHidden/>
          </w:rPr>
          <w:fldChar w:fldCharType="begin"/>
        </w:r>
        <w:r w:rsidR="003B2F8C">
          <w:rPr>
            <w:webHidden/>
          </w:rPr>
          <w:instrText xml:space="preserve"> PAGEREF _Toc15644867 \h </w:instrText>
        </w:r>
        <w:r w:rsidR="003B2F8C">
          <w:rPr>
            <w:webHidden/>
          </w:rPr>
        </w:r>
        <w:r w:rsidR="003B2F8C">
          <w:rPr>
            <w:webHidden/>
          </w:rPr>
          <w:fldChar w:fldCharType="separate"/>
        </w:r>
        <w:r w:rsidR="003B2F8C">
          <w:rPr>
            <w:webHidden/>
          </w:rPr>
          <w:t>36</w:t>
        </w:r>
        <w:r w:rsidR="003B2F8C">
          <w:rPr>
            <w:webHidden/>
          </w:rPr>
          <w:fldChar w:fldCharType="end"/>
        </w:r>
      </w:hyperlink>
    </w:p>
    <w:p w14:paraId="158D5047" w14:textId="5F2B7C0D" w:rsidR="003B2F8C" w:rsidRDefault="009A6E3D">
      <w:pPr>
        <w:pStyle w:val="TOC3"/>
        <w:tabs>
          <w:tab w:val="right" w:leader="dot" w:pos="8302"/>
        </w:tabs>
        <w:rPr>
          <w:rFonts w:eastAsiaTheme="minorEastAsia" w:cstheme="minorBidi"/>
        </w:rPr>
      </w:pPr>
      <w:hyperlink w:anchor="_Toc15644868" w:history="1">
        <w:r w:rsidR="003B2F8C" w:rsidRPr="00725D3D">
          <w:rPr>
            <w:rStyle w:val="Hyperlink"/>
          </w:rPr>
          <w:t>Recommendation 4</w:t>
        </w:r>
        <w:r w:rsidR="003B2F8C">
          <w:rPr>
            <w:webHidden/>
          </w:rPr>
          <w:tab/>
        </w:r>
        <w:r w:rsidR="003B2F8C">
          <w:rPr>
            <w:webHidden/>
          </w:rPr>
          <w:fldChar w:fldCharType="begin"/>
        </w:r>
        <w:r w:rsidR="003B2F8C">
          <w:rPr>
            <w:webHidden/>
          </w:rPr>
          <w:instrText xml:space="preserve"> PAGEREF _Toc15644868 \h </w:instrText>
        </w:r>
        <w:r w:rsidR="003B2F8C">
          <w:rPr>
            <w:webHidden/>
          </w:rPr>
        </w:r>
        <w:r w:rsidR="003B2F8C">
          <w:rPr>
            <w:webHidden/>
          </w:rPr>
          <w:fldChar w:fldCharType="separate"/>
        </w:r>
        <w:r w:rsidR="003B2F8C">
          <w:rPr>
            <w:webHidden/>
          </w:rPr>
          <w:t>36</w:t>
        </w:r>
        <w:r w:rsidR="003B2F8C">
          <w:rPr>
            <w:webHidden/>
          </w:rPr>
          <w:fldChar w:fldCharType="end"/>
        </w:r>
      </w:hyperlink>
    </w:p>
    <w:p w14:paraId="694D78CD" w14:textId="184731C8" w:rsidR="003B2F8C" w:rsidRDefault="009A6E3D">
      <w:pPr>
        <w:pStyle w:val="TOC3"/>
        <w:tabs>
          <w:tab w:val="right" w:leader="dot" w:pos="8302"/>
        </w:tabs>
        <w:rPr>
          <w:rFonts w:eastAsiaTheme="minorEastAsia" w:cstheme="minorBidi"/>
        </w:rPr>
      </w:pPr>
      <w:hyperlink w:anchor="_Toc15644869" w:history="1">
        <w:r w:rsidR="003B2F8C" w:rsidRPr="00725D3D">
          <w:rPr>
            <w:rStyle w:val="Hyperlink"/>
          </w:rPr>
          <w:t>Recommendation 4.1</w:t>
        </w:r>
        <w:r w:rsidR="003B2F8C">
          <w:rPr>
            <w:webHidden/>
          </w:rPr>
          <w:tab/>
        </w:r>
        <w:r w:rsidR="003B2F8C">
          <w:rPr>
            <w:webHidden/>
          </w:rPr>
          <w:fldChar w:fldCharType="begin"/>
        </w:r>
        <w:r w:rsidR="003B2F8C">
          <w:rPr>
            <w:webHidden/>
          </w:rPr>
          <w:instrText xml:space="preserve"> PAGEREF _Toc15644869 \h </w:instrText>
        </w:r>
        <w:r w:rsidR="003B2F8C">
          <w:rPr>
            <w:webHidden/>
          </w:rPr>
        </w:r>
        <w:r w:rsidR="003B2F8C">
          <w:rPr>
            <w:webHidden/>
          </w:rPr>
          <w:fldChar w:fldCharType="separate"/>
        </w:r>
        <w:r w:rsidR="003B2F8C">
          <w:rPr>
            <w:webHidden/>
          </w:rPr>
          <w:t>37</w:t>
        </w:r>
        <w:r w:rsidR="003B2F8C">
          <w:rPr>
            <w:webHidden/>
          </w:rPr>
          <w:fldChar w:fldCharType="end"/>
        </w:r>
      </w:hyperlink>
    </w:p>
    <w:p w14:paraId="5C203579" w14:textId="2046C9C1" w:rsidR="003B2F8C" w:rsidRDefault="009A6E3D">
      <w:pPr>
        <w:pStyle w:val="TOC3"/>
        <w:tabs>
          <w:tab w:val="right" w:leader="dot" w:pos="8302"/>
        </w:tabs>
        <w:rPr>
          <w:rFonts w:eastAsiaTheme="minorEastAsia" w:cstheme="minorBidi"/>
        </w:rPr>
      </w:pPr>
      <w:hyperlink w:anchor="_Toc15644870" w:history="1">
        <w:r w:rsidR="003B2F8C" w:rsidRPr="00725D3D">
          <w:rPr>
            <w:rStyle w:val="Hyperlink"/>
          </w:rPr>
          <w:t>Rationale 4.1</w:t>
        </w:r>
        <w:r w:rsidR="003B2F8C">
          <w:rPr>
            <w:webHidden/>
          </w:rPr>
          <w:tab/>
        </w:r>
        <w:r w:rsidR="003B2F8C">
          <w:rPr>
            <w:webHidden/>
          </w:rPr>
          <w:fldChar w:fldCharType="begin"/>
        </w:r>
        <w:r w:rsidR="003B2F8C">
          <w:rPr>
            <w:webHidden/>
          </w:rPr>
          <w:instrText xml:space="preserve"> PAGEREF _Toc15644870 \h </w:instrText>
        </w:r>
        <w:r w:rsidR="003B2F8C">
          <w:rPr>
            <w:webHidden/>
          </w:rPr>
        </w:r>
        <w:r w:rsidR="003B2F8C">
          <w:rPr>
            <w:webHidden/>
          </w:rPr>
          <w:fldChar w:fldCharType="separate"/>
        </w:r>
        <w:r w:rsidR="003B2F8C">
          <w:rPr>
            <w:webHidden/>
          </w:rPr>
          <w:t>39</w:t>
        </w:r>
        <w:r w:rsidR="003B2F8C">
          <w:rPr>
            <w:webHidden/>
          </w:rPr>
          <w:fldChar w:fldCharType="end"/>
        </w:r>
      </w:hyperlink>
    </w:p>
    <w:p w14:paraId="5AB05D77" w14:textId="59DA127C" w:rsidR="003B2F8C" w:rsidRDefault="009A6E3D">
      <w:pPr>
        <w:pStyle w:val="TOC3"/>
        <w:tabs>
          <w:tab w:val="right" w:leader="dot" w:pos="8302"/>
        </w:tabs>
        <w:rPr>
          <w:rFonts w:eastAsiaTheme="minorEastAsia" w:cstheme="minorBidi"/>
        </w:rPr>
      </w:pPr>
      <w:hyperlink w:anchor="_Toc15644871" w:history="1">
        <w:r w:rsidR="003B2F8C" w:rsidRPr="00725D3D">
          <w:rPr>
            <w:rStyle w:val="Hyperlink"/>
          </w:rPr>
          <w:t>Recommendation 4.2</w:t>
        </w:r>
        <w:r w:rsidR="003B2F8C">
          <w:rPr>
            <w:webHidden/>
          </w:rPr>
          <w:tab/>
        </w:r>
        <w:r w:rsidR="003B2F8C">
          <w:rPr>
            <w:webHidden/>
          </w:rPr>
          <w:fldChar w:fldCharType="begin"/>
        </w:r>
        <w:r w:rsidR="003B2F8C">
          <w:rPr>
            <w:webHidden/>
          </w:rPr>
          <w:instrText xml:space="preserve"> PAGEREF _Toc15644871 \h </w:instrText>
        </w:r>
        <w:r w:rsidR="003B2F8C">
          <w:rPr>
            <w:webHidden/>
          </w:rPr>
        </w:r>
        <w:r w:rsidR="003B2F8C">
          <w:rPr>
            <w:webHidden/>
          </w:rPr>
          <w:fldChar w:fldCharType="separate"/>
        </w:r>
        <w:r w:rsidR="003B2F8C">
          <w:rPr>
            <w:webHidden/>
          </w:rPr>
          <w:t>41</w:t>
        </w:r>
        <w:r w:rsidR="003B2F8C">
          <w:rPr>
            <w:webHidden/>
          </w:rPr>
          <w:fldChar w:fldCharType="end"/>
        </w:r>
      </w:hyperlink>
    </w:p>
    <w:p w14:paraId="3AFE7765" w14:textId="56B1704F" w:rsidR="003B2F8C" w:rsidRDefault="009A6E3D">
      <w:pPr>
        <w:pStyle w:val="TOC3"/>
        <w:tabs>
          <w:tab w:val="right" w:leader="dot" w:pos="8302"/>
        </w:tabs>
        <w:rPr>
          <w:rFonts w:eastAsiaTheme="minorEastAsia" w:cstheme="minorBidi"/>
        </w:rPr>
      </w:pPr>
      <w:hyperlink w:anchor="_Toc15644872" w:history="1">
        <w:r w:rsidR="003B2F8C" w:rsidRPr="00725D3D">
          <w:rPr>
            <w:rStyle w:val="Hyperlink"/>
          </w:rPr>
          <w:t>Rationale 4.2</w:t>
        </w:r>
        <w:r w:rsidR="003B2F8C">
          <w:rPr>
            <w:webHidden/>
          </w:rPr>
          <w:tab/>
        </w:r>
        <w:r w:rsidR="003B2F8C">
          <w:rPr>
            <w:webHidden/>
          </w:rPr>
          <w:fldChar w:fldCharType="begin"/>
        </w:r>
        <w:r w:rsidR="003B2F8C">
          <w:rPr>
            <w:webHidden/>
          </w:rPr>
          <w:instrText xml:space="preserve"> PAGEREF _Toc15644872 \h </w:instrText>
        </w:r>
        <w:r w:rsidR="003B2F8C">
          <w:rPr>
            <w:webHidden/>
          </w:rPr>
        </w:r>
        <w:r w:rsidR="003B2F8C">
          <w:rPr>
            <w:webHidden/>
          </w:rPr>
          <w:fldChar w:fldCharType="separate"/>
        </w:r>
        <w:r w:rsidR="003B2F8C">
          <w:rPr>
            <w:webHidden/>
          </w:rPr>
          <w:t>41</w:t>
        </w:r>
        <w:r w:rsidR="003B2F8C">
          <w:rPr>
            <w:webHidden/>
          </w:rPr>
          <w:fldChar w:fldCharType="end"/>
        </w:r>
      </w:hyperlink>
    </w:p>
    <w:p w14:paraId="4F373D60" w14:textId="554DC188" w:rsidR="003B2F8C" w:rsidRDefault="009A6E3D">
      <w:pPr>
        <w:pStyle w:val="TOC3"/>
        <w:tabs>
          <w:tab w:val="right" w:leader="dot" w:pos="8302"/>
        </w:tabs>
        <w:rPr>
          <w:rFonts w:eastAsiaTheme="minorEastAsia" w:cstheme="minorBidi"/>
        </w:rPr>
      </w:pPr>
      <w:hyperlink w:anchor="_Toc15644873" w:history="1">
        <w:r w:rsidR="003B2F8C" w:rsidRPr="00725D3D">
          <w:rPr>
            <w:rStyle w:val="Hyperlink"/>
          </w:rPr>
          <w:t>Recommendation 4.3</w:t>
        </w:r>
        <w:r w:rsidR="003B2F8C">
          <w:rPr>
            <w:webHidden/>
          </w:rPr>
          <w:tab/>
        </w:r>
        <w:r w:rsidR="003B2F8C">
          <w:rPr>
            <w:webHidden/>
          </w:rPr>
          <w:fldChar w:fldCharType="begin"/>
        </w:r>
        <w:r w:rsidR="003B2F8C">
          <w:rPr>
            <w:webHidden/>
          </w:rPr>
          <w:instrText xml:space="preserve"> PAGEREF _Toc15644873 \h </w:instrText>
        </w:r>
        <w:r w:rsidR="003B2F8C">
          <w:rPr>
            <w:webHidden/>
          </w:rPr>
        </w:r>
        <w:r w:rsidR="003B2F8C">
          <w:rPr>
            <w:webHidden/>
          </w:rPr>
          <w:fldChar w:fldCharType="separate"/>
        </w:r>
        <w:r w:rsidR="003B2F8C">
          <w:rPr>
            <w:webHidden/>
          </w:rPr>
          <w:t>42</w:t>
        </w:r>
        <w:r w:rsidR="003B2F8C">
          <w:rPr>
            <w:webHidden/>
          </w:rPr>
          <w:fldChar w:fldCharType="end"/>
        </w:r>
      </w:hyperlink>
    </w:p>
    <w:p w14:paraId="153A63FE" w14:textId="77697EC7" w:rsidR="003B2F8C" w:rsidRDefault="009A6E3D">
      <w:pPr>
        <w:pStyle w:val="TOC3"/>
        <w:tabs>
          <w:tab w:val="right" w:leader="dot" w:pos="8302"/>
        </w:tabs>
        <w:rPr>
          <w:rFonts w:eastAsiaTheme="minorEastAsia" w:cstheme="minorBidi"/>
        </w:rPr>
      </w:pPr>
      <w:hyperlink w:anchor="_Toc15644874" w:history="1">
        <w:r w:rsidR="003B2F8C" w:rsidRPr="00725D3D">
          <w:rPr>
            <w:rStyle w:val="Hyperlink"/>
          </w:rPr>
          <w:t>Rationale 4.3</w:t>
        </w:r>
        <w:r w:rsidR="003B2F8C">
          <w:rPr>
            <w:webHidden/>
          </w:rPr>
          <w:tab/>
        </w:r>
        <w:r w:rsidR="003B2F8C">
          <w:rPr>
            <w:webHidden/>
          </w:rPr>
          <w:fldChar w:fldCharType="begin"/>
        </w:r>
        <w:r w:rsidR="003B2F8C">
          <w:rPr>
            <w:webHidden/>
          </w:rPr>
          <w:instrText xml:space="preserve"> PAGEREF _Toc15644874 \h </w:instrText>
        </w:r>
        <w:r w:rsidR="003B2F8C">
          <w:rPr>
            <w:webHidden/>
          </w:rPr>
        </w:r>
        <w:r w:rsidR="003B2F8C">
          <w:rPr>
            <w:webHidden/>
          </w:rPr>
          <w:fldChar w:fldCharType="separate"/>
        </w:r>
        <w:r w:rsidR="003B2F8C">
          <w:rPr>
            <w:webHidden/>
          </w:rPr>
          <w:t>43</w:t>
        </w:r>
        <w:r w:rsidR="003B2F8C">
          <w:rPr>
            <w:webHidden/>
          </w:rPr>
          <w:fldChar w:fldCharType="end"/>
        </w:r>
      </w:hyperlink>
    </w:p>
    <w:p w14:paraId="7C1AD220" w14:textId="03C788E9" w:rsidR="003B2F8C" w:rsidRDefault="009A6E3D">
      <w:pPr>
        <w:pStyle w:val="TOC3"/>
        <w:tabs>
          <w:tab w:val="right" w:leader="dot" w:pos="8302"/>
        </w:tabs>
        <w:rPr>
          <w:rFonts w:eastAsiaTheme="minorEastAsia" w:cstheme="minorBidi"/>
        </w:rPr>
      </w:pPr>
      <w:hyperlink w:anchor="_Toc15644875" w:history="1">
        <w:r w:rsidR="003B2F8C" w:rsidRPr="00725D3D">
          <w:rPr>
            <w:rStyle w:val="Hyperlink"/>
          </w:rPr>
          <w:t>Recommendation 4.4</w:t>
        </w:r>
        <w:r w:rsidR="003B2F8C">
          <w:rPr>
            <w:webHidden/>
          </w:rPr>
          <w:tab/>
        </w:r>
        <w:r w:rsidR="003B2F8C">
          <w:rPr>
            <w:webHidden/>
          </w:rPr>
          <w:fldChar w:fldCharType="begin"/>
        </w:r>
        <w:r w:rsidR="003B2F8C">
          <w:rPr>
            <w:webHidden/>
          </w:rPr>
          <w:instrText xml:space="preserve"> PAGEREF _Toc15644875 \h </w:instrText>
        </w:r>
        <w:r w:rsidR="003B2F8C">
          <w:rPr>
            <w:webHidden/>
          </w:rPr>
        </w:r>
        <w:r w:rsidR="003B2F8C">
          <w:rPr>
            <w:webHidden/>
          </w:rPr>
          <w:fldChar w:fldCharType="separate"/>
        </w:r>
        <w:r w:rsidR="003B2F8C">
          <w:rPr>
            <w:webHidden/>
          </w:rPr>
          <w:t>44</w:t>
        </w:r>
        <w:r w:rsidR="003B2F8C">
          <w:rPr>
            <w:webHidden/>
          </w:rPr>
          <w:fldChar w:fldCharType="end"/>
        </w:r>
      </w:hyperlink>
    </w:p>
    <w:p w14:paraId="2BFC0113" w14:textId="5590D338" w:rsidR="003B2F8C" w:rsidRDefault="009A6E3D">
      <w:pPr>
        <w:pStyle w:val="TOC3"/>
        <w:tabs>
          <w:tab w:val="right" w:leader="dot" w:pos="8302"/>
        </w:tabs>
        <w:rPr>
          <w:rFonts w:eastAsiaTheme="minorEastAsia" w:cstheme="minorBidi"/>
        </w:rPr>
      </w:pPr>
      <w:hyperlink w:anchor="_Toc15644876" w:history="1">
        <w:r w:rsidR="003B2F8C" w:rsidRPr="00725D3D">
          <w:rPr>
            <w:rStyle w:val="Hyperlink"/>
          </w:rPr>
          <w:t>Rationale 4.4</w:t>
        </w:r>
        <w:r w:rsidR="003B2F8C">
          <w:rPr>
            <w:webHidden/>
          </w:rPr>
          <w:tab/>
        </w:r>
        <w:r w:rsidR="003B2F8C">
          <w:rPr>
            <w:webHidden/>
          </w:rPr>
          <w:fldChar w:fldCharType="begin"/>
        </w:r>
        <w:r w:rsidR="003B2F8C">
          <w:rPr>
            <w:webHidden/>
          </w:rPr>
          <w:instrText xml:space="preserve"> PAGEREF _Toc15644876 \h </w:instrText>
        </w:r>
        <w:r w:rsidR="003B2F8C">
          <w:rPr>
            <w:webHidden/>
          </w:rPr>
        </w:r>
        <w:r w:rsidR="003B2F8C">
          <w:rPr>
            <w:webHidden/>
          </w:rPr>
          <w:fldChar w:fldCharType="separate"/>
        </w:r>
        <w:r w:rsidR="003B2F8C">
          <w:rPr>
            <w:webHidden/>
          </w:rPr>
          <w:t>44</w:t>
        </w:r>
        <w:r w:rsidR="003B2F8C">
          <w:rPr>
            <w:webHidden/>
          </w:rPr>
          <w:fldChar w:fldCharType="end"/>
        </w:r>
      </w:hyperlink>
    </w:p>
    <w:p w14:paraId="7DC1FBA8" w14:textId="0DEB84AB" w:rsidR="003B2F8C" w:rsidRDefault="009A6E3D">
      <w:pPr>
        <w:pStyle w:val="TOC3"/>
        <w:tabs>
          <w:tab w:val="right" w:leader="dot" w:pos="8302"/>
        </w:tabs>
        <w:rPr>
          <w:rFonts w:eastAsiaTheme="minorEastAsia" w:cstheme="minorBidi"/>
        </w:rPr>
      </w:pPr>
      <w:hyperlink w:anchor="_Toc15644877" w:history="1">
        <w:r w:rsidR="003B2F8C" w:rsidRPr="00725D3D">
          <w:rPr>
            <w:rStyle w:val="Hyperlink"/>
          </w:rPr>
          <w:t>Recommendation 4.5</w:t>
        </w:r>
        <w:r w:rsidR="003B2F8C">
          <w:rPr>
            <w:webHidden/>
          </w:rPr>
          <w:tab/>
        </w:r>
        <w:r w:rsidR="003B2F8C">
          <w:rPr>
            <w:webHidden/>
          </w:rPr>
          <w:fldChar w:fldCharType="begin"/>
        </w:r>
        <w:r w:rsidR="003B2F8C">
          <w:rPr>
            <w:webHidden/>
          </w:rPr>
          <w:instrText xml:space="preserve"> PAGEREF _Toc15644877 \h </w:instrText>
        </w:r>
        <w:r w:rsidR="003B2F8C">
          <w:rPr>
            <w:webHidden/>
          </w:rPr>
        </w:r>
        <w:r w:rsidR="003B2F8C">
          <w:rPr>
            <w:webHidden/>
          </w:rPr>
          <w:fldChar w:fldCharType="separate"/>
        </w:r>
        <w:r w:rsidR="003B2F8C">
          <w:rPr>
            <w:webHidden/>
          </w:rPr>
          <w:t>45</w:t>
        </w:r>
        <w:r w:rsidR="003B2F8C">
          <w:rPr>
            <w:webHidden/>
          </w:rPr>
          <w:fldChar w:fldCharType="end"/>
        </w:r>
      </w:hyperlink>
    </w:p>
    <w:p w14:paraId="15E0605C" w14:textId="794225C1" w:rsidR="003B2F8C" w:rsidRDefault="009A6E3D">
      <w:pPr>
        <w:pStyle w:val="TOC3"/>
        <w:tabs>
          <w:tab w:val="right" w:leader="dot" w:pos="8302"/>
        </w:tabs>
        <w:rPr>
          <w:rFonts w:eastAsiaTheme="minorEastAsia" w:cstheme="minorBidi"/>
        </w:rPr>
      </w:pPr>
      <w:hyperlink w:anchor="_Toc15644878" w:history="1">
        <w:r w:rsidR="003B2F8C" w:rsidRPr="00725D3D">
          <w:rPr>
            <w:rStyle w:val="Hyperlink"/>
          </w:rPr>
          <w:t>Rationale 4.5</w:t>
        </w:r>
        <w:r w:rsidR="003B2F8C">
          <w:rPr>
            <w:webHidden/>
          </w:rPr>
          <w:tab/>
        </w:r>
        <w:r w:rsidR="003B2F8C">
          <w:rPr>
            <w:webHidden/>
          </w:rPr>
          <w:fldChar w:fldCharType="begin"/>
        </w:r>
        <w:r w:rsidR="003B2F8C">
          <w:rPr>
            <w:webHidden/>
          </w:rPr>
          <w:instrText xml:space="preserve"> PAGEREF _Toc15644878 \h </w:instrText>
        </w:r>
        <w:r w:rsidR="003B2F8C">
          <w:rPr>
            <w:webHidden/>
          </w:rPr>
        </w:r>
        <w:r w:rsidR="003B2F8C">
          <w:rPr>
            <w:webHidden/>
          </w:rPr>
          <w:fldChar w:fldCharType="separate"/>
        </w:r>
        <w:r w:rsidR="003B2F8C">
          <w:rPr>
            <w:webHidden/>
          </w:rPr>
          <w:t>45</w:t>
        </w:r>
        <w:r w:rsidR="003B2F8C">
          <w:rPr>
            <w:webHidden/>
          </w:rPr>
          <w:fldChar w:fldCharType="end"/>
        </w:r>
      </w:hyperlink>
    </w:p>
    <w:p w14:paraId="5BDD5481" w14:textId="6C5F75AD" w:rsidR="003B2F8C" w:rsidRDefault="009A6E3D">
      <w:pPr>
        <w:pStyle w:val="TOC3"/>
        <w:tabs>
          <w:tab w:val="right" w:leader="dot" w:pos="8302"/>
        </w:tabs>
        <w:rPr>
          <w:rFonts w:eastAsiaTheme="minorEastAsia" w:cstheme="minorBidi"/>
        </w:rPr>
      </w:pPr>
      <w:hyperlink w:anchor="_Toc15644879" w:history="1">
        <w:r w:rsidR="003B2F8C" w:rsidRPr="00725D3D">
          <w:rPr>
            <w:rStyle w:val="Hyperlink"/>
          </w:rPr>
          <w:t>Recommendation 4.6</w:t>
        </w:r>
        <w:r w:rsidR="003B2F8C">
          <w:rPr>
            <w:webHidden/>
          </w:rPr>
          <w:tab/>
        </w:r>
        <w:r w:rsidR="003B2F8C">
          <w:rPr>
            <w:webHidden/>
          </w:rPr>
          <w:fldChar w:fldCharType="begin"/>
        </w:r>
        <w:r w:rsidR="003B2F8C">
          <w:rPr>
            <w:webHidden/>
          </w:rPr>
          <w:instrText xml:space="preserve"> PAGEREF _Toc15644879 \h </w:instrText>
        </w:r>
        <w:r w:rsidR="003B2F8C">
          <w:rPr>
            <w:webHidden/>
          </w:rPr>
        </w:r>
        <w:r w:rsidR="003B2F8C">
          <w:rPr>
            <w:webHidden/>
          </w:rPr>
          <w:fldChar w:fldCharType="separate"/>
        </w:r>
        <w:r w:rsidR="003B2F8C">
          <w:rPr>
            <w:webHidden/>
          </w:rPr>
          <w:t>45</w:t>
        </w:r>
        <w:r w:rsidR="003B2F8C">
          <w:rPr>
            <w:webHidden/>
          </w:rPr>
          <w:fldChar w:fldCharType="end"/>
        </w:r>
      </w:hyperlink>
    </w:p>
    <w:p w14:paraId="54FFC3B6" w14:textId="3E2682F7" w:rsidR="003B2F8C" w:rsidRDefault="009A6E3D">
      <w:pPr>
        <w:pStyle w:val="TOC3"/>
        <w:tabs>
          <w:tab w:val="right" w:leader="dot" w:pos="8302"/>
        </w:tabs>
        <w:rPr>
          <w:rFonts w:eastAsiaTheme="minorEastAsia" w:cstheme="minorBidi"/>
        </w:rPr>
      </w:pPr>
      <w:hyperlink w:anchor="_Toc15644880" w:history="1">
        <w:r w:rsidR="003B2F8C" w:rsidRPr="00725D3D">
          <w:rPr>
            <w:rStyle w:val="Hyperlink"/>
          </w:rPr>
          <w:t>Rationale 4.6</w:t>
        </w:r>
        <w:r w:rsidR="003B2F8C">
          <w:rPr>
            <w:webHidden/>
          </w:rPr>
          <w:tab/>
        </w:r>
        <w:r w:rsidR="003B2F8C">
          <w:rPr>
            <w:webHidden/>
          </w:rPr>
          <w:fldChar w:fldCharType="begin"/>
        </w:r>
        <w:r w:rsidR="003B2F8C">
          <w:rPr>
            <w:webHidden/>
          </w:rPr>
          <w:instrText xml:space="preserve"> PAGEREF _Toc15644880 \h </w:instrText>
        </w:r>
        <w:r w:rsidR="003B2F8C">
          <w:rPr>
            <w:webHidden/>
          </w:rPr>
        </w:r>
        <w:r w:rsidR="003B2F8C">
          <w:rPr>
            <w:webHidden/>
          </w:rPr>
          <w:fldChar w:fldCharType="separate"/>
        </w:r>
        <w:r w:rsidR="003B2F8C">
          <w:rPr>
            <w:webHidden/>
          </w:rPr>
          <w:t>49</w:t>
        </w:r>
        <w:r w:rsidR="003B2F8C">
          <w:rPr>
            <w:webHidden/>
          </w:rPr>
          <w:fldChar w:fldCharType="end"/>
        </w:r>
      </w:hyperlink>
    </w:p>
    <w:p w14:paraId="7303F7B4" w14:textId="2129569E" w:rsidR="003B2F8C" w:rsidRDefault="009A6E3D">
      <w:pPr>
        <w:pStyle w:val="TOC3"/>
        <w:tabs>
          <w:tab w:val="right" w:leader="dot" w:pos="8302"/>
        </w:tabs>
        <w:rPr>
          <w:rFonts w:eastAsiaTheme="minorEastAsia" w:cstheme="minorBidi"/>
        </w:rPr>
      </w:pPr>
      <w:hyperlink w:anchor="_Toc15644881" w:history="1">
        <w:r w:rsidR="003B2F8C" w:rsidRPr="00725D3D">
          <w:rPr>
            <w:rStyle w:val="Hyperlink"/>
          </w:rPr>
          <w:t>Recommendation 4.7</w:t>
        </w:r>
        <w:r w:rsidR="003B2F8C">
          <w:rPr>
            <w:webHidden/>
          </w:rPr>
          <w:tab/>
        </w:r>
        <w:r w:rsidR="003B2F8C">
          <w:rPr>
            <w:webHidden/>
          </w:rPr>
          <w:fldChar w:fldCharType="begin"/>
        </w:r>
        <w:r w:rsidR="003B2F8C">
          <w:rPr>
            <w:webHidden/>
          </w:rPr>
          <w:instrText xml:space="preserve"> PAGEREF _Toc15644881 \h </w:instrText>
        </w:r>
        <w:r w:rsidR="003B2F8C">
          <w:rPr>
            <w:webHidden/>
          </w:rPr>
        </w:r>
        <w:r w:rsidR="003B2F8C">
          <w:rPr>
            <w:webHidden/>
          </w:rPr>
          <w:fldChar w:fldCharType="separate"/>
        </w:r>
        <w:r w:rsidR="003B2F8C">
          <w:rPr>
            <w:webHidden/>
          </w:rPr>
          <w:t>50</w:t>
        </w:r>
        <w:r w:rsidR="003B2F8C">
          <w:rPr>
            <w:webHidden/>
          </w:rPr>
          <w:fldChar w:fldCharType="end"/>
        </w:r>
      </w:hyperlink>
    </w:p>
    <w:p w14:paraId="7A42A561" w14:textId="31F5ADEB" w:rsidR="003B2F8C" w:rsidRDefault="009A6E3D">
      <w:pPr>
        <w:pStyle w:val="TOC3"/>
        <w:tabs>
          <w:tab w:val="right" w:leader="dot" w:pos="8302"/>
        </w:tabs>
        <w:rPr>
          <w:rFonts w:eastAsiaTheme="minorEastAsia" w:cstheme="minorBidi"/>
        </w:rPr>
      </w:pPr>
      <w:hyperlink w:anchor="_Toc15644882" w:history="1">
        <w:r w:rsidR="003B2F8C" w:rsidRPr="00725D3D">
          <w:rPr>
            <w:rStyle w:val="Hyperlink"/>
          </w:rPr>
          <w:t>Rationale 4.7</w:t>
        </w:r>
        <w:r w:rsidR="003B2F8C">
          <w:rPr>
            <w:webHidden/>
          </w:rPr>
          <w:tab/>
        </w:r>
        <w:r w:rsidR="003B2F8C">
          <w:rPr>
            <w:webHidden/>
          </w:rPr>
          <w:fldChar w:fldCharType="begin"/>
        </w:r>
        <w:r w:rsidR="003B2F8C">
          <w:rPr>
            <w:webHidden/>
          </w:rPr>
          <w:instrText xml:space="preserve"> PAGEREF _Toc15644882 \h </w:instrText>
        </w:r>
        <w:r w:rsidR="003B2F8C">
          <w:rPr>
            <w:webHidden/>
          </w:rPr>
        </w:r>
        <w:r w:rsidR="003B2F8C">
          <w:rPr>
            <w:webHidden/>
          </w:rPr>
          <w:fldChar w:fldCharType="separate"/>
        </w:r>
        <w:r w:rsidR="003B2F8C">
          <w:rPr>
            <w:webHidden/>
          </w:rPr>
          <w:t>56</w:t>
        </w:r>
        <w:r w:rsidR="003B2F8C">
          <w:rPr>
            <w:webHidden/>
          </w:rPr>
          <w:fldChar w:fldCharType="end"/>
        </w:r>
      </w:hyperlink>
    </w:p>
    <w:p w14:paraId="69CF7724" w14:textId="35F77265" w:rsidR="003B2F8C" w:rsidRDefault="009A6E3D">
      <w:pPr>
        <w:pStyle w:val="TOC3"/>
        <w:tabs>
          <w:tab w:val="right" w:leader="dot" w:pos="8302"/>
        </w:tabs>
        <w:rPr>
          <w:rFonts w:eastAsiaTheme="minorEastAsia" w:cstheme="minorBidi"/>
        </w:rPr>
      </w:pPr>
      <w:hyperlink w:anchor="_Toc15644883" w:history="1">
        <w:r w:rsidR="003B2F8C" w:rsidRPr="00725D3D">
          <w:rPr>
            <w:rStyle w:val="Hyperlink"/>
          </w:rPr>
          <w:t>Recommendation 4.8</w:t>
        </w:r>
        <w:r w:rsidR="003B2F8C">
          <w:rPr>
            <w:webHidden/>
          </w:rPr>
          <w:tab/>
        </w:r>
        <w:r w:rsidR="003B2F8C">
          <w:rPr>
            <w:webHidden/>
          </w:rPr>
          <w:fldChar w:fldCharType="begin"/>
        </w:r>
        <w:r w:rsidR="003B2F8C">
          <w:rPr>
            <w:webHidden/>
          </w:rPr>
          <w:instrText xml:space="preserve"> PAGEREF _Toc15644883 \h </w:instrText>
        </w:r>
        <w:r w:rsidR="003B2F8C">
          <w:rPr>
            <w:webHidden/>
          </w:rPr>
        </w:r>
        <w:r w:rsidR="003B2F8C">
          <w:rPr>
            <w:webHidden/>
          </w:rPr>
          <w:fldChar w:fldCharType="separate"/>
        </w:r>
        <w:r w:rsidR="003B2F8C">
          <w:rPr>
            <w:webHidden/>
          </w:rPr>
          <w:t>57</w:t>
        </w:r>
        <w:r w:rsidR="003B2F8C">
          <w:rPr>
            <w:webHidden/>
          </w:rPr>
          <w:fldChar w:fldCharType="end"/>
        </w:r>
      </w:hyperlink>
    </w:p>
    <w:p w14:paraId="571A987D" w14:textId="15B88F8F" w:rsidR="003B2F8C" w:rsidRDefault="009A6E3D">
      <w:pPr>
        <w:pStyle w:val="TOC3"/>
        <w:tabs>
          <w:tab w:val="right" w:leader="dot" w:pos="8302"/>
        </w:tabs>
        <w:rPr>
          <w:rFonts w:eastAsiaTheme="minorEastAsia" w:cstheme="minorBidi"/>
        </w:rPr>
      </w:pPr>
      <w:hyperlink w:anchor="_Toc15644884" w:history="1">
        <w:r w:rsidR="003B2F8C" w:rsidRPr="00725D3D">
          <w:rPr>
            <w:rStyle w:val="Hyperlink"/>
          </w:rPr>
          <w:t>Rationale 4.8</w:t>
        </w:r>
        <w:r w:rsidR="003B2F8C">
          <w:rPr>
            <w:webHidden/>
          </w:rPr>
          <w:tab/>
        </w:r>
        <w:r w:rsidR="003B2F8C">
          <w:rPr>
            <w:webHidden/>
          </w:rPr>
          <w:fldChar w:fldCharType="begin"/>
        </w:r>
        <w:r w:rsidR="003B2F8C">
          <w:rPr>
            <w:webHidden/>
          </w:rPr>
          <w:instrText xml:space="preserve"> PAGEREF _Toc15644884 \h </w:instrText>
        </w:r>
        <w:r w:rsidR="003B2F8C">
          <w:rPr>
            <w:webHidden/>
          </w:rPr>
        </w:r>
        <w:r w:rsidR="003B2F8C">
          <w:rPr>
            <w:webHidden/>
          </w:rPr>
          <w:fldChar w:fldCharType="separate"/>
        </w:r>
        <w:r w:rsidR="003B2F8C">
          <w:rPr>
            <w:webHidden/>
          </w:rPr>
          <w:t>57</w:t>
        </w:r>
        <w:r w:rsidR="003B2F8C">
          <w:rPr>
            <w:webHidden/>
          </w:rPr>
          <w:fldChar w:fldCharType="end"/>
        </w:r>
      </w:hyperlink>
    </w:p>
    <w:p w14:paraId="3258C947" w14:textId="490220B6" w:rsidR="003B2F8C" w:rsidRDefault="009A6E3D">
      <w:pPr>
        <w:pStyle w:val="TOC2"/>
        <w:tabs>
          <w:tab w:val="right" w:leader="dot" w:pos="8302"/>
        </w:tabs>
        <w:rPr>
          <w:rFonts w:eastAsiaTheme="minorEastAsia" w:cstheme="minorBidi"/>
        </w:rPr>
      </w:pPr>
      <w:hyperlink w:anchor="_Toc15644885" w:history="1">
        <w:r w:rsidR="003B2F8C" w:rsidRPr="00725D3D">
          <w:rPr>
            <w:rStyle w:val="Hyperlink"/>
          </w:rPr>
          <w:t>Health Assessment Items - better alignment with need and evidence</w:t>
        </w:r>
        <w:r w:rsidR="003B2F8C">
          <w:rPr>
            <w:webHidden/>
          </w:rPr>
          <w:tab/>
        </w:r>
        <w:r w:rsidR="003B2F8C">
          <w:rPr>
            <w:webHidden/>
          </w:rPr>
          <w:fldChar w:fldCharType="begin"/>
        </w:r>
        <w:r w:rsidR="003B2F8C">
          <w:rPr>
            <w:webHidden/>
          </w:rPr>
          <w:instrText xml:space="preserve"> PAGEREF _Toc15644885 \h </w:instrText>
        </w:r>
        <w:r w:rsidR="003B2F8C">
          <w:rPr>
            <w:webHidden/>
          </w:rPr>
        </w:r>
        <w:r w:rsidR="003B2F8C">
          <w:rPr>
            <w:webHidden/>
          </w:rPr>
          <w:fldChar w:fldCharType="separate"/>
        </w:r>
        <w:r w:rsidR="003B2F8C">
          <w:rPr>
            <w:webHidden/>
          </w:rPr>
          <w:t>58</w:t>
        </w:r>
        <w:r w:rsidR="003B2F8C">
          <w:rPr>
            <w:webHidden/>
          </w:rPr>
          <w:fldChar w:fldCharType="end"/>
        </w:r>
      </w:hyperlink>
    </w:p>
    <w:p w14:paraId="132E88C7" w14:textId="593B90A5" w:rsidR="003B2F8C" w:rsidRDefault="009A6E3D">
      <w:pPr>
        <w:pStyle w:val="TOC3"/>
        <w:tabs>
          <w:tab w:val="right" w:leader="dot" w:pos="8302"/>
        </w:tabs>
        <w:rPr>
          <w:rFonts w:eastAsiaTheme="minorEastAsia" w:cstheme="minorBidi"/>
        </w:rPr>
      </w:pPr>
      <w:hyperlink w:anchor="_Toc15644886" w:history="1">
        <w:r w:rsidR="003B2F8C" w:rsidRPr="00725D3D">
          <w:rPr>
            <w:rStyle w:val="Hyperlink"/>
          </w:rPr>
          <w:t>Recommendation 5</w:t>
        </w:r>
        <w:r w:rsidR="003B2F8C">
          <w:rPr>
            <w:webHidden/>
          </w:rPr>
          <w:tab/>
        </w:r>
        <w:r w:rsidR="003B2F8C">
          <w:rPr>
            <w:webHidden/>
          </w:rPr>
          <w:fldChar w:fldCharType="begin"/>
        </w:r>
        <w:r w:rsidR="003B2F8C">
          <w:rPr>
            <w:webHidden/>
          </w:rPr>
          <w:instrText xml:space="preserve"> PAGEREF _Toc15644886 \h </w:instrText>
        </w:r>
        <w:r w:rsidR="003B2F8C">
          <w:rPr>
            <w:webHidden/>
          </w:rPr>
        </w:r>
        <w:r w:rsidR="003B2F8C">
          <w:rPr>
            <w:webHidden/>
          </w:rPr>
          <w:fldChar w:fldCharType="separate"/>
        </w:r>
        <w:r w:rsidR="003B2F8C">
          <w:rPr>
            <w:webHidden/>
          </w:rPr>
          <w:t>58</w:t>
        </w:r>
        <w:r w:rsidR="003B2F8C">
          <w:rPr>
            <w:webHidden/>
          </w:rPr>
          <w:fldChar w:fldCharType="end"/>
        </w:r>
      </w:hyperlink>
    </w:p>
    <w:p w14:paraId="7B4207EA" w14:textId="139A9DCF" w:rsidR="003B2F8C" w:rsidRDefault="009A6E3D">
      <w:pPr>
        <w:pStyle w:val="TOC3"/>
        <w:tabs>
          <w:tab w:val="right" w:leader="dot" w:pos="8302"/>
        </w:tabs>
        <w:rPr>
          <w:rFonts w:eastAsiaTheme="minorEastAsia" w:cstheme="minorBidi"/>
        </w:rPr>
      </w:pPr>
      <w:hyperlink w:anchor="_Toc15644887" w:history="1">
        <w:r w:rsidR="003B2F8C" w:rsidRPr="00725D3D">
          <w:rPr>
            <w:rStyle w:val="Hyperlink"/>
          </w:rPr>
          <w:t>Rationale 5</w:t>
        </w:r>
        <w:r w:rsidR="003B2F8C">
          <w:rPr>
            <w:webHidden/>
          </w:rPr>
          <w:tab/>
        </w:r>
        <w:r w:rsidR="003B2F8C">
          <w:rPr>
            <w:webHidden/>
          </w:rPr>
          <w:fldChar w:fldCharType="begin"/>
        </w:r>
        <w:r w:rsidR="003B2F8C">
          <w:rPr>
            <w:webHidden/>
          </w:rPr>
          <w:instrText xml:space="preserve"> PAGEREF _Toc15644887 \h </w:instrText>
        </w:r>
        <w:r w:rsidR="003B2F8C">
          <w:rPr>
            <w:webHidden/>
          </w:rPr>
        </w:r>
        <w:r w:rsidR="003B2F8C">
          <w:rPr>
            <w:webHidden/>
          </w:rPr>
          <w:fldChar w:fldCharType="separate"/>
        </w:r>
        <w:r w:rsidR="003B2F8C">
          <w:rPr>
            <w:webHidden/>
          </w:rPr>
          <w:t>58</w:t>
        </w:r>
        <w:r w:rsidR="003B2F8C">
          <w:rPr>
            <w:webHidden/>
          </w:rPr>
          <w:fldChar w:fldCharType="end"/>
        </w:r>
      </w:hyperlink>
    </w:p>
    <w:p w14:paraId="2F36A31B" w14:textId="5DB3AB72" w:rsidR="003B2F8C" w:rsidRDefault="009A6E3D">
      <w:pPr>
        <w:pStyle w:val="TOC3"/>
        <w:tabs>
          <w:tab w:val="right" w:leader="dot" w:pos="8302"/>
        </w:tabs>
        <w:rPr>
          <w:rFonts w:eastAsiaTheme="minorEastAsia" w:cstheme="minorBidi"/>
        </w:rPr>
      </w:pPr>
      <w:hyperlink w:anchor="_Toc15644888" w:history="1">
        <w:r w:rsidR="003B2F8C" w:rsidRPr="00725D3D">
          <w:rPr>
            <w:rStyle w:val="Hyperlink"/>
          </w:rPr>
          <w:t>Recommendation 6</w:t>
        </w:r>
        <w:r w:rsidR="003B2F8C">
          <w:rPr>
            <w:webHidden/>
          </w:rPr>
          <w:tab/>
        </w:r>
        <w:r w:rsidR="003B2F8C">
          <w:rPr>
            <w:webHidden/>
          </w:rPr>
          <w:fldChar w:fldCharType="begin"/>
        </w:r>
        <w:r w:rsidR="003B2F8C">
          <w:rPr>
            <w:webHidden/>
          </w:rPr>
          <w:instrText xml:space="preserve"> PAGEREF _Toc15644888 \h </w:instrText>
        </w:r>
        <w:r w:rsidR="003B2F8C">
          <w:rPr>
            <w:webHidden/>
          </w:rPr>
        </w:r>
        <w:r w:rsidR="003B2F8C">
          <w:rPr>
            <w:webHidden/>
          </w:rPr>
          <w:fldChar w:fldCharType="separate"/>
        </w:r>
        <w:r w:rsidR="003B2F8C">
          <w:rPr>
            <w:webHidden/>
          </w:rPr>
          <w:t>59</w:t>
        </w:r>
        <w:r w:rsidR="003B2F8C">
          <w:rPr>
            <w:webHidden/>
          </w:rPr>
          <w:fldChar w:fldCharType="end"/>
        </w:r>
      </w:hyperlink>
    </w:p>
    <w:p w14:paraId="5E1C0977" w14:textId="20ACB40D" w:rsidR="003B2F8C" w:rsidRDefault="009A6E3D">
      <w:pPr>
        <w:pStyle w:val="TOC3"/>
        <w:tabs>
          <w:tab w:val="right" w:leader="dot" w:pos="8302"/>
        </w:tabs>
        <w:rPr>
          <w:rFonts w:eastAsiaTheme="minorEastAsia" w:cstheme="minorBidi"/>
        </w:rPr>
      </w:pPr>
      <w:hyperlink w:anchor="_Toc15644889" w:history="1">
        <w:r w:rsidR="003B2F8C" w:rsidRPr="00725D3D">
          <w:rPr>
            <w:rStyle w:val="Hyperlink"/>
          </w:rPr>
          <w:t>Rationale 6</w:t>
        </w:r>
        <w:r w:rsidR="003B2F8C">
          <w:rPr>
            <w:webHidden/>
          </w:rPr>
          <w:tab/>
        </w:r>
        <w:r w:rsidR="003B2F8C">
          <w:rPr>
            <w:webHidden/>
          </w:rPr>
          <w:fldChar w:fldCharType="begin"/>
        </w:r>
        <w:r w:rsidR="003B2F8C">
          <w:rPr>
            <w:webHidden/>
          </w:rPr>
          <w:instrText xml:space="preserve"> PAGEREF _Toc15644889 \h </w:instrText>
        </w:r>
        <w:r w:rsidR="003B2F8C">
          <w:rPr>
            <w:webHidden/>
          </w:rPr>
        </w:r>
        <w:r w:rsidR="003B2F8C">
          <w:rPr>
            <w:webHidden/>
          </w:rPr>
          <w:fldChar w:fldCharType="separate"/>
        </w:r>
        <w:r w:rsidR="003B2F8C">
          <w:rPr>
            <w:webHidden/>
          </w:rPr>
          <w:t>66</w:t>
        </w:r>
        <w:r w:rsidR="003B2F8C">
          <w:rPr>
            <w:webHidden/>
          </w:rPr>
          <w:fldChar w:fldCharType="end"/>
        </w:r>
      </w:hyperlink>
    </w:p>
    <w:p w14:paraId="74A3FF15" w14:textId="21CF006F" w:rsidR="003B2F8C" w:rsidRDefault="009A6E3D">
      <w:pPr>
        <w:pStyle w:val="TOC2"/>
        <w:tabs>
          <w:tab w:val="right" w:leader="dot" w:pos="8302"/>
        </w:tabs>
        <w:rPr>
          <w:rFonts w:eastAsiaTheme="minorEastAsia" w:cstheme="minorBidi"/>
        </w:rPr>
      </w:pPr>
      <w:hyperlink w:anchor="_Toc15644890" w:history="1">
        <w:r w:rsidR="003B2F8C" w:rsidRPr="00725D3D">
          <w:rPr>
            <w:rStyle w:val="Hyperlink"/>
          </w:rPr>
          <w:t>Consultation Items - aligning consultation items with contemporary healthcare</w:t>
        </w:r>
        <w:r w:rsidR="003B2F8C">
          <w:rPr>
            <w:webHidden/>
          </w:rPr>
          <w:tab/>
        </w:r>
        <w:r w:rsidR="003B2F8C">
          <w:rPr>
            <w:webHidden/>
          </w:rPr>
          <w:fldChar w:fldCharType="begin"/>
        </w:r>
        <w:r w:rsidR="003B2F8C">
          <w:rPr>
            <w:webHidden/>
          </w:rPr>
          <w:instrText xml:space="preserve"> PAGEREF _Toc15644890 \h </w:instrText>
        </w:r>
        <w:r w:rsidR="003B2F8C">
          <w:rPr>
            <w:webHidden/>
          </w:rPr>
        </w:r>
        <w:r w:rsidR="003B2F8C">
          <w:rPr>
            <w:webHidden/>
          </w:rPr>
          <w:fldChar w:fldCharType="separate"/>
        </w:r>
        <w:r w:rsidR="003B2F8C">
          <w:rPr>
            <w:webHidden/>
          </w:rPr>
          <w:t>68</w:t>
        </w:r>
        <w:r w:rsidR="003B2F8C">
          <w:rPr>
            <w:webHidden/>
          </w:rPr>
          <w:fldChar w:fldCharType="end"/>
        </w:r>
      </w:hyperlink>
    </w:p>
    <w:p w14:paraId="527DB533" w14:textId="5B95A1B5" w:rsidR="003B2F8C" w:rsidRDefault="009A6E3D">
      <w:pPr>
        <w:pStyle w:val="TOC3"/>
        <w:tabs>
          <w:tab w:val="right" w:leader="dot" w:pos="8302"/>
        </w:tabs>
        <w:rPr>
          <w:rFonts w:eastAsiaTheme="minorEastAsia" w:cstheme="minorBidi"/>
        </w:rPr>
      </w:pPr>
      <w:hyperlink w:anchor="_Toc15644891" w:history="1">
        <w:r w:rsidR="003B2F8C" w:rsidRPr="00725D3D">
          <w:rPr>
            <w:rStyle w:val="Hyperlink"/>
          </w:rPr>
          <w:t>Recommendation 7</w:t>
        </w:r>
        <w:r w:rsidR="003B2F8C">
          <w:rPr>
            <w:webHidden/>
          </w:rPr>
          <w:tab/>
        </w:r>
        <w:r w:rsidR="003B2F8C">
          <w:rPr>
            <w:webHidden/>
          </w:rPr>
          <w:fldChar w:fldCharType="begin"/>
        </w:r>
        <w:r w:rsidR="003B2F8C">
          <w:rPr>
            <w:webHidden/>
          </w:rPr>
          <w:instrText xml:space="preserve"> PAGEREF _Toc15644891 \h </w:instrText>
        </w:r>
        <w:r w:rsidR="003B2F8C">
          <w:rPr>
            <w:webHidden/>
          </w:rPr>
        </w:r>
        <w:r w:rsidR="003B2F8C">
          <w:rPr>
            <w:webHidden/>
          </w:rPr>
          <w:fldChar w:fldCharType="separate"/>
        </w:r>
        <w:r w:rsidR="003B2F8C">
          <w:rPr>
            <w:webHidden/>
          </w:rPr>
          <w:t>68</w:t>
        </w:r>
        <w:r w:rsidR="003B2F8C">
          <w:rPr>
            <w:webHidden/>
          </w:rPr>
          <w:fldChar w:fldCharType="end"/>
        </w:r>
      </w:hyperlink>
    </w:p>
    <w:p w14:paraId="3B9D4702" w14:textId="52BC974C" w:rsidR="003B2F8C" w:rsidRDefault="009A6E3D">
      <w:pPr>
        <w:pStyle w:val="TOC3"/>
        <w:tabs>
          <w:tab w:val="right" w:leader="dot" w:pos="8302"/>
        </w:tabs>
        <w:rPr>
          <w:rFonts w:eastAsiaTheme="minorEastAsia" w:cstheme="minorBidi"/>
        </w:rPr>
      </w:pPr>
      <w:hyperlink w:anchor="_Toc15644892" w:history="1">
        <w:r w:rsidR="003B2F8C" w:rsidRPr="00725D3D">
          <w:rPr>
            <w:rStyle w:val="Hyperlink"/>
          </w:rPr>
          <w:t>Rationale 7</w:t>
        </w:r>
        <w:r w:rsidR="003B2F8C">
          <w:rPr>
            <w:webHidden/>
          </w:rPr>
          <w:tab/>
        </w:r>
        <w:r w:rsidR="003B2F8C">
          <w:rPr>
            <w:webHidden/>
          </w:rPr>
          <w:fldChar w:fldCharType="begin"/>
        </w:r>
        <w:r w:rsidR="003B2F8C">
          <w:rPr>
            <w:webHidden/>
          </w:rPr>
          <w:instrText xml:space="preserve"> PAGEREF _Toc15644892 \h </w:instrText>
        </w:r>
        <w:r w:rsidR="003B2F8C">
          <w:rPr>
            <w:webHidden/>
          </w:rPr>
        </w:r>
        <w:r w:rsidR="003B2F8C">
          <w:rPr>
            <w:webHidden/>
          </w:rPr>
          <w:fldChar w:fldCharType="separate"/>
        </w:r>
        <w:r w:rsidR="003B2F8C">
          <w:rPr>
            <w:webHidden/>
          </w:rPr>
          <w:t>68</w:t>
        </w:r>
        <w:r w:rsidR="003B2F8C">
          <w:rPr>
            <w:webHidden/>
          </w:rPr>
          <w:fldChar w:fldCharType="end"/>
        </w:r>
      </w:hyperlink>
    </w:p>
    <w:p w14:paraId="1BB9FDA2" w14:textId="219CAABC" w:rsidR="003B2F8C" w:rsidRDefault="009A6E3D">
      <w:pPr>
        <w:pStyle w:val="TOC3"/>
        <w:tabs>
          <w:tab w:val="right" w:leader="dot" w:pos="8302"/>
        </w:tabs>
        <w:rPr>
          <w:rFonts w:eastAsiaTheme="minorEastAsia" w:cstheme="minorBidi"/>
        </w:rPr>
      </w:pPr>
      <w:hyperlink w:anchor="_Toc15644893" w:history="1">
        <w:r w:rsidR="003B2F8C" w:rsidRPr="00725D3D">
          <w:rPr>
            <w:rStyle w:val="Hyperlink"/>
          </w:rPr>
          <w:t>Recommendation 8</w:t>
        </w:r>
        <w:r w:rsidR="003B2F8C">
          <w:rPr>
            <w:webHidden/>
          </w:rPr>
          <w:tab/>
        </w:r>
        <w:r w:rsidR="003B2F8C">
          <w:rPr>
            <w:webHidden/>
          </w:rPr>
          <w:fldChar w:fldCharType="begin"/>
        </w:r>
        <w:r w:rsidR="003B2F8C">
          <w:rPr>
            <w:webHidden/>
          </w:rPr>
          <w:instrText xml:space="preserve"> PAGEREF _Toc15644893 \h </w:instrText>
        </w:r>
        <w:r w:rsidR="003B2F8C">
          <w:rPr>
            <w:webHidden/>
          </w:rPr>
        </w:r>
        <w:r w:rsidR="003B2F8C">
          <w:rPr>
            <w:webHidden/>
          </w:rPr>
          <w:fldChar w:fldCharType="separate"/>
        </w:r>
        <w:r w:rsidR="003B2F8C">
          <w:rPr>
            <w:webHidden/>
          </w:rPr>
          <w:t>69</w:t>
        </w:r>
        <w:r w:rsidR="003B2F8C">
          <w:rPr>
            <w:webHidden/>
          </w:rPr>
          <w:fldChar w:fldCharType="end"/>
        </w:r>
      </w:hyperlink>
    </w:p>
    <w:p w14:paraId="4943E487" w14:textId="12469E32" w:rsidR="003B2F8C" w:rsidRDefault="009A6E3D">
      <w:pPr>
        <w:pStyle w:val="TOC3"/>
        <w:tabs>
          <w:tab w:val="right" w:leader="dot" w:pos="8302"/>
        </w:tabs>
        <w:rPr>
          <w:rFonts w:eastAsiaTheme="minorEastAsia" w:cstheme="minorBidi"/>
        </w:rPr>
      </w:pPr>
      <w:hyperlink w:anchor="_Toc15644894" w:history="1">
        <w:r w:rsidR="003B2F8C" w:rsidRPr="00725D3D">
          <w:rPr>
            <w:rStyle w:val="Hyperlink"/>
          </w:rPr>
          <w:t>Rationale 8</w:t>
        </w:r>
        <w:r w:rsidR="003B2F8C">
          <w:rPr>
            <w:webHidden/>
          </w:rPr>
          <w:tab/>
        </w:r>
        <w:r w:rsidR="003B2F8C">
          <w:rPr>
            <w:webHidden/>
          </w:rPr>
          <w:fldChar w:fldCharType="begin"/>
        </w:r>
        <w:r w:rsidR="003B2F8C">
          <w:rPr>
            <w:webHidden/>
          </w:rPr>
          <w:instrText xml:space="preserve"> PAGEREF _Toc15644894 \h </w:instrText>
        </w:r>
        <w:r w:rsidR="003B2F8C">
          <w:rPr>
            <w:webHidden/>
          </w:rPr>
        </w:r>
        <w:r w:rsidR="003B2F8C">
          <w:rPr>
            <w:webHidden/>
          </w:rPr>
          <w:fldChar w:fldCharType="separate"/>
        </w:r>
        <w:r w:rsidR="003B2F8C">
          <w:rPr>
            <w:webHidden/>
          </w:rPr>
          <w:t>69</w:t>
        </w:r>
        <w:r w:rsidR="003B2F8C">
          <w:rPr>
            <w:webHidden/>
          </w:rPr>
          <w:fldChar w:fldCharType="end"/>
        </w:r>
      </w:hyperlink>
    </w:p>
    <w:p w14:paraId="4CA2DD1E" w14:textId="19266062" w:rsidR="003B2F8C" w:rsidRDefault="009A6E3D">
      <w:pPr>
        <w:pStyle w:val="TOC3"/>
        <w:tabs>
          <w:tab w:val="right" w:leader="dot" w:pos="8302"/>
        </w:tabs>
        <w:rPr>
          <w:rFonts w:eastAsiaTheme="minorEastAsia" w:cstheme="minorBidi"/>
        </w:rPr>
      </w:pPr>
      <w:hyperlink w:anchor="_Toc15644895" w:history="1">
        <w:r w:rsidR="003B2F8C" w:rsidRPr="00725D3D">
          <w:rPr>
            <w:rStyle w:val="Hyperlink"/>
          </w:rPr>
          <w:t>Recommendation 9</w:t>
        </w:r>
        <w:r w:rsidR="003B2F8C">
          <w:rPr>
            <w:webHidden/>
          </w:rPr>
          <w:tab/>
        </w:r>
        <w:r w:rsidR="003B2F8C">
          <w:rPr>
            <w:webHidden/>
          </w:rPr>
          <w:fldChar w:fldCharType="begin"/>
        </w:r>
        <w:r w:rsidR="003B2F8C">
          <w:rPr>
            <w:webHidden/>
          </w:rPr>
          <w:instrText xml:space="preserve"> PAGEREF _Toc15644895 \h </w:instrText>
        </w:r>
        <w:r w:rsidR="003B2F8C">
          <w:rPr>
            <w:webHidden/>
          </w:rPr>
        </w:r>
        <w:r w:rsidR="003B2F8C">
          <w:rPr>
            <w:webHidden/>
          </w:rPr>
          <w:fldChar w:fldCharType="separate"/>
        </w:r>
        <w:r w:rsidR="003B2F8C">
          <w:rPr>
            <w:webHidden/>
          </w:rPr>
          <w:t>70</w:t>
        </w:r>
        <w:r w:rsidR="003B2F8C">
          <w:rPr>
            <w:webHidden/>
          </w:rPr>
          <w:fldChar w:fldCharType="end"/>
        </w:r>
      </w:hyperlink>
    </w:p>
    <w:p w14:paraId="1F09AC14" w14:textId="6F7146DC" w:rsidR="003B2F8C" w:rsidRDefault="009A6E3D">
      <w:pPr>
        <w:pStyle w:val="TOC3"/>
        <w:tabs>
          <w:tab w:val="right" w:leader="dot" w:pos="8302"/>
        </w:tabs>
        <w:rPr>
          <w:rFonts w:eastAsiaTheme="minorEastAsia" w:cstheme="minorBidi"/>
        </w:rPr>
      </w:pPr>
      <w:hyperlink w:anchor="_Toc15644896" w:history="1">
        <w:r w:rsidR="003B2F8C" w:rsidRPr="00725D3D">
          <w:rPr>
            <w:rStyle w:val="Hyperlink"/>
          </w:rPr>
          <w:t>Rationale 9</w:t>
        </w:r>
        <w:r w:rsidR="003B2F8C">
          <w:rPr>
            <w:webHidden/>
          </w:rPr>
          <w:tab/>
        </w:r>
        <w:r w:rsidR="003B2F8C">
          <w:rPr>
            <w:webHidden/>
          </w:rPr>
          <w:fldChar w:fldCharType="begin"/>
        </w:r>
        <w:r w:rsidR="003B2F8C">
          <w:rPr>
            <w:webHidden/>
          </w:rPr>
          <w:instrText xml:space="preserve"> PAGEREF _Toc15644896 \h </w:instrText>
        </w:r>
        <w:r w:rsidR="003B2F8C">
          <w:rPr>
            <w:webHidden/>
          </w:rPr>
        </w:r>
        <w:r w:rsidR="003B2F8C">
          <w:rPr>
            <w:webHidden/>
          </w:rPr>
          <w:fldChar w:fldCharType="separate"/>
        </w:r>
        <w:r w:rsidR="003B2F8C">
          <w:rPr>
            <w:webHidden/>
          </w:rPr>
          <w:t>70</w:t>
        </w:r>
        <w:r w:rsidR="003B2F8C">
          <w:rPr>
            <w:webHidden/>
          </w:rPr>
          <w:fldChar w:fldCharType="end"/>
        </w:r>
      </w:hyperlink>
    </w:p>
    <w:p w14:paraId="511B4F7C" w14:textId="26D76F9F" w:rsidR="003B2F8C" w:rsidRDefault="009A6E3D">
      <w:pPr>
        <w:pStyle w:val="TOC2"/>
        <w:tabs>
          <w:tab w:val="right" w:leader="dot" w:pos="8302"/>
        </w:tabs>
        <w:rPr>
          <w:rFonts w:eastAsiaTheme="minorEastAsia" w:cstheme="minorBidi"/>
        </w:rPr>
      </w:pPr>
      <w:hyperlink w:anchor="_Toc15644897" w:history="1">
        <w:r w:rsidR="003B2F8C" w:rsidRPr="00725D3D">
          <w:rPr>
            <w:rStyle w:val="Hyperlink"/>
          </w:rPr>
          <w:t>Other recommendations</w:t>
        </w:r>
        <w:r w:rsidR="003B2F8C">
          <w:rPr>
            <w:webHidden/>
          </w:rPr>
          <w:tab/>
        </w:r>
        <w:r w:rsidR="003B2F8C">
          <w:rPr>
            <w:webHidden/>
          </w:rPr>
          <w:fldChar w:fldCharType="begin"/>
        </w:r>
        <w:r w:rsidR="003B2F8C">
          <w:rPr>
            <w:webHidden/>
          </w:rPr>
          <w:instrText xml:space="preserve"> PAGEREF _Toc15644897 \h </w:instrText>
        </w:r>
        <w:r w:rsidR="003B2F8C">
          <w:rPr>
            <w:webHidden/>
          </w:rPr>
        </w:r>
        <w:r w:rsidR="003B2F8C">
          <w:rPr>
            <w:webHidden/>
          </w:rPr>
          <w:fldChar w:fldCharType="separate"/>
        </w:r>
        <w:r w:rsidR="003B2F8C">
          <w:rPr>
            <w:webHidden/>
          </w:rPr>
          <w:t>70</w:t>
        </w:r>
        <w:r w:rsidR="003B2F8C">
          <w:rPr>
            <w:webHidden/>
          </w:rPr>
          <w:fldChar w:fldCharType="end"/>
        </w:r>
      </w:hyperlink>
    </w:p>
    <w:p w14:paraId="1FC5282F" w14:textId="009F0ABA" w:rsidR="003B2F8C" w:rsidRDefault="009A6E3D">
      <w:pPr>
        <w:pStyle w:val="TOC3"/>
        <w:tabs>
          <w:tab w:val="right" w:leader="dot" w:pos="8302"/>
        </w:tabs>
        <w:rPr>
          <w:rFonts w:eastAsiaTheme="minorEastAsia" w:cstheme="minorBidi"/>
        </w:rPr>
      </w:pPr>
      <w:hyperlink w:anchor="_Toc15644898" w:history="1">
        <w:r w:rsidR="003B2F8C" w:rsidRPr="00725D3D">
          <w:rPr>
            <w:rStyle w:val="Hyperlink"/>
          </w:rPr>
          <w:t>Recommendation 10</w:t>
        </w:r>
        <w:r w:rsidR="003B2F8C">
          <w:rPr>
            <w:webHidden/>
          </w:rPr>
          <w:tab/>
        </w:r>
        <w:r w:rsidR="003B2F8C">
          <w:rPr>
            <w:webHidden/>
          </w:rPr>
          <w:fldChar w:fldCharType="begin"/>
        </w:r>
        <w:r w:rsidR="003B2F8C">
          <w:rPr>
            <w:webHidden/>
          </w:rPr>
          <w:instrText xml:space="preserve"> PAGEREF _Toc15644898 \h </w:instrText>
        </w:r>
        <w:r w:rsidR="003B2F8C">
          <w:rPr>
            <w:webHidden/>
          </w:rPr>
        </w:r>
        <w:r w:rsidR="003B2F8C">
          <w:rPr>
            <w:webHidden/>
          </w:rPr>
          <w:fldChar w:fldCharType="separate"/>
        </w:r>
        <w:r w:rsidR="003B2F8C">
          <w:rPr>
            <w:webHidden/>
          </w:rPr>
          <w:t>70</w:t>
        </w:r>
        <w:r w:rsidR="003B2F8C">
          <w:rPr>
            <w:webHidden/>
          </w:rPr>
          <w:fldChar w:fldCharType="end"/>
        </w:r>
      </w:hyperlink>
    </w:p>
    <w:p w14:paraId="69A34845" w14:textId="011FA63D" w:rsidR="003B2F8C" w:rsidRDefault="009A6E3D">
      <w:pPr>
        <w:pStyle w:val="TOC3"/>
        <w:tabs>
          <w:tab w:val="right" w:leader="dot" w:pos="8302"/>
        </w:tabs>
        <w:rPr>
          <w:rFonts w:eastAsiaTheme="minorEastAsia" w:cstheme="minorBidi"/>
        </w:rPr>
      </w:pPr>
      <w:hyperlink w:anchor="_Toc15644899" w:history="1">
        <w:r w:rsidR="003B2F8C" w:rsidRPr="00725D3D">
          <w:rPr>
            <w:rStyle w:val="Hyperlink"/>
          </w:rPr>
          <w:t>Rationale 10</w:t>
        </w:r>
        <w:r w:rsidR="003B2F8C">
          <w:rPr>
            <w:webHidden/>
          </w:rPr>
          <w:tab/>
        </w:r>
        <w:r w:rsidR="003B2F8C">
          <w:rPr>
            <w:webHidden/>
          </w:rPr>
          <w:fldChar w:fldCharType="begin"/>
        </w:r>
        <w:r w:rsidR="003B2F8C">
          <w:rPr>
            <w:webHidden/>
          </w:rPr>
          <w:instrText xml:space="preserve"> PAGEREF _Toc15644899 \h </w:instrText>
        </w:r>
        <w:r w:rsidR="003B2F8C">
          <w:rPr>
            <w:webHidden/>
          </w:rPr>
        </w:r>
        <w:r w:rsidR="003B2F8C">
          <w:rPr>
            <w:webHidden/>
          </w:rPr>
          <w:fldChar w:fldCharType="separate"/>
        </w:r>
        <w:r w:rsidR="003B2F8C">
          <w:rPr>
            <w:webHidden/>
          </w:rPr>
          <w:t>71</w:t>
        </w:r>
        <w:r w:rsidR="003B2F8C">
          <w:rPr>
            <w:webHidden/>
          </w:rPr>
          <w:fldChar w:fldCharType="end"/>
        </w:r>
      </w:hyperlink>
    </w:p>
    <w:p w14:paraId="38187DEC" w14:textId="0614F7BE" w:rsidR="003B2F8C" w:rsidRDefault="009A6E3D">
      <w:pPr>
        <w:pStyle w:val="TOC3"/>
        <w:tabs>
          <w:tab w:val="right" w:leader="dot" w:pos="8302"/>
        </w:tabs>
        <w:rPr>
          <w:rFonts w:eastAsiaTheme="minorEastAsia" w:cstheme="minorBidi"/>
        </w:rPr>
      </w:pPr>
      <w:hyperlink w:anchor="_Toc15644900" w:history="1">
        <w:r w:rsidR="003B2F8C" w:rsidRPr="00725D3D">
          <w:rPr>
            <w:rStyle w:val="Hyperlink"/>
          </w:rPr>
          <w:t>Recommendation 11</w:t>
        </w:r>
        <w:r w:rsidR="003B2F8C">
          <w:rPr>
            <w:webHidden/>
          </w:rPr>
          <w:tab/>
        </w:r>
        <w:r w:rsidR="003B2F8C">
          <w:rPr>
            <w:webHidden/>
          </w:rPr>
          <w:fldChar w:fldCharType="begin"/>
        </w:r>
        <w:r w:rsidR="003B2F8C">
          <w:rPr>
            <w:webHidden/>
          </w:rPr>
          <w:instrText xml:space="preserve"> PAGEREF _Toc15644900 \h </w:instrText>
        </w:r>
        <w:r w:rsidR="003B2F8C">
          <w:rPr>
            <w:webHidden/>
          </w:rPr>
        </w:r>
        <w:r w:rsidR="003B2F8C">
          <w:rPr>
            <w:webHidden/>
          </w:rPr>
          <w:fldChar w:fldCharType="separate"/>
        </w:r>
        <w:r w:rsidR="003B2F8C">
          <w:rPr>
            <w:webHidden/>
          </w:rPr>
          <w:t>71</w:t>
        </w:r>
        <w:r w:rsidR="003B2F8C">
          <w:rPr>
            <w:webHidden/>
          </w:rPr>
          <w:fldChar w:fldCharType="end"/>
        </w:r>
      </w:hyperlink>
    </w:p>
    <w:p w14:paraId="1EA38E12" w14:textId="5849821D" w:rsidR="003B2F8C" w:rsidRDefault="009A6E3D">
      <w:pPr>
        <w:pStyle w:val="TOC3"/>
        <w:tabs>
          <w:tab w:val="right" w:leader="dot" w:pos="8302"/>
        </w:tabs>
        <w:rPr>
          <w:rFonts w:eastAsiaTheme="minorEastAsia" w:cstheme="minorBidi"/>
        </w:rPr>
      </w:pPr>
      <w:hyperlink w:anchor="_Toc15644901" w:history="1">
        <w:r w:rsidR="003B2F8C" w:rsidRPr="00725D3D">
          <w:rPr>
            <w:rStyle w:val="Hyperlink"/>
          </w:rPr>
          <w:t>Rationale 11</w:t>
        </w:r>
        <w:r w:rsidR="003B2F8C">
          <w:rPr>
            <w:webHidden/>
          </w:rPr>
          <w:tab/>
        </w:r>
        <w:r w:rsidR="003B2F8C">
          <w:rPr>
            <w:webHidden/>
          </w:rPr>
          <w:fldChar w:fldCharType="begin"/>
        </w:r>
        <w:r w:rsidR="003B2F8C">
          <w:rPr>
            <w:webHidden/>
          </w:rPr>
          <w:instrText xml:space="preserve"> PAGEREF _Toc15644901 \h </w:instrText>
        </w:r>
        <w:r w:rsidR="003B2F8C">
          <w:rPr>
            <w:webHidden/>
          </w:rPr>
        </w:r>
        <w:r w:rsidR="003B2F8C">
          <w:rPr>
            <w:webHidden/>
          </w:rPr>
          <w:fldChar w:fldCharType="separate"/>
        </w:r>
        <w:r w:rsidR="003B2F8C">
          <w:rPr>
            <w:webHidden/>
          </w:rPr>
          <w:t>71</w:t>
        </w:r>
        <w:r w:rsidR="003B2F8C">
          <w:rPr>
            <w:webHidden/>
          </w:rPr>
          <w:fldChar w:fldCharType="end"/>
        </w:r>
      </w:hyperlink>
    </w:p>
    <w:p w14:paraId="038DF906" w14:textId="0971C212" w:rsidR="003B2F8C" w:rsidRDefault="009A6E3D">
      <w:pPr>
        <w:pStyle w:val="TOC1"/>
        <w:rPr>
          <w:rFonts w:eastAsiaTheme="minorEastAsia" w:cstheme="minorBidi"/>
          <w:b w:val="0"/>
        </w:rPr>
      </w:pPr>
      <w:hyperlink w:anchor="_Toc15644902" w:history="1">
        <w:r w:rsidR="003B2F8C" w:rsidRPr="00725D3D">
          <w:rPr>
            <w:rStyle w:val="Hyperlink"/>
          </w:rPr>
          <w:t>5.</w:t>
        </w:r>
        <w:r w:rsidR="003B2F8C">
          <w:rPr>
            <w:rFonts w:eastAsiaTheme="minorEastAsia" w:cstheme="minorBidi"/>
            <w:b w:val="0"/>
          </w:rPr>
          <w:tab/>
        </w:r>
        <w:r w:rsidR="003B2F8C" w:rsidRPr="00725D3D">
          <w:rPr>
            <w:rStyle w:val="Hyperlink"/>
          </w:rPr>
          <w:t>Stakeholder Impact statement</w:t>
        </w:r>
        <w:r w:rsidR="003B2F8C">
          <w:rPr>
            <w:webHidden/>
          </w:rPr>
          <w:tab/>
        </w:r>
        <w:r w:rsidR="003B2F8C">
          <w:rPr>
            <w:webHidden/>
          </w:rPr>
          <w:fldChar w:fldCharType="begin"/>
        </w:r>
        <w:r w:rsidR="003B2F8C">
          <w:rPr>
            <w:webHidden/>
          </w:rPr>
          <w:instrText xml:space="preserve"> PAGEREF _Toc15644902 \h </w:instrText>
        </w:r>
        <w:r w:rsidR="003B2F8C">
          <w:rPr>
            <w:webHidden/>
          </w:rPr>
        </w:r>
        <w:r w:rsidR="003B2F8C">
          <w:rPr>
            <w:webHidden/>
          </w:rPr>
          <w:fldChar w:fldCharType="separate"/>
        </w:r>
        <w:r w:rsidR="003B2F8C">
          <w:rPr>
            <w:webHidden/>
          </w:rPr>
          <w:t>72</w:t>
        </w:r>
        <w:r w:rsidR="003B2F8C">
          <w:rPr>
            <w:webHidden/>
          </w:rPr>
          <w:fldChar w:fldCharType="end"/>
        </w:r>
      </w:hyperlink>
    </w:p>
    <w:p w14:paraId="7896FC4B" w14:textId="0936CE85" w:rsidR="003B2F8C" w:rsidRDefault="009A6E3D">
      <w:pPr>
        <w:pStyle w:val="TOC1"/>
        <w:rPr>
          <w:rFonts w:eastAsiaTheme="minorEastAsia" w:cstheme="minorBidi"/>
          <w:b w:val="0"/>
        </w:rPr>
      </w:pPr>
      <w:hyperlink w:anchor="_Toc15644903" w:history="1">
        <w:r w:rsidR="003B2F8C" w:rsidRPr="00725D3D">
          <w:rPr>
            <w:rStyle w:val="Hyperlink"/>
          </w:rPr>
          <w:t>6.</w:t>
        </w:r>
        <w:r w:rsidR="003B2F8C">
          <w:rPr>
            <w:rFonts w:eastAsiaTheme="minorEastAsia" w:cstheme="minorBidi"/>
            <w:b w:val="0"/>
          </w:rPr>
          <w:tab/>
        </w:r>
        <w:r w:rsidR="003B2F8C" w:rsidRPr="00725D3D">
          <w:rPr>
            <w:rStyle w:val="Hyperlink"/>
          </w:rPr>
          <w:t>Glossary</w:t>
        </w:r>
        <w:r w:rsidR="003B2F8C">
          <w:rPr>
            <w:webHidden/>
          </w:rPr>
          <w:tab/>
        </w:r>
        <w:r w:rsidR="003B2F8C">
          <w:rPr>
            <w:webHidden/>
          </w:rPr>
          <w:fldChar w:fldCharType="begin"/>
        </w:r>
        <w:r w:rsidR="003B2F8C">
          <w:rPr>
            <w:webHidden/>
          </w:rPr>
          <w:instrText xml:space="preserve"> PAGEREF _Toc15644903 \h </w:instrText>
        </w:r>
        <w:r w:rsidR="003B2F8C">
          <w:rPr>
            <w:webHidden/>
          </w:rPr>
        </w:r>
        <w:r w:rsidR="003B2F8C">
          <w:rPr>
            <w:webHidden/>
          </w:rPr>
          <w:fldChar w:fldCharType="separate"/>
        </w:r>
        <w:r w:rsidR="003B2F8C">
          <w:rPr>
            <w:webHidden/>
          </w:rPr>
          <w:t>73</w:t>
        </w:r>
        <w:r w:rsidR="003B2F8C">
          <w:rPr>
            <w:webHidden/>
          </w:rPr>
          <w:fldChar w:fldCharType="end"/>
        </w:r>
      </w:hyperlink>
    </w:p>
    <w:p w14:paraId="5359D463" w14:textId="36EFFCC8" w:rsidR="003B2F8C" w:rsidRDefault="009A6E3D">
      <w:pPr>
        <w:pStyle w:val="TOC1"/>
        <w:tabs>
          <w:tab w:val="left" w:pos="1474"/>
        </w:tabs>
        <w:rPr>
          <w:rFonts w:eastAsiaTheme="minorEastAsia" w:cstheme="minorBidi"/>
          <w:b w:val="0"/>
        </w:rPr>
      </w:pPr>
      <w:hyperlink w:anchor="_Toc15644904" w:history="1">
        <w:r w:rsidR="003B2F8C" w:rsidRPr="00725D3D">
          <w:rPr>
            <w:rStyle w:val="Hyperlink"/>
            <w14:scene3d>
              <w14:camera w14:prst="orthographicFront"/>
              <w14:lightRig w14:rig="threePt" w14:dir="t">
                <w14:rot w14:lat="0" w14:lon="0" w14:rev="0"/>
              </w14:lightRig>
            </w14:scene3d>
          </w:rPr>
          <w:t>Appendix A</w:t>
        </w:r>
        <w:r w:rsidR="003B2F8C">
          <w:rPr>
            <w:rFonts w:eastAsiaTheme="minorEastAsia" w:cstheme="minorBidi"/>
            <w:b w:val="0"/>
          </w:rPr>
          <w:tab/>
        </w:r>
        <w:r w:rsidR="003B2F8C" w:rsidRPr="00725D3D">
          <w:rPr>
            <w:rStyle w:val="Hyperlink"/>
          </w:rPr>
          <w:t>Chronic Disease Management Items</w:t>
        </w:r>
        <w:r w:rsidR="003B2F8C">
          <w:rPr>
            <w:webHidden/>
          </w:rPr>
          <w:tab/>
        </w:r>
        <w:r w:rsidR="003B2F8C">
          <w:rPr>
            <w:webHidden/>
          </w:rPr>
          <w:fldChar w:fldCharType="begin"/>
        </w:r>
        <w:r w:rsidR="003B2F8C">
          <w:rPr>
            <w:webHidden/>
          </w:rPr>
          <w:instrText xml:space="preserve"> PAGEREF _Toc15644904 \h </w:instrText>
        </w:r>
        <w:r w:rsidR="003B2F8C">
          <w:rPr>
            <w:webHidden/>
          </w:rPr>
        </w:r>
        <w:r w:rsidR="003B2F8C">
          <w:rPr>
            <w:webHidden/>
          </w:rPr>
          <w:fldChar w:fldCharType="separate"/>
        </w:r>
        <w:r w:rsidR="003B2F8C">
          <w:rPr>
            <w:webHidden/>
          </w:rPr>
          <w:t>75</w:t>
        </w:r>
        <w:r w:rsidR="003B2F8C">
          <w:rPr>
            <w:webHidden/>
          </w:rPr>
          <w:fldChar w:fldCharType="end"/>
        </w:r>
      </w:hyperlink>
    </w:p>
    <w:p w14:paraId="3835BFA5" w14:textId="03796404" w:rsidR="003B2F8C" w:rsidRDefault="009A6E3D">
      <w:pPr>
        <w:pStyle w:val="TOC1"/>
        <w:tabs>
          <w:tab w:val="left" w:pos="1474"/>
        </w:tabs>
        <w:rPr>
          <w:rFonts w:eastAsiaTheme="minorEastAsia" w:cstheme="minorBidi"/>
          <w:b w:val="0"/>
        </w:rPr>
      </w:pPr>
      <w:hyperlink w:anchor="_Toc15644905" w:history="1">
        <w:r w:rsidR="003B2F8C" w:rsidRPr="00725D3D">
          <w:rPr>
            <w:rStyle w:val="Hyperlink"/>
            <w14:scene3d>
              <w14:camera w14:prst="orthographicFront"/>
              <w14:lightRig w14:rig="threePt" w14:dir="t">
                <w14:rot w14:lat="0" w14:lon="0" w14:rev="0"/>
              </w14:lightRig>
            </w14:scene3d>
          </w:rPr>
          <w:t>Appendix B</w:t>
        </w:r>
        <w:r w:rsidR="003B2F8C">
          <w:rPr>
            <w:rFonts w:eastAsiaTheme="minorEastAsia" w:cstheme="minorBidi"/>
            <w:b w:val="0"/>
          </w:rPr>
          <w:tab/>
        </w:r>
        <w:r w:rsidR="003B2F8C" w:rsidRPr="00725D3D">
          <w:rPr>
            <w:rStyle w:val="Hyperlink"/>
          </w:rPr>
          <w:t>Medication Management Items</w:t>
        </w:r>
        <w:r w:rsidR="003B2F8C">
          <w:rPr>
            <w:webHidden/>
          </w:rPr>
          <w:tab/>
        </w:r>
        <w:r w:rsidR="003B2F8C">
          <w:rPr>
            <w:webHidden/>
          </w:rPr>
          <w:fldChar w:fldCharType="begin"/>
        </w:r>
        <w:r w:rsidR="003B2F8C">
          <w:rPr>
            <w:webHidden/>
          </w:rPr>
          <w:instrText xml:space="preserve"> PAGEREF _Toc15644905 \h </w:instrText>
        </w:r>
        <w:r w:rsidR="003B2F8C">
          <w:rPr>
            <w:webHidden/>
          </w:rPr>
        </w:r>
        <w:r w:rsidR="003B2F8C">
          <w:rPr>
            <w:webHidden/>
          </w:rPr>
          <w:fldChar w:fldCharType="separate"/>
        </w:r>
        <w:r w:rsidR="003B2F8C">
          <w:rPr>
            <w:webHidden/>
          </w:rPr>
          <w:t>79</w:t>
        </w:r>
        <w:r w:rsidR="003B2F8C">
          <w:rPr>
            <w:webHidden/>
          </w:rPr>
          <w:fldChar w:fldCharType="end"/>
        </w:r>
      </w:hyperlink>
    </w:p>
    <w:p w14:paraId="0105E314" w14:textId="2FEFB750" w:rsidR="003B2F8C" w:rsidRDefault="009A6E3D">
      <w:pPr>
        <w:pStyle w:val="TOC1"/>
        <w:tabs>
          <w:tab w:val="left" w:pos="1474"/>
        </w:tabs>
        <w:rPr>
          <w:rFonts w:eastAsiaTheme="minorEastAsia" w:cstheme="minorBidi"/>
          <w:b w:val="0"/>
        </w:rPr>
      </w:pPr>
      <w:hyperlink w:anchor="_Toc15644906" w:history="1">
        <w:r w:rsidR="003B2F8C" w:rsidRPr="00725D3D">
          <w:rPr>
            <w:rStyle w:val="Hyperlink"/>
            <w14:scene3d>
              <w14:camera w14:prst="orthographicFront"/>
              <w14:lightRig w14:rig="threePt" w14:dir="t">
                <w14:rot w14:lat="0" w14:lon="0" w14:rev="0"/>
              </w14:lightRig>
            </w14:scene3d>
          </w:rPr>
          <w:t>Appendix C</w:t>
        </w:r>
        <w:r w:rsidR="003B2F8C">
          <w:rPr>
            <w:rFonts w:eastAsiaTheme="minorEastAsia" w:cstheme="minorBidi"/>
            <w:b w:val="0"/>
          </w:rPr>
          <w:tab/>
        </w:r>
        <w:r w:rsidR="003B2F8C" w:rsidRPr="00725D3D">
          <w:rPr>
            <w:rStyle w:val="Hyperlink"/>
          </w:rPr>
          <w:t>Health Assessment Items</w:t>
        </w:r>
        <w:r w:rsidR="003B2F8C">
          <w:rPr>
            <w:webHidden/>
          </w:rPr>
          <w:tab/>
        </w:r>
        <w:r w:rsidR="003B2F8C">
          <w:rPr>
            <w:webHidden/>
          </w:rPr>
          <w:fldChar w:fldCharType="begin"/>
        </w:r>
        <w:r w:rsidR="003B2F8C">
          <w:rPr>
            <w:webHidden/>
          </w:rPr>
          <w:instrText xml:space="preserve"> PAGEREF _Toc15644906 \h </w:instrText>
        </w:r>
        <w:r w:rsidR="003B2F8C">
          <w:rPr>
            <w:webHidden/>
          </w:rPr>
        </w:r>
        <w:r w:rsidR="003B2F8C">
          <w:rPr>
            <w:webHidden/>
          </w:rPr>
          <w:fldChar w:fldCharType="separate"/>
        </w:r>
        <w:r w:rsidR="003B2F8C">
          <w:rPr>
            <w:webHidden/>
          </w:rPr>
          <w:t>81</w:t>
        </w:r>
        <w:r w:rsidR="003B2F8C">
          <w:rPr>
            <w:webHidden/>
          </w:rPr>
          <w:fldChar w:fldCharType="end"/>
        </w:r>
      </w:hyperlink>
    </w:p>
    <w:p w14:paraId="59E52A57" w14:textId="43D78DF8" w:rsidR="003B2F8C" w:rsidRDefault="009A6E3D">
      <w:pPr>
        <w:pStyle w:val="TOC1"/>
        <w:tabs>
          <w:tab w:val="left" w:pos="1474"/>
        </w:tabs>
        <w:rPr>
          <w:rFonts w:eastAsiaTheme="minorEastAsia" w:cstheme="minorBidi"/>
          <w:b w:val="0"/>
        </w:rPr>
      </w:pPr>
      <w:hyperlink w:anchor="_Toc15644907" w:history="1">
        <w:r w:rsidR="003B2F8C" w:rsidRPr="00725D3D">
          <w:rPr>
            <w:rStyle w:val="Hyperlink"/>
            <w14:scene3d>
              <w14:camera w14:prst="orthographicFront"/>
              <w14:lightRig w14:rig="threePt" w14:dir="t">
                <w14:rot w14:lat="0" w14:lon="0" w14:rev="0"/>
              </w14:lightRig>
            </w14:scene3d>
          </w:rPr>
          <w:t>Appendix D</w:t>
        </w:r>
        <w:r w:rsidR="003B2F8C">
          <w:rPr>
            <w:rFonts w:eastAsiaTheme="minorEastAsia" w:cstheme="minorBidi"/>
            <w:b w:val="0"/>
          </w:rPr>
          <w:tab/>
        </w:r>
        <w:r w:rsidR="003B2F8C" w:rsidRPr="00725D3D">
          <w:rPr>
            <w:rStyle w:val="Hyperlink"/>
          </w:rPr>
          <w:t>Consultation Items</w:t>
        </w:r>
        <w:r w:rsidR="003B2F8C">
          <w:rPr>
            <w:webHidden/>
          </w:rPr>
          <w:tab/>
        </w:r>
        <w:r w:rsidR="003B2F8C">
          <w:rPr>
            <w:webHidden/>
          </w:rPr>
          <w:fldChar w:fldCharType="begin"/>
        </w:r>
        <w:r w:rsidR="003B2F8C">
          <w:rPr>
            <w:webHidden/>
          </w:rPr>
          <w:instrText xml:space="preserve"> PAGEREF _Toc15644907 \h </w:instrText>
        </w:r>
        <w:r w:rsidR="003B2F8C">
          <w:rPr>
            <w:webHidden/>
          </w:rPr>
        </w:r>
        <w:r w:rsidR="003B2F8C">
          <w:rPr>
            <w:webHidden/>
          </w:rPr>
          <w:fldChar w:fldCharType="separate"/>
        </w:r>
        <w:r w:rsidR="003B2F8C">
          <w:rPr>
            <w:webHidden/>
          </w:rPr>
          <w:t>84</w:t>
        </w:r>
        <w:r w:rsidR="003B2F8C">
          <w:rPr>
            <w:webHidden/>
          </w:rPr>
          <w:fldChar w:fldCharType="end"/>
        </w:r>
      </w:hyperlink>
    </w:p>
    <w:p w14:paraId="47962EA9" w14:textId="24A4EC5C" w:rsidR="003B2F8C" w:rsidRDefault="009A6E3D">
      <w:pPr>
        <w:pStyle w:val="TOC1"/>
        <w:tabs>
          <w:tab w:val="left" w:pos="1474"/>
        </w:tabs>
        <w:rPr>
          <w:rFonts w:eastAsiaTheme="minorEastAsia" w:cstheme="minorBidi"/>
          <w:b w:val="0"/>
        </w:rPr>
      </w:pPr>
      <w:hyperlink w:anchor="_Toc15644908" w:history="1">
        <w:r w:rsidR="003B2F8C" w:rsidRPr="00725D3D">
          <w:rPr>
            <w:rStyle w:val="Hyperlink"/>
            <w14:scene3d>
              <w14:camera w14:prst="orthographicFront"/>
              <w14:lightRig w14:rig="threePt" w14:dir="t">
                <w14:rot w14:lat="0" w14:lon="0" w14:rev="0"/>
              </w14:lightRig>
            </w14:scene3d>
          </w:rPr>
          <w:t>Appendix E</w:t>
        </w:r>
        <w:r w:rsidR="003B2F8C">
          <w:rPr>
            <w:rFonts w:eastAsiaTheme="minorEastAsia" w:cstheme="minorBidi"/>
            <w:b w:val="0"/>
          </w:rPr>
          <w:tab/>
        </w:r>
        <w:r w:rsidR="003B2F8C" w:rsidRPr="00725D3D">
          <w:rPr>
            <w:rStyle w:val="Hyperlink"/>
          </w:rPr>
          <w:t>Summary for consumers</w:t>
        </w:r>
        <w:r w:rsidR="003B2F8C">
          <w:rPr>
            <w:webHidden/>
          </w:rPr>
          <w:tab/>
        </w:r>
        <w:r w:rsidR="003B2F8C">
          <w:rPr>
            <w:webHidden/>
          </w:rPr>
          <w:fldChar w:fldCharType="begin"/>
        </w:r>
        <w:r w:rsidR="003B2F8C">
          <w:rPr>
            <w:webHidden/>
          </w:rPr>
          <w:instrText xml:space="preserve"> PAGEREF _Toc15644908 \h </w:instrText>
        </w:r>
        <w:r w:rsidR="003B2F8C">
          <w:rPr>
            <w:webHidden/>
          </w:rPr>
        </w:r>
        <w:r w:rsidR="003B2F8C">
          <w:rPr>
            <w:webHidden/>
          </w:rPr>
          <w:fldChar w:fldCharType="separate"/>
        </w:r>
        <w:r w:rsidR="003B2F8C">
          <w:rPr>
            <w:webHidden/>
          </w:rPr>
          <w:t>116</w:t>
        </w:r>
        <w:r w:rsidR="003B2F8C">
          <w:rPr>
            <w:webHidden/>
          </w:rPr>
          <w:fldChar w:fldCharType="end"/>
        </w:r>
      </w:hyperlink>
    </w:p>
    <w:p w14:paraId="49764F73" w14:textId="77777777" w:rsidR="005D5E49" w:rsidRDefault="00A0282E">
      <w:pPr>
        <w:pStyle w:val="TableofFigures"/>
        <w:tabs>
          <w:tab w:val="right" w:leader="dot" w:pos="8302"/>
        </w:tabs>
        <w:rPr>
          <w:b/>
          <w:bCs/>
          <w:noProof/>
          <w:color w:val="01653F"/>
          <w:sz w:val="32"/>
          <w:szCs w:val="32"/>
        </w:rPr>
      </w:pPr>
      <w:r>
        <w:rPr>
          <w:noProof/>
          <w:sz w:val="22"/>
          <w:szCs w:val="22"/>
        </w:rPr>
        <w:fldChar w:fldCharType="end"/>
      </w:r>
      <w:r w:rsidR="00681471" w:rsidRPr="004F50BA">
        <w:br w:type="page"/>
      </w:r>
      <w:r w:rsidR="0011166D" w:rsidRPr="003B1222">
        <w:rPr>
          <w:b/>
          <w:bCs/>
          <w:noProof/>
          <w:color w:val="01653F"/>
          <w:sz w:val="32"/>
          <w:szCs w:val="32"/>
        </w:rPr>
        <w:t xml:space="preserve">List of </w:t>
      </w:r>
      <w:r w:rsidR="00875B90" w:rsidRPr="007A78DA">
        <w:rPr>
          <w:b/>
          <w:bCs/>
          <w:noProof/>
          <w:color w:val="01653F"/>
          <w:sz w:val="32"/>
          <w:szCs w:val="32"/>
        </w:rPr>
        <w:t>t</w:t>
      </w:r>
      <w:r w:rsidR="0011166D" w:rsidRPr="003B1222">
        <w:rPr>
          <w:b/>
          <w:bCs/>
          <w:noProof/>
          <w:color w:val="01653F"/>
          <w:sz w:val="32"/>
          <w:szCs w:val="32"/>
        </w:rPr>
        <w:t>ables</w:t>
      </w:r>
    </w:p>
    <w:p w14:paraId="4C7F9DC9" w14:textId="4FB40D7D" w:rsidR="003B2F8C" w:rsidRDefault="00240E05">
      <w:pPr>
        <w:pStyle w:val="TableofFigures"/>
        <w:tabs>
          <w:tab w:val="right" w:leader="dot" w:pos="8302"/>
        </w:tabs>
        <w:rPr>
          <w:rFonts w:eastAsiaTheme="minorEastAsia" w:cstheme="minorBidi"/>
          <w:noProof/>
          <w:sz w:val="22"/>
          <w:szCs w:val="22"/>
        </w:rPr>
      </w:pPr>
      <w:r w:rsidRPr="003D282A">
        <w:fldChar w:fldCharType="begin"/>
      </w:r>
      <w:r w:rsidR="0011166D" w:rsidRPr="003D282A">
        <w:instrText xml:space="preserve"> TOC \h \z \c "Table" </w:instrText>
      </w:r>
      <w:r w:rsidRPr="003D282A">
        <w:fldChar w:fldCharType="separate"/>
      </w:r>
      <w:hyperlink w:anchor="_Toc15644909" w:history="1">
        <w:r w:rsidR="003B2F8C" w:rsidRPr="00ED3F50">
          <w:rPr>
            <w:rStyle w:val="Hyperlink"/>
            <w:noProof/>
          </w:rPr>
          <w:t>Table 1: General Practice and Primary Care Clinical Committee members</w:t>
        </w:r>
        <w:r w:rsidR="003B2F8C">
          <w:rPr>
            <w:noProof/>
            <w:webHidden/>
          </w:rPr>
          <w:tab/>
        </w:r>
        <w:r w:rsidR="003B2F8C">
          <w:rPr>
            <w:noProof/>
            <w:webHidden/>
          </w:rPr>
          <w:fldChar w:fldCharType="begin"/>
        </w:r>
        <w:r w:rsidR="003B2F8C">
          <w:rPr>
            <w:noProof/>
            <w:webHidden/>
          </w:rPr>
          <w:instrText xml:space="preserve"> PAGEREF _Toc15644909 \h </w:instrText>
        </w:r>
        <w:r w:rsidR="003B2F8C">
          <w:rPr>
            <w:noProof/>
            <w:webHidden/>
          </w:rPr>
        </w:r>
        <w:r w:rsidR="003B2F8C">
          <w:rPr>
            <w:noProof/>
            <w:webHidden/>
          </w:rPr>
          <w:fldChar w:fldCharType="separate"/>
        </w:r>
        <w:r w:rsidR="003B2F8C">
          <w:rPr>
            <w:noProof/>
            <w:webHidden/>
          </w:rPr>
          <w:t>18</w:t>
        </w:r>
        <w:r w:rsidR="003B2F8C">
          <w:rPr>
            <w:noProof/>
            <w:webHidden/>
          </w:rPr>
          <w:fldChar w:fldCharType="end"/>
        </w:r>
      </w:hyperlink>
    </w:p>
    <w:p w14:paraId="56D51377" w14:textId="2ACBF393" w:rsidR="003B2F8C" w:rsidRDefault="009A6E3D">
      <w:pPr>
        <w:pStyle w:val="TableofFigures"/>
        <w:tabs>
          <w:tab w:val="right" w:leader="dot" w:pos="8302"/>
        </w:tabs>
        <w:rPr>
          <w:rFonts w:eastAsiaTheme="minorEastAsia" w:cstheme="minorBidi"/>
          <w:noProof/>
          <w:sz w:val="22"/>
          <w:szCs w:val="22"/>
        </w:rPr>
      </w:pPr>
      <w:hyperlink w:anchor="_Toc15644910" w:history="1">
        <w:r w:rsidR="003B2F8C" w:rsidRPr="00ED3F50">
          <w:rPr>
            <w:rStyle w:val="Hyperlink"/>
            <w:noProof/>
          </w:rPr>
          <w:t>Table 2: Chronic Disease Management Working Group members</w:t>
        </w:r>
        <w:r w:rsidR="003B2F8C">
          <w:rPr>
            <w:noProof/>
            <w:webHidden/>
          </w:rPr>
          <w:tab/>
        </w:r>
        <w:r w:rsidR="003B2F8C">
          <w:rPr>
            <w:noProof/>
            <w:webHidden/>
          </w:rPr>
          <w:fldChar w:fldCharType="begin"/>
        </w:r>
        <w:r w:rsidR="003B2F8C">
          <w:rPr>
            <w:noProof/>
            <w:webHidden/>
          </w:rPr>
          <w:instrText xml:space="preserve"> PAGEREF _Toc15644910 \h </w:instrText>
        </w:r>
        <w:r w:rsidR="003B2F8C">
          <w:rPr>
            <w:noProof/>
            <w:webHidden/>
          </w:rPr>
        </w:r>
        <w:r w:rsidR="003B2F8C">
          <w:rPr>
            <w:noProof/>
            <w:webHidden/>
          </w:rPr>
          <w:fldChar w:fldCharType="separate"/>
        </w:r>
        <w:r w:rsidR="003B2F8C">
          <w:rPr>
            <w:noProof/>
            <w:webHidden/>
          </w:rPr>
          <w:t>23</w:t>
        </w:r>
        <w:r w:rsidR="003B2F8C">
          <w:rPr>
            <w:noProof/>
            <w:webHidden/>
          </w:rPr>
          <w:fldChar w:fldCharType="end"/>
        </w:r>
      </w:hyperlink>
    </w:p>
    <w:p w14:paraId="56FDD1E5" w14:textId="77777777" w:rsidR="00A07AFD" w:rsidRDefault="00240E05" w:rsidP="00C848B4">
      <w:pPr>
        <w:pStyle w:val="TableofFigures"/>
        <w:tabs>
          <w:tab w:val="left" w:pos="1100"/>
          <w:tab w:val="right" w:leader="dot" w:pos="9016"/>
        </w:tabs>
      </w:pPr>
      <w:r w:rsidRPr="003D282A">
        <w:fldChar w:fldCharType="end"/>
      </w:r>
      <w:r w:rsidR="00A07AFD" w:rsidRPr="003D282A">
        <w:br w:type="page"/>
      </w:r>
    </w:p>
    <w:p w14:paraId="626A1EFF" w14:textId="77777777" w:rsidR="00681471" w:rsidRPr="0042615E" w:rsidRDefault="00681471" w:rsidP="00681471">
      <w:pPr>
        <w:pStyle w:val="TableofFigures"/>
        <w:tabs>
          <w:tab w:val="right" w:leader="dot" w:pos="9016"/>
        </w:tabs>
        <w:rPr>
          <w:b/>
          <w:bCs/>
          <w:noProof/>
          <w:color w:val="01653F"/>
          <w:sz w:val="32"/>
          <w:szCs w:val="32"/>
        </w:rPr>
      </w:pPr>
      <w:r w:rsidRPr="003B1222">
        <w:rPr>
          <w:b/>
          <w:bCs/>
          <w:noProof/>
          <w:color w:val="01653F"/>
          <w:sz w:val="32"/>
          <w:szCs w:val="32"/>
        </w:rPr>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09425D33" w14:textId="5A204C21" w:rsidR="003B2F8C" w:rsidRDefault="00817015">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15644911" w:history="1">
        <w:r w:rsidR="003B2F8C" w:rsidRPr="007A781E">
          <w:rPr>
            <w:rStyle w:val="Hyperlink"/>
            <w:noProof/>
          </w:rPr>
          <w:t>Figure 1: Prioritisation matrix</w:t>
        </w:r>
        <w:r w:rsidR="003B2F8C">
          <w:rPr>
            <w:noProof/>
            <w:webHidden/>
          </w:rPr>
          <w:tab/>
        </w:r>
        <w:r w:rsidR="003B2F8C">
          <w:rPr>
            <w:noProof/>
            <w:webHidden/>
          </w:rPr>
          <w:fldChar w:fldCharType="begin"/>
        </w:r>
        <w:r w:rsidR="003B2F8C">
          <w:rPr>
            <w:noProof/>
            <w:webHidden/>
          </w:rPr>
          <w:instrText xml:space="preserve"> PAGEREF _Toc15644911 \h </w:instrText>
        </w:r>
        <w:r w:rsidR="003B2F8C">
          <w:rPr>
            <w:noProof/>
            <w:webHidden/>
          </w:rPr>
        </w:r>
        <w:r w:rsidR="003B2F8C">
          <w:rPr>
            <w:noProof/>
            <w:webHidden/>
          </w:rPr>
          <w:fldChar w:fldCharType="separate"/>
        </w:r>
        <w:r w:rsidR="003B2F8C">
          <w:rPr>
            <w:noProof/>
            <w:webHidden/>
          </w:rPr>
          <w:t>16</w:t>
        </w:r>
        <w:r w:rsidR="003B2F8C">
          <w:rPr>
            <w:noProof/>
            <w:webHidden/>
          </w:rPr>
          <w:fldChar w:fldCharType="end"/>
        </w:r>
      </w:hyperlink>
    </w:p>
    <w:p w14:paraId="51FE2101" w14:textId="68337773" w:rsidR="003B2F8C" w:rsidRDefault="009A6E3D">
      <w:pPr>
        <w:pStyle w:val="TableofFigures"/>
        <w:tabs>
          <w:tab w:val="right" w:leader="dot" w:pos="8302"/>
        </w:tabs>
        <w:rPr>
          <w:rFonts w:eastAsiaTheme="minorEastAsia" w:cstheme="minorBidi"/>
          <w:noProof/>
          <w:sz w:val="22"/>
          <w:szCs w:val="22"/>
        </w:rPr>
      </w:pPr>
      <w:hyperlink w:anchor="_Toc15644912" w:history="1">
        <w:r w:rsidR="003B2F8C" w:rsidRPr="007A781E">
          <w:rPr>
            <w:rStyle w:val="Hyperlink"/>
            <w:noProof/>
          </w:rPr>
          <w:t>Figure 2: key statistics for A1 GP consultations, 2011-12 and 2016-17</w:t>
        </w:r>
        <w:r w:rsidR="003B2F8C">
          <w:rPr>
            <w:noProof/>
            <w:webHidden/>
          </w:rPr>
          <w:tab/>
        </w:r>
        <w:r w:rsidR="003B2F8C">
          <w:rPr>
            <w:noProof/>
            <w:webHidden/>
          </w:rPr>
          <w:fldChar w:fldCharType="begin"/>
        </w:r>
        <w:r w:rsidR="003B2F8C">
          <w:rPr>
            <w:noProof/>
            <w:webHidden/>
          </w:rPr>
          <w:instrText xml:space="preserve"> PAGEREF _Toc15644912 \h </w:instrText>
        </w:r>
        <w:r w:rsidR="003B2F8C">
          <w:rPr>
            <w:noProof/>
            <w:webHidden/>
          </w:rPr>
        </w:r>
        <w:r w:rsidR="003B2F8C">
          <w:rPr>
            <w:noProof/>
            <w:webHidden/>
          </w:rPr>
          <w:fldChar w:fldCharType="separate"/>
        </w:r>
        <w:r w:rsidR="003B2F8C">
          <w:rPr>
            <w:noProof/>
            <w:webHidden/>
          </w:rPr>
          <w:t>26</w:t>
        </w:r>
        <w:r w:rsidR="003B2F8C">
          <w:rPr>
            <w:noProof/>
            <w:webHidden/>
          </w:rPr>
          <w:fldChar w:fldCharType="end"/>
        </w:r>
      </w:hyperlink>
    </w:p>
    <w:p w14:paraId="1D44F50A" w14:textId="0CB8CEDA" w:rsidR="003B2F8C" w:rsidRDefault="009A6E3D">
      <w:pPr>
        <w:pStyle w:val="TableofFigures"/>
        <w:tabs>
          <w:tab w:val="right" w:leader="dot" w:pos="8302"/>
        </w:tabs>
        <w:rPr>
          <w:rFonts w:eastAsiaTheme="minorEastAsia" w:cstheme="minorBidi"/>
          <w:noProof/>
          <w:sz w:val="22"/>
          <w:szCs w:val="22"/>
        </w:rPr>
      </w:pPr>
      <w:hyperlink w:anchor="_Toc15644913" w:history="1">
        <w:r w:rsidR="003B2F8C" w:rsidRPr="007A781E">
          <w:rPr>
            <w:rStyle w:val="Hyperlink"/>
            <w:noProof/>
          </w:rPr>
          <w:t>Figure 3: key statistics for A2 Other Medical Practitioner consultations, 2011-12 and 2016-17</w:t>
        </w:r>
        <w:r w:rsidR="003B2F8C">
          <w:rPr>
            <w:noProof/>
            <w:webHidden/>
          </w:rPr>
          <w:tab/>
        </w:r>
        <w:r w:rsidR="003B2F8C">
          <w:rPr>
            <w:noProof/>
            <w:webHidden/>
          </w:rPr>
          <w:fldChar w:fldCharType="begin"/>
        </w:r>
        <w:r w:rsidR="003B2F8C">
          <w:rPr>
            <w:noProof/>
            <w:webHidden/>
          </w:rPr>
          <w:instrText xml:space="preserve"> PAGEREF _Toc15644913 \h </w:instrText>
        </w:r>
        <w:r w:rsidR="003B2F8C">
          <w:rPr>
            <w:noProof/>
            <w:webHidden/>
          </w:rPr>
        </w:r>
        <w:r w:rsidR="003B2F8C">
          <w:rPr>
            <w:noProof/>
            <w:webHidden/>
          </w:rPr>
          <w:fldChar w:fldCharType="separate"/>
        </w:r>
        <w:r w:rsidR="003B2F8C">
          <w:rPr>
            <w:noProof/>
            <w:webHidden/>
          </w:rPr>
          <w:t>26</w:t>
        </w:r>
        <w:r w:rsidR="003B2F8C">
          <w:rPr>
            <w:noProof/>
            <w:webHidden/>
          </w:rPr>
          <w:fldChar w:fldCharType="end"/>
        </w:r>
      </w:hyperlink>
    </w:p>
    <w:p w14:paraId="797933A8" w14:textId="5842E059" w:rsidR="003B2F8C" w:rsidRDefault="009A6E3D">
      <w:pPr>
        <w:pStyle w:val="TableofFigures"/>
        <w:tabs>
          <w:tab w:val="right" w:leader="dot" w:pos="8302"/>
        </w:tabs>
        <w:rPr>
          <w:rFonts w:eastAsiaTheme="minorEastAsia" w:cstheme="minorBidi"/>
          <w:noProof/>
          <w:sz w:val="22"/>
          <w:szCs w:val="22"/>
        </w:rPr>
      </w:pPr>
      <w:hyperlink w:anchor="_Toc15644914" w:history="1">
        <w:r w:rsidR="003B2F8C" w:rsidRPr="007A781E">
          <w:rPr>
            <w:rStyle w:val="Hyperlink"/>
            <w:noProof/>
          </w:rPr>
          <w:t>Figure 4: key statistics for Chronic Disease Management items, 2011-12 and 2016-17</w:t>
        </w:r>
        <w:r w:rsidR="003B2F8C">
          <w:rPr>
            <w:noProof/>
            <w:webHidden/>
          </w:rPr>
          <w:tab/>
        </w:r>
        <w:r w:rsidR="003B2F8C">
          <w:rPr>
            <w:noProof/>
            <w:webHidden/>
          </w:rPr>
          <w:fldChar w:fldCharType="begin"/>
        </w:r>
        <w:r w:rsidR="003B2F8C">
          <w:rPr>
            <w:noProof/>
            <w:webHidden/>
          </w:rPr>
          <w:instrText xml:space="preserve"> PAGEREF _Toc15644914 \h </w:instrText>
        </w:r>
        <w:r w:rsidR="003B2F8C">
          <w:rPr>
            <w:noProof/>
            <w:webHidden/>
          </w:rPr>
        </w:r>
        <w:r w:rsidR="003B2F8C">
          <w:rPr>
            <w:noProof/>
            <w:webHidden/>
          </w:rPr>
          <w:fldChar w:fldCharType="separate"/>
        </w:r>
        <w:r w:rsidR="003B2F8C">
          <w:rPr>
            <w:noProof/>
            <w:webHidden/>
          </w:rPr>
          <w:t>27</w:t>
        </w:r>
        <w:r w:rsidR="003B2F8C">
          <w:rPr>
            <w:noProof/>
            <w:webHidden/>
          </w:rPr>
          <w:fldChar w:fldCharType="end"/>
        </w:r>
      </w:hyperlink>
    </w:p>
    <w:p w14:paraId="39BFA89F" w14:textId="718E0C9C" w:rsidR="003B2F8C" w:rsidRDefault="009A6E3D">
      <w:pPr>
        <w:pStyle w:val="TableofFigures"/>
        <w:tabs>
          <w:tab w:val="right" w:leader="dot" w:pos="8302"/>
        </w:tabs>
        <w:rPr>
          <w:rFonts w:eastAsiaTheme="minorEastAsia" w:cstheme="minorBidi"/>
          <w:noProof/>
          <w:sz w:val="22"/>
          <w:szCs w:val="22"/>
        </w:rPr>
      </w:pPr>
      <w:hyperlink w:anchor="_Toc15644915" w:history="1">
        <w:r w:rsidR="003B2F8C" w:rsidRPr="007A781E">
          <w:rPr>
            <w:rStyle w:val="Hyperlink"/>
            <w:noProof/>
          </w:rPr>
          <w:t>Figure 5: key statistics for case conferencing items, 2011-12 and 2016-17</w:t>
        </w:r>
        <w:r w:rsidR="003B2F8C">
          <w:rPr>
            <w:noProof/>
            <w:webHidden/>
          </w:rPr>
          <w:tab/>
        </w:r>
        <w:r w:rsidR="003B2F8C">
          <w:rPr>
            <w:noProof/>
            <w:webHidden/>
          </w:rPr>
          <w:fldChar w:fldCharType="begin"/>
        </w:r>
        <w:r w:rsidR="003B2F8C">
          <w:rPr>
            <w:noProof/>
            <w:webHidden/>
          </w:rPr>
          <w:instrText xml:space="preserve"> PAGEREF _Toc15644915 \h </w:instrText>
        </w:r>
        <w:r w:rsidR="003B2F8C">
          <w:rPr>
            <w:noProof/>
            <w:webHidden/>
          </w:rPr>
        </w:r>
        <w:r w:rsidR="003B2F8C">
          <w:rPr>
            <w:noProof/>
            <w:webHidden/>
          </w:rPr>
          <w:fldChar w:fldCharType="separate"/>
        </w:r>
        <w:r w:rsidR="003B2F8C">
          <w:rPr>
            <w:noProof/>
            <w:webHidden/>
          </w:rPr>
          <w:t>28</w:t>
        </w:r>
        <w:r w:rsidR="003B2F8C">
          <w:rPr>
            <w:noProof/>
            <w:webHidden/>
          </w:rPr>
          <w:fldChar w:fldCharType="end"/>
        </w:r>
      </w:hyperlink>
    </w:p>
    <w:p w14:paraId="08B4A785" w14:textId="20911454" w:rsidR="003B2F8C" w:rsidRDefault="009A6E3D">
      <w:pPr>
        <w:pStyle w:val="TableofFigures"/>
        <w:tabs>
          <w:tab w:val="right" w:leader="dot" w:pos="8302"/>
        </w:tabs>
        <w:rPr>
          <w:rFonts w:eastAsiaTheme="minorEastAsia" w:cstheme="minorBidi"/>
          <w:noProof/>
          <w:sz w:val="22"/>
          <w:szCs w:val="22"/>
        </w:rPr>
      </w:pPr>
      <w:hyperlink w:anchor="_Toc15644916" w:history="1">
        <w:r w:rsidR="003B2F8C" w:rsidRPr="007A781E">
          <w:rPr>
            <w:rStyle w:val="Hyperlink"/>
            <w:noProof/>
          </w:rPr>
          <w:t>Figure 6: key statistics for time-tiered health assessment items, 2011-12 and 2016-17</w:t>
        </w:r>
        <w:r w:rsidR="003B2F8C">
          <w:rPr>
            <w:noProof/>
            <w:webHidden/>
          </w:rPr>
          <w:tab/>
        </w:r>
        <w:r w:rsidR="003B2F8C">
          <w:rPr>
            <w:noProof/>
            <w:webHidden/>
          </w:rPr>
          <w:fldChar w:fldCharType="begin"/>
        </w:r>
        <w:r w:rsidR="003B2F8C">
          <w:rPr>
            <w:noProof/>
            <w:webHidden/>
          </w:rPr>
          <w:instrText xml:space="preserve"> PAGEREF _Toc15644916 \h </w:instrText>
        </w:r>
        <w:r w:rsidR="003B2F8C">
          <w:rPr>
            <w:noProof/>
            <w:webHidden/>
          </w:rPr>
        </w:r>
        <w:r w:rsidR="003B2F8C">
          <w:rPr>
            <w:noProof/>
            <w:webHidden/>
          </w:rPr>
          <w:fldChar w:fldCharType="separate"/>
        </w:r>
        <w:r w:rsidR="003B2F8C">
          <w:rPr>
            <w:noProof/>
            <w:webHidden/>
          </w:rPr>
          <w:t>28</w:t>
        </w:r>
        <w:r w:rsidR="003B2F8C">
          <w:rPr>
            <w:noProof/>
            <w:webHidden/>
          </w:rPr>
          <w:fldChar w:fldCharType="end"/>
        </w:r>
      </w:hyperlink>
    </w:p>
    <w:p w14:paraId="158B3EEF" w14:textId="0C3940F1" w:rsidR="003B2F8C" w:rsidRDefault="009A6E3D">
      <w:pPr>
        <w:pStyle w:val="TableofFigures"/>
        <w:tabs>
          <w:tab w:val="right" w:leader="dot" w:pos="8302"/>
        </w:tabs>
        <w:rPr>
          <w:rFonts w:eastAsiaTheme="minorEastAsia" w:cstheme="minorBidi"/>
          <w:noProof/>
          <w:sz w:val="22"/>
          <w:szCs w:val="22"/>
        </w:rPr>
      </w:pPr>
      <w:hyperlink w:anchor="_Toc15644917" w:history="1">
        <w:r w:rsidR="003B2F8C" w:rsidRPr="007A781E">
          <w:rPr>
            <w:rStyle w:val="Hyperlink"/>
            <w:noProof/>
          </w:rPr>
          <w:t>Figure 7: key statistics for Indigenous health assessment items, 2011-12 and 2016-17</w:t>
        </w:r>
        <w:r w:rsidR="003B2F8C">
          <w:rPr>
            <w:noProof/>
            <w:webHidden/>
          </w:rPr>
          <w:tab/>
        </w:r>
        <w:r w:rsidR="003B2F8C">
          <w:rPr>
            <w:noProof/>
            <w:webHidden/>
          </w:rPr>
          <w:fldChar w:fldCharType="begin"/>
        </w:r>
        <w:r w:rsidR="003B2F8C">
          <w:rPr>
            <w:noProof/>
            <w:webHidden/>
          </w:rPr>
          <w:instrText xml:space="preserve"> PAGEREF _Toc15644917 \h </w:instrText>
        </w:r>
        <w:r w:rsidR="003B2F8C">
          <w:rPr>
            <w:noProof/>
            <w:webHidden/>
          </w:rPr>
        </w:r>
        <w:r w:rsidR="003B2F8C">
          <w:rPr>
            <w:noProof/>
            <w:webHidden/>
          </w:rPr>
          <w:fldChar w:fldCharType="separate"/>
        </w:r>
        <w:r w:rsidR="003B2F8C">
          <w:rPr>
            <w:noProof/>
            <w:webHidden/>
          </w:rPr>
          <w:t>29</w:t>
        </w:r>
        <w:r w:rsidR="003B2F8C">
          <w:rPr>
            <w:noProof/>
            <w:webHidden/>
          </w:rPr>
          <w:fldChar w:fldCharType="end"/>
        </w:r>
      </w:hyperlink>
    </w:p>
    <w:p w14:paraId="19FA1159" w14:textId="0CA8171D" w:rsidR="003B2F8C" w:rsidRDefault="009A6E3D">
      <w:pPr>
        <w:pStyle w:val="TableofFigures"/>
        <w:tabs>
          <w:tab w:val="right" w:leader="dot" w:pos="8302"/>
        </w:tabs>
        <w:rPr>
          <w:rFonts w:eastAsiaTheme="minorEastAsia" w:cstheme="minorBidi"/>
          <w:noProof/>
          <w:sz w:val="22"/>
          <w:szCs w:val="22"/>
        </w:rPr>
      </w:pPr>
      <w:hyperlink w:anchor="_Toc15644918" w:history="1">
        <w:r w:rsidR="003B2F8C" w:rsidRPr="007A781E">
          <w:rPr>
            <w:rStyle w:val="Hyperlink"/>
            <w:noProof/>
          </w:rPr>
          <w:t>Figure 8: key statistics for medication management items, 2011-12 and 2016-17</w:t>
        </w:r>
        <w:r w:rsidR="003B2F8C">
          <w:rPr>
            <w:noProof/>
            <w:webHidden/>
          </w:rPr>
          <w:tab/>
        </w:r>
        <w:r w:rsidR="003B2F8C">
          <w:rPr>
            <w:noProof/>
            <w:webHidden/>
          </w:rPr>
          <w:fldChar w:fldCharType="begin"/>
        </w:r>
        <w:r w:rsidR="003B2F8C">
          <w:rPr>
            <w:noProof/>
            <w:webHidden/>
          </w:rPr>
          <w:instrText xml:space="preserve"> PAGEREF _Toc15644918 \h </w:instrText>
        </w:r>
        <w:r w:rsidR="003B2F8C">
          <w:rPr>
            <w:noProof/>
            <w:webHidden/>
          </w:rPr>
        </w:r>
        <w:r w:rsidR="003B2F8C">
          <w:rPr>
            <w:noProof/>
            <w:webHidden/>
          </w:rPr>
          <w:fldChar w:fldCharType="separate"/>
        </w:r>
        <w:r w:rsidR="003B2F8C">
          <w:rPr>
            <w:noProof/>
            <w:webHidden/>
          </w:rPr>
          <w:t>30</w:t>
        </w:r>
        <w:r w:rsidR="003B2F8C">
          <w:rPr>
            <w:noProof/>
            <w:webHidden/>
          </w:rPr>
          <w:fldChar w:fldCharType="end"/>
        </w:r>
      </w:hyperlink>
    </w:p>
    <w:p w14:paraId="2978317D" w14:textId="6FDE0ED0" w:rsidR="003B2F8C" w:rsidRDefault="009A6E3D">
      <w:pPr>
        <w:pStyle w:val="TableofFigures"/>
        <w:tabs>
          <w:tab w:val="right" w:leader="dot" w:pos="8302"/>
        </w:tabs>
        <w:rPr>
          <w:rFonts w:eastAsiaTheme="minorEastAsia" w:cstheme="minorBidi"/>
          <w:noProof/>
          <w:sz w:val="22"/>
          <w:szCs w:val="22"/>
        </w:rPr>
      </w:pPr>
      <w:hyperlink w:anchor="_Toc15644919" w:history="1">
        <w:r w:rsidR="003B2F8C" w:rsidRPr="007A781E">
          <w:rPr>
            <w:rStyle w:val="Hyperlink"/>
            <w:noProof/>
          </w:rPr>
          <w:t>Figure 9: principles for primary health ()()()()()()</w:t>
        </w:r>
        <w:r w:rsidR="003B2F8C">
          <w:rPr>
            <w:noProof/>
            <w:webHidden/>
          </w:rPr>
          <w:tab/>
        </w:r>
        <w:r w:rsidR="003B2F8C">
          <w:rPr>
            <w:noProof/>
            <w:webHidden/>
          </w:rPr>
          <w:fldChar w:fldCharType="begin"/>
        </w:r>
        <w:r w:rsidR="003B2F8C">
          <w:rPr>
            <w:noProof/>
            <w:webHidden/>
          </w:rPr>
          <w:instrText xml:space="preserve"> PAGEREF _Toc15644919 \h </w:instrText>
        </w:r>
        <w:r w:rsidR="003B2F8C">
          <w:rPr>
            <w:noProof/>
            <w:webHidden/>
          </w:rPr>
        </w:r>
        <w:r w:rsidR="003B2F8C">
          <w:rPr>
            <w:noProof/>
            <w:webHidden/>
          </w:rPr>
          <w:fldChar w:fldCharType="separate"/>
        </w:r>
        <w:r w:rsidR="003B2F8C">
          <w:rPr>
            <w:noProof/>
            <w:webHidden/>
          </w:rPr>
          <w:t>32</w:t>
        </w:r>
        <w:r w:rsidR="003B2F8C">
          <w:rPr>
            <w:noProof/>
            <w:webHidden/>
          </w:rPr>
          <w:fldChar w:fldCharType="end"/>
        </w:r>
      </w:hyperlink>
    </w:p>
    <w:p w14:paraId="030F5E0F" w14:textId="3748AC3C" w:rsidR="003B2F8C" w:rsidRDefault="009A6E3D">
      <w:pPr>
        <w:pStyle w:val="TableofFigures"/>
        <w:tabs>
          <w:tab w:val="right" w:leader="dot" w:pos="8302"/>
        </w:tabs>
        <w:rPr>
          <w:rFonts w:eastAsiaTheme="minorEastAsia" w:cstheme="minorBidi"/>
          <w:noProof/>
          <w:sz w:val="22"/>
          <w:szCs w:val="22"/>
        </w:rPr>
      </w:pPr>
      <w:hyperlink w:anchor="_Toc15644920" w:history="1">
        <w:r w:rsidR="003B2F8C" w:rsidRPr="007A781E">
          <w:rPr>
            <w:rStyle w:val="Hyperlink"/>
            <w:noProof/>
          </w:rPr>
          <w:t>Figure 10: elements of an Australian person-centred primary care model supporting GP stewardship and team based care</w:t>
        </w:r>
        <w:r w:rsidR="003B2F8C">
          <w:rPr>
            <w:noProof/>
            <w:webHidden/>
          </w:rPr>
          <w:tab/>
        </w:r>
        <w:r w:rsidR="003B2F8C">
          <w:rPr>
            <w:noProof/>
            <w:webHidden/>
          </w:rPr>
          <w:fldChar w:fldCharType="begin"/>
        </w:r>
        <w:r w:rsidR="003B2F8C">
          <w:rPr>
            <w:noProof/>
            <w:webHidden/>
          </w:rPr>
          <w:instrText xml:space="preserve"> PAGEREF _Toc15644920 \h </w:instrText>
        </w:r>
        <w:r w:rsidR="003B2F8C">
          <w:rPr>
            <w:noProof/>
            <w:webHidden/>
          </w:rPr>
        </w:r>
        <w:r w:rsidR="003B2F8C">
          <w:rPr>
            <w:noProof/>
            <w:webHidden/>
          </w:rPr>
          <w:fldChar w:fldCharType="separate"/>
        </w:r>
        <w:r w:rsidR="003B2F8C">
          <w:rPr>
            <w:noProof/>
            <w:webHidden/>
          </w:rPr>
          <w:t>33</w:t>
        </w:r>
        <w:r w:rsidR="003B2F8C">
          <w:rPr>
            <w:noProof/>
            <w:webHidden/>
          </w:rPr>
          <w:fldChar w:fldCharType="end"/>
        </w:r>
      </w:hyperlink>
    </w:p>
    <w:p w14:paraId="19262F04" w14:textId="77777777"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68E66B64" w14:textId="77777777" w:rsidR="009837DB" w:rsidRPr="005C7FB0" w:rsidRDefault="00262127" w:rsidP="005C7FB0">
      <w:pPr>
        <w:pStyle w:val="Heading1"/>
      </w:pPr>
      <w:bookmarkStart w:id="2" w:name="_Toc485295711"/>
      <w:bookmarkStart w:id="3" w:name="_Toc15644838"/>
      <w:r w:rsidRPr="005C7FB0">
        <w:t xml:space="preserve">Executive </w:t>
      </w:r>
      <w:r w:rsidR="00F82ACF">
        <w:t>s</w:t>
      </w:r>
      <w:r w:rsidRPr="005C7FB0">
        <w:t>ummary</w:t>
      </w:r>
      <w:bookmarkEnd w:id="2"/>
      <w:bookmarkEnd w:id="3"/>
    </w:p>
    <w:p w14:paraId="6AB2CB58"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682FDE03"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0F64FA46"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2FE2197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0FF78907"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26509E1F" w14:textId="77777777" w:rsidR="00A962D1" w:rsidRDefault="00463720" w:rsidP="007E4D20">
      <w:pPr>
        <w:pStyle w:val="Bullet-green"/>
      </w:pPr>
      <w:r>
        <w:t>V</w:t>
      </w:r>
      <w:r w:rsidR="004942CA" w:rsidRPr="003F788A">
        <w:t>alue</w:t>
      </w:r>
      <w:r w:rsidR="004942CA" w:rsidRPr="009D0EED">
        <w:t xml:space="preserve"> </w:t>
      </w:r>
      <w:r w:rsidR="00A962D1" w:rsidRPr="009D0EED">
        <w:t>for the health system</w:t>
      </w:r>
      <w:r w:rsidR="00A962D1">
        <w:t>.</w:t>
      </w:r>
    </w:p>
    <w:p w14:paraId="7DCED729"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0321402D" w14:textId="77777777" w:rsidR="00A962D1" w:rsidRPr="004F5223" w:rsidRDefault="000E1636" w:rsidP="004F5223">
      <w:r w:rsidRPr="004F5223">
        <w:t>The</w:t>
      </w:r>
      <w:r w:rsidR="004F5223">
        <w:t xml:space="preserve"> General Practice and Primary Care Clinical Committee</w:t>
      </w:r>
      <w:r w:rsidRPr="004F5223">
        <w:t xml:space="preserve"> (the Committee) was established in </w:t>
      </w:r>
      <w:r w:rsidR="00D74B54" w:rsidRPr="004F5223">
        <w:t>October 2016</w:t>
      </w:r>
      <w:r w:rsidRPr="004F5223">
        <w:t xml:space="preserve"> to make recommendations to the Taskforce on the review of MBS items in its area of responsibility, based on rapid evidence review and clinical expertise.</w:t>
      </w:r>
      <w:r w:rsidR="00A962D1" w:rsidRPr="004F5223">
        <w:t xml:space="preserve"> </w:t>
      </w:r>
    </w:p>
    <w:p w14:paraId="2DA7B0A0" w14:textId="77777777" w:rsidR="0041688C" w:rsidRDefault="0041688C" w:rsidP="004F5223">
      <w:r w:rsidRPr="004F5223">
        <w:t xml:space="preserve">In Phase 1, the Committee reviewed prioritised items for services rendered, referred </w:t>
      </w:r>
      <w:r w:rsidRPr="008057EE">
        <w:t>(</w:t>
      </w:r>
      <w:r>
        <w:t xml:space="preserve">e.g., </w:t>
      </w:r>
      <w:r w:rsidRPr="008057EE">
        <w:t>secondary or tertiary care services</w:t>
      </w:r>
      <w:r>
        <w:t>,</w:t>
      </w:r>
      <w:r w:rsidRPr="008057EE">
        <w:t xml:space="preserve"> such as Consultant Physician attendances) and requested (</w:t>
      </w:r>
      <w:r>
        <w:t>e.g., D</w:t>
      </w:r>
      <w:r w:rsidRPr="008057EE">
        <w:t xml:space="preserve">iagnostic </w:t>
      </w:r>
      <w:r>
        <w:t>I</w:t>
      </w:r>
      <w:r w:rsidRPr="008057EE">
        <w:t xml:space="preserve">maging and </w:t>
      </w:r>
      <w:r>
        <w:t>P</w:t>
      </w:r>
      <w:r w:rsidRPr="008057EE">
        <w:t xml:space="preserve">athology services) by </w:t>
      </w:r>
      <w:r>
        <w:t>GPs</w:t>
      </w:r>
      <w:r w:rsidRPr="008057EE">
        <w:t xml:space="preserve">; and to develop recommendations on supporting </w:t>
      </w:r>
      <w:r>
        <w:t>GPs</w:t>
      </w:r>
      <w:r w:rsidRPr="008057EE">
        <w:t xml:space="preserve"> as stewards of the healthcare system.</w:t>
      </w:r>
      <w:r w:rsidR="006826AB">
        <w:t xml:space="preserve"> The Phase 1 interim report outlined </w:t>
      </w:r>
      <w:r w:rsidRPr="008057EE">
        <w:t>the Committee</w:t>
      </w:r>
      <w:r>
        <w:t>’s recommendations</w:t>
      </w:r>
      <w:r w:rsidRPr="008057EE">
        <w:t xml:space="preserve"> </w:t>
      </w:r>
      <w:r>
        <w:t>regarding</w:t>
      </w:r>
      <w:r w:rsidRPr="008057EE">
        <w:t xml:space="preserve"> mechanisms </w:t>
      </w:r>
      <w:r>
        <w:t>that could</w:t>
      </w:r>
      <w:r w:rsidRPr="008057EE">
        <w:t xml:space="preserve"> support GP </w:t>
      </w:r>
      <w:r>
        <w:t>s</w:t>
      </w:r>
      <w:r w:rsidRPr="008057EE">
        <w:t xml:space="preserve">tewardship, </w:t>
      </w:r>
      <w:r>
        <w:t xml:space="preserve">MBS items covering services </w:t>
      </w:r>
      <w:r w:rsidRPr="008057EE">
        <w:t xml:space="preserve">referred and requested </w:t>
      </w:r>
      <w:r>
        <w:t>by GPs</w:t>
      </w:r>
      <w:r w:rsidRPr="008057EE">
        <w:t xml:space="preserve">, and an initial set of </w:t>
      </w:r>
      <w:r>
        <w:t xml:space="preserve">MBS </w:t>
      </w:r>
      <w:r w:rsidRPr="008057EE">
        <w:t>items</w:t>
      </w:r>
      <w:r>
        <w:t xml:space="preserve"> covering services rendered by GPs</w:t>
      </w:r>
      <w:r w:rsidRPr="008057EE">
        <w:t>. The Committee prioritised 111 MBS items</w:t>
      </w:r>
      <w:r w:rsidRPr="002B51D4">
        <w:rPr>
          <w:rStyle w:val="FootnoteReference"/>
        </w:rPr>
        <w:footnoteReference w:id="1"/>
      </w:r>
      <w:r w:rsidRPr="008057EE">
        <w:t xml:space="preserve"> </w:t>
      </w:r>
      <w:r>
        <w:t>for</w:t>
      </w:r>
      <w:r w:rsidRPr="008057EE">
        <w:t xml:space="preserve"> review in </w:t>
      </w:r>
      <w:r>
        <w:t>this</w:t>
      </w:r>
      <w:r w:rsidRPr="008057EE">
        <w:t xml:space="preserve"> first phase of work</w:t>
      </w:r>
      <w:r w:rsidR="002E6844">
        <w:t>, which in</w:t>
      </w:r>
      <w:r w:rsidRPr="008057EE">
        <w:t xml:space="preserve"> the 2014</w:t>
      </w:r>
      <w:r>
        <w:t>/</w:t>
      </w:r>
      <w:r w:rsidR="002E6844">
        <w:t xml:space="preserve">15 financial year </w:t>
      </w:r>
      <w:r w:rsidRPr="008057EE">
        <w:t xml:space="preserve">accounted for approximately 29 million services and $1.6 billion in benefits. </w:t>
      </w:r>
    </w:p>
    <w:p w14:paraId="152FBF66" w14:textId="77777777" w:rsidR="006826AB" w:rsidRDefault="006826AB" w:rsidP="000E1636">
      <w:r>
        <w:t>In Phase 2, the Committee w</w:t>
      </w:r>
      <w:r w:rsidR="005D2D3C">
        <w:t xml:space="preserve">as asked by the Taskforce to review </w:t>
      </w:r>
      <w:r w:rsidR="00952C54">
        <w:t xml:space="preserve">the general consultation items, chronic disease management items, health assessment items, and medication management items. The Committee prioritised </w:t>
      </w:r>
      <w:r w:rsidR="00294CA5" w:rsidRPr="007D797C">
        <w:t xml:space="preserve">60 </w:t>
      </w:r>
      <w:r w:rsidR="00952C54">
        <w:t>MBS items for review in this second phase of work. In the 201</w:t>
      </w:r>
      <w:r w:rsidR="00294CA5">
        <w:t>6/17</w:t>
      </w:r>
      <w:r w:rsidR="00952C54">
        <w:t xml:space="preserve"> financial year, these items accounted for approximately </w:t>
      </w:r>
      <w:r w:rsidR="00294CA5">
        <w:t>118 million</w:t>
      </w:r>
      <w:r w:rsidR="00952C54">
        <w:t xml:space="preserve"> services and $</w:t>
      </w:r>
      <w:r w:rsidR="00294CA5">
        <w:t>5.1 billion</w:t>
      </w:r>
      <w:r w:rsidR="00952C54">
        <w:t xml:space="preserve"> in benefits.</w:t>
      </w:r>
    </w:p>
    <w:p w14:paraId="63CE6B4B" w14:textId="77777777" w:rsidR="005D2D3C" w:rsidRPr="00A962D1" w:rsidRDefault="005D2D3C" w:rsidP="000E1636">
      <w:r>
        <w:t>The Committee was also asked by the Taskforce to consider the issue of consumer concerns around access to referrals and repeat scripts, raised by the Minister.</w:t>
      </w:r>
    </w:p>
    <w:p w14:paraId="00F701C7" w14:textId="6073DC8A" w:rsidR="000556FB"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00573481">
        <w:t>were</w:t>
      </w:r>
      <w:r w:rsidRPr="009200D8">
        <w:t xml:space="preserve"> released for stakeholder </w:t>
      </w:r>
      <w:r w:rsidR="00FD5A65" w:rsidRPr="009200D8">
        <w:t>consultation</w:t>
      </w:r>
      <w:r w:rsidR="00573481">
        <w:t xml:space="preserve"> in September 2018</w:t>
      </w:r>
      <w:r w:rsidR="00FD5A65" w:rsidRPr="009200D8">
        <w:t xml:space="preserve">. The </w:t>
      </w:r>
      <w:r w:rsidR="00FD5A65">
        <w:t>c</w:t>
      </w:r>
      <w:r w:rsidR="00FD5A65" w:rsidRPr="009200D8">
        <w:t>linical</w:t>
      </w:r>
      <w:r w:rsidR="00FD5A65">
        <w:t xml:space="preserve"> c</w:t>
      </w:r>
      <w:r w:rsidR="00FD5A65" w:rsidRPr="009200D8">
        <w:t>ommittee consider</w:t>
      </w:r>
      <w:r w:rsidR="00573481">
        <w:t>ed</w:t>
      </w:r>
      <w:r w:rsidR="00FD5A65" w:rsidRPr="009200D8">
        <w:t xml:space="preserve"> feedback from stakeholders </w:t>
      </w:r>
      <w:r w:rsidR="00573481">
        <w:t>and has</w:t>
      </w:r>
      <w:r w:rsidR="00FD5A65" w:rsidRPr="009200D8">
        <w:t xml:space="preserve"> provide recommendations to the Taskforce in </w:t>
      </w:r>
      <w:r w:rsidR="00FD5A65">
        <w:t>a R</w:t>
      </w:r>
      <w:r w:rsidR="00FD5A65" w:rsidRPr="009200D8">
        <w:t xml:space="preserve">eview </w:t>
      </w:r>
      <w:r w:rsidR="00FD5A65">
        <w:t>R</w:t>
      </w:r>
      <w:r w:rsidR="00FD5A65" w:rsidRPr="009200D8">
        <w:t xml:space="preserve">eport. The Taskforce </w:t>
      </w:r>
      <w:r w:rsidR="00573481">
        <w:t xml:space="preserve">will </w:t>
      </w:r>
      <w:r w:rsidR="00FD5A65" w:rsidRPr="009200D8">
        <w:t xml:space="preserve">consider the </w:t>
      </w:r>
      <w:r w:rsidR="00FD5A65">
        <w:t>R</w:t>
      </w:r>
      <w:r w:rsidR="00FD5A65" w:rsidRPr="009200D8">
        <w:t xml:space="preserve">eview </w:t>
      </w:r>
      <w:r w:rsidR="00FD5A65">
        <w:t>R</w:t>
      </w:r>
      <w:r w:rsidR="00FD5A65" w:rsidRPr="009200D8">
        <w:t>eport</w:t>
      </w:r>
      <w:r w:rsidR="00FD5A65">
        <w:t>s</w:t>
      </w:r>
      <w:r w:rsidR="00FD5A65" w:rsidRPr="009200D8">
        <w:t xml:space="preserve"> from </w:t>
      </w:r>
      <w:r w:rsidR="00FD5A65">
        <w:t>cl</w:t>
      </w:r>
      <w:r w:rsidR="00FD5A65" w:rsidRPr="009200D8">
        <w:t xml:space="preserve">inical </w:t>
      </w:r>
      <w:r w:rsidR="00FD5A65">
        <w:t>c</w:t>
      </w:r>
      <w:r w:rsidR="00FD5A65" w:rsidRPr="009200D8">
        <w:t xml:space="preserve">ommittees and stakeholder feedback before making </w:t>
      </w:r>
      <w:r w:rsidR="000556FB">
        <w:t xml:space="preserve">recommendations to the Minister </w:t>
      </w:r>
      <w:r w:rsidR="009B08ED">
        <w:t>for</w:t>
      </w:r>
      <w:r w:rsidRPr="009200D8">
        <w:t xml:space="preserve"> consideration by Government. </w:t>
      </w:r>
    </w:p>
    <w:p w14:paraId="1F0BE77E" w14:textId="77777777" w:rsidR="005E39B6" w:rsidRPr="004632FD" w:rsidRDefault="005E39B6" w:rsidP="00314122">
      <w:pPr>
        <w:pStyle w:val="Heading2"/>
      </w:pPr>
      <w:bookmarkStart w:id="4" w:name="_Toc15644839"/>
      <w:r w:rsidRPr="004632FD">
        <w:t xml:space="preserve">Key </w:t>
      </w:r>
      <w:r w:rsidRPr="00314122">
        <w:t>recommendations</w:t>
      </w:r>
      <w:bookmarkEnd w:id="4"/>
    </w:p>
    <w:p w14:paraId="26BC8918" w14:textId="4D46339D" w:rsidR="0048646D" w:rsidRDefault="001A125A" w:rsidP="0048646D">
      <w:r>
        <w:t xml:space="preserve">The </w:t>
      </w:r>
      <w:r w:rsidR="000B490A">
        <w:t>Committee's</w:t>
      </w:r>
      <w:r w:rsidR="00725622">
        <w:t xml:space="preserve"> recommendations are intended to </w:t>
      </w:r>
      <w:r w:rsidR="0055136E">
        <w:t>deliver a more p</w:t>
      </w:r>
      <w:r w:rsidR="00E80F39">
        <w:t>erson</w:t>
      </w:r>
      <w:r w:rsidR="0055136E">
        <w:t xml:space="preserve">-centred </w:t>
      </w:r>
      <w:r w:rsidR="006D6647">
        <w:t xml:space="preserve">model of </w:t>
      </w:r>
      <w:r w:rsidR="00330DC4">
        <w:t xml:space="preserve">Australian </w:t>
      </w:r>
      <w:r w:rsidR="0055136E">
        <w:t xml:space="preserve">primary </w:t>
      </w:r>
      <w:r w:rsidR="006D6647">
        <w:t xml:space="preserve">health </w:t>
      </w:r>
      <w:r w:rsidR="0055136E">
        <w:t xml:space="preserve">care </w:t>
      </w:r>
      <w:r w:rsidR="00DA72AA">
        <w:t xml:space="preserve">with a focus on GP stewardship. </w:t>
      </w:r>
      <w:r w:rsidR="009744F4" w:rsidRPr="009744F4">
        <w:t>Recommendation 1 is a</w:t>
      </w:r>
      <w:r w:rsidR="009744F4">
        <w:t xml:space="preserve"> medium to longer-term</w:t>
      </w:r>
      <w:r w:rsidR="009744F4" w:rsidRPr="009744F4">
        <w:t xml:space="preserve"> recommendation to change the </w:t>
      </w:r>
      <w:r w:rsidR="006D6647">
        <w:t xml:space="preserve">reimbursement </w:t>
      </w:r>
      <w:r w:rsidR="009744F4" w:rsidRPr="009744F4">
        <w:t xml:space="preserve">framework </w:t>
      </w:r>
      <w:r w:rsidR="006C21C8">
        <w:t>in</w:t>
      </w:r>
      <w:r w:rsidR="006C21C8" w:rsidRPr="009744F4">
        <w:t xml:space="preserve"> </w:t>
      </w:r>
      <w:r w:rsidR="009744F4" w:rsidRPr="009744F4">
        <w:t xml:space="preserve">support </w:t>
      </w:r>
      <w:r w:rsidR="006C21C8">
        <w:t xml:space="preserve">of </w:t>
      </w:r>
      <w:r w:rsidR="009744F4" w:rsidRPr="009744F4">
        <w:t>high-</w:t>
      </w:r>
      <w:r w:rsidR="009744F4" w:rsidRPr="00777FA3">
        <w:t xml:space="preserve">quality, </w:t>
      </w:r>
      <w:r w:rsidR="00E80F39" w:rsidRPr="00F44F16">
        <w:t>person</w:t>
      </w:r>
      <w:r w:rsidR="009744F4" w:rsidRPr="00F44F16">
        <w:t xml:space="preserve">-centred primary health care </w:t>
      </w:r>
      <w:r w:rsidR="00C75C8A">
        <w:t>with</w:t>
      </w:r>
      <w:r w:rsidR="00C75C8A" w:rsidRPr="00F44F16">
        <w:t xml:space="preserve"> </w:t>
      </w:r>
      <w:r w:rsidR="009744F4" w:rsidRPr="00F44F16">
        <w:t>GP stewardship of the health system. Recommendations 2-</w:t>
      </w:r>
      <w:r w:rsidR="00C30D75">
        <w:t>10</w:t>
      </w:r>
      <w:r w:rsidR="006373C6" w:rsidRPr="00777FA3">
        <w:t xml:space="preserve"> </w:t>
      </w:r>
      <w:r w:rsidR="00091B18">
        <w:t xml:space="preserve">can be implemented in the short term and </w:t>
      </w:r>
      <w:r w:rsidR="00C75C8A">
        <w:t xml:space="preserve">seek to </w:t>
      </w:r>
      <w:r w:rsidR="006C21C8">
        <w:t>sustain</w:t>
      </w:r>
      <w:r w:rsidR="00C75C8A">
        <w:t xml:space="preserve"> quality care, </w:t>
      </w:r>
      <w:r w:rsidR="006373C6" w:rsidRPr="00777FA3">
        <w:t xml:space="preserve">recognising that the General Practice workforce has adapted </w:t>
      </w:r>
      <w:r w:rsidR="006373C6" w:rsidRPr="00F44F16">
        <w:t xml:space="preserve">provision of care to be viable in the </w:t>
      </w:r>
      <w:r w:rsidR="00C30D75">
        <w:t xml:space="preserve">current MBS </w:t>
      </w:r>
      <w:r w:rsidR="006373C6" w:rsidRPr="00F44F16">
        <w:t xml:space="preserve">framework. </w:t>
      </w:r>
    </w:p>
    <w:p w14:paraId="29E4252A" w14:textId="69070D57" w:rsidR="0048646D" w:rsidRPr="0048646D" w:rsidRDefault="009744F4" w:rsidP="0048646D">
      <w:r>
        <w:t>Recommendation 1</w:t>
      </w:r>
      <w:r w:rsidR="0048646D">
        <w:t xml:space="preserve"> reflects the Committee's vision for the future of primary health care in Australia</w:t>
      </w:r>
      <w:r w:rsidR="006C21C8">
        <w:t>, including</w:t>
      </w:r>
      <w:r w:rsidR="004B0831">
        <w:t xml:space="preserve">: </w:t>
      </w:r>
      <w:r w:rsidR="004B0831" w:rsidRPr="004B0831">
        <w:t xml:space="preserve">continuing care for the person rather than episodic treatment for illness; </w:t>
      </w:r>
      <w:r w:rsidR="006D6647">
        <w:t>an emphasis on</w:t>
      </w:r>
      <w:r w:rsidR="004B0831" w:rsidRPr="004B0831">
        <w:t xml:space="preserve"> prevention and health promotion in addition to disease management; </w:t>
      </w:r>
      <w:r w:rsidR="006D6647">
        <w:t>a focus</w:t>
      </w:r>
      <w:r w:rsidR="004B0831" w:rsidRPr="004B0831">
        <w:t xml:space="preserve"> on outcomes rather than process; </w:t>
      </w:r>
      <w:r w:rsidR="006D6647">
        <w:t>provided by collaborative, multi-disciplinary teams</w:t>
      </w:r>
      <w:r w:rsidR="004B0831" w:rsidRPr="004B0831">
        <w:t xml:space="preserve"> integrated into the larger health system.</w:t>
      </w:r>
      <w:r w:rsidR="0048646D">
        <w:t xml:space="preserve"> </w:t>
      </w:r>
    </w:p>
    <w:p w14:paraId="30728A5F" w14:textId="2B95995A" w:rsidR="0048646D" w:rsidRDefault="00BA5449" w:rsidP="009B07BE">
      <w:r>
        <w:t>All</w:t>
      </w:r>
      <w:r w:rsidR="0048646D" w:rsidRPr="0048646D">
        <w:t xml:space="preserve"> recommendations are intended to </w:t>
      </w:r>
      <w:r w:rsidR="00C30D75">
        <w:t xml:space="preserve">maintain and </w:t>
      </w:r>
      <w:r w:rsidR="009D26F8">
        <w:t>support</w:t>
      </w:r>
      <w:r w:rsidR="00134ACF">
        <w:t xml:space="preserve"> significant </w:t>
      </w:r>
      <w:r w:rsidR="0048646D" w:rsidRPr="0048646D">
        <w:t xml:space="preserve">investment in general practice, noting the potential for financial and non-financial benefits downstream in the health system </w:t>
      </w:r>
      <w:r w:rsidR="005B4DB2">
        <w:t>from</w:t>
      </w:r>
      <w:r w:rsidR="005B4DB2" w:rsidRPr="0048646D">
        <w:t xml:space="preserve"> </w:t>
      </w:r>
      <w:r w:rsidR="0048646D" w:rsidRPr="0048646D">
        <w:t>investing in primary care.</w:t>
      </w:r>
      <w:r w:rsidR="004B0831">
        <w:t xml:space="preserve"> </w:t>
      </w:r>
      <w:r w:rsidR="004B0831" w:rsidRPr="004B0831">
        <w:t>There is strong evidence that high quality, p</w:t>
      </w:r>
      <w:r w:rsidR="00E80F39">
        <w:t>erson</w:t>
      </w:r>
      <w:r w:rsidR="004B0831" w:rsidRPr="004B0831">
        <w:t xml:space="preserve">-centred primary health care is key to improving effectiveness of care, preventing illness, and reducing inequities, variation and </w:t>
      </w:r>
      <w:r w:rsidR="00C30D75">
        <w:t>health system costs</w:t>
      </w:r>
      <w:r w:rsidR="004B0831" w:rsidRPr="004B0831">
        <w:t>.</w:t>
      </w:r>
    </w:p>
    <w:p w14:paraId="353332FF" w14:textId="4B11FAF6" w:rsidR="0076273A" w:rsidRDefault="000B7D7D" w:rsidP="00725622">
      <w:r>
        <w:t xml:space="preserve">The recommendations are also intended to support </w:t>
      </w:r>
      <w:r w:rsidR="004A011A">
        <w:t xml:space="preserve">continuing </w:t>
      </w:r>
      <w:r w:rsidR="009B07BE">
        <w:t>quality improvement</w:t>
      </w:r>
      <w:r w:rsidR="004A011A">
        <w:t xml:space="preserve"> in general practice, through processes including</w:t>
      </w:r>
      <w:r w:rsidR="007F2719" w:rsidRPr="007F2719">
        <w:t xml:space="preserve"> engagement in research and teaching, </w:t>
      </w:r>
      <w:r w:rsidR="004A011A">
        <w:t>quality cycles</w:t>
      </w:r>
      <w:r w:rsidR="007F2719" w:rsidRPr="007F2719">
        <w:t xml:space="preserve"> and reflective practice. </w:t>
      </w:r>
      <w:r w:rsidR="00660319">
        <w:t xml:space="preserve">The </w:t>
      </w:r>
      <w:r w:rsidR="00F93FDF">
        <w:t>recommendations</w:t>
      </w:r>
      <w:r w:rsidR="004A011A">
        <w:t xml:space="preserve"> </w:t>
      </w:r>
      <w:r w:rsidR="00F93FDF">
        <w:t>encourage</w:t>
      </w:r>
      <w:r w:rsidR="009B07BE">
        <w:t xml:space="preserve"> more proactive engagement in prevention</w:t>
      </w:r>
      <w:r w:rsidR="00F93FDF">
        <w:t xml:space="preserve">, </w:t>
      </w:r>
      <w:r w:rsidR="00A22892">
        <w:t xml:space="preserve">shared decision-making and patient </w:t>
      </w:r>
      <w:r w:rsidR="004A011A">
        <w:t>empowerment</w:t>
      </w:r>
      <w:r w:rsidR="00A22892">
        <w:t>.</w:t>
      </w:r>
    </w:p>
    <w:p w14:paraId="08381F9E" w14:textId="76FF8546" w:rsidR="00617ACF" w:rsidRPr="00F44F16" w:rsidRDefault="00617ACF" w:rsidP="00725622">
      <w:r w:rsidRPr="00F44F16">
        <w:t>The recommendations are as follows:</w:t>
      </w:r>
    </w:p>
    <w:p w14:paraId="5E6600C5" w14:textId="04C6DA3B" w:rsidR="0082601E" w:rsidRPr="00777FA3" w:rsidRDefault="00A824AB" w:rsidP="0082601E">
      <w:pPr>
        <w:pStyle w:val="Numbering"/>
      </w:pPr>
      <w:bookmarkStart w:id="5" w:name="_Hlk520438964"/>
      <w:r>
        <w:t>M</w:t>
      </w:r>
      <w:r w:rsidR="0082601E" w:rsidRPr="00777FA3">
        <w:t>ove to a person-centred primary care model supporting general practitioner (GP) stewardship and team based care.</w:t>
      </w:r>
    </w:p>
    <w:p w14:paraId="62913EDC" w14:textId="0F3C6F64" w:rsidR="00B629E5" w:rsidRPr="00F44F16" w:rsidRDefault="00A824AB" w:rsidP="00B629E5">
      <w:pPr>
        <w:pStyle w:val="Numbering"/>
      </w:pPr>
      <w:r>
        <w:t xml:space="preserve">Introducing a </w:t>
      </w:r>
      <w:r w:rsidRPr="00091FB9">
        <w:t xml:space="preserve">new fee for practices </w:t>
      </w:r>
      <w:r>
        <w:t xml:space="preserve">to </w:t>
      </w:r>
      <w:r w:rsidRPr="00091FB9">
        <w:t xml:space="preserve">enroll a </w:t>
      </w:r>
      <w:r w:rsidRPr="00170E79">
        <w:t>patient.</w:t>
      </w:r>
      <w:r w:rsidRPr="00091FB9">
        <w:t xml:space="preserve"> </w:t>
      </w:r>
    </w:p>
    <w:p w14:paraId="79255F67" w14:textId="75F3867F" w:rsidR="00B629E5" w:rsidRPr="00F44F16" w:rsidRDefault="00B629E5" w:rsidP="00B629E5">
      <w:pPr>
        <w:pStyle w:val="Numbering"/>
      </w:pPr>
      <w:r w:rsidRPr="00F44F16">
        <w:t xml:space="preserve">Introduce flexible access </w:t>
      </w:r>
      <w:r w:rsidR="00A824AB">
        <w:t>to primary care services for enrolled patients</w:t>
      </w:r>
      <w:r w:rsidR="00A824AB">
        <w:rPr>
          <w:rStyle w:val="IntenseEmphasis"/>
          <w:b w:val="0"/>
          <w:bCs w:val="0"/>
          <w:i w:val="0"/>
          <w:iCs w:val="0"/>
          <w:color w:val="auto"/>
        </w:rPr>
        <w:t>.</w:t>
      </w:r>
    </w:p>
    <w:p w14:paraId="3909D096" w14:textId="2424AFC6" w:rsidR="005F6AB3" w:rsidRPr="00F44F16" w:rsidRDefault="00A05041" w:rsidP="00A05041">
      <w:pPr>
        <w:pStyle w:val="Numbering"/>
      </w:pPr>
      <w:r w:rsidRPr="00A05041">
        <w:t xml:space="preserve"> Implement a comprehensive package of longitudinal care for enrolled patients with chronic</w:t>
      </w:r>
      <w:r w:rsidR="00126D6D">
        <w:t xml:space="preserve"> health conditions that promotes the</w:t>
      </w:r>
      <w:r w:rsidRPr="00A05041">
        <w:t xml:space="preserve"> effective use of primary care chronic disease management items.</w:t>
      </w:r>
    </w:p>
    <w:p w14:paraId="561B97E9" w14:textId="3D6FC285" w:rsidR="00A824AB" w:rsidRDefault="00E231E2" w:rsidP="002E40FE">
      <w:pPr>
        <w:pStyle w:val="Numbering"/>
        <w:numPr>
          <w:ilvl w:val="0"/>
          <w:numId w:val="64"/>
        </w:numPr>
        <w:ind w:left="1560" w:hanging="993"/>
      </w:pPr>
      <w:r w:rsidRPr="00E231E2">
        <w:t>Combine GP Management Plans (GPMPs) and Team Care Arrangements (TCAs), and strengthe</w:t>
      </w:r>
      <w:r w:rsidR="00A05041">
        <w:t>n</w:t>
      </w:r>
      <w:r w:rsidRPr="00E231E2">
        <w:t xml:space="preserve"> GPMPs.</w:t>
      </w:r>
    </w:p>
    <w:p w14:paraId="7B9F9C2F" w14:textId="5003D172" w:rsidR="00A824AB" w:rsidRDefault="00E231E2" w:rsidP="002E40FE">
      <w:pPr>
        <w:pStyle w:val="Numbering"/>
        <w:numPr>
          <w:ilvl w:val="0"/>
          <w:numId w:val="64"/>
        </w:numPr>
        <w:ind w:left="1560" w:hanging="993"/>
      </w:pPr>
      <w:r w:rsidRPr="00E231E2">
        <w:t>Link allied health chronic disease management items to the creation of a GPMP.</w:t>
      </w:r>
    </w:p>
    <w:p w14:paraId="3537AF69" w14:textId="3D86DC67" w:rsidR="00A824AB" w:rsidRDefault="00E231E2" w:rsidP="002E40FE">
      <w:pPr>
        <w:pStyle w:val="Numbering"/>
        <w:numPr>
          <w:ilvl w:val="0"/>
          <w:numId w:val="64"/>
        </w:numPr>
        <w:ind w:left="1560" w:hanging="993"/>
      </w:pPr>
      <w:r w:rsidRPr="00E231E2">
        <w:t>Equalise rebates for GPMP preparation and review to encourage longitudinal patient care</w:t>
      </w:r>
      <w:r w:rsidR="00140F1D">
        <w:t>.</w:t>
      </w:r>
      <w:r w:rsidR="00A824AB" w:rsidRPr="002E40FE">
        <w:t xml:space="preserve"> </w:t>
      </w:r>
    </w:p>
    <w:p w14:paraId="34511E32" w14:textId="6F1DA732" w:rsidR="00A824AB" w:rsidRDefault="00A824AB" w:rsidP="00F44F16">
      <w:pPr>
        <w:pStyle w:val="Numbering"/>
        <w:numPr>
          <w:ilvl w:val="0"/>
          <w:numId w:val="64"/>
        </w:numPr>
        <w:ind w:left="1560" w:hanging="993"/>
      </w:pPr>
      <w:r>
        <w:t>Increase</w:t>
      </w:r>
      <w:r w:rsidR="00866C55">
        <w:t xml:space="preserve"> patient </w:t>
      </w:r>
      <w:r>
        <w:t xml:space="preserve">access to </w:t>
      </w:r>
      <w:r w:rsidR="00866C55">
        <w:t>high quality care</w:t>
      </w:r>
      <w:r>
        <w:t xml:space="preserve"> </w:t>
      </w:r>
      <w:r w:rsidR="00866C55">
        <w:t>coordination</w:t>
      </w:r>
      <w:r>
        <w:t xml:space="preserve"> </w:t>
      </w:r>
      <w:r w:rsidR="00866C55">
        <w:t>across physical, mental and social care domains.</w:t>
      </w:r>
    </w:p>
    <w:p w14:paraId="27002FD8" w14:textId="79C23B06" w:rsidR="00A824AB" w:rsidRDefault="00E231E2" w:rsidP="002E40FE">
      <w:pPr>
        <w:pStyle w:val="Numbering"/>
        <w:numPr>
          <w:ilvl w:val="0"/>
          <w:numId w:val="64"/>
        </w:numPr>
        <w:ind w:left="1560" w:hanging="993"/>
      </w:pPr>
      <w:r w:rsidRPr="00E231E2">
        <w:t xml:space="preserve">Develop advice and support mechanisms to activate and engage patients in their own care planning, including </w:t>
      </w:r>
      <w:r w:rsidR="00B94764">
        <w:t xml:space="preserve">the </w:t>
      </w:r>
      <w:r w:rsidRPr="00E231E2">
        <w:t>assessment and support of patient health literacy activities.</w:t>
      </w:r>
    </w:p>
    <w:p w14:paraId="4D38367A" w14:textId="1E6D78AA" w:rsidR="00A824AB" w:rsidRDefault="00FA585F" w:rsidP="00FA585F">
      <w:pPr>
        <w:pStyle w:val="Numbering"/>
        <w:numPr>
          <w:ilvl w:val="0"/>
          <w:numId w:val="64"/>
        </w:numPr>
        <w:ind w:left="1560" w:hanging="993"/>
      </w:pPr>
      <w:r w:rsidRPr="00FA585F">
        <w:t>Encourage increased patient participation and rebate attendance of non-medical health professionals at case conferences.</w:t>
      </w:r>
    </w:p>
    <w:p w14:paraId="008ECB54" w14:textId="30E01E52" w:rsidR="00A824AB" w:rsidRDefault="00E231E2" w:rsidP="002E40FE">
      <w:pPr>
        <w:pStyle w:val="Numbering"/>
        <w:numPr>
          <w:ilvl w:val="0"/>
          <w:numId w:val="64"/>
        </w:numPr>
        <w:ind w:left="1560" w:hanging="993"/>
      </w:pPr>
      <w:r w:rsidRPr="00E231E2">
        <w:t>Link Medication Management Reviews (MMR) to GPMP</w:t>
      </w:r>
      <w:r w:rsidR="00C30D75">
        <w:t>,</w:t>
      </w:r>
      <w:r w:rsidRPr="00E231E2">
        <w:t xml:space="preserve"> and ensure the rebate accurately reflects </w:t>
      </w:r>
      <w:r w:rsidR="005D5E49">
        <w:t>GP</w:t>
      </w:r>
      <w:r w:rsidRPr="00E231E2">
        <w:t xml:space="preserve"> activity.</w:t>
      </w:r>
    </w:p>
    <w:p w14:paraId="011B034D" w14:textId="5A405766" w:rsidR="00A824AB" w:rsidRDefault="00A824AB" w:rsidP="00F44F16">
      <w:pPr>
        <w:pStyle w:val="Numbering"/>
        <w:numPr>
          <w:ilvl w:val="0"/>
          <w:numId w:val="64"/>
        </w:numPr>
        <w:ind w:left="1560" w:hanging="993"/>
      </w:pPr>
      <w:r>
        <w:t xml:space="preserve">Increase the rebate for home visits for </w:t>
      </w:r>
      <w:r w:rsidR="00B94764">
        <w:t xml:space="preserve">enrolled </w:t>
      </w:r>
      <w:r>
        <w:t>patients</w:t>
      </w:r>
      <w:r w:rsidR="00E231E2">
        <w:t>.</w:t>
      </w:r>
    </w:p>
    <w:p w14:paraId="54D473A2" w14:textId="4BB1110F" w:rsidR="00AD5EA5" w:rsidRPr="00F44F16" w:rsidRDefault="00AD5EA5" w:rsidP="00FF6FA6">
      <w:pPr>
        <w:pStyle w:val="Numbering"/>
      </w:pPr>
      <w:r w:rsidRPr="00F44F16">
        <w:t xml:space="preserve">Build </w:t>
      </w:r>
      <w:r w:rsidR="00725622" w:rsidRPr="00F44F16">
        <w:t xml:space="preserve">the </w:t>
      </w:r>
      <w:r w:rsidRPr="00F44F16">
        <w:t>evidence base for Health Assessments</w:t>
      </w:r>
      <w:r w:rsidR="00C45E0F" w:rsidRPr="00F44F16">
        <w:t xml:space="preserve"> and ensure that the content of Health Assessments conforms to appropriate clinical practice guidelines</w:t>
      </w:r>
      <w:r w:rsidR="008565D3">
        <w:t>.</w:t>
      </w:r>
    </w:p>
    <w:p w14:paraId="7564ED4F" w14:textId="0C89E377" w:rsidR="00AD5EA5" w:rsidRPr="00F44F16" w:rsidRDefault="0082601E" w:rsidP="00AD5EA5">
      <w:pPr>
        <w:pStyle w:val="Numbering"/>
      </w:pPr>
      <w:r w:rsidRPr="00F44F16">
        <w:rPr>
          <w:lang w:val="en-AU"/>
        </w:rPr>
        <w:t>Strength</w:t>
      </w:r>
      <w:r w:rsidR="00C30D75">
        <w:rPr>
          <w:lang w:val="en-AU"/>
        </w:rPr>
        <w:t>en</w:t>
      </w:r>
      <w:r w:rsidRPr="00F44F16">
        <w:rPr>
          <w:lang w:val="en-AU"/>
        </w:rPr>
        <w:t xml:space="preserve"> the quality of current Health Assessments and expand</w:t>
      </w:r>
      <w:r w:rsidR="00725622" w:rsidRPr="00F44F16">
        <w:t xml:space="preserve"> </w:t>
      </w:r>
      <w:r w:rsidR="00182781" w:rsidRPr="00F44F16">
        <w:t>at-risk</w:t>
      </w:r>
      <w:r w:rsidR="00C45E0F" w:rsidRPr="00F44F16">
        <w:t xml:space="preserve"> groups who are eligible </w:t>
      </w:r>
      <w:r w:rsidR="008565D3">
        <w:t>for Health Assessments.</w:t>
      </w:r>
    </w:p>
    <w:p w14:paraId="0749C1E0" w14:textId="77777777" w:rsidR="00E231E2" w:rsidRPr="00E231E2" w:rsidRDefault="00E231E2" w:rsidP="00E231E2">
      <w:pPr>
        <w:pStyle w:val="Numbering"/>
      </w:pPr>
      <w:r w:rsidRPr="00E231E2">
        <w:t xml:space="preserve">Undertake additional research regarding the appropriateness of the current length, content and minimum quality metrics for GP MBS consultation items (Levels A-D). </w:t>
      </w:r>
    </w:p>
    <w:p w14:paraId="56F32FC4" w14:textId="0C4FCA61" w:rsidR="00AD5EA5" w:rsidRPr="00F44F16" w:rsidRDefault="00E231E2">
      <w:pPr>
        <w:pStyle w:val="Numbering"/>
      </w:pPr>
      <w:r w:rsidRPr="00E231E2">
        <w:t xml:space="preserve">Introduce a new Level E consultation item for consultations of 60 minutes or more by a </w:t>
      </w:r>
      <w:r w:rsidR="008565D3">
        <w:t>GP.</w:t>
      </w:r>
    </w:p>
    <w:p w14:paraId="4244238A" w14:textId="77777777" w:rsidR="00E231E2" w:rsidRPr="00E231E2" w:rsidRDefault="00E231E2" w:rsidP="00E231E2">
      <w:pPr>
        <w:pStyle w:val="Numbering"/>
      </w:pPr>
      <w:r w:rsidRPr="00E231E2">
        <w:t>Change the schedule fee for attendances at Residential Aged Care Facilities (RACF) to reflect an initial flag fall rebate with a stable fee for each consultation completed at the RACF.</w:t>
      </w:r>
    </w:p>
    <w:p w14:paraId="026597F5" w14:textId="77777777" w:rsidR="006E21E2" w:rsidRPr="006E21E2" w:rsidRDefault="006E21E2" w:rsidP="006E21E2">
      <w:pPr>
        <w:pStyle w:val="Numbering"/>
      </w:pPr>
      <w:r w:rsidRPr="006E21E2">
        <w:t>Modernise the terminology currently used in the MBS to describe registered and enrolled nurses and their role to reflect the important role these health professionals play as members of the practice team.</w:t>
      </w:r>
    </w:p>
    <w:p w14:paraId="22175C57" w14:textId="572F5599" w:rsidR="006E21E2" w:rsidRDefault="00CD6B7E" w:rsidP="00CD6B7E">
      <w:pPr>
        <w:pStyle w:val="Numbering"/>
      </w:pPr>
      <w:r w:rsidRPr="00F44F16">
        <w:t>E</w:t>
      </w:r>
      <w:r w:rsidRPr="004238EC">
        <w:t>nable GP telehealth consultations</w:t>
      </w:r>
      <w:r>
        <w:t xml:space="preserve"> and expand GP telehealth eligibility to patients with mobility concerns who cannot easily be seen face-to-face.</w:t>
      </w:r>
    </w:p>
    <w:p w14:paraId="4D572052" w14:textId="673D34E9" w:rsidR="006E21E2" w:rsidRPr="006E21E2" w:rsidRDefault="006E21E2" w:rsidP="002E40FE">
      <w:pPr>
        <w:pStyle w:val="Numbering"/>
        <w:numPr>
          <w:ilvl w:val="0"/>
          <w:numId w:val="0"/>
        </w:numPr>
        <w:ind w:left="360"/>
      </w:pPr>
    </w:p>
    <w:p w14:paraId="7FD2E5BB" w14:textId="77777777" w:rsidR="004632FD" w:rsidRPr="004632FD" w:rsidRDefault="000556FB" w:rsidP="00314122">
      <w:pPr>
        <w:pStyle w:val="Heading2"/>
      </w:pPr>
      <w:bookmarkStart w:id="6" w:name="_Toc15050461"/>
      <w:bookmarkStart w:id="7" w:name="_Toc15051103"/>
      <w:bookmarkStart w:id="8" w:name="_Toc15051746"/>
      <w:bookmarkStart w:id="9" w:name="_Toc15052389"/>
      <w:bookmarkStart w:id="10" w:name="_Toc15053031"/>
      <w:bookmarkStart w:id="11" w:name="_Toc15053674"/>
      <w:bookmarkStart w:id="12" w:name="_Toc15054320"/>
      <w:bookmarkStart w:id="13" w:name="_Toc15054397"/>
      <w:bookmarkStart w:id="14" w:name="_Toc15050462"/>
      <w:bookmarkStart w:id="15" w:name="_Toc15051104"/>
      <w:bookmarkStart w:id="16" w:name="_Toc15051747"/>
      <w:bookmarkStart w:id="17" w:name="_Toc15052390"/>
      <w:bookmarkStart w:id="18" w:name="_Toc15053032"/>
      <w:bookmarkStart w:id="19" w:name="_Toc15053675"/>
      <w:bookmarkStart w:id="20" w:name="_Toc15054321"/>
      <w:bookmarkStart w:id="21" w:name="_Toc15054398"/>
      <w:bookmarkStart w:id="22" w:name="_Toc15050463"/>
      <w:bookmarkStart w:id="23" w:name="_Toc15051105"/>
      <w:bookmarkStart w:id="24" w:name="_Toc15051748"/>
      <w:bookmarkStart w:id="25" w:name="_Toc15052391"/>
      <w:bookmarkStart w:id="26" w:name="_Toc15053033"/>
      <w:bookmarkStart w:id="27" w:name="_Toc15053676"/>
      <w:bookmarkStart w:id="28" w:name="_Toc15054322"/>
      <w:bookmarkStart w:id="29" w:name="_Toc15054399"/>
      <w:bookmarkStart w:id="30" w:name="_Toc485295713"/>
      <w:bookmarkStart w:id="31" w:name="_Toc1564484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 xml:space="preserve">Consumer </w:t>
      </w:r>
      <w:r w:rsidR="009B4B96">
        <w:t>impact</w:t>
      </w:r>
      <w:bookmarkEnd w:id="30"/>
      <w:bookmarkEnd w:id="31"/>
    </w:p>
    <w:p w14:paraId="58C422AE" w14:textId="77777777" w:rsidR="006B0170" w:rsidRPr="006B0170" w:rsidRDefault="006B0170" w:rsidP="006B0170">
      <w:r w:rsidRPr="006B0170">
        <w:t xml:space="preserve">The Committee has developed recommendations consistent with the Taskforce objectives </w:t>
      </w:r>
      <w:r w:rsidR="00CF5AD5">
        <w:t>and has focused on finding ways to</w:t>
      </w:r>
      <w:r w:rsidRPr="006B0170">
        <w:t xml:space="preserve"> improve value for the patient through the delivery of appropriate primary care. </w:t>
      </w:r>
    </w:p>
    <w:p w14:paraId="77734ED7" w14:textId="39819C0D" w:rsidR="00F86052" w:rsidRDefault="00035587" w:rsidP="006B0170">
      <w:r>
        <w:t>Consumers on the C</w:t>
      </w:r>
      <w:r w:rsidR="006B0170" w:rsidRPr="006B0170">
        <w:t>ommittee stressed the importance of a “</w:t>
      </w:r>
      <w:r w:rsidR="00E80F39">
        <w:t>person-</w:t>
      </w:r>
      <w:r w:rsidR="006B0170" w:rsidRPr="006B0170">
        <w:t xml:space="preserve">centred” approach that includes: </w:t>
      </w:r>
    </w:p>
    <w:p w14:paraId="1DA481F2" w14:textId="77777777" w:rsidR="00F86052" w:rsidRDefault="00F86052" w:rsidP="00F86052">
      <w:pPr>
        <w:pStyle w:val="Bullet-green"/>
      </w:pPr>
      <w:r>
        <w:t>S</w:t>
      </w:r>
      <w:r w:rsidR="00035587">
        <w:t>trengthening shared doctor-</w:t>
      </w:r>
      <w:r w:rsidR="006B0170" w:rsidRPr="006B0170">
        <w:t xml:space="preserve">patient decision making about treatment options, risks, and out of pocket costs; </w:t>
      </w:r>
    </w:p>
    <w:p w14:paraId="4B19F3DC" w14:textId="77777777" w:rsidR="00F86052" w:rsidRDefault="00F86052" w:rsidP="00F86052">
      <w:pPr>
        <w:pStyle w:val="Bullet-green"/>
      </w:pPr>
      <w:r>
        <w:t>I</w:t>
      </w:r>
      <w:r w:rsidR="006B0170" w:rsidRPr="006B0170">
        <w:t xml:space="preserve">mproved targeting of resources for chronic disease management; </w:t>
      </w:r>
    </w:p>
    <w:p w14:paraId="3DAD1BAF" w14:textId="77777777" w:rsidR="00F86052" w:rsidRDefault="00F86052" w:rsidP="00F86052">
      <w:pPr>
        <w:pStyle w:val="Bullet-green"/>
      </w:pPr>
      <w:r>
        <w:t>S</w:t>
      </w:r>
      <w:r w:rsidR="006B0170" w:rsidRPr="006B0170">
        <w:t xml:space="preserve">upport systems to enhance continuity of care; </w:t>
      </w:r>
    </w:p>
    <w:p w14:paraId="350BDD78" w14:textId="77777777" w:rsidR="00F86052" w:rsidRDefault="00F86052" w:rsidP="00F86052">
      <w:pPr>
        <w:pStyle w:val="Bullet-green"/>
      </w:pPr>
      <w:r>
        <w:t>T</w:t>
      </w:r>
      <w:r w:rsidR="006B0170" w:rsidRPr="006B0170">
        <w:t xml:space="preserve">imely access to the services patients need through the convenience of digitally supported consultations; and </w:t>
      </w:r>
    </w:p>
    <w:p w14:paraId="233C16B8" w14:textId="77777777" w:rsidR="006B0170" w:rsidRPr="009B0335" w:rsidRDefault="00F86052" w:rsidP="00F86052">
      <w:pPr>
        <w:pStyle w:val="Bullet-green"/>
      </w:pPr>
      <w:r w:rsidRPr="009B0335">
        <w:t>S</w:t>
      </w:r>
      <w:r w:rsidR="006B0170" w:rsidRPr="009B0335">
        <w:t>treamlining payment mechanisms to reflect higher quality services at an appropriate cost.</w:t>
      </w:r>
    </w:p>
    <w:p w14:paraId="53404751" w14:textId="77777777" w:rsidR="006B0170" w:rsidRPr="006B0170" w:rsidRDefault="006B0170" w:rsidP="006B0170">
      <w:r w:rsidRPr="006B0170">
        <w:t>The recommendations will benefit patients in the following ways:</w:t>
      </w:r>
    </w:p>
    <w:p w14:paraId="63FCCA49" w14:textId="77777777" w:rsidR="00C62981" w:rsidRDefault="006B0170" w:rsidP="00C30D75">
      <w:pPr>
        <w:pStyle w:val="Bullet-green"/>
        <w:numPr>
          <w:ilvl w:val="0"/>
          <w:numId w:val="0"/>
        </w:numPr>
        <w:ind w:left="431"/>
      </w:pPr>
      <w:r w:rsidRPr="006B0170">
        <w:t xml:space="preserve">(i) Access - </w:t>
      </w:r>
      <w:r w:rsidR="00C62981">
        <w:t>changes to</w:t>
      </w:r>
      <w:r w:rsidRPr="006B0170">
        <w:t xml:space="preserve"> </w:t>
      </w:r>
      <w:r w:rsidR="00C62981">
        <w:t>chronic disease management</w:t>
      </w:r>
      <w:r w:rsidRPr="006B0170">
        <w:t xml:space="preserve"> items will streamline the process and support patients in accessing services from GPs, nurses and allied health providers, and encourages</w:t>
      </w:r>
      <w:r w:rsidR="00D72088">
        <w:t xml:space="preserve"> GPs and</w:t>
      </w:r>
      <w:r w:rsidRPr="006B0170">
        <w:t xml:space="preserve"> patients to complete a full cycle of care.</w:t>
      </w:r>
    </w:p>
    <w:p w14:paraId="73E946E1" w14:textId="77777777" w:rsidR="00C62981" w:rsidRDefault="006B0170" w:rsidP="00C30D75">
      <w:pPr>
        <w:pStyle w:val="Bullet-green"/>
        <w:numPr>
          <w:ilvl w:val="0"/>
          <w:numId w:val="0"/>
        </w:numPr>
        <w:ind w:left="431"/>
      </w:pPr>
      <w:r w:rsidRPr="006B0170">
        <w:t xml:space="preserve">(ii) Patient Experience - </w:t>
      </w:r>
      <w:r w:rsidR="00D72088">
        <w:t>the recommendations support involving patients in decision-</w:t>
      </w:r>
      <w:r w:rsidRPr="006B0170">
        <w:t xml:space="preserve">making and </w:t>
      </w:r>
      <w:r w:rsidR="00D72088" w:rsidRPr="006B0170">
        <w:t>self-management</w:t>
      </w:r>
      <w:r w:rsidRPr="006B0170">
        <w:t xml:space="preserve"> through strengthened GPs partnership arrangements, informed consent, chronic di</w:t>
      </w:r>
      <w:r w:rsidR="00D72088">
        <w:t xml:space="preserve">sease management and medication </w:t>
      </w:r>
      <w:r w:rsidR="00D72088" w:rsidRPr="009B0335">
        <w:t>management</w:t>
      </w:r>
      <w:r w:rsidRPr="009B0335">
        <w:t xml:space="preserve">.  Recommended changes recognise that the length of consultations needs to reflect the complexity of the patient’s health. The </w:t>
      </w:r>
      <w:r w:rsidR="00D72088" w:rsidRPr="009B0335">
        <w:t>recommendations recognise</w:t>
      </w:r>
      <w:r w:rsidRPr="009B0335">
        <w:t xml:space="preserve"> the advantages of consumers being supported to navigate the system through</w:t>
      </w:r>
      <w:r w:rsidRPr="00777FA3">
        <w:t xml:space="preserve"> care</w:t>
      </w:r>
      <w:r w:rsidRPr="006B0170">
        <w:t xml:space="preserve"> coordination.</w:t>
      </w:r>
    </w:p>
    <w:p w14:paraId="57512950" w14:textId="3924C1D2" w:rsidR="006B0170" w:rsidRPr="009B0335" w:rsidRDefault="006B0170" w:rsidP="00C30D75">
      <w:pPr>
        <w:pStyle w:val="Bullet-green"/>
        <w:numPr>
          <w:ilvl w:val="0"/>
          <w:numId w:val="0"/>
        </w:numPr>
        <w:ind w:left="431"/>
      </w:pPr>
      <w:r w:rsidRPr="006B0170">
        <w:t xml:space="preserve">(iii) High value care - </w:t>
      </w:r>
      <w:r w:rsidR="00D72088">
        <w:t>r</w:t>
      </w:r>
      <w:r w:rsidRPr="006B0170">
        <w:t xml:space="preserve">ecommendations relating to the structure of </w:t>
      </w:r>
      <w:r w:rsidR="00C30D75">
        <w:t>standard GP g</w:t>
      </w:r>
      <w:r w:rsidRPr="006B0170">
        <w:t xml:space="preserve">eneral </w:t>
      </w:r>
      <w:r w:rsidR="00C30D75">
        <w:t>attendances</w:t>
      </w:r>
      <w:r w:rsidRPr="006B0170">
        <w:t>, including a new longer consultation item number, are based on evidence which shows improved patient outcomes</w:t>
      </w:r>
      <w:r w:rsidR="000B1C88">
        <w:t xml:space="preserve"> are</w:t>
      </w:r>
      <w:r w:rsidRPr="006B0170">
        <w:t xml:space="preserve"> associated with longer, comprehensive consultations for patients who have complex health concerns.  </w:t>
      </w:r>
      <w:r w:rsidR="00231889">
        <w:t xml:space="preserve">In addition, </w:t>
      </w:r>
      <w:r w:rsidRPr="006B0170">
        <w:t xml:space="preserve">access to digital health will facilitate </w:t>
      </w:r>
      <w:r w:rsidR="000B1C88">
        <w:t>enhanced</w:t>
      </w:r>
      <w:r w:rsidRPr="006B0170">
        <w:t xml:space="preserve"> access </w:t>
      </w:r>
      <w:r w:rsidR="000B1C88">
        <w:t>for patients who may eas</w:t>
      </w:r>
      <w:r w:rsidR="00C30D75">
        <w:t>ily</w:t>
      </w:r>
      <w:r w:rsidR="000B1C88">
        <w:t xml:space="preserve"> access GP </w:t>
      </w:r>
      <w:r w:rsidR="00C30D75">
        <w:t xml:space="preserve">services </w:t>
      </w:r>
      <w:r w:rsidR="000B1C88">
        <w:t xml:space="preserve">(e.g. rural and remote </w:t>
      </w:r>
      <w:r w:rsidR="000B1C88" w:rsidRPr="009B0335">
        <w:t>patients or patients with mobility challenges)</w:t>
      </w:r>
      <w:r w:rsidRPr="009B0335">
        <w:t xml:space="preserve">.  </w:t>
      </w:r>
    </w:p>
    <w:p w14:paraId="33BDE12D" w14:textId="5E57EB5C" w:rsidR="000869E6" w:rsidRDefault="006B0170" w:rsidP="00F623CB">
      <w:pPr>
        <w:rPr>
          <w:rFonts w:eastAsiaTheme="minorHAnsi" w:cs="Arial"/>
          <w:b/>
          <w:bCs/>
          <w:kern w:val="32"/>
          <w:sz w:val="32"/>
          <w:szCs w:val="28"/>
          <w:lang w:val="en-US" w:eastAsia="en-US"/>
        </w:rPr>
      </w:pPr>
      <w:r w:rsidRPr="006B0170">
        <w:t xml:space="preserve">Looking ahead, the </w:t>
      </w:r>
      <w:r w:rsidR="000B1C88">
        <w:t>C</w:t>
      </w:r>
      <w:r w:rsidRPr="006B0170">
        <w:t xml:space="preserve">ommittee supports a staged movement towards more flexibility in the funding arrangements for general practice, along with streamlined, quality and outcomes based reimbursement.  An initial first step, proposed by the </w:t>
      </w:r>
      <w:r w:rsidR="000B1C88">
        <w:t>C</w:t>
      </w:r>
      <w:r w:rsidRPr="006B0170">
        <w:t>ommittee, involves a process of a form of patient enrolment with their usual general practice.  This will provide flexibility in</w:t>
      </w:r>
      <w:r w:rsidR="00231889">
        <w:t xml:space="preserve"> access and</w:t>
      </w:r>
      <w:r w:rsidRPr="006B0170">
        <w:t xml:space="preserve"> service delivery</w:t>
      </w:r>
      <w:r w:rsidR="00231889">
        <w:t>,</w:t>
      </w:r>
      <w:r w:rsidRPr="006B0170">
        <w:t xml:space="preserve"> and attract res</w:t>
      </w:r>
      <w:r w:rsidR="008C44F0">
        <w:t>ources to establish a framework</w:t>
      </w:r>
      <w:r w:rsidRPr="006B0170">
        <w:t xml:space="preserve"> (systems, data, patient engagement mechanisms) to drive improvements in quality care.  Community consultation will be an important part of this process.</w:t>
      </w:r>
    </w:p>
    <w:p w14:paraId="16745A6F" w14:textId="4CBA5E56" w:rsidR="00B5790E" w:rsidRPr="00B5790E" w:rsidRDefault="00817A04" w:rsidP="005C7FB0">
      <w:pPr>
        <w:pStyle w:val="Heading1"/>
      </w:pPr>
      <w:bookmarkStart w:id="32" w:name="_Toc485295714"/>
      <w:bookmarkStart w:id="33" w:name="_Toc15644841"/>
      <w:r w:rsidRPr="00FA4189">
        <w:t xml:space="preserve">About the </w:t>
      </w:r>
      <w:r w:rsidRPr="00756A5C">
        <w:t>Medicare</w:t>
      </w:r>
      <w:r w:rsidRPr="00FA4189">
        <w:t xml:space="preserve"> Benefits Schedule (MBS) Review</w:t>
      </w:r>
      <w:bookmarkEnd w:id="32"/>
      <w:bookmarkEnd w:id="33"/>
    </w:p>
    <w:p w14:paraId="08BE1B0F" w14:textId="77777777" w:rsidR="00FA4189" w:rsidRPr="00FA4189" w:rsidRDefault="00463B1C" w:rsidP="00314122">
      <w:pPr>
        <w:pStyle w:val="Heading2"/>
      </w:pPr>
      <w:bookmarkStart w:id="34" w:name="_Toc485295715"/>
      <w:bookmarkStart w:id="35" w:name="_Toc15644842"/>
      <w:r w:rsidRPr="007E02E9">
        <w:t xml:space="preserve">Medicare and </w:t>
      </w:r>
      <w:r w:rsidRPr="00B5790E">
        <w:t>the</w:t>
      </w:r>
      <w:r w:rsidRPr="007E02E9">
        <w:t xml:space="preserve"> </w:t>
      </w:r>
      <w:r w:rsidRPr="00FA4189">
        <w:t>MBS</w:t>
      </w:r>
      <w:bookmarkEnd w:id="34"/>
      <w:bookmarkEnd w:id="35"/>
    </w:p>
    <w:p w14:paraId="0020D3E9" w14:textId="77777777" w:rsidR="000556FB" w:rsidRPr="00FA4189" w:rsidRDefault="000556FB" w:rsidP="00C85F2F">
      <w:pPr>
        <w:pStyle w:val="Heading3Numbered"/>
      </w:pPr>
      <w:bookmarkStart w:id="36" w:name="_Toc15644843"/>
      <w:r w:rsidRPr="00FA4189">
        <w:t>What is Medicare?</w:t>
      </w:r>
      <w:bookmarkEnd w:id="36"/>
    </w:p>
    <w:p w14:paraId="066E53BC"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518F0EB7"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78346C43" w14:textId="77777777" w:rsidR="007C00E1" w:rsidRDefault="00A13A3C" w:rsidP="007A2F4A">
      <w:pPr>
        <w:pStyle w:val="Bullet-green"/>
      </w:pPr>
      <w:r w:rsidRPr="00E130F6">
        <w:t>free public hospital services for public patients</w:t>
      </w:r>
    </w:p>
    <w:p w14:paraId="0E2A41FA" w14:textId="77777777" w:rsidR="007C00E1" w:rsidRDefault="00A13A3C" w:rsidP="007A2F4A">
      <w:pPr>
        <w:pStyle w:val="Bullet-green"/>
      </w:pPr>
      <w:r w:rsidRPr="00E130F6">
        <w:t>subsidised drugs covered by the Pharmaceutical Benefits Scheme</w:t>
      </w:r>
      <w:r w:rsidR="00E130F6">
        <w:t xml:space="preserve"> (PBS)</w:t>
      </w:r>
    </w:p>
    <w:p w14:paraId="0631BC36"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D0E136C" w14:textId="77777777" w:rsidR="000556FB" w:rsidRDefault="000556FB" w:rsidP="00314122">
      <w:pPr>
        <w:pStyle w:val="Heading2"/>
      </w:pPr>
      <w:bookmarkStart w:id="37" w:name="_Toc15644844"/>
      <w:r>
        <w:t>What is the MBS?</w:t>
      </w:r>
      <w:bookmarkEnd w:id="37"/>
    </w:p>
    <w:p w14:paraId="600BEBBA"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subsidised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445F2213" w14:textId="77777777" w:rsidR="008A05B8" w:rsidRPr="009200D8" w:rsidRDefault="008A05B8" w:rsidP="00314122">
      <w:pPr>
        <w:pStyle w:val="Heading2"/>
      </w:pPr>
      <w:bookmarkStart w:id="38" w:name="_Toc485295716"/>
      <w:bookmarkStart w:id="39" w:name="_Toc15644845"/>
      <w:r w:rsidRPr="009200D8">
        <w:t>What is the MBS Review Taskforce?</w:t>
      </w:r>
      <w:bookmarkEnd w:id="38"/>
      <w:bookmarkEnd w:id="39"/>
    </w:p>
    <w:p w14:paraId="10AB1523" w14:textId="77777777"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 and there are no targets for savings attached to the </w:t>
      </w:r>
      <w:r>
        <w:t>Review</w:t>
      </w:r>
      <w:r w:rsidRPr="00B0157E">
        <w:t xml:space="preserve">. </w:t>
      </w:r>
    </w:p>
    <w:p w14:paraId="0E569837" w14:textId="77777777" w:rsidR="008A05B8" w:rsidRPr="00175BCE" w:rsidRDefault="00202DB4" w:rsidP="00C85F2F">
      <w:pPr>
        <w:pStyle w:val="Heading3Numbered"/>
      </w:pPr>
      <w:bookmarkStart w:id="40" w:name="_Toc15644846"/>
      <w:r w:rsidRPr="007F345C">
        <w:t>What are the g</w:t>
      </w:r>
      <w:r w:rsidR="009A1898" w:rsidRPr="007F345C">
        <w:t>oals of the Taskforce?</w:t>
      </w:r>
      <w:bookmarkEnd w:id="40"/>
    </w:p>
    <w:p w14:paraId="2B1A27CF"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25760206"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3B386125" w14:textId="77777777" w:rsidR="00AE0B4C" w:rsidRPr="000869E6" w:rsidRDefault="00AE0B4C" w:rsidP="007A2F4A">
      <w:pPr>
        <w:pStyle w:val="Bullet-green"/>
      </w:pPr>
      <w:r w:rsidRPr="00866994">
        <w:rPr>
          <w:rStyle w:val="Boldbullet-greenChar"/>
        </w:rPr>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best practice and the evidence base whe</w:t>
      </w:r>
      <w:r w:rsidR="00646BCE">
        <w:t>n</w:t>
      </w:r>
      <w:r w:rsidRPr="000869E6">
        <w:t xml:space="preserve"> possible. Although the Medical Services Advisory Committee (MSAC)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7CF38E6C"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6ABB81A"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24C28275" w14:textId="77777777" w:rsidR="00715996" w:rsidRPr="009200D8" w:rsidRDefault="00715996" w:rsidP="00314122">
      <w:pPr>
        <w:pStyle w:val="Heading2"/>
      </w:pPr>
      <w:bookmarkStart w:id="41" w:name="_Toc485295717"/>
      <w:bookmarkStart w:id="42" w:name="_Toc15644847"/>
      <w:r w:rsidRPr="009200D8">
        <w:t>The Taskforce’s approach</w:t>
      </w:r>
      <w:bookmarkEnd w:id="41"/>
      <w:bookmarkEnd w:id="42"/>
    </w:p>
    <w:p w14:paraId="55138125"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684E3C95"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C771FA9"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1064FB8" w14:textId="77777777" w:rsidR="00743B78" w:rsidRPr="00A34B4C" w:rsidRDefault="00743B78" w:rsidP="00743B78">
      <w:r w:rsidRPr="00A34B4C">
        <w:t xml:space="preserve">The Taskforce asked </w:t>
      </w:r>
      <w:r>
        <w:t xml:space="preserve">the </w:t>
      </w:r>
      <w:r w:rsidRPr="00A34B4C">
        <w:t>committees to review MBS items using a framework based on Professor Adam Elshaug’s appropriate use criteria</w:t>
      </w:r>
      <w:r w:rsidR="000F6EE9">
        <w:t xml:space="preserve"> </w:t>
      </w:r>
      <w:sdt>
        <w:sdtPr>
          <w:id w:val="539330623"/>
          <w:citation/>
        </w:sdtPr>
        <w:sdtEndPr/>
        <w:sdtContent>
          <w:r w:rsidR="000F6EE9">
            <w:fldChar w:fldCharType="begin"/>
          </w:r>
          <w:r w:rsidR="000F6EE9">
            <w:rPr>
              <w:lang w:val="en-US"/>
            </w:rPr>
            <w:instrText xml:space="preserve"> CITATION Els12 \l 1033 </w:instrText>
          </w:r>
          <w:r w:rsidR="000F6EE9">
            <w:fldChar w:fldCharType="separate"/>
          </w:r>
          <w:r w:rsidR="006543DD" w:rsidRPr="006543DD">
            <w:rPr>
              <w:noProof/>
              <w:lang w:val="en-US"/>
            </w:rPr>
            <w:t>(1)</w:t>
          </w:r>
          <w:r w:rsidR="000F6EE9">
            <w:fldChar w:fldCharType="end"/>
          </w:r>
        </w:sdtContent>
      </w:sdt>
      <w:r w:rsidR="000F6EE9">
        <w:t xml:space="preserve"> </w:t>
      </w:r>
      <w:r>
        <w:t>.</w:t>
      </w:r>
      <w:r w:rsidRPr="00A34B4C">
        <w:t xml:space="preserve"> The framework consists of seven steps:</w:t>
      </w:r>
    </w:p>
    <w:p w14:paraId="0A2CF79A" w14:textId="77777777" w:rsidR="00743B78" w:rsidRPr="00756A5C" w:rsidRDefault="00743B78" w:rsidP="00B06B06">
      <w:pPr>
        <w:pStyle w:val="Numbering"/>
        <w:numPr>
          <w:ilvl w:val="0"/>
          <w:numId w:val="10"/>
        </w:numPr>
      </w:pPr>
      <w:r w:rsidRPr="00756A5C">
        <w:t xml:space="preserve">Develop an initial fact base for all items under consideration, drawing on the relevant data and literature. </w:t>
      </w:r>
    </w:p>
    <w:p w14:paraId="7A23736F" w14:textId="3A71EAA6" w:rsidR="00743B78" w:rsidRPr="00756A5C" w:rsidRDefault="00743B78" w:rsidP="00756A5C">
      <w:pPr>
        <w:pStyle w:val="Numbering"/>
      </w:pPr>
      <w:r w:rsidRPr="00756A5C">
        <w:t xml:space="preserve">Identify items that are obsolete, are of questionable </w:t>
      </w:r>
      <w:r w:rsidR="006949D8" w:rsidRPr="006949D8">
        <w:t>clinical value</w:t>
      </w:r>
      <w:r w:rsidR="006949D8" w:rsidRPr="006949D8">
        <w:rPr>
          <w:rStyle w:val="FootnoteReference"/>
        </w:rPr>
        <w:footnoteReference w:id="2"/>
      </w:r>
      <w:r w:rsidR="006949D8" w:rsidRPr="006949D8">
        <w:t>, are misused</w:t>
      </w:r>
      <w:r w:rsidR="006949D8" w:rsidRPr="006949D8">
        <w:rPr>
          <w:rStyle w:val="FootnoteReference"/>
        </w:rPr>
        <w:footnoteReference w:id="3"/>
      </w:r>
      <w:r w:rsidR="006949D8" w:rsidRPr="006949D8">
        <w:t xml:space="preserve"> and/or pose </w:t>
      </w:r>
      <w:r w:rsidRPr="00756A5C">
        <w:t>a risk to patient safety. This step includes prioritising items as “priority 1”, “priority</w:t>
      </w:r>
      <w:r w:rsidR="00140F1D">
        <w:t> </w:t>
      </w:r>
      <w:r w:rsidRPr="00756A5C">
        <w:t>2”, or “priority 3”</w:t>
      </w:r>
      <w:r w:rsidR="00AB2DC8">
        <w:t>,</w:t>
      </w:r>
      <w:r w:rsidRPr="00756A5C">
        <w:t xml:space="preserve"> using a prioritisation methodology (described in more detail below).</w:t>
      </w:r>
    </w:p>
    <w:p w14:paraId="3D1054C6"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3690F5B0"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722E3EE5" w14:textId="77777777" w:rsidR="00743B78" w:rsidRPr="00756A5C" w:rsidRDefault="00743B78" w:rsidP="00756A5C">
      <w:pPr>
        <w:pStyle w:val="Numbering"/>
      </w:pPr>
      <w:bookmarkStart w:id="43" w:name="_Ref505174405"/>
      <w:r w:rsidRPr="00756A5C">
        <w:t>Review the provisional recommendations and the accompanying rationales, and gather further evidence as required.</w:t>
      </w:r>
      <w:bookmarkEnd w:id="43"/>
    </w:p>
    <w:p w14:paraId="732FCED9" w14:textId="77777777" w:rsidR="00756A5C" w:rsidRPr="00756A5C" w:rsidRDefault="00743B78" w:rsidP="00756A5C">
      <w:pPr>
        <w:pStyle w:val="Numbering"/>
      </w:pPr>
      <w:r w:rsidRPr="00756A5C">
        <w:t>Finalise the recommendations in preparation for broader stakeholder consultation.</w:t>
      </w:r>
    </w:p>
    <w:p w14:paraId="0C1F5E2F" w14:textId="77777777" w:rsidR="00743B78" w:rsidRPr="00756A5C" w:rsidRDefault="00743B78" w:rsidP="00756A5C">
      <w:pPr>
        <w:pStyle w:val="Numbering"/>
      </w:pPr>
      <w:r w:rsidRPr="00756A5C">
        <w:t xml:space="preserve">Incorporate feedback gathered during stakeholder consultation and finalise the Review Report, which provides recommendations for the Taskforce. </w:t>
      </w:r>
    </w:p>
    <w:p w14:paraId="2A6CF496" w14:textId="77777777" w:rsidR="00743B78" w:rsidRPr="00FD6810" w:rsidRDefault="00743B78" w:rsidP="00743B78">
      <w:r w:rsidRPr="00FD6810">
        <w:t xml:space="preserve">All MBS items will be reviewed during the course of the MBS Review. However, given the breadth of and timeframe for the Review, each </w:t>
      </w:r>
      <w:r w:rsidR="00016A2E">
        <w:t>c</w:t>
      </w:r>
      <w:r w:rsidRPr="00FD6810">
        <w:t xml:space="preserve">linical </w:t>
      </w:r>
      <w:r w:rsidR="00016A2E">
        <w:t>c</w:t>
      </w:r>
      <w:r w:rsidRPr="00FD6810">
        <w:t>ommittee</w:t>
      </w:r>
      <w:r>
        <w:t xml:space="preserve"> has</w:t>
      </w:r>
      <w:r w:rsidRPr="00FD6810">
        <w:t xml:space="preserve"> to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30EFEB38" w14:textId="77777777" w:rsidR="00743B78" w:rsidRPr="00FB48BC" w:rsidRDefault="00743B78" w:rsidP="007A2F4A">
      <w:pPr>
        <w:pStyle w:val="Bullet-green"/>
      </w:pPr>
      <w:r w:rsidRPr="00FB48BC">
        <w:t>Service volume.</w:t>
      </w:r>
    </w:p>
    <w:p w14:paraId="7F1F9D2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2A1A39">
        <w:t>c</w:t>
      </w:r>
      <w:r w:rsidRPr="00FB48BC">
        <w:t xml:space="preserve">linical </w:t>
      </w:r>
      <w:r w:rsidR="002A1A39">
        <w:t>c</w:t>
      </w:r>
      <w:r w:rsidRPr="00FB48BC">
        <w:t>ommittee (such as inappropriate co-claiming).</w:t>
      </w:r>
    </w:p>
    <w:p w14:paraId="7ADDE5BE" w14:textId="192F1390" w:rsidR="00743B78" w:rsidRPr="00B03730" w:rsidRDefault="00817015" w:rsidP="00817015">
      <w:pPr>
        <w:pStyle w:val="Caption"/>
      </w:pPr>
      <w:bookmarkStart w:id="44" w:name="_Ref503780508"/>
      <w:bookmarkStart w:id="45" w:name="_Toc503779131"/>
      <w:bookmarkStart w:id="46" w:name="_Toc15644911"/>
      <w:r>
        <w:t xml:space="preserve">Figure </w:t>
      </w:r>
      <w:r w:rsidR="00346C30">
        <w:rPr>
          <w:noProof/>
        </w:rPr>
        <w:fldChar w:fldCharType="begin"/>
      </w:r>
      <w:r w:rsidR="00346C30">
        <w:rPr>
          <w:noProof/>
        </w:rPr>
        <w:instrText xml:space="preserve"> SEQ Figure \* ARABIC </w:instrText>
      </w:r>
      <w:r w:rsidR="00346C30">
        <w:rPr>
          <w:noProof/>
        </w:rPr>
        <w:fldChar w:fldCharType="separate"/>
      </w:r>
      <w:r w:rsidR="0097062E">
        <w:rPr>
          <w:noProof/>
        </w:rPr>
        <w:t>1</w:t>
      </w:r>
      <w:r w:rsidR="00346C30">
        <w:rPr>
          <w:noProof/>
        </w:rPr>
        <w:fldChar w:fldCharType="end"/>
      </w:r>
      <w:bookmarkEnd w:id="44"/>
      <w:r>
        <w:t>: Prioritisation matrix</w:t>
      </w:r>
      <w:bookmarkEnd w:id="45"/>
      <w:bookmarkEnd w:id="46"/>
    </w:p>
    <w:p w14:paraId="2DC3A9ED" w14:textId="77777777" w:rsidR="00743B78" w:rsidRPr="00A34B4C" w:rsidRDefault="00743B78" w:rsidP="00756A5C">
      <w:pPr>
        <w:jc w:val="center"/>
        <w:rPr>
          <w:lang w:eastAsia="en-US"/>
        </w:rPr>
      </w:pPr>
      <w:r w:rsidRPr="00A34B4C">
        <w:rPr>
          <w:noProof/>
        </w:rPr>
        <w:drawing>
          <wp:inline distT="0" distB="0" distL="0" distR="0" wp14:anchorId="1E6EF39A" wp14:editId="21842BB8">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65AC556" w14:textId="2133B012"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97062E">
        <w:t xml:space="preserve">Figure </w:t>
      </w:r>
      <w:r w:rsidR="0097062E">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23513EB9" w14:textId="77777777" w:rsidR="004D72E6" w:rsidRPr="00490F36" w:rsidRDefault="007703B3" w:rsidP="00DA4A23">
      <w:pPr>
        <w:spacing w:before="0" w:after="0" w:line="240" w:lineRule="auto"/>
      </w:pPr>
      <w:r>
        <w:br w:type="page"/>
      </w:r>
    </w:p>
    <w:p w14:paraId="7EE007CF" w14:textId="77777777" w:rsidR="00336257" w:rsidRPr="009200D8" w:rsidRDefault="00336257" w:rsidP="00336257">
      <w:pPr>
        <w:pStyle w:val="Heading1"/>
      </w:pPr>
      <w:bookmarkStart w:id="47" w:name="_Toc485295719"/>
      <w:bookmarkStart w:id="48" w:name="_Toc15644848"/>
      <w:bookmarkStart w:id="49" w:name="_Toc485295724"/>
      <w:r w:rsidRPr="009200D8">
        <w:t>About the</w:t>
      </w:r>
      <w:r>
        <w:t xml:space="preserve"> General Practice and Primary Care Clinical </w:t>
      </w:r>
      <w:r w:rsidRPr="00756A5C">
        <w:t>Committee</w:t>
      </w:r>
      <w:bookmarkEnd w:id="47"/>
      <w:bookmarkEnd w:id="48"/>
    </w:p>
    <w:p w14:paraId="739890C6" w14:textId="3F43BC72" w:rsidR="00336257" w:rsidRPr="008057EE" w:rsidRDefault="00336257" w:rsidP="00336257">
      <w:bookmarkStart w:id="50" w:name="_Toc455669872"/>
      <w:r>
        <w:t>The</w:t>
      </w:r>
      <w:r w:rsidRPr="008057EE">
        <w:t xml:space="preserve"> Committee is part of the third tranche of Clinical Committees</w:t>
      </w:r>
      <w:r>
        <w:t xml:space="preserve"> of the MBS</w:t>
      </w:r>
      <w:r w:rsidRPr="008A59F4">
        <w:t xml:space="preserve"> Review</w:t>
      </w:r>
      <w:r w:rsidRPr="008057EE">
        <w:t xml:space="preserve">. It was established in October 2016 to make recommendations </w:t>
      </w:r>
      <w:r>
        <w:t xml:space="preserve">directly </w:t>
      </w:r>
      <w:r w:rsidRPr="008057EE">
        <w:t>to the Taskforce</w:t>
      </w:r>
      <w:r>
        <w:t>,</w:t>
      </w:r>
      <w:r w:rsidRPr="008057EE">
        <w:t xml:space="preserve"> and </w:t>
      </w:r>
      <w:r>
        <w:t>to other</w:t>
      </w:r>
      <w:r w:rsidRPr="008057EE">
        <w:t xml:space="preserve"> Clinical Committees </w:t>
      </w:r>
      <w:r>
        <w:t xml:space="preserve">(from </w:t>
      </w:r>
      <w:r w:rsidRPr="008057EE">
        <w:t xml:space="preserve">a GP </w:t>
      </w:r>
      <w:r>
        <w:t xml:space="preserve">provider and requester </w:t>
      </w:r>
      <w:r w:rsidRPr="008057EE">
        <w:t>perspective</w:t>
      </w:r>
      <w:r>
        <w:t>), based on clinical expertise and rapid evidence review. In Phase 1, t</w:t>
      </w:r>
      <w:r w:rsidRPr="008057EE">
        <w:t>he Taskforce asked the Committee to review MBS items pertaining to services rendered, referred and requested by GPs.</w:t>
      </w:r>
      <w:r>
        <w:t xml:space="preserve"> In Phase</w:t>
      </w:r>
      <w:r w:rsidR="00224640">
        <w:t> </w:t>
      </w:r>
      <w:r>
        <w:t>2, the Taskforce asked the Committee to review general consultation items, chronic disease management items, health assessment items and medication management items, and to consider consumer concerns about access to referrals and repeat scripts.</w:t>
      </w:r>
    </w:p>
    <w:p w14:paraId="3EF6F072" w14:textId="77777777" w:rsidR="00336257" w:rsidRDefault="00336257" w:rsidP="00336257">
      <w:pPr>
        <w:pStyle w:val="Heading2"/>
      </w:pPr>
      <w:bookmarkStart w:id="51" w:name="_Toc485295720"/>
      <w:bookmarkStart w:id="52" w:name="_Toc15644849"/>
      <w:r>
        <w:t>General Practice and Primary Care Clinical Committee m</w:t>
      </w:r>
      <w:r w:rsidRPr="009200D8">
        <w:t>embers</w:t>
      </w:r>
      <w:bookmarkEnd w:id="50"/>
      <w:bookmarkEnd w:id="51"/>
      <w:bookmarkEnd w:id="52"/>
    </w:p>
    <w:p w14:paraId="22730A46" w14:textId="531E9F1E" w:rsidR="00336257" w:rsidRPr="00336257" w:rsidRDefault="00336257" w:rsidP="00336257">
      <w:r w:rsidRPr="002A1A39">
        <w:t>The Committee consists of</w:t>
      </w:r>
      <w:r w:rsidR="00E10DD1">
        <w:t xml:space="preserve"> 21 members</w:t>
      </w:r>
      <w:r w:rsidRPr="002A1A39">
        <w:t xml:space="preserve"> whose names, positions/organisations and declared conflicts of interest are listed in </w:t>
      </w:r>
      <w:r>
        <w:fldChar w:fldCharType="begin"/>
      </w:r>
      <w:r>
        <w:instrText xml:space="preserve"> REF _Ref503780353 \h </w:instrText>
      </w:r>
      <w:r>
        <w:fldChar w:fldCharType="separate"/>
      </w:r>
      <w:r w:rsidR="0097062E" w:rsidRPr="000C0BD8">
        <w:t xml:space="preserve">Table </w:t>
      </w:r>
      <w:r w:rsidR="0097062E">
        <w:rPr>
          <w:noProof/>
        </w:rPr>
        <w:t>1</w:t>
      </w:r>
      <w:r>
        <w:fldChar w:fldCharType="end"/>
      </w:r>
      <w:r w:rsidRPr="002A1A39">
        <w:t xml:space="preserve">. </w:t>
      </w:r>
    </w:p>
    <w:p w14:paraId="325DF67F" w14:textId="7A0F66EE" w:rsidR="00336257" w:rsidRPr="000C0BD8" w:rsidRDefault="00336257" w:rsidP="000C0BD8">
      <w:pPr>
        <w:pStyle w:val="TableCaption"/>
      </w:pPr>
      <w:bookmarkStart w:id="53" w:name="_Ref503780353"/>
      <w:bookmarkStart w:id="54" w:name="_Toc503779132"/>
      <w:bookmarkStart w:id="55" w:name="_Ref503780241"/>
      <w:bookmarkStart w:id="56" w:name="_Toc15644909"/>
      <w:r w:rsidRPr="000C0BD8">
        <w:t xml:space="preserve">Table </w:t>
      </w:r>
      <w:r w:rsidR="00E8419F">
        <w:rPr>
          <w:noProof/>
        </w:rPr>
        <w:fldChar w:fldCharType="begin"/>
      </w:r>
      <w:r w:rsidR="00E8419F">
        <w:rPr>
          <w:noProof/>
        </w:rPr>
        <w:instrText xml:space="preserve"> SEQ Table \* ARABIC </w:instrText>
      </w:r>
      <w:r w:rsidR="00E8419F">
        <w:rPr>
          <w:noProof/>
        </w:rPr>
        <w:fldChar w:fldCharType="separate"/>
      </w:r>
      <w:r w:rsidR="0097062E">
        <w:rPr>
          <w:noProof/>
        </w:rPr>
        <w:t>1</w:t>
      </w:r>
      <w:r w:rsidR="00E8419F">
        <w:rPr>
          <w:noProof/>
        </w:rPr>
        <w:fldChar w:fldCharType="end"/>
      </w:r>
      <w:bookmarkEnd w:id="53"/>
      <w:r w:rsidRPr="000C0BD8">
        <w:t xml:space="preserve">: </w:t>
      </w:r>
      <w:bookmarkStart w:id="57" w:name="_Ref503780252"/>
      <w:r w:rsidRPr="000C0BD8">
        <w:t>General Practice and Primary Care Clinical Committee members</w:t>
      </w:r>
      <w:bookmarkEnd w:id="54"/>
      <w:bookmarkEnd w:id="55"/>
      <w:bookmarkEnd w:id="56"/>
      <w:bookmarkEnd w:id="57"/>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General Practice and Primary Care Clinical Committee members"/>
        <w:tblDescription w:val="Table 1: General Practice and Primary Care Clinical Committee members. Table 1 consists of 3 columns. Column 1. Names of Committee Members.  Column 2. Positon of members and Column 2 shows the orgaisations and declared conflicts of interest."/>
      </w:tblPr>
      <w:tblGrid>
        <w:gridCol w:w="2165"/>
        <w:gridCol w:w="3663"/>
        <w:gridCol w:w="2474"/>
      </w:tblGrid>
      <w:tr w:rsidR="00336257" w:rsidRPr="00DE6A92" w14:paraId="5C387260" w14:textId="77777777" w:rsidTr="00524BFA">
        <w:trPr>
          <w:tblHeader/>
        </w:trPr>
        <w:tc>
          <w:tcPr>
            <w:tcW w:w="1304" w:type="pct"/>
            <w:tcBorders>
              <w:bottom w:val="single" w:sz="4" w:space="0" w:color="01653F"/>
            </w:tcBorders>
            <w:shd w:val="clear" w:color="auto" w:fill="01653F"/>
          </w:tcPr>
          <w:p w14:paraId="59C64286" w14:textId="77777777" w:rsidR="00336257" w:rsidRPr="00336257" w:rsidRDefault="00336257" w:rsidP="00336257">
            <w:pPr>
              <w:pStyle w:val="Tableheading"/>
            </w:pPr>
            <w:r w:rsidRPr="00336257">
              <w:t>Name</w:t>
            </w:r>
          </w:p>
        </w:tc>
        <w:tc>
          <w:tcPr>
            <w:tcW w:w="2206" w:type="pct"/>
            <w:tcBorders>
              <w:bottom w:val="single" w:sz="4" w:space="0" w:color="01653F"/>
            </w:tcBorders>
            <w:shd w:val="clear" w:color="auto" w:fill="01653F"/>
          </w:tcPr>
          <w:p w14:paraId="25F2E719" w14:textId="77777777" w:rsidR="00336257" w:rsidRPr="00336257" w:rsidRDefault="00336257" w:rsidP="00336257">
            <w:pPr>
              <w:pStyle w:val="Tableheading"/>
            </w:pPr>
            <w:r w:rsidRPr="00336257">
              <w:t>Position/organisation</w:t>
            </w:r>
          </w:p>
        </w:tc>
        <w:tc>
          <w:tcPr>
            <w:tcW w:w="1490" w:type="pct"/>
            <w:tcBorders>
              <w:bottom w:val="single" w:sz="4" w:space="0" w:color="01653F"/>
            </w:tcBorders>
            <w:shd w:val="clear" w:color="auto" w:fill="01653F"/>
          </w:tcPr>
          <w:p w14:paraId="72986A71" w14:textId="77777777" w:rsidR="00336257" w:rsidRPr="00336257" w:rsidRDefault="00336257" w:rsidP="00336257">
            <w:pPr>
              <w:pStyle w:val="Tableheading"/>
            </w:pPr>
            <w:r w:rsidRPr="00336257">
              <w:t>Declared conflict of interest</w:t>
            </w:r>
          </w:p>
        </w:tc>
      </w:tr>
      <w:tr w:rsidR="00336257" w:rsidRPr="00DE6A92" w14:paraId="6AA4EA72" w14:textId="77777777" w:rsidTr="00524BFA">
        <w:trPr>
          <w:trHeight w:val="549"/>
        </w:trPr>
        <w:tc>
          <w:tcPr>
            <w:tcW w:w="1304" w:type="pct"/>
            <w:tcBorders>
              <w:left w:val="nil"/>
              <w:right w:val="nil"/>
            </w:tcBorders>
          </w:tcPr>
          <w:p w14:paraId="7C88BA7E" w14:textId="77777777" w:rsidR="00336257" w:rsidRPr="00336257" w:rsidRDefault="00336257" w:rsidP="00336257">
            <w:pPr>
              <w:pStyle w:val="Tabletext"/>
              <w:rPr>
                <w:highlight w:val="yellow"/>
              </w:rPr>
            </w:pPr>
            <w:r>
              <w:t>Prof</w:t>
            </w:r>
            <w:r w:rsidRPr="00336257">
              <w:t xml:space="preserve"> Tim Usherwood</w:t>
            </w:r>
          </w:p>
        </w:tc>
        <w:tc>
          <w:tcPr>
            <w:tcW w:w="2206" w:type="pct"/>
            <w:tcBorders>
              <w:left w:val="nil"/>
              <w:right w:val="nil"/>
            </w:tcBorders>
          </w:tcPr>
          <w:p w14:paraId="24676A03" w14:textId="77777777" w:rsidR="00336257" w:rsidRPr="00336257" w:rsidRDefault="00336257" w:rsidP="0047019F">
            <w:pPr>
              <w:pStyle w:val="Tabletext"/>
            </w:pPr>
            <w:r>
              <w:t xml:space="preserve">Head of the Department of General Practice, Sydney </w:t>
            </w:r>
            <w:r w:rsidRPr="00336257">
              <w:t xml:space="preserve">Medical School Westmead, University of Sydney; Visiting Professorial Fellow, The George Institute for Global Health; Clinical Academic, Westmead Hospital; </w:t>
            </w:r>
            <w:r w:rsidR="0047019F">
              <w:t>General practitioner, Western Sydney.</w:t>
            </w:r>
          </w:p>
        </w:tc>
        <w:tc>
          <w:tcPr>
            <w:tcW w:w="1490" w:type="pct"/>
            <w:tcBorders>
              <w:left w:val="nil"/>
              <w:right w:val="nil"/>
            </w:tcBorders>
            <w:shd w:val="clear" w:color="auto" w:fill="auto"/>
          </w:tcPr>
          <w:p w14:paraId="2E5AC0D8" w14:textId="77777777" w:rsidR="00336257" w:rsidRPr="00336257" w:rsidRDefault="00336257" w:rsidP="00336257">
            <w:pPr>
              <w:pStyle w:val="Tabletext"/>
              <w:rPr>
                <w:highlight w:val="yellow"/>
              </w:rPr>
            </w:pPr>
            <w:r>
              <w:t>Employee of the University of Sydney; Employee at Sydney West Aboriginal Health Service (MBS bulk-billing); Health consumer entitled to MBS rebates; Board Member, Western Sydney Primary Health Network (WentWest Ltd); Chair, Diagnostics Expert Advisory Panel, NPS MedicineWise</w:t>
            </w:r>
          </w:p>
        </w:tc>
      </w:tr>
      <w:tr w:rsidR="00336257" w:rsidRPr="00DE6A92" w14:paraId="600F2D01" w14:textId="77777777" w:rsidTr="00524BFA">
        <w:trPr>
          <w:trHeight w:val="549"/>
        </w:trPr>
        <w:tc>
          <w:tcPr>
            <w:tcW w:w="1304" w:type="pct"/>
            <w:tcBorders>
              <w:left w:val="nil"/>
              <w:right w:val="nil"/>
            </w:tcBorders>
          </w:tcPr>
          <w:p w14:paraId="53C2F84C" w14:textId="77777777" w:rsidR="00336257" w:rsidRPr="00336257" w:rsidRDefault="00336257" w:rsidP="00336257">
            <w:pPr>
              <w:pStyle w:val="Tabletext"/>
              <w:rPr>
                <w:highlight w:val="yellow"/>
              </w:rPr>
            </w:pPr>
            <w:r>
              <w:t>Ms Karen Booth</w:t>
            </w:r>
          </w:p>
        </w:tc>
        <w:tc>
          <w:tcPr>
            <w:tcW w:w="2206" w:type="pct"/>
            <w:tcBorders>
              <w:left w:val="nil"/>
              <w:right w:val="nil"/>
            </w:tcBorders>
          </w:tcPr>
          <w:p w14:paraId="79BC5020" w14:textId="77777777" w:rsidR="00336257" w:rsidRPr="00336257" w:rsidRDefault="00336257" w:rsidP="00336257">
            <w:pPr>
              <w:pStyle w:val="Tabletext"/>
              <w:rPr>
                <w:highlight w:val="yellow"/>
              </w:rPr>
            </w:pPr>
            <w:r>
              <w:t xml:space="preserve">Registered Nurse and </w:t>
            </w:r>
            <w:r w:rsidRPr="00336257">
              <w:t xml:space="preserve">Accredited Immuniser; Current President, Australian Primary Health Care Nurse Association; Primary Health Care Nurse and Nurse Manager in General Practice since 1998; Member of the National Immunisation Committee, the Advisory Committee for Safety of Vaccines, GP Round Table Member, </w:t>
            </w:r>
            <w:r w:rsidR="001E11BD">
              <w:t xml:space="preserve">Past </w:t>
            </w:r>
            <w:r w:rsidRPr="00336257">
              <w:t>Primary Health Care Advisory Group; Member of advisory groups for the Royal Australian College of General Practitioners (RACGP) and the Australian Commission on Safety and Quality in Health Care (ACQSHC)</w:t>
            </w:r>
          </w:p>
        </w:tc>
        <w:tc>
          <w:tcPr>
            <w:tcW w:w="1490" w:type="pct"/>
            <w:tcBorders>
              <w:left w:val="nil"/>
              <w:right w:val="nil"/>
            </w:tcBorders>
            <w:shd w:val="clear" w:color="auto" w:fill="auto"/>
          </w:tcPr>
          <w:p w14:paraId="485AD7A2" w14:textId="77777777" w:rsidR="00336257" w:rsidRPr="00336257" w:rsidRDefault="00336257" w:rsidP="00336257">
            <w:pPr>
              <w:pStyle w:val="Tabletext"/>
              <w:rPr>
                <w:highlight w:val="yellow"/>
              </w:rPr>
            </w:pPr>
            <w:r>
              <w:t>Nil</w:t>
            </w:r>
          </w:p>
        </w:tc>
      </w:tr>
      <w:tr w:rsidR="00336257" w:rsidRPr="00DE6A92" w14:paraId="01435CE2" w14:textId="77777777" w:rsidTr="00524BFA">
        <w:trPr>
          <w:trHeight w:val="549"/>
        </w:trPr>
        <w:tc>
          <w:tcPr>
            <w:tcW w:w="1304" w:type="pct"/>
            <w:tcBorders>
              <w:left w:val="nil"/>
              <w:right w:val="nil"/>
            </w:tcBorders>
          </w:tcPr>
          <w:p w14:paraId="413E6052" w14:textId="77777777" w:rsidR="00336257" w:rsidRPr="00336257" w:rsidRDefault="00336257" w:rsidP="00336257">
            <w:pPr>
              <w:pStyle w:val="Tabletext"/>
            </w:pPr>
            <w:r>
              <w:t>Ms Thy Cao</w:t>
            </w:r>
          </w:p>
        </w:tc>
        <w:tc>
          <w:tcPr>
            <w:tcW w:w="2206" w:type="pct"/>
            <w:tcBorders>
              <w:left w:val="nil"/>
              <w:right w:val="nil"/>
            </w:tcBorders>
          </w:tcPr>
          <w:p w14:paraId="11020548" w14:textId="77777777" w:rsidR="00336257" w:rsidRPr="00336257" w:rsidRDefault="00336257" w:rsidP="00336257">
            <w:pPr>
              <w:pStyle w:val="Tabletext"/>
            </w:pPr>
            <w:r>
              <w:t>President of the New South Wales Branch of the Australian Physiotherapy Association; Current Chair of the University of Technology Sydney Physiotherapy Industry Advisory Board; Member, State Insu</w:t>
            </w:r>
            <w:r w:rsidRPr="00336257">
              <w:t>rance Regulatory Authority (SIRA) Allied Health 2014-2016; Member, Allied Health Practitioner Management Framework Review Working Party</w:t>
            </w:r>
          </w:p>
        </w:tc>
        <w:tc>
          <w:tcPr>
            <w:tcW w:w="1490" w:type="pct"/>
            <w:tcBorders>
              <w:left w:val="nil"/>
              <w:right w:val="nil"/>
            </w:tcBorders>
            <w:shd w:val="clear" w:color="auto" w:fill="auto"/>
          </w:tcPr>
          <w:p w14:paraId="15914651" w14:textId="77777777" w:rsidR="00336257" w:rsidRPr="00336257" w:rsidRDefault="00336257" w:rsidP="00336257">
            <w:pPr>
              <w:pStyle w:val="Tabletext"/>
            </w:pPr>
            <w:r>
              <w:t xml:space="preserve">President, </w:t>
            </w:r>
            <w:r w:rsidRPr="00336257">
              <w:t>Australian Physiotherapy Association (knowledge of submissions made)</w:t>
            </w:r>
          </w:p>
        </w:tc>
      </w:tr>
      <w:tr w:rsidR="00336257" w:rsidRPr="00DE6A92" w14:paraId="3C1EF27A" w14:textId="77777777" w:rsidTr="00524BFA">
        <w:trPr>
          <w:trHeight w:val="549"/>
        </w:trPr>
        <w:tc>
          <w:tcPr>
            <w:tcW w:w="1304" w:type="pct"/>
            <w:tcBorders>
              <w:left w:val="nil"/>
              <w:right w:val="nil"/>
            </w:tcBorders>
          </w:tcPr>
          <w:p w14:paraId="104EFA35" w14:textId="77777777" w:rsidR="00336257" w:rsidRPr="00336257" w:rsidRDefault="00336257" w:rsidP="00336257">
            <w:pPr>
              <w:pStyle w:val="Tabletext"/>
            </w:pPr>
            <w:r>
              <w:t>Eleanor Chew</w:t>
            </w:r>
          </w:p>
        </w:tc>
        <w:tc>
          <w:tcPr>
            <w:tcW w:w="2206" w:type="pct"/>
            <w:tcBorders>
              <w:left w:val="nil"/>
              <w:right w:val="nil"/>
            </w:tcBorders>
          </w:tcPr>
          <w:p w14:paraId="40E18E42" w14:textId="77777777" w:rsidR="00336257" w:rsidRPr="00336257" w:rsidRDefault="00336257" w:rsidP="00336257">
            <w:pPr>
              <w:pStyle w:val="Tabletext"/>
            </w:pPr>
            <w:r>
              <w:t xml:space="preserve">GP; </w:t>
            </w:r>
            <w:r w:rsidRPr="00336257">
              <w:t xml:space="preserve">Member, MBS Review Taskforce; member, Professional Service Review Committee; Board member, Australian Digital Health Agency; Board member, General Practice Training Queensland; Clinical Lead, Integrated Care, Sonic Clinical Services; Provost and Board member, RACGP Queensland; Member, AMA Queensland Council of General Practice; Member, Diagnostic Imaging Advisory Committee; Member, General Practice Mental Health Standards Collaboration </w:t>
            </w:r>
          </w:p>
        </w:tc>
        <w:tc>
          <w:tcPr>
            <w:tcW w:w="1490" w:type="pct"/>
            <w:tcBorders>
              <w:left w:val="nil"/>
              <w:right w:val="nil"/>
            </w:tcBorders>
            <w:shd w:val="clear" w:color="auto" w:fill="auto"/>
          </w:tcPr>
          <w:p w14:paraId="281B5880" w14:textId="77777777" w:rsidR="00336257" w:rsidRPr="00336257" w:rsidRDefault="00336257" w:rsidP="00336257">
            <w:pPr>
              <w:pStyle w:val="Tabletext"/>
            </w:pPr>
            <w:r>
              <w:t xml:space="preserve">GP accessing MBS items; </w:t>
            </w:r>
            <w:r w:rsidRPr="00336257">
              <w:t>Member, MBS Review Taskforce; member, Professional Service Review Committee; Board member, Australian Digital Health Agency; Board member, General Practice Training Queensland; Clinical Lead, Integrated Care, Sonic Clinical Services; Provost and Board member, RACGP Queensland; Member, AMA Queensland Council of General Practice; Member, Diagnostic Imaging Advisory Committee; Member, General Practice Mental Health Standards Collaboration</w:t>
            </w:r>
          </w:p>
        </w:tc>
      </w:tr>
      <w:tr w:rsidR="00336257" w:rsidRPr="00DE6A92" w14:paraId="42EAF376" w14:textId="77777777" w:rsidTr="00524BFA">
        <w:trPr>
          <w:trHeight w:val="549"/>
        </w:trPr>
        <w:tc>
          <w:tcPr>
            <w:tcW w:w="1304" w:type="pct"/>
            <w:tcBorders>
              <w:left w:val="nil"/>
              <w:right w:val="nil"/>
            </w:tcBorders>
          </w:tcPr>
          <w:p w14:paraId="0A491335" w14:textId="77777777" w:rsidR="00336257" w:rsidRPr="00336257" w:rsidRDefault="00336257" w:rsidP="00336257">
            <w:pPr>
              <w:pStyle w:val="Tabletext"/>
            </w:pPr>
            <w:r>
              <w:t>Dr Noel Hayman</w:t>
            </w:r>
          </w:p>
        </w:tc>
        <w:tc>
          <w:tcPr>
            <w:tcW w:w="2206" w:type="pct"/>
            <w:tcBorders>
              <w:left w:val="nil"/>
              <w:right w:val="nil"/>
            </w:tcBorders>
          </w:tcPr>
          <w:p w14:paraId="30728669" w14:textId="77777777" w:rsidR="00336257" w:rsidRPr="00336257" w:rsidRDefault="00336257" w:rsidP="00336257">
            <w:pPr>
              <w:pStyle w:val="Tabletext"/>
            </w:pPr>
            <w:r>
              <w:t>GP and Clinic Director, Inala Indigenous Heal</w:t>
            </w:r>
            <w:r w:rsidR="00170AFD">
              <w:t>th Service; Associate Professor</w:t>
            </w:r>
            <w:r>
              <w:t>, University of Queensland School of Medicine</w:t>
            </w:r>
          </w:p>
        </w:tc>
        <w:tc>
          <w:tcPr>
            <w:tcW w:w="1490" w:type="pct"/>
            <w:tcBorders>
              <w:left w:val="nil"/>
              <w:right w:val="nil"/>
            </w:tcBorders>
            <w:shd w:val="clear" w:color="auto" w:fill="auto"/>
          </w:tcPr>
          <w:p w14:paraId="349B3FCA" w14:textId="77777777" w:rsidR="00336257" w:rsidRPr="00336257" w:rsidRDefault="00336257" w:rsidP="00336257">
            <w:pPr>
              <w:pStyle w:val="Tabletext"/>
            </w:pPr>
            <w:r>
              <w:t>GP</w:t>
            </w:r>
            <w:r w:rsidRPr="00336257">
              <w:t xml:space="preserve"> accessing MBS items; no work or shares in any corporate medical health settings</w:t>
            </w:r>
          </w:p>
        </w:tc>
      </w:tr>
      <w:tr w:rsidR="00336257" w:rsidRPr="00DE6A92" w14:paraId="71F0528A" w14:textId="77777777" w:rsidTr="00524BFA">
        <w:trPr>
          <w:trHeight w:val="549"/>
        </w:trPr>
        <w:tc>
          <w:tcPr>
            <w:tcW w:w="1304" w:type="pct"/>
            <w:tcBorders>
              <w:left w:val="nil"/>
              <w:right w:val="nil"/>
            </w:tcBorders>
          </w:tcPr>
          <w:p w14:paraId="4A8ACFDB" w14:textId="77777777" w:rsidR="00336257" w:rsidRPr="00336257" w:rsidRDefault="00336257" w:rsidP="00336257">
            <w:pPr>
              <w:pStyle w:val="Tabletext"/>
            </w:pPr>
            <w:r>
              <w:t>Prof Claire Jackson</w:t>
            </w:r>
          </w:p>
        </w:tc>
        <w:tc>
          <w:tcPr>
            <w:tcW w:w="2206" w:type="pct"/>
            <w:tcBorders>
              <w:left w:val="nil"/>
              <w:right w:val="nil"/>
            </w:tcBorders>
          </w:tcPr>
          <w:p w14:paraId="4A54E42B" w14:textId="77777777" w:rsidR="00336257" w:rsidRPr="00336257" w:rsidRDefault="00336257" w:rsidP="00CD292D">
            <w:pPr>
              <w:pStyle w:val="Tabletext"/>
            </w:pPr>
            <w:r>
              <w:t>Director, Centre for Health System Reform and Integration; Professor in Primary Care Research; Past Chair, Brisbane North Primary Health Network; Past President, RACGP</w:t>
            </w:r>
          </w:p>
        </w:tc>
        <w:tc>
          <w:tcPr>
            <w:tcW w:w="1490" w:type="pct"/>
            <w:tcBorders>
              <w:left w:val="nil"/>
              <w:right w:val="nil"/>
            </w:tcBorders>
            <w:shd w:val="clear" w:color="auto" w:fill="auto"/>
          </w:tcPr>
          <w:p w14:paraId="35C216C5" w14:textId="77777777" w:rsidR="00336257" w:rsidRPr="00336257" w:rsidRDefault="00336257" w:rsidP="00336257">
            <w:pPr>
              <w:pStyle w:val="Tabletext"/>
            </w:pPr>
            <w:r>
              <w:t xml:space="preserve">Clinical GP </w:t>
            </w:r>
            <w:r w:rsidRPr="00336257">
              <w:t>accessing MBS items; past Chair Brisbane North Primary Health Network; Director HCF</w:t>
            </w:r>
          </w:p>
        </w:tc>
      </w:tr>
      <w:tr w:rsidR="00336257" w:rsidRPr="00DE6A92" w14:paraId="2951D5FF" w14:textId="77777777" w:rsidTr="00524BFA">
        <w:trPr>
          <w:trHeight w:val="549"/>
        </w:trPr>
        <w:tc>
          <w:tcPr>
            <w:tcW w:w="1304" w:type="pct"/>
            <w:tcBorders>
              <w:left w:val="nil"/>
              <w:right w:val="nil"/>
            </w:tcBorders>
          </w:tcPr>
          <w:p w14:paraId="2B9B6335" w14:textId="77777777" w:rsidR="00336257" w:rsidRPr="00336257" w:rsidRDefault="00336257" w:rsidP="00336257">
            <w:pPr>
              <w:pStyle w:val="Tabletext"/>
            </w:pPr>
            <w:r>
              <w:t>Ms Rebecca James</w:t>
            </w:r>
          </w:p>
        </w:tc>
        <w:tc>
          <w:tcPr>
            <w:tcW w:w="2206" w:type="pct"/>
            <w:tcBorders>
              <w:left w:val="nil"/>
              <w:right w:val="nil"/>
            </w:tcBorders>
          </w:tcPr>
          <w:p w14:paraId="0339B176" w14:textId="77777777" w:rsidR="00336257" w:rsidRPr="00336257" w:rsidRDefault="00336257" w:rsidP="00CD292D">
            <w:pPr>
              <w:pStyle w:val="Tabletext"/>
            </w:pPr>
            <w:r>
              <w:t>B</w:t>
            </w:r>
            <w:r w:rsidRPr="00336257">
              <w:t>oard member of the Australian Clinical Trials Alliance (ACTA) and member of the Advisory Council of the Centre for Research into Clinical Effectiveness at Bond University.</w:t>
            </w:r>
          </w:p>
        </w:tc>
        <w:tc>
          <w:tcPr>
            <w:tcW w:w="1490" w:type="pct"/>
            <w:tcBorders>
              <w:left w:val="nil"/>
              <w:right w:val="nil"/>
            </w:tcBorders>
            <w:shd w:val="clear" w:color="auto" w:fill="auto"/>
          </w:tcPr>
          <w:p w14:paraId="5759C11A" w14:textId="77777777" w:rsidR="00336257" w:rsidRPr="00336257" w:rsidRDefault="00336257" w:rsidP="00336257">
            <w:pPr>
              <w:pStyle w:val="Tabletext"/>
            </w:pPr>
            <w:r w:rsidRPr="005404AA">
              <w:t>Member of Taskforce</w:t>
            </w:r>
            <w:r w:rsidRPr="00336257">
              <w:t xml:space="preserve"> and the Colorectal and Ophthalmology Clinical Committees; Board member of the Australian Clinical Trials Alliance (ACTA); Member of the Advisory Council of the Centre for Research into Clinical Effectiveness at Bond University</w:t>
            </w:r>
          </w:p>
        </w:tc>
      </w:tr>
      <w:tr w:rsidR="00336257" w:rsidRPr="00DE6A92" w14:paraId="1928088D" w14:textId="77777777" w:rsidTr="00524BFA">
        <w:trPr>
          <w:trHeight w:val="549"/>
        </w:trPr>
        <w:tc>
          <w:tcPr>
            <w:tcW w:w="1304" w:type="pct"/>
            <w:tcBorders>
              <w:left w:val="nil"/>
              <w:right w:val="nil"/>
            </w:tcBorders>
          </w:tcPr>
          <w:p w14:paraId="438B500F" w14:textId="77777777" w:rsidR="00336257" w:rsidRPr="00336257" w:rsidRDefault="00336257" w:rsidP="00336257">
            <w:pPr>
              <w:pStyle w:val="Tabletext"/>
            </w:pPr>
            <w:r>
              <w:t>Dr Walid Jammal</w:t>
            </w:r>
          </w:p>
        </w:tc>
        <w:tc>
          <w:tcPr>
            <w:tcW w:w="2206" w:type="pct"/>
            <w:tcBorders>
              <w:left w:val="nil"/>
              <w:right w:val="nil"/>
            </w:tcBorders>
          </w:tcPr>
          <w:p w14:paraId="528B20AC" w14:textId="77777777" w:rsidR="00336257" w:rsidRDefault="00E278EE" w:rsidP="00CD292D">
            <w:pPr>
              <w:pStyle w:val="Tabletext"/>
            </w:pPr>
            <w:r w:rsidRPr="00E278EE">
              <w:t>GP; Clinical Lecturer, Western Clinical School, Faculty of Medicine, University of Sydney; Conjoint Senior Lecturer, School of Medicine, Western Sydney University; Board Member of Western Sydney PHN; Member of GP Advisory Group, Agency for Clinical Innovation, NSW Ministry of Health; Member of Evaluation Sub-Committee, Medicare Services Advisory Committee</w:t>
            </w:r>
          </w:p>
        </w:tc>
        <w:tc>
          <w:tcPr>
            <w:tcW w:w="1490" w:type="pct"/>
            <w:tcBorders>
              <w:left w:val="nil"/>
              <w:right w:val="nil"/>
            </w:tcBorders>
            <w:shd w:val="clear" w:color="auto" w:fill="auto"/>
          </w:tcPr>
          <w:p w14:paraId="3E713C6D" w14:textId="77777777" w:rsidR="00336257" w:rsidRDefault="00E278EE" w:rsidP="00336257">
            <w:pPr>
              <w:pStyle w:val="Tabletext"/>
            </w:pPr>
            <w:r w:rsidRPr="00E278EE">
              <w:t>GP accessing the MBS; Member of Diagnostic Medicine Clinical Committee and Diagnostic Imaging Clinical Committee, MBS Review; Member of Education and Training working group, and National Clinical Champion, Health Care Homes; various review committees for Therapeutic Guidelines Ltd.</w:t>
            </w:r>
          </w:p>
        </w:tc>
      </w:tr>
      <w:tr w:rsidR="00A55861" w:rsidRPr="00DE6A92" w14:paraId="6E15DEB5" w14:textId="77777777" w:rsidTr="00524BFA">
        <w:trPr>
          <w:trHeight w:val="549"/>
        </w:trPr>
        <w:tc>
          <w:tcPr>
            <w:tcW w:w="1304" w:type="pct"/>
            <w:tcBorders>
              <w:left w:val="nil"/>
              <w:right w:val="nil"/>
            </w:tcBorders>
          </w:tcPr>
          <w:p w14:paraId="2FDCD2BB" w14:textId="77777777" w:rsidR="00A55861" w:rsidRPr="00A55861" w:rsidRDefault="00A55861" w:rsidP="00A55861">
            <w:pPr>
              <w:pStyle w:val="Tabletext"/>
            </w:pPr>
            <w:r w:rsidRPr="00A55861">
              <w:t>Prof Stephen Jan</w:t>
            </w:r>
          </w:p>
        </w:tc>
        <w:tc>
          <w:tcPr>
            <w:tcW w:w="2206" w:type="pct"/>
            <w:tcBorders>
              <w:left w:val="nil"/>
              <w:right w:val="nil"/>
            </w:tcBorders>
          </w:tcPr>
          <w:p w14:paraId="458D0AAD" w14:textId="77777777" w:rsidR="00A55861" w:rsidRPr="00A55861" w:rsidRDefault="00A55861" w:rsidP="00A55861">
            <w:pPr>
              <w:pStyle w:val="Tabletext"/>
            </w:pPr>
            <w:r w:rsidRPr="00A55861">
              <w:t>Head of the Health Economics and Process Evaluation Program, the George Institute for Global Health, UNSW; Professor, Sydney Medical School; Associate, Menzies Centre for Health Policy and the Poche Centre for Indigenous Health; Chief Investigator, NHMRC Australian Partnership Prevention Centre; Board of Directors, the Sax Institute.</w:t>
            </w:r>
          </w:p>
        </w:tc>
        <w:tc>
          <w:tcPr>
            <w:tcW w:w="1490" w:type="pct"/>
            <w:tcBorders>
              <w:left w:val="nil"/>
              <w:right w:val="nil"/>
            </w:tcBorders>
            <w:shd w:val="clear" w:color="auto" w:fill="auto"/>
          </w:tcPr>
          <w:p w14:paraId="4EDF7845" w14:textId="77777777" w:rsidR="00A55861" w:rsidRPr="00A55861" w:rsidRDefault="00A55861" w:rsidP="00A55861">
            <w:pPr>
              <w:pStyle w:val="Tabletext"/>
            </w:pPr>
            <w:r w:rsidRPr="00A55861">
              <w:t>Advisor to NPS MedicineWise on their evaluation strategy</w:t>
            </w:r>
          </w:p>
        </w:tc>
      </w:tr>
      <w:tr w:rsidR="00336257" w:rsidRPr="00DE6A92" w14:paraId="0C4BB1C4" w14:textId="77777777" w:rsidTr="00524BFA">
        <w:trPr>
          <w:trHeight w:val="549"/>
        </w:trPr>
        <w:tc>
          <w:tcPr>
            <w:tcW w:w="1304" w:type="pct"/>
            <w:tcBorders>
              <w:left w:val="nil"/>
              <w:right w:val="nil"/>
            </w:tcBorders>
          </w:tcPr>
          <w:p w14:paraId="580DB851" w14:textId="77777777" w:rsidR="00336257" w:rsidRPr="00336257" w:rsidRDefault="00336257" w:rsidP="00336257">
            <w:pPr>
              <w:pStyle w:val="Tabletext"/>
            </w:pPr>
            <w:r>
              <w:t>Dr Emma Kennedy</w:t>
            </w:r>
          </w:p>
        </w:tc>
        <w:tc>
          <w:tcPr>
            <w:tcW w:w="2206" w:type="pct"/>
            <w:tcBorders>
              <w:left w:val="nil"/>
              <w:right w:val="nil"/>
            </w:tcBorders>
          </w:tcPr>
          <w:p w14:paraId="2164F14A" w14:textId="77777777" w:rsidR="00E35129" w:rsidRPr="00E35129" w:rsidRDefault="00E35129" w:rsidP="00E35129">
            <w:pPr>
              <w:pStyle w:val="Tabletext"/>
            </w:pPr>
            <w:r>
              <w:t>Senior Lecturer, General Practice, Northern Territory</w:t>
            </w:r>
            <w:r w:rsidRPr="00E35129">
              <w:t xml:space="preserve"> Medical Program, Flinders University</w:t>
            </w:r>
          </w:p>
          <w:p w14:paraId="38897302" w14:textId="77777777" w:rsidR="00336257" w:rsidRPr="00336257" w:rsidRDefault="00E35129" w:rsidP="00E35129">
            <w:pPr>
              <w:pStyle w:val="Tabletext"/>
            </w:pPr>
            <w:r>
              <w:t>Chair of Board Northern Territory General Practice Education Pty Ltd</w:t>
            </w:r>
          </w:p>
        </w:tc>
        <w:tc>
          <w:tcPr>
            <w:tcW w:w="1490" w:type="pct"/>
            <w:tcBorders>
              <w:left w:val="nil"/>
              <w:right w:val="nil"/>
            </w:tcBorders>
            <w:shd w:val="clear" w:color="auto" w:fill="auto"/>
          </w:tcPr>
          <w:p w14:paraId="0C0DE660" w14:textId="77777777" w:rsidR="00336257" w:rsidRPr="00336257" w:rsidRDefault="00336257" w:rsidP="00336257">
            <w:pPr>
              <w:pStyle w:val="Tabletext"/>
            </w:pPr>
            <w:r>
              <w:t>General Practitioner accessing MBS items; Chair of the Northern Territory regional trai</w:t>
            </w:r>
            <w:r w:rsidRPr="00336257">
              <w:t>ning program for GPs</w:t>
            </w:r>
          </w:p>
        </w:tc>
      </w:tr>
      <w:tr w:rsidR="00336257" w:rsidRPr="00DE6A92" w14:paraId="63EC4939" w14:textId="77777777" w:rsidTr="00524BFA">
        <w:trPr>
          <w:trHeight w:val="549"/>
        </w:trPr>
        <w:tc>
          <w:tcPr>
            <w:tcW w:w="1304" w:type="pct"/>
            <w:tcBorders>
              <w:left w:val="nil"/>
              <w:right w:val="nil"/>
            </w:tcBorders>
          </w:tcPr>
          <w:p w14:paraId="4EEF6B38" w14:textId="77777777" w:rsidR="00336257" w:rsidRPr="00336257" w:rsidRDefault="00336257" w:rsidP="00336257">
            <w:pPr>
              <w:pStyle w:val="Tabletext"/>
            </w:pPr>
            <w:r>
              <w:t>Assoc Prof Caroline Laurence</w:t>
            </w:r>
          </w:p>
        </w:tc>
        <w:tc>
          <w:tcPr>
            <w:tcW w:w="2206" w:type="pct"/>
            <w:tcBorders>
              <w:left w:val="nil"/>
              <w:right w:val="nil"/>
            </w:tcBorders>
          </w:tcPr>
          <w:p w14:paraId="51F113F7" w14:textId="77777777" w:rsidR="00336257" w:rsidRPr="00336257" w:rsidRDefault="00336257" w:rsidP="00CD292D">
            <w:pPr>
              <w:pStyle w:val="Tabletext"/>
            </w:pPr>
            <w:r>
              <w:t>Associate Professor and Head of the School of Public Health, University of Adelaide; Health Services Researcher</w:t>
            </w:r>
          </w:p>
        </w:tc>
        <w:tc>
          <w:tcPr>
            <w:tcW w:w="1490" w:type="pct"/>
            <w:tcBorders>
              <w:left w:val="nil"/>
              <w:right w:val="nil"/>
            </w:tcBorders>
            <w:shd w:val="clear" w:color="auto" w:fill="auto"/>
          </w:tcPr>
          <w:p w14:paraId="2897D5A8" w14:textId="77777777" w:rsidR="00336257" w:rsidRPr="00336257" w:rsidRDefault="00336257" w:rsidP="00336257">
            <w:pPr>
              <w:pStyle w:val="Tabletext"/>
            </w:pPr>
            <w:r>
              <w:t>Director, Adelaide Unicare Pty Ltd</w:t>
            </w:r>
          </w:p>
        </w:tc>
      </w:tr>
      <w:tr w:rsidR="00336257" w:rsidRPr="00DE6A92" w14:paraId="0E87BEEA" w14:textId="77777777" w:rsidTr="00524BFA">
        <w:trPr>
          <w:trHeight w:val="549"/>
        </w:trPr>
        <w:tc>
          <w:tcPr>
            <w:tcW w:w="1304" w:type="pct"/>
            <w:tcBorders>
              <w:left w:val="nil"/>
              <w:right w:val="nil"/>
            </w:tcBorders>
          </w:tcPr>
          <w:p w14:paraId="7AC1FC93" w14:textId="77777777" w:rsidR="00336257" w:rsidRPr="00336257" w:rsidRDefault="00336257" w:rsidP="00336257">
            <w:pPr>
              <w:pStyle w:val="Tabletext"/>
            </w:pPr>
            <w:r>
              <w:t>Prof Lyn Littlefield</w:t>
            </w:r>
          </w:p>
        </w:tc>
        <w:tc>
          <w:tcPr>
            <w:tcW w:w="2206" w:type="pct"/>
            <w:tcBorders>
              <w:left w:val="nil"/>
              <w:right w:val="nil"/>
            </w:tcBorders>
          </w:tcPr>
          <w:p w14:paraId="7F0390AE" w14:textId="77777777" w:rsidR="00336257" w:rsidRPr="00336257" w:rsidRDefault="00336257" w:rsidP="00CD292D">
            <w:pPr>
              <w:pStyle w:val="Tabletext"/>
            </w:pPr>
            <w:r>
              <w:t xml:space="preserve">Executive Director, Australian Psychological Society; Professor of Psychology, </w:t>
            </w:r>
            <w:r w:rsidRPr="00336257">
              <w:t>La Trobe University; Chair, Allied Health Professions Australia; Chair, Mental Health Professions Australia</w:t>
            </w:r>
          </w:p>
        </w:tc>
        <w:tc>
          <w:tcPr>
            <w:tcW w:w="1490" w:type="pct"/>
            <w:tcBorders>
              <w:left w:val="nil"/>
              <w:right w:val="nil"/>
            </w:tcBorders>
            <w:shd w:val="clear" w:color="auto" w:fill="auto"/>
          </w:tcPr>
          <w:p w14:paraId="46D25806" w14:textId="77777777" w:rsidR="00336257" w:rsidRPr="00336257" w:rsidRDefault="00336257" w:rsidP="00336257">
            <w:pPr>
              <w:pStyle w:val="Tabletext"/>
            </w:pPr>
            <w:r>
              <w:t>Nil</w:t>
            </w:r>
          </w:p>
        </w:tc>
      </w:tr>
      <w:tr w:rsidR="00336257" w:rsidRPr="00DE6A92" w14:paraId="7518F3B9" w14:textId="77777777" w:rsidTr="00524BFA">
        <w:trPr>
          <w:trHeight w:val="549"/>
        </w:trPr>
        <w:tc>
          <w:tcPr>
            <w:tcW w:w="1304" w:type="pct"/>
            <w:tcBorders>
              <w:left w:val="nil"/>
              <w:right w:val="nil"/>
            </w:tcBorders>
          </w:tcPr>
          <w:p w14:paraId="08B3DD98" w14:textId="77777777" w:rsidR="00336257" w:rsidRPr="00336257" w:rsidRDefault="00336257" w:rsidP="00336257">
            <w:pPr>
              <w:pStyle w:val="Tabletext"/>
            </w:pPr>
            <w:r>
              <w:t>Dr Elizabeth Marles</w:t>
            </w:r>
          </w:p>
        </w:tc>
        <w:tc>
          <w:tcPr>
            <w:tcW w:w="2206" w:type="pct"/>
            <w:tcBorders>
              <w:left w:val="nil"/>
              <w:right w:val="nil"/>
            </w:tcBorders>
          </w:tcPr>
          <w:p w14:paraId="7748C7BD" w14:textId="77777777" w:rsidR="00336257" w:rsidRPr="00336257" w:rsidRDefault="00336257" w:rsidP="00CD292D">
            <w:pPr>
              <w:pStyle w:val="Tabletext"/>
            </w:pPr>
            <w:r>
              <w:t>Director, Hornsby-Brooklyn GP Unit; Past President, RACGP; Member Pharmaceutical Benefits Advisory Committee; Director, Therapeutic Guidelines</w:t>
            </w:r>
          </w:p>
        </w:tc>
        <w:tc>
          <w:tcPr>
            <w:tcW w:w="1490" w:type="pct"/>
            <w:tcBorders>
              <w:left w:val="nil"/>
              <w:right w:val="nil"/>
            </w:tcBorders>
            <w:shd w:val="clear" w:color="auto" w:fill="auto"/>
          </w:tcPr>
          <w:p w14:paraId="3E238E5A" w14:textId="77777777" w:rsidR="00336257" w:rsidRPr="00336257" w:rsidRDefault="00336257" w:rsidP="00336257">
            <w:pPr>
              <w:pStyle w:val="Tabletext"/>
            </w:pPr>
            <w:r>
              <w:t xml:space="preserve">Employee Staff Specialist GP with NSW Health, GP </w:t>
            </w:r>
            <w:r w:rsidRPr="00336257">
              <w:t>accessing MBS items; Director, GP Synergy, training provider for GP training</w:t>
            </w:r>
          </w:p>
        </w:tc>
      </w:tr>
      <w:tr w:rsidR="00336257" w:rsidRPr="00DE6A92" w14:paraId="475620C0" w14:textId="77777777" w:rsidTr="00524BFA">
        <w:trPr>
          <w:trHeight w:val="549"/>
        </w:trPr>
        <w:tc>
          <w:tcPr>
            <w:tcW w:w="1304" w:type="pct"/>
            <w:tcBorders>
              <w:left w:val="nil"/>
              <w:right w:val="nil"/>
            </w:tcBorders>
          </w:tcPr>
          <w:p w14:paraId="594B0906" w14:textId="77777777" w:rsidR="00336257" w:rsidRPr="00336257" w:rsidRDefault="00336257" w:rsidP="00336257">
            <w:pPr>
              <w:pStyle w:val="Tabletext"/>
            </w:pPr>
            <w:r>
              <w:t>Ms Helen Maxwell-Wright</w:t>
            </w:r>
          </w:p>
        </w:tc>
        <w:tc>
          <w:tcPr>
            <w:tcW w:w="2206" w:type="pct"/>
            <w:tcBorders>
              <w:left w:val="nil"/>
              <w:right w:val="nil"/>
            </w:tcBorders>
          </w:tcPr>
          <w:p w14:paraId="2EA61F18" w14:textId="77777777" w:rsidR="00336257" w:rsidRDefault="00157B33" w:rsidP="00CD292D">
            <w:pPr>
              <w:pStyle w:val="Tabletext"/>
            </w:pPr>
            <w:r w:rsidRPr="00157B33">
              <w:t>Director, Maxwell-Wright Associates Pty Ltd; President and Non Executive Director, OzChild Children Australia; Chair, State Leadership Group, JDRF; Chair, Monitoring  Committee, Medicines Australia; ANZCA - SIMGS Committee and Interview Panels, - Safety &amp; Quality Committee, - Education Executive Management  Committee, - Faculty Pain Medicine, Training &amp; Education Management Committee; AMC - Specialist Education Accreditation Committee </w:t>
            </w:r>
          </w:p>
        </w:tc>
        <w:tc>
          <w:tcPr>
            <w:tcW w:w="1490" w:type="pct"/>
            <w:tcBorders>
              <w:left w:val="nil"/>
              <w:right w:val="nil"/>
            </w:tcBorders>
            <w:shd w:val="clear" w:color="auto" w:fill="auto"/>
          </w:tcPr>
          <w:p w14:paraId="3603B57C" w14:textId="77777777" w:rsidR="00336257" w:rsidRDefault="002A0827" w:rsidP="00336257">
            <w:pPr>
              <w:pStyle w:val="Tabletext"/>
            </w:pPr>
            <w:r w:rsidRPr="002A0827">
              <w:t>No direct conflicts with this Committee’s role</w:t>
            </w:r>
          </w:p>
        </w:tc>
      </w:tr>
      <w:tr w:rsidR="00336257" w:rsidRPr="00DE6A92" w14:paraId="05EBCB7D" w14:textId="77777777" w:rsidTr="00524BFA">
        <w:trPr>
          <w:trHeight w:val="549"/>
        </w:trPr>
        <w:tc>
          <w:tcPr>
            <w:tcW w:w="1304" w:type="pct"/>
            <w:tcBorders>
              <w:left w:val="nil"/>
              <w:right w:val="nil"/>
            </w:tcBorders>
          </w:tcPr>
          <w:p w14:paraId="4E334343" w14:textId="77777777" w:rsidR="00336257" w:rsidRPr="00336257" w:rsidRDefault="00336257" w:rsidP="00336257">
            <w:pPr>
              <w:pStyle w:val="Tabletext"/>
            </w:pPr>
            <w:r>
              <w:t>Dr Ewen McPhee</w:t>
            </w:r>
          </w:p>
        </w:tc>
        <w:tc>
          <w:tcPr>
            <w:tcW w:w="2206" w:type="pct"/>
            <w:tcBorders>
              <w:left w:val="nil"/>
              <w:right w:val="nil"/>
            </w:tcBorders>
          </w:tcPr>
          <w:p w14:paraId="1FA82F31" w14:textId="77777777" w:rsidR="00336257" w:rsidRPr="00336257" w:rsidRDefault="00E10756" w:rsidP="00CD292D">
            <w:pPr>
              <w:pStyle w:val="Tabletext"/>
            </w:pPr>
            <w:r w:rsidRPr="00E10756">
              <w:t>Rural General Practitioner</w:t>
            </w:r>
          </w:p>
        </w:tc>
        <w:tc>
          <w:tcPr>
            <w:tcW w:w="1490" w:type="pct"/>
            <w:tcBorders>
              <w:left w:val="nil"/>
              <w:right w:val="nil"/>
            </w:tcBorders>
            <w:shd w:val="clear" w:color="auto" w:fill="auto"/>
          </w:tcPr>
          <w:p w14:paraId="12273A14" w14:textId="77777777" w:rsidR="00336257" w:rsidRPr="00336257" w:rsidRDefault="00BD139D" w:rsidP="00336257">
            <w:pPr>
              <w:pStyle w:val="Tabletext"/>
            </w:pPr>
            <w:r w:rsidRPr="00BD139D">
              <w:t>Served on the Primary care advisory group</w:t>
            </w:r>
          </w:p>
        </w:tc>
      </w:tr>
      <w:tr w:rsidR="00336257" w:rsidRPr="00DE6A92" w14:paraId="6D441706" w14:textId="77777777" w:rsidTr="00524BFA">
        <w:trPr>
          <w:trHeight w:val="549"/>
        </w:trPr>
        <w:tc>
          <w:tcPr>
            <w:tcW w:w="1304" w:type="pct"/>
            <w:tcBorders>
              <w:left w:val="nil"/>
              <w:right w:val="nil"/>
            </w:tcBorders>
          </w:tcPr>
          <w:p w14:paraId="41EA330E" w14:textId="77777777" w:rsidR="00336257" w:rsidRPr="00336257" w:rsidRDefault="00336257" w:rsidP="00336257">
            <w:pPr>
              <w:pStyle w:val="Tabletext"/>
            </w:pPr>
            <w:r>
              <w:t>Dr Mark Morgan</w:t>
            </w:r>
          </w:p>
        </w:tc>
        <w:tc>
          <w:tcPr>
            <w:tcW w:w="2206" w:type="pct"/>
            <w:tcBorders>
              <w:left w:val="nil"/>
              <w:right w:val="nil"/>
            </w:tcBorders>
          </w:tcPr>
          <w:p w14:paraId="50B58636" w14:textId="77777777" w:rsidR="00336257" w:rsidRPr="00336257" w:rsidRDefault="00336257" w:rsidP="00336257">
            <w:pPr>
              <w:pStyle w:val="Tabletext"/>
            </w:pPr>
            <w:r>
              <w:t>Associate Professor, Bond University, Queensland; Associate GP, Eastbrooke Family Clinic, Burleigh Waters, Queensland; Member of the RACGP Expert Committee for Quality Care; Member of the MBS Review Diagnostic Medicine Clinical Committee and After Hours Working Group; Member of the Health Care Homes Implementation Advisory Committee; Member of the Digital Patient Safety Expert Advisory Group</w:t>
            </w:r>
          </w:p>
        </w:tc>
        <w:tc>
          <w:tcPr>
            <w:tcW w:w="1490" w:type="pct"/>
            <w:tcBorders>
              <w:left w:val="nil"/>
              <w:right w:val="nil"/>
            </w:tcBorders>
            <w:shd w:val="clear" w:color="auto" w:fill="auto"/>
          </w:tcPr>
          <w:p w14:paraId="5EEAB58F" w14:textId="77777777" w:rsidR="00336257" w:rsidRPr="00336257" w:rsidRDefault="00336257" w:rsidP="00336257">
            <w:pPr>
              <w:pStyle w:val="Tabletext"/>
            </w:pPr>
            <w:r>
              <w:t>Nil</w:t>
            </w:r>
          </w:p>
        </w:tc>
      </w:tr>
      <w:tr w:rsidR="00336257" w:rsidRPr="00DE6A92" w14:paraId="0E0899B9" w14:textId="77777777" w:rsidTr="00524BFA">
        <w:trPr>
          <w:trHeight w:val="549"/>
        </w:trPr>
        <w:tc>
          <w:tcPr>
            <w:tcW w:w="1304" w:type="pct"/>
            <w:tcBorders>
              <w:left w:val="nil"/>
              <w:right w:val="nil"/>
            </w:tcBorders>
          </w:tcPr>
          <w:p w14:paraId="6834267B" w14:textId="77777777" w:rsidR="00336257" w:rsidRPr="00336257" w:rsidRDefault="00336257" w:rsidP="00336257">
            <w:pPr>
              <w:pStyle w:val="Tabletext"/>
            </w:pPr>
            <w:r>
              <w:t>Assoc Prof Kathryn Panaretto</w:t>
            </w:r>
          </w:p>
        </w:tc>
        <w:tc>
          <w:tcPr>
            <w:tcW w:w="2206" w:type="pct"/>
            <w:tcBorders>
              <w:left w:val="nil"/>
              <w:right w:val="nil"/>
            </w:tcBorders>
          </w:tcPr>
          <w:p w14:paraId="33B52CB4" w14:textId="77777777" w:rsidR="00336257" w:rsidRPr="00336257" w:rsidRDefault="00336257" w:rsidP="00336257">
            <w:pPr>
              <w:pStyle w:val="Tabletext"/>
            </w:pPr>
            <w:r>
              <w:t>Clinical Director, Gidgee Healing, Mt Isa; GP, QUT Medical Centre; Adjunct Associate Professor, School of Medicine, James Cook University; Adjunct Associate Professor, Mt Isa Centre for Rural and Remote Health; Board Member, North West Health and Hospital Service, Queensland</w:t>
            </w:r>
          </w:p>
        </w:tc>
        <w:tc>
          <w:tcPr>
            <w:tcW w:w="1490" w:type="pct"/>
            <w:tcBorders>
              <w:left w:val="nil"/>
              <w:right w:val="nil"/>
            </w:tcBorders>
            <w:shd w:val="clear" w:color="auto" w:fill="auto"/>
          </w:tcPr>
          <w:p w14:paraId="4880BE12" w14:textId="77777777" w:rsidR="00336257" w:rsidRPr="00336257" w:rsidRDefault="00336257" w:rsidP="00336257">
            <w:pPr>
              <w:pStyle w:val="Tabletext"/>
            </w:pPr>
            <w:r>
              <w:t>Nil</w:t>
            </w:r>
          </w:p>
        </w:tc>
      </w:tr>
      <w:tr w:rsidR="00336257" w:rsidRPr="00DE6A92" w14:paraId="266E28ED" w14:textId="77777777" w:rsidTr="00524BFA">
        <w:trPr>
          <w:trHeight w:val="549"/>
        </w:trPr>
        <w:tc>
          <w:tcPr>
            <w:tcW w:w="1304" w:type="pct"/>
            <w:tcBorders>
              <w:left w:val="nil"/>
              <w:right w:val="nil"/>
            </w:tcBorders>
          </w:tcPr>
          <w:p w14:paraId="7AFE183C" w14:textId="77777777" w:rsidR="00336257" w:rsidRPr="00336257" w:rsidRDefault="00336257" w:rsidP="00336257">
            <w:pPr>
              <w:pStyle w:val="Tabletext"/>
            </w:pPr>
            <w:r>
              <w:t>Mr Tim Perry</w:t>
            </w:r>
          </w:p>
        </w:tc>
        <w:tc>
          <w:tcPr>
            <w:tcW w:w="2206" w:type="pct"/>
            <w:tcBorders>
              <w:left w:val="nil"/>
              <w:right w:val="nil"/>
            </w:tcBorders>
          </w:tcPr>
          <w:p w14:paraId="00F4A153" w14:textId="77777777" w:rsidR="00336257" w:rsidRPr="00336257" w:rsidRDefault="00336257" w:rsidP="00336257">
            <w:pPr>
              <w:pStyle w:val="Tabletext"/>
            </w:pPr>
            <w:r>
              <w:t>Consultant Pharmacist; Member of the Western Sydney PHN Clinical Council</w:t>
            </w:r>
          </w:p>
        </w:tc>
        <w:tc>
          <w:tcPr>
            <w:tcW w:w="1490" w:type="pct"/>
            <w:tcBorders>
              <w:left w:val="nil"/>
              <w:right w:val="nil"/>
            </w:tcBorders>
            <w:shd w:val="clear" w:color="auto" w:fill="auto"/>
          </w:tcPr>
          <w:p w14:paraId="43DD9371" w14:textId="77777777" w:rsidR="00336257" w:rsidRPr="00336257" w:rsidRDefault="00336257" w:rsidP="00336257">
            <w:pPr>
              <w:pStyle w:val="Tabletext"/>
            </w:pPr>
            <w:r>
              <w:t xml:space="preserve">Pharmacist working in General Practice and therefore have view supporting correct remuneration of both Pharmacists and GPs; </w:t>
            </w:r>
            <w:r w:rsidRPr="00336257">
              <w:t>working in several practices that have Pathology collection services but I have no relationship with, or interest in, their work; former traditional Chinese medicine practitioner, biased against MBS funding GPs doing acupuncture.</w:t>
            </w:r>
          </w:p>
        </w:tc>
      </w:tr>
      <w:tr w:rsidR="00CA2633" w:rsidRPr="00DE6A92" w14:paraId="64C56E00" w14:textId="77777777" w:rsidTr="00524BFA">
        <w:trPr>
          <w:trHeight w:val="549"/>
        </w:trPr>
        <w:tc>
          <w:tcPr>
            <w:tcW w:w="1304" w:type="pct"/>
            <w:tcBorders>
              <w:left w:val="nil"/>
              <w:right w:val="nil"/>
            </w:tcBorders>
          </w:tcPr>
          <w:p w14:paraId="6B24C6FD" w14:textId="77777777" w:rsidR="00CA2633" w:rsidRPr="00CA2633" w:rsidRDefault="00CA2633" w:rsidP="00CA2633">
            <w:pPr>
              <w:pStyle w:val="Tabletext"/>
            </w:pPr>
            <w:r w:rsidRPr="00CA2633">
              <w:t>Mr Gary Smith</w:t>
            </w:r>
          </w:p>
        </w:tc>
        <w:tc>
          <w:tcPr>
            <w:tcW w:w="2206" w:type="pct"/>
            <w:tcBorders>
              <w:left w:val="nil"/>
              <w:right w:val="nil"/>
            </w:tcBorders>
          </w:tcPr>
          <w:p w14:paraId="7CF2CF44" w14:textId="77777777" w:rsidR="00CA2633" w:rsidRPr="00CA2633" w:rsidRDefault="00CA2633" w:rsidP="00CA2633">
            <w:pPr>
              <w:pStyle w:val="Tabletext"/>
            </w:pPr>
            <w:r w:rsidRPr="00CA2633">
              <w:t>Practice Manager; Past National and New South Wales State President, Australian Association of Practice Management Ltd (AAPM  hold Board positions with: Australian General Practice Accreditation Ltd (AGPAL) - Quality in Practice, Chair (QIP) Nepean Blue Mountains Local Health District (LHD ); and General Practice Workforce Tasmania (GPW</w:t>
            </w:r>
          </w:p>
          <w:p w14:paraId="0A06718C" w14:textId="77777777" w:rsidR="00CA2633" w:rsidRPr="00CA2633" w:rsidRDefault="00CA2633" w:rsidP="00CA2633">
            <w:pPr>
              <w:pStyle w:val="Tabletext"/>
            </w:pPr>
            <w:r w:rsidRPr="00CA2633">
              <w:t>Surveyor with AGPAL and an International Surveyor with the International Society of Quality Health (ISQua)</w:t>
            </w:r>
          </w:p>
        </w:tc>
        <w:tc>
          <w:tcPr>
            <w:tcW w:w="1490" w:type="pct"/>
            <w:tcBorders>
              <w:left w:val="nil"/>
              <w:right w:val="nil"/>
            </w:tcBorders>
            <w:shd w:val="clear" w:color="auto" w:fill="auto"/>
          </w:tcPr>
          <w:p w14:paraId="343EB57E" w14:textId="77777777" w:rsidR="00CA2633" w:rsidRPr="00CA2633" w:rsidRDefault="00CA2633" w:rsidP="00CA2633">
            <w:pPr>
              <w:pStyle w:val="Tabletext"/>
            </w:pPr>
            <w:r w:rsidRPr="00CA2633">
              <w:t>Pathology collection centre on site at practice</w:t>
            </w:r>
          </w:p>
        </w:tc>
      </w:tr>
      <w:tr w:rsidR="00336257" w:rsidRPr="00DE6A92" w14:paraId="684E28EB" w14:textId="77777777" w:rsidTr="00524BFA">
        <w:trPr>
          <w:trHeight w:val="549"/>
        </w:trPr>
        <w:tc>
          <w:tcPr>
            <w:tcW w:w="1304" w:type="pct"/>
            <w:tcBorders>
              <w:left w:val="nil"/>
              <w:right w:val="nil"/>
            </w:tcBorders>
          </w:tcPr>
          <w:p w14:paraId="0519DDEE" w14:textId="77777777" w:rsidR="00336257" w:rsidRPr="00336257" w:rsidRDefault="00336257" w:rsidP="00336257">
            <w:pPr>
              <w:pStyle w:val="Tabletext"/>
            </w:pPr>
            <w:r>
              <w:t>Prof Simon Willcock</w:t>
            </w:r>
          </w:p>
        </w:tc>
        <w:tc>
          <w:tcPr>
            <w:tcW w:w="2206" w:type="pct"/>
            <w:tcBorders>
              <w:left w:val="nil"/>
              <w:right w:val="nil"/>
            </w:tcBorders>
          </w:tcPr>
          <w:p w14:paraId="4C63A477" w14:textId="77777777" w:rsidR="00336257" w:rsidRPr="00336257" w:rsidRDefault="00336257" w:rsidP="00336257">
            <w:pPr>
              <w:pStyle w:val="Tabletext"/>
            </w:pPr>
            <w:r>
              <w:t>GP; Clinical Director of Primary Care and Wellbeing Services, Macquarie University; Chairman, Avant Mutual Group; Member, Sydney North Primary Health Network Board</w:t>
            </w:r>
          </w:p>
        </w:tc>
        <w:tc>
          <w:tcPr>
            <w:tcW w:w="1490" w:type="pct"/>
            <w:tcBorders>
              <w:left w:val="nil"/>
              <w:right w:val="nil"/>
            </w:tcBorders>
            <w:shd w:val="clear" w:color="auto" w:fill="auto"/>
          </w:tcPr>
          <w:p w14:paraId="25A93B21" w14:textId="77777777" w:rsidR="00336257" w:rsidRPr="00336257" w:rsidRDefault="00336257" w:rsidP="00336257">
            <w:pPr>
              <w:pStyle w:val="Tabletext"/>
            </w:pPr>
            <w:r>
              <w:t>I work in a practice that is part of the Macquarie University Integrate Health Sciences Centre, which incorporates the university-owned private hospital, my primary care clinic, Specialist and Allied Health clinics, Pathology services and a Diagnostic Imaging service; The General Practice component has no financial arrangement with either the Radiology or Pathology services beyond our group association as described above; Member of Health Insurer Board</w:t>
            </w:r>
          </w:p>
        </w:tc>
      </w:tr>
      <w:tr w:rsidR="00336257" w:rsidRPr="00DE6A92" w14:paraId="36349096" w14:textId="77777777" w:rsidTr="00524BFA">
        <w:trPr>
          <w:trHeight w:val="549"/>
        </w:trPr>
        <w:tc>
          <w:tcPr>
            <w:tcW w:w="1304" w:type="pct"/>
            <w:tcBorders>
              <w:left w:val="nil"/>
              <w:right w:val="nil"/>
            </w:tcBorders>
          </w:tcPr>
          <w:p w14:paraId="1984A799" w14:textId="77777777" w:rsidR="00336257" w:rsidRPr="00336257" w:rsidRDefault="00336257" w:rsidP="00336257">
            <w:pPr>
              <w:pStyle w:val="Tabletext"/>
            </w:pPr>
            <w:r>
              <w:t>Dr Steve Hambleton (ex-officio)</w:t>
            </w:r>
          </w:p>
        </w:tc>
        <w:tc>
          <w:tcPr>
            <w:tcW w:w="2206" w:type="pct"/>
            <w:tcBorders>
              <w:left w:val="nil"/>
              <w:right w:val="nil"/>
            </w:tcBorders>
          </w:tcPr>
          <w:p w14:paraId="111E6576" w14:textId="77777777" w:rsidR="00336257" w:rsidRPr="00336257" w:rsidRDefault="00336257" w:rsidP="00336257">
            <w:pPr>
              <w:pStyle w:val="Tabletext"/>
            </w:pPr>
            <w:r>
              <w:t xml:space="preserve">GP; Past President of the Australian Medical Association; Past Chair of the Primary Health Care Advisory Group; </w:t>
            </w:r>
            <w:r w:rsidR="00273F5A" w:rsidRPr="00273F5A">
              <w:t>; Co Chair Clinical Programs, Clinical Reference Group and My Health Record Expansion Program</w:t>
            </w:r>
            <w:r>
              <w:t xml:space="preserve"> within the Australian Digital Health Agency; Member of the Atlas Advisory Group of the Australian Commission on Safety and Quality in Hea</w:t>
            </w:r>
            <w:r w:rsidRPr="00336257">
              <w:t>lth Care</w:t>
            </w:r>
          </w:p>
        </w:tc>
        <w:tc>
          <w:tcPr>
            <w:tcW w:w="1490" w:type="pct"/>
            <w:tcBorders>
              <w:left w:val="nil"/>
              <w:right w:val="nil"/>
            </w:tcBorders>
            <w:shd w:val="clear" w:color="auto" w:fill="auto"/>
          </w:tcPr>
          <w:p w14:paraId="56272147" w14:textId="77777777" w:rsidR="00336257" w:rsidRPr="00336257" w:rsidRDefault="00336257" w:rsidP="00336257">
            <w:pPr>
              <w:pStyle w:val="Tabletext"/>
            </w:pPr>
            <w:r>
              <w:t>Nil</w:t>
            </w:r>
          </w:p>
        </w:tc>
      </w:tr>
    </w:tbl>
    <w:p w14:paraId="199BA4A2" w14:textId="77777777" w:rsidR="00336257" w:rsidRPr="000C0BD8" w:rsidRDefault="00336257" w:rsidP="000C0BD8">
      <w:pPr>
        <w:pStyle w:val="TableCaption"/>
      </w:pPr>
    </w:p>
    <w:p w14:paraId="0307A20A" w14:textId="77777777" w:rsidR="00336257" w:rsidRPr="005631FB" w:rsidRDefault="00336257" w:rsidP="00336257">
      <w:pPr>
        <w:pStyle w:val="Heading2"/>
      </w:pPr>
      <w:bookmarkStart w:id="58" w:name="_Toc485295721"/>
      <w:bookmarkStart w:id="59" w:name="_Toc485296592"/>
      <w:bookmarkStart w:id="60" w:name="_Toc15644850"/>
      <w:r>
        <w:t>Chronic Disease Management</w:t>
      </w:r>
      <w:r w:rsidRPr="005631FB">
        <w:t xml:space="preserve"> Working Group</w:t>
      </w:r>
      <w:bookmarkEnd w:id="58"/>
      <w:bookmarkEnd w:id="59"/>
      <w:r>
        <w:t xml:space="preserve"> members</w:t>
      </w:r>
      <w:bookmarkEnd w:id="60"/>
    </w:p>
    <w:p w14:paraId="56DFFC2C" w14:textId="77777777" w:rsidR="00336257" w:rsidRPr="005631FB" w:rsidRDefault="00336257" w:rsidP="00336257">
      <w:r w:rsidRPr="005631FB">
        <w:t xml:space="preserve">The </w:t>
      </w:r>
      <w:r>
        <w:t>Chronic Disease Management</w:t>
      </w:r>
      <w:r w:rsidRPr="005631FB">
        <w:t xml:space="preserve"> Working Group</w:t>
      </w:r>
      <w:r w:rsidR="001A1523">
        <w:t xml:space="preserve"> (the Working Group/CDM</w:t>
      </w:r>
      <w:r>
        <w:t>WG)</w:t>
      </w:r>
      <w:r w:rsidRPr="005631FB">
        <w:t xml:space="preserve"> is one of </w:t>
      </w:r>
      <w:r>
        <w:t>five</w:t>
      </w:r>
      <w:r w:rsidRPr="005631FB">
        <w:t xml:space="preserve"> clinical Working Groups that have been established to support the work of the </w:t>
      </w:r>
      <w:r>
        <w:t>General Practice and Primary Care</w:t>
      </w:r>
      <w:r w:rsidRPr="005631FB">
        <w:t xml:space="preserve"> Clinical Committee. It was established to review </w:t>
      </w:r>
      <w:r>
        <w:t>chronic disease management</w:t>
      </w:r>
      <w:r w:rsidRPr="005631FB">
        <w:t xml:space="preserve"> items, and make recommendations to the Committee based on rapid evidence review and clinical expertise. </w:t>
      </w:r>
    </w:p>
    <w:p w14:paraId="69DA1A12" w14:textId="249F3232" w:rsidR="00336257" w:rsidRDefault="00336257" w:rsidP="00336257">
      <w:r w:rsidRPr="005631FB">
        <w:t xml:space="preserve">The </w:t>
      </w:r>
      <w:r>
        <w:t>Chronic Disease Management</w:t>
      </w:r>
      <w:r w:rsidRPr="005631FB">
        <w:t xml:space="preserve"> Working Group consists of </w:t>
      </w:r>
      <w:r>
        <w:t>seven</w:t>
      </w:r>
      <w:r w:rsidRPr="005631FB">
        <w:t xml:space="preserve"> members, whose names, positions/organisations and declared conflicts of interest are listed </w:t>
      </w:r>
      <w:r w:rsidR="00FA585F">
        <w:t>in Table 2</w:t>
      </w:r>
      <w:r w:rsidRPr="005631FB">
        <w:t>.</w:t>
      </w:r>
    </w:p>
    <w:p w14:paraId="6F271F92" w14:textId="2FAFCAB8" w:rsidR="00336257" w:rsidRPr="000C0BD8" w:rsidRDefault="00336257" w:rsidP="000C0BD8">
      <w:pPr>
        <w:pStyle w:val="TableCaption"/>
      </w:pPr>
      <w:bookmarkStart w:id="61" w:name="_Toc15644910"/>
      <w:r w:rsidRPr="000C0BD8">
        <w:t xml:space="preserve">Table </w:t>
      </w:r>
      <w:r w:rsidR="00E8419F">
        <w:rPr>
          <w:noProof/>
        </w:rPr>
        <w:fldChar w:fldCharType="begin"/>
      </w:r>
      <w:r w:rsidR="00E8419F">
        <w:rPr>
          <w:noProof/>
        </w:rPr>
        <w:instrText xml:space="preserve"> SEQ Table \* ARABIC </w:instrText>
      </w:r>
      <w:r w:rsidR="00E8419F">
        <w:rPr>
          <w:noProof/>
        </w:rPr>
        <w:fldChar w:fldCharType="separate"/>
      </w:r>
      <w:r w:rsidR="0097062E">
        <w:rPr>
          <w:noProof/>
        </w:rPr>
        <w:t>2</w:t>
      </w:r>
      <w:r w:rsidR="00E8419F">
        <w:rPr>
          <w:noProof/>
        </w:rPr>
        <w:fldChar w:fldCharType="end"/>
      </w:r>
      <w:r w:rsidRPr="000C0BD8">
        <w:t>: Chronic Disease Management Working Group members</w:t>
      </w:r>
      <w:bookmarkEnd w:id="61"/>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2: Chronic Disease Management Working Group members"/>
        <w:tblDescription w:val="Table 2: Chronic Disease Management Working Group members.  Consists of 3 columns.  Column 1.  Members name. Column 2. Members position and Column 3. Members organisation and conflict of interest. "/>
      </w:tblPr>
      <w:tblGrid>
        <w:gridCol w:w="2165"/>
        <w:gridCol w:w="3663"/>
        <w:gridCol w:w="2474"/>
      </w:tblGrid>
      <w:tr w:rsidR="00336257" w:rsidRPr="00DE6A92" w14:paraId="0ABE1D40" w14:textId="77777777" w:rsidTr="00524BFA">
        <w:trPr>
          <w:tblHeader/>
        </w:trPr>
        <w:tc>
          <w:tcPr>
            <w:tcW w:w="1304" w:type="pct"/>
            <w:tcBorders>
              <w:bottom w:val="single" w:sz="4" w:space="0" w:color="01653F"/>
            </w:tcBorders>
            <w:shd w:val="clear" w:color="auto" w:fill="01653F"/>
          </w:tcPr>
          <w:p w14:paraId="4AF3079E" w14:textId="77777777" w:rsidR="00336257" w:rsidRPr="00336257" w:rsidRDefault="00336257" w:rsidP="00336257">
            <w:pPr>
              <w:pStyle w:val="Tableheading"/>
            </w:pPr>
            <w:bookmarkStart w:id="62" w:name="_Hlk505257688"/>
            <w:r w:rsidRPr="00336257">
              <w:t>Name</w:t>
            </w:r>
          </w:p>
        </w:tc>
        <w:tc>
          <w:tcPr>
            <w:tcW w:w="2206" w:type="pct"/>
            <w:tcBorders>
              <w:bottom w:val="single" w:sz="4" w:space="0" w:color="01653F"/>
            </w:tcBorders>
            <w:shd w:val="clear" w:color="auto" w:fill="01653F"/>
          </w:tcPr>
          <w:p w14:paraId="687821AC" w14:textId="77777777" w:rsidR="00336257" w:rsidRPr="00336257" w:rsidRDefault="00336257" w:rsidP="00336257">
            <w:pPr>
              <w:pStyle w:val="Tableheading"/>
            </w:pPr>
            <w:r w:rsidRPr="00336257">
              <w:t>Position/organisation</w:t>
            </w:r>
          </w:p>
        </w:tc>
        <w:tc>
          <w:tcPr>
            <w:tcW w:w="1490" w:type="pct"/>
            <w:tcBorders>
              <w:bottom w:val="single" w:sz="4" w:space="0" w:color="01653F"/>
            </w:tcBorders>
            <w:shd w:val="clear" w:color="auto" w:fill="01653F"/>
          </w:tcPr>
          <w:p w14:paraId="63B0A530" w14:textId="77777777" w:rsidR="00336257" w:rsidRPr="00336257" w:rsidRDefault="00336257" w:rsidP="00336257">
            <w:pPr>
              <w:pStyle w:val="Tableheading"/>
            </w:pPr>
            <w:r w:rsidRPr="00336257">
              <w:t>Declared conflict of interest</w:t>
            </w:r>
          </w:p>
        </w:tc>
      </w:tr>
      <w:tr w:rsidR="00336257" w:rsidRPr="00DE6A92" w14:paraId="0EC20006" w14:textId="77777777" w:rsidTr="00524BFA">
        <w:trPr>
          <w:trHeight w:val="549"/>
        </w:trPr>
        <w:tc>
          <w:tcPr>
            <w:tcW w:w="1304" w:type="pct"/>
            <w:tcBorders>
              <w:left w:val="nil"/>
              <w:right w:val="nil"/>
            </w:tcBorders>
          </w:tcPr>
          <w:p w14:paraId="3A74C890" w14:textId="77777777" w:rsidR="00336257" w:rsidRPr="00336257" w:rsidRDefault="00336257" w:rsidP="00336257">
            <w:pPr>
              <w:pStyle w:val="Tabletext"/>
              <w:rPr>
                <w:highlight w:val="yellow"/>
              </w:rPr>
            </w:pPr>
            <w:r>
              <w:t>Prof Tim Usherwood (Chair)</w:t>
            </w:r>
          </w:p>
        </w:tc>
        <w:tc>
          <w:tcPr>
            <w:tcW w:w="2206" w:type="pct"/>
            <w:tcBorders>
              <w:left w:val="nil"/>
              <w:right w:val="nil"/>
            </w:tcBorders>
          </w:tcPr>
          <w:p w14:paraId="2D3F0B83" w14:textId="77777777" w:rsidR="00336257" w:rsidRPr="00336257" w:rsidRDefault="00952263" w:rsidP="00336257">
            <w:pPr>
              <w:pStyle w:val="Tabletext"/>
              <w:rPr>
                <w:highlight w:val="yellow"/>
              </w:rPr>
            </w:pPr>
            <w:r>
              <w:t>As above</w:t>
            </w:r>
          </w:p>
        </w:tc>
        <w:tc>
          <w:tcPr>
            <w:tcW w:w="1490" w:type="pct"/>
            <w:tcBorders>
              <w:left w:val="nil"/>
              <w:right w:val="nil"/>
            </w:tcBorders>
            <w:shd w:val="clear" w:color="auto" w:fill="auto"/>
          </w:tcPr>
          <w:p w14:paraId="66A97A34" w14:textId="77777777" w:rsidR="00336257" w:rsidRPr="00336257" w:rsidRDefault="00952263" w:rsidP="00336257">
            <w:pPr>
              <w:pStyle w:val="Tabletext"/>
              <w:rPr>
                <w:highlight w:val="yellow"/>
              </w:rPr>
            </w:pPr>
            <w:r>
              <w:t>As above</w:t>
            </w:r>
          </w:p>
        </w:tc>
      </w:tr>
      <w:tr w:rsidR="00336257" w:rsidRPr="00DE6A92" w14:paraId="29BC4C1F" w14:textId="77777777" w:rsidTr="00524BFA">
        <w:trPr>
          <w:trHeight w:val="549"/>
        </w:trPr>
        <w:tc>
          <w:tcPr>
            <w:tcW w:w="1304" w:type="pct"/>
            <w:tcBorders>
              <w:left w:val="nil"/>
              <w:right w:val="nil"/>
            </w:tcBorders>
          </w:tcPr>
          <w:p w14:paraId="4387A592" w14:textId="77777777" w:rsidR="00336257" w:rsidRPr="00336257" w:rsidRDefault="00336257" w:rsidP="00336257">
            <w:pPr>
              <w:pStyle w:val="Tabletext"/>
              <w:rPr>
                <w:highlight w:val="yellow"/>
              </w:rPr>
            </w:pPr>
            <w:r>
              <w:t>Dr Eleanor Chew</w:t>
            </w:r>
          </w:p>
        </w:tc>
        <w:tc>
          <w:tcPr>
            <w:tcW w:w="2206" w:type="pct"/>
            <w:tcBorders>
              <w:left w:val="nil"/>
              <w:right w:val="nil"/>
            </w:tcBorders>
          </w:tcPr>
          <w:p w14:paraId="45E79F24" w14:textId="77777777" w:rsidR="00336257" w:rsidRPr="00336257" w:rsidRDefault="00952263" w:rsidP="00336257">
            <w:pPr>
              <w:pStyle w:val="Tabletext"/>
              <w:rPr>
                <w:highlight w:val="yellow"/>
              </w:rPr>
            </w:pPr>
            <w:r>
              <w:t>A</w:t>
            </w:r>
            <w:r w:rsidRPr="00952263">
              <w:t>s above</w:t>
            </w:r>
          </w:p>
        </w:tc>
        <w:tc>
          <w:tcPr>
            <w:tcW w:w="1490" w:type="pct"/>
            <w:tcBorders>
              <w:left w:val="nil"/>
              <w:right w:val="nil"/>
            </w:tcBorders>
            <w:shd w:val="clear" w:color="auto" w:fill="auto"/>
          </w:tcPr>
          <w:p w14:paraId="61D0FE65" w14:textId="77777777" w:rsidR="00336257" w:rsidRPr="00336257" w:rsidRDefault="00952263" w:rsidP="00336257">
            <w:pPr>
              <w:pStyle w:val="Tabletext"/>
              <w:rPr>
                <w:highlight w:val="yellow"/>
              </w:rPr>
            </w:pPr>
            <w:r>
              <w:t>A</w:t>
            </w:r>
            <w:r w:rsidRPr="00952263">
              <w:t>s above</w:t>
            </w:r>
          </w:p>
        </w:tc>
      </w:tr>
      <w:tr w:rsidR="00336257" w:rsidRPr="00DE6A92" w14:paraId="173706F7" w14:textId="77777777" w:rsidTr="00524BFA">
        <w:trPr>
          <w:trHeight w:val="549"/>
        </w:trPr>
        <w:tc>
          <w:tcPr>
            <w:tcW w:w="1304" w:type="pct"/>
            <w:tcBorders>
              <w:left w:val="nil"/>
              <w:right w:val="nil"/>
            </w:tcBorders>
          </w:tcPr>
          <w:p w14:paraId="37C11C86" w14:textId="77777777" w:rsidR="00336257" w:rsidRPr="00336257" w:rsidRDefault="00336257" w:rsidP="00336257">
            <w:pPr>
              <w:pStyle w:val="Tabletext"/>
            </w:pPr>
            <w:r>
              <w:t>Ms Rebecca James</w:t>
            </w:r>
          </w:p>
        </w:tc>
        <w:tc>
          <w:tcPr>
            <w:tcW w:w="2206" w:type="pct"/>
            <w:tcBorders>
              <w:left w:val="nil"/>
              <w:right w:val="nil"/>
            </w:tcBorders>
          </w:tcPr>
          <w:p w14:paraId="067023AA" w14:textId="77777777" w:rsidR="00336257" w:rsidRPr="00336257" w:rsidRDefault="0063127C" w:rsidP="00336257">
            <w:pPr>
              <w:pStyle w:val="Tabletext"/>
            </w:pPr>
            <w:r>
              <w:t>As above</w:t>
            </w:r>
            <w:r w:rsidR="00336257" w:rsidRPr="007526A3">
              <w:t>.</w:t>
            </w:r>
          </w:p>
        </w:tc>
        <w:tc>
          <w:tcPr>
            <w:tcW w:w="1490" w:type="pct"/>
            <w:tcBorders>
              <w:left w:val="nil"/>
              <w:right w:val="nil"/>
            </w:tcBorders>
            <w:shd w:val="clear" w:color="auto" w:fill="auto"/>
          </w:tcPr>
          <w:p w14:paraId="1714E237" w14:textId="77777777" w:rsidR="00336257" w:rsidRPr="00336257" w:rsidRDefault="0063127C" w:rsidP="00336257">
            <w:pPr>
              <w:pStyle w:val="Tabletext"/>
            </w:pPr>
            <w:r>
              <w:t>As above</w:t>
            </w:r>
          </w:p>
        </w:tc>
      </w:tr>
      <w:tr w:rsidR="00336257" w:rsidRPr="00DE6A92" w14:paraId="4D4E4214" w14:textId="77777777" w:rsidTr="00524BFA">
        <w:trPr>
          <w:trHeight w:val="549"/>
        </w:trPr>
        <w:tc>
          <w:tcPr>
            <w:tcW w:w="1304" w:type="pct"/>
            <w:tcBorders>
              <w:left w:val="nil"/>
              <w:right w:val="nil"/>
            </w:tcBorders>
          </w:tcPr>
          <w:p w14:paraId="3512E0F0" w14:textId="77777777" w:rsidR="00336257" w:rsidRPr="00336257" w:rsidRDefault="00336257" w:rsidP="00336257">
            <w:pPr>
              <w:pStyle w:val="Tabletext"/>
            </w:pPr>
            <w:r>
              <w:t>Dr Walid Jammal</w:t>
            </w:r>
          </w:p>
        </w:tc>
        <w:tc>
          <w:tcPr>
            <w:tcW w:w="2206" w:type="pct"/>
            <w:tcBorders>
              <w:left w:val="nil"/>
              <w:right w:val="nil"/>
            </w:tcBorders>
          </w:tcPr>
          <w:p w14:paraId="304C1B4C" w14:textId="77777777" w:rsidR="00336257" w:rsidRDefault="00336257" w:rsidP="00336257">
            <w:pPr>
              <w:pStyle w:val="Tabletext"/>
            </w:pPr>
          </w:p>
        </w:tc>
        <w:tc>
          <w:tcPr>
            <w:tcW w:w="1490" w:type="pct"/>
            <w:tcBorders>
              <w:left w:val="nil"/>
              <w:right w:val="nil"/>
            </w:tcBorders>
            <w:shd w:val="clear" w:color="auto" w:fill="auto"/>
          </w:tcPr>
          <w:p w14:paraId="72C010B7" w14:textId="77777777" w:rsidR="00336257" w:rsidRDefault="00336257" w:rsidP="00336257">
            <w:pPr>
              <w:pStyle w:val="Tabletext"/>
            </w:pPr>
          </w:p>
        </w:tc>
      </w:tr>
      <w:tr w:rsidR="00336257" w:rsidRPr="00DE6A92" w14:paraId="6D872557" w14:textId="77777777" w:rsidTr="00524BFA">
        <w:trPr>
          <w:trHeight w:val="549"/>
        </w:trPr>
        <w:tc>
          <w:tcPr>
            <w:tcW w:w="1304" w:type="pct"/>
            <w:tcBorders>
              <w:left w:val="nil"/>
              <w:right w:val="nil"/>
            </w:tcBorders>
          </w:tcPr>
          <w:p w14:paraId="4E49CE02" w14:textId="77777777" w:rsidR="00336257" w:rsidRPr="00336257" w:rsidRDefault="00336257" w:rsidP="00336257">
            <w:pPr>
              <w:pStyle w:val="Tabletext"/>
            </w:pPr>
            <w:r>
              <w:t>Prof Lyn Littlefield</w:t>
            </w:r>
          </w:p>
        </w:tc>
        <w:tc>
          <w:tcPr>
            <w:tcW w:w="2206" w:type="pct"/>
            <w:tcBorders>
              <w:left w:val="nil"/>
              <w:right w:val="nil"/>
            </w:tcBorders>
          </w:tcPr>
          <w:p w14:paraId="00710D47" w14:textId="77777777" w:rsidR="00336257" w:rsidRPr="00336257" w:rsidRDefault="0063127C" w:rsidP="00336257">
            <w:pPr>
              <w:pStyle w:val="Tabletext"/>
            </w:pPr>
            <w:r>
              <w:t>As above</w:t>
            </w:r>
          </w:p>
        </w:tc>
        <w:tc>
          <w:tcPr>
            <w:tcW w:w="1490" w:type="pct"/>
            <w:tcBorders>
              <w:left w:val="nil"/>
              <w:right w:val="nil"/>
            </w:tcBorders>
            <w:shd w:val="clear" w:color="auto" w:fill="auto"/>
          </w:tcPr>
          <w:p w14:paraId="0C171B83" w14:textId="77777777" w:rsidR="00336257" w:rsidRPr="00336257" w:rsidRDefault="0063127C" w:rsidP="00336257">
            <w:pPr>
              <w:pStyle w:val="Tabletext"/>
            </w:pPr>
            <w:r>
              <w:t>As above</w:t>
            </w:r>
          </w:p>
        </w:tc>
      </w:tr>
      <w:tr w:rsidR="00336257" w:rsidRPr="00DE6A92" w14:paraId="5E287AAE" w14:textId="77777777" w:rsidTr="00524BFA">
        <w:trPr>
          <w:trHeight w:val="549"/>
        </w:trPr>
        <w:tc>
          <w:tcPr>
            <w:tcW w:w="1304" w:type="pct"/>
            <w:tcBorders>
              <w:left w:val="nil"/>
              <w:right w:val="nil"/>
            </w:tcBorders>
          </w:tcPr>
          <w:p w14:paraId="74B05B26" w14:textId="77777777" w:rsidR="00336257" w:rsidRPr="00336257" w:rsidRDefault="00336257" w:rsidP="00336257">
            <w:pPr>
              <w:pStyle w:val="Tabletext"/>
            </w:pPr>
            <w:r>
              <w:t>Mr Gary Smith</w:t>
            </w:r>
          </w:p>
        </w:tc>
        <w:tc>
          <w:tcPr>
            <w:tcW w:w="2206" w:type="pct"/>
            <w:tcBorders>
              <w:left w:val="nil"/>
              <w:right w:val="nil"/>
            </w:tcBorders>
          </w:tcPr>
          <w:p w14:paraId="2CA5AFA0" w14:textId="77777777" w:rsidR="00336257" w:rsidRPr="00336257" w:rsidRDefault="0063127C" w:rsidP="00336257">
            <w:pPr>
              <w:pStyle w:val="Tabletext"/>
            </w:pPr>
            <w:r>
              <w:t>As above</w:t>
            </w:r>
          </w:p>
        </w:tc>
        <w:tc>
          <w:tcPr>
            <w:tcW w:w="1490" w:type="pct"/>
            <w:tcBorders>
              <w:left w:val="nil"/>
              <w:right w:val="nil"/>
            </w:tcBorders>
            <w:shd w:val="clear" w:color="auto" w:fill="auto"/>
          </w:tcPr>
          <w:p w14:paraId="6B4F597A" w14:textId="77777777" w:rsidR="00336257" w:rsidRPr="00336257" w:rsidRDefault="0063127C" w:rsidP="00336257">
            <w:pPr>
              <w:pStyle w:val="Tabletext"/>
            </w:pPr>
            <w:r>
              <w:t>As above</w:t>
            </w:r>
          </w:p>
        </w:tc>
      </w:tr>
      <w:bookmarkEnd w:id="62"/>
    </w:tbl>
    <w:p w14:paraId="51F74BA3" w14:textId="77777777" w:rsidR="00336257" w:rsidRPr="000C0BD8" w:rsidRDefault="00336257" w:rsidP="000C0BD8">
      <w:pPr>
        <w:pStyle w:val="TableCaption"/>
      </w:pPr>
    </w:p>
    <w:p w14:paraId="171D91AC" w14:textId="77777777" w:rsidR="00336257" w:rsidRPr="005631FB" w:rsidRDefault="00336257" w:rsidP="00336257">
      <w:pPr>
        <w:pStyle w:val="Heading2"/>
      </w:pPr>
      <w:bookmarkStart w:id="63" w:name="_Toc15644851"/>
      <w:r>
        <w:t>Medication Management</w:t>
      </w:r>
      <w:r w:rsidRPr="005631FB">
        <w:t xml:space="preserve"> Working Group</w:t>
      </w:r>
      <w:r>
        <w:t xml:space="preserve"> members</w:t>
      </w:r>
      <w:bookmarkEnd w:id="63"/>
    </w:p>
    <w:p w14:paraId="646A24B6" w14:textId="77777777" w:rsidR="00336257" w:rsidRPr="005631FB" w:rsidRDefault="00336257" w:rsidP="00336257">
      <w:r w:rsidRPr="005631FB">
        <w:t xml:space="preserve">The </w:t>
      </w:r>
      <w:r>
        <w:t>Medication Management</w:t>
      </w:r>
      <w:r w:rsidRPr="005631FB">
        <w:t xml:space="preserve"> Working Group</w:t>
      </w:r>
      <w:r w:rsidR="001A1523">
        <w:t xml:space="preserve"> (the Working Group/MM</w:t>
      </w:r>
      <w:r>
        <w:t>WG)</w:t>
      </w:r>
      <w:r w:rsidRPr="005631FB">
        <w:t xml:space="preserve"> is one of </w:t>
      </w:r>
      <w:r>
        <w:t>five</w:t>
      </w:r>
      <w:r w:rsidRPr="005631FB">
        <w:t xml:space="preserve"> clinical Working Groups that have been established to support the work of the </w:t>
      </w:r>
      <w:r>
        <w:t>General Practice and Primary Care</w:t>
      </w:r>
      <w:r w:rsidRPr="005631FB">
        <w:t xml:space="preserve"> Clinical Committee. It was established to review </w:t>
      </w:r>
      <w:r>
        <w:t>medication management</w:t>
      </w:r>
      <w:r w:rsidRPr="005631FB">
        <w:t xml:space="preserve"> items, and make recommendations to the Committee based on rapid evidence review and clinical expertise. </w:t>
      </w:r>
    </w:p>
    <w:p w14:paraId="570F40EB" w14:textId="0A612037" w:rsidR="00336257" w:rsidRDefault="00336257" w:rsidP="00336257">
      <w:r w:rsidRPr="005631FB">
        <w:t xml:space="preserve">The </w:t>
      </w:r>
      <w:r>
        <w:t>Medication Management</w:t>
      </w:r>
      <w:r w:rsidRPr="005631FB">
        <w:t xml:space="preserve"> Working Group consists of </w:t>
      </w:r>
      <w:r>
        <w:t>four</w:t>
      </w:r>
      <w:r w:rsidRPr="005631FB">
        <w:t xml:space="preserve"> members, whose names, positions/organisations and declared conflicts of interest are listed in</w:t>
      </w:r>
      <w:r w:rsidR="00FA585F">
        <w:t xml:space="preserve"> Table 3.</w:t>
      </w:r>
    </w:p>
    <w:p w14:paraId="7F3A594D" w14:textId="77777777" w:rsidR="00336257" w:rsidRPr="000C0BD8" w:rsidRDefault="00336257" w:rsidP="000C0BD8">
      <w:pPr>
        <w:pStyle w:val="TableCaption"/>
      </w:pPr>
      <w:r w:rsidRPr="000C0BD8">
        <w:t>Table 3: Medication Management Working Group members</w:t>
      </w:r>
    </w:p>
    <w:tbl>
      <w:tblPr>
        <w:tblW w:w="5000" w:type="pct"/>
        <w:tblLook w:val="04A0" w:firstRow="1" w:lastRow="0" w:firstColumn="1" w:lastColumn="0" w:noHBand="0" w:noVBand="1"/>
        <w:tblCaption w:val="Table 3: Medication Management Working Group members"/>
        <w:tblDescription w:val="Table 3: Medication Management Working Group members. Table 3 Consists of 3 columns.  Column 1.  Members name. Column 2. Members position and organisation Column 3. Members declared conflict of interest. "/>
      </w:tblPr>
      <w:tblGrid>
        <w:gridCol w:w="2168"/>
        <w:gridCol w:w="3667"/>
        <w:gridCol w:w="2477"/>
      </w:tblGrid>
      <w:tr w:rsidR="00336257" w:rsidRPr="00DE6A92" w14:paraId="6FC7E55C" w14:textId="77777777" w:rsidTr="00524BFA">
        <w:tc>
          <w:tcPr>
            <w:tcW w:w="1304" w:type="pct"/>
          </w:tcPr>
          <w:p w14:paraId="7C80C852" w14:textId="77777777" w:rsidR="00336257" w:rsidRPr="00336257" w:rsidRDefault="00336257" w:rsidP="00336257">
            <w:pPr>
              <w:pStyle w:val="Tableheading"/>
            </w:pPr>
            <w:r w:rsidRPr="000E06D7">
              <w:t>Name</w:t>
            </w:r>
          </w:p>
        </w:tc>
        <w:tc>
          <w:tcPr>
            <w:tcW w:w="2206" w:type="pct"/>
          </w:tcPr>
          <w:p w14:paraId="7391DA9C" w14:textId="77777777" w:rsidR="00336257" w:rsidRPr="00336257" w:rsidRDefault="00336257" w:rsidP="00336257">
            <w:pPr>
              <w:pStyle w:val="Tableheading"/>
            </w:pPr>
            <w:r w:rsidRPr="000E06D7">
              <w:t>Position/organisation</w:t>
            </w:r>
          </w:p>
        </w:tc>
        <w:tc>
          <w:tcPr>
            <w:tcW w:w="1490" w:type="pct"/>
          </w:tcPr>
          <w:p w14:paraId="3D7C975F" w14:textId="77777777" w:rsidR="00336257" w:rsidRPr="00336257" w:rsidRDefault="00336257" w:rsidP="00336257">
            <w:pPr>
              <w:pStyle w:val="Tableheading"/>
            </w:pPr>
            <w:r w:rsidRPr="000E06D7">
              <w:t>Declared conflict of interest</w:t>
            </w:r>
          </w:p>
        </w:tc>
      </w:tr>
      <w:tr w:rsidR="00336257" w:rsidRPr="00DE6A92" w14:paraId="54F1C7EA" w14:textId="77777777" w:rsidTr="00524BFA">
        <w:trPr>
          <w:trHeight w:val="549"/>
        </w:trPr>
        <w:tc>
          <w:tcPr>
            <w:tcW w:w="1304" w:type="pct"/>
          </w:tcPr>
          <w:p w14:paraId="62B6F00F" w14:textId="77777777" w:rsidR="00336257" w:rsidRPr="00336257" w:rsidRDefault="00336257" w:rsidP="00336257">
            <w:pPr>
              <w:pStyle w:val="Tabletext"/>
              <w:rPr>
                <w:highlight w:val="yellow"/>
              </w:rPr>
            </w:pPr>
            <w:r>
              <w:t>Mr Timothy Perry (Chair)</w:t>
            </w:r>
          </w:p>
        </w:tc>
        <w:tc>
          <w:tcPr>
            <w:tcW w:w="2206" w:type="pct"/>
          </w:tcPr>
          <w:p w14:paraId="1F24502F" w14:textId="77777777" w:rsidR="00336257" w:rsidRPr="00336257" w:rsidRDefault="0063127C" w:rsidP="00336257">
            <w:pPr>
              <w:pStyle w:val="Tabletext"/>
              <w:rPr>
                <w:highlight w:val="yellow"/>
              </w:rPr>
            </w:pPr>
            <w:r>
              <w:t>As above</w:t>
            </w:r>
          </w:p>
        </w:tc>
        <w:tc>
          <w:tcPr>
            <w:tcW w:w="1490" w:type="pct"/>
          </w:tcPr>
          <w:p w14:paraId="4F24E1A8" w14:textId="77777777" w:rsidR="00336257" w:rsidRPr="00336257" w:rsidRDefault="0063127C" w:rsidP="00336257">
            <w:pPr>
              <w:pStyle w:val="Tabletext"/>
              <w:rPr>
                <w:highlight w:val="yellow"/>
              </w:rPr>
            </w:pPr>
            <w:r>
              <w:t>As above</w:t>
            </w:r>
          </w:p>
        </w:tc>
      </w:tr>
      <w:tr w:rsidR="00336257" w:rsidRPr="00DE6A92" w14:paraId="78D15EAE" w14:textId="77777777" w:rsidTr="00524BFA">
        <w:trPr>
          <w:trHeight w:val="549"/>
        </w:trPr>
        <w:tc>
          <w:tcPr>
            <w:tcW w:w="1304" w:type="pct"/>
          </w:tcPr>
          <w:p w14:paraId="5A8F4CB3" w14:textId="77777777" w:rsidR="00336257" w:rsidRPr="00336257" w:rsidRDefault="00336257" w:rsidP="00336257">
            <w:pPr>
              <w:pStyle w:val="Tabletext"/>
              <w:rPr>
                <w:highlight w:val="yellow"/>
              </w:rPr>
            </w:pPr>
            <w:r>
              <w:t>Dr Emma Kennedy</w:t>
            </w:r>
          </w:p>
        </w:tc>
        <w:tc>
          <w:tcPr>
            <w:tcW w:w="2206" w:type="pct"/>
          </w:tcPr>
          <w:p w14:paraId="467E500F" w14:textId="77777777" w:rsidR="00336257" w:rsidRPr="00336257" w:rsidRDefault="0063127C" w:rsidP="00336257">
            <w:pPr>
              <w:pStyle w:val="Tabletext"/>
              <w:rPr>
                <w:highlight w:val="yellow"/>
              </w:rPr>
            </w:pPr>
            <w:r>
              <w:t>As above</w:t>
            </w:r>
          </w:p>
        </w:tc>
        <w:tc>
          <w:tcPr>
            <w:tcW w:w="1490" w:type="pct"/>
          </w:tcPr>
          <w:p w14:paraId="76D231E7" w14:textId="77777777" w:rsidR="00336257" w:rsidRPr="00336257" w:rsidRDefault="0063127C" w:rsidP="00336257">
            <w:pPr>
              <w:pStyle w:val="Tabletext"/>
              <w:rPr>
                <w:highlight w:val="yellow"/>
              </w:rPr>
            </w:pPr>
            <w:r>
              <w:t>As above</w:t>
            </w:r>
          </w:p>
        </w:tc>
      </w:tr>
      <w:tr w:rsidR="0063127C" w:rsidRPr="00DE6A92" w14:paraId="060D4EDA" w14:textId="77777777" w:rsidTr="00524BFA">
        <w:trPr>
          <w:trHeight w:val="549"/>
        </w:trPr>
        <w:tc>
          <w:tcPr>
            <w:tcW w:w="1304" w:type="pct"/>
          </w:tcPr>
          <w:p w14:paraId="132A2B7B" w14:textId="77777777" w:rsidR="0063127C" w:rsidRPr="00336257" w:rsidRDefault="0063127C" w:rsidP="0063127C">
            <w:pPr>
              <w:pStyle w:val="Tabletext"/>
            </w:pPr>
            <w:r>
              <w:t>Dr Elizabeth Marles</w:t>
            </w:r>
          </w:p>
        </w:tc>
        <w:tc>
          <w:tcPr>
            <w:tcW w:w="2206" w:type="pct"/>
          </w:tcPr>
          <w:p w14:paraId="53D2C14F" w14:textId="77777777" w:rsidR="0063127C" w:rsidRPr="00336257" w:rsidRDefault="0063127C" w:rsidP="0063127C">
            <w:pPr>
              <w:pStyle w:val="Tabletext"/>
            </w:pPr>
            <w:r>
              <w:t>As above</w:t>
            </w:r>
          </w:p>
        </w:tc>
        <w:tc>
          <w:tcPr>
            <w:tcW w:w="1490" w:type="pct"/>
          </w:tcPr>
          <w:p w14:paraId="574ED34E" w14:textId="77777777" w:rsidR="0063127C" w:rsidRPr="00336257" w:rsidRDefault="0063127C" w:rsidP="0063127C">
            <w:pPr>
              <w:pStyle w:val="Tabletext"/>
            </w:pPr>
            <w:r w:rsidRPr="00E122A1">
              <w:t>As above</w:t>
            </w:r>
          </w:p>
        </w:tc>
      </w:tr>
      <w:tr w:rsidR="0063127C" w:rsidRPr="00DE6A92" w14:paraId="14CFB590" w14:textId="77777777" w:rsidTr="00524BFA">
        <w:trPr>
          <w:trHeight w:val="549"/>
        </w:trPr>
        <w:tc>
          <w:tcPr>
            <w:tcW w:w="1304" w:type="pct"/>
          </w:tcPr>
          <w:p w14:paraId="4796A9CE" w14:textId="77777777" w:rsidR="0063127C" w:rsidRPr="00336257" w:rsidRDefault="0063127C" w:rsidP="0063127C">
            <w:pPr>
              <w:pStyle w:val="Tabletext"/>
            </w:pPr>
            <w:r>
              <w:t>Ms Helen Maxwell-Wright</w:t>
            </w:r>
          </w:p>
        </w:tc>
        <w:tc>
          <w:tcPr>
            <w:tcW w:w="2206" w:type="pct"/>
          </w:tcPr>
          <w:p w14:paraId="79FD2EE8" w14:textId="77777777" w:rsidR="0063127C" w:rsidRDefault="0063127C" w:rsidP="0063127C">
            <w:pPr>
              <w:pStyle w:val="Tabletext"/>
            </w:pPr>
            <w:r>
              <w:t>As above</w:t>
            </w:r>
          </w:p>
        </w:tc>
        <w:tc>
          <w:tcPr>
            <w:tcW w:w="1490" w:type="pct"/>
          </w:tcPr>
          <w:p w14:paraId="00FD69C7" w14:textId="77777777" w:rsidR="0063127C" w:rsidRDefault="0063127C" w:rsidP="0063127C">
            <w:pPr>
              <w:pStyle w:val="Tabletext"/>
            </w:pPr>
            <w:r w:rsidRPr="00E122A1">
              <w:t>As above</w:t>
            </w:r>
          </w:p>
        </w:tc>
      </w:tr>
    </w:tbl>
    <w:p w14:paraId="7F75069D" w14:textId="77777777" w:rsidR="00336257" w:rsidRPr="005631FB" w:rsidRDefault="00336257" w:rsidP="00336257">
      <w:pPr>
        <w:pStyle w:val="Heading2"/>
      </w:pPr>
      <w:bookmarkStart w:id="64" w:name="_Toc15644852"/>
      <w:r>
        <w:t xml:space="preserve">Health Assessment </w:t>
      </w:r>
      <w:r w:rsidRPr="005631FB">
        <w:t>Working Group</w:t>
      </w:r>
      <w:r>
        <w:t xml:space="preserve"> members</w:t>
      </w:r>
      <w:bookmarkEnd w:id="64"/>
    </w:p>
    <w:p w14:paraId="478BAE4E" w14:textId="77777777" w:rsidR="00336257" w:rsidRPr="005631FB" w:rsidRDefault="00336257" w:rsidP="00336257">
      <w:r w:rsidRPr="005631FB">
        <w:t xml:space="preserve">The </w:t>
      </w:r>
      <w:r>
        <w:t>Health Assessment</w:t>
      </w:r>
      <w:r w:rsidRPr="005631FB">
        <w:t xml:space="preserve"> Working Group</w:t>
      </w:r>
      <w:r w:rsidR="0066705F">
        <w:t xml:space="preserve"> (the Working Group/HA</w:t>
      </w:r>
      <w:r>
        <w:t>WG)</w:t>
      </w:r>
      <w:r w:rsidRPr="005631FB">
        <w:t xml:space="preserve"> is one of </w:t>
      </w:r>
      <w:r>
        <w:t>five</w:t>
      </w:r>
      <w:r w:rsidRPr="005631FB">
        <w:t xml:space="preserve"> clinical Working Groups that have been established to support the work of the </w:t>
      </w:r>
      <w:r>
        <w:t>General Practice and Primary Care</w:t>
      </w:r>
      <w:r w:rsidRPr="005631FB">
        <w:t xml:space="preserve"> Clinical Committee. It was established to review </w:t>
      </w:r>
      <w:r>
        <w:t>health assessment</w:t>
      </w:r>
      <w:r w:rsidRPr="005631FB">
        <w:t xml:space="preserve"> items, and make recommendations to the Committee based on rapid evidence review and clinical expertise. </w:t>
      </w:r>
    </w:p>
    <w:p w14:paraId="54AAD2E8" w14:textId="13022F83" w:rsidR="00336257" w:rsidRDefault="00336257" w:rsidP="00336257">
      <w:r w:rsidRPr="005631FB">
        <w:t xml:space="preserve">The </w:t>
      </w:r>
      <w:r>
        <w:t>Health Assessment</w:t>
      </w:r>
      <w:r w:rsidRPr="005631FB">
        <w:t xml:space="preserve"> Working Group consists of </w:t>
      </w:r>
      <w:r>
        <w:t>six</w:t>
      </w:r>
      <w:r w:rsidRPr="005631FB">
        <w:t xml:space="preserve"> members, whose names, positions/organisations and declared conflicts of interest are listed in</w:t>
      </w:r>
      <w:r w:rsidR="00FA585F">
        <w:t xml:space="preserve"> Table 4</w:t>
      </w:r>
      <w:r w:rsidRPr="005631FB">
        <w:t>.</w:t>
      </w:r>
    </w:p>
    <w:p w14:paraId="3869EFB0" w14:textId="77777777" w:rsidR="00336257" w:rsidRPr="000C0BD8" w:rsidRDefault="00336257" w:rsidP="000C0BD8">
      <w:pPr>
        <w:pStyle w:val="TableCaption"/>
      </w:pPr>
      <w:r w:rsidRPr="000C0BD8">
        <w:t>Table 4: Health Assessment Working Group members</w:t>
      </w:r>
    </w:p>
    <w:tbl>
      <w:tblPr>
        <w:tblW w:w="5000" w:type="pct"/>
        <w:tblLook w:val="04A0" w:firstRow="1" w:lastRow="0" w:firstColumn="1" w:lastColumn="0" w:noHBand="0" w:noVBand="1"/>
        <w:tblCaption w:val="Table 4: Health Assessment Working Group members"/>
        <w:tblDescription w:val="Table 4: Health Assessment Working Group members&#10;Consists of 3 Columns.  Column 1. Name&#10;Prof Mark Morgan (Chair),A/Prof Noel Hayman, Prof Claire Jackson&#10;Ms Rebecca James  &#10;Prof Tim Usherwood &#10;Prof Simon Willcock &#10;Ms Thy Cao &#10;Column 2. Position/Organisation and Colunm 3. Declared conflict of Interest&#10;"/>
      </w:tblPr>
      <w:tblGrid>
        <w:gridCol w:w="2168"/>
        <w:gridCol w:w="3667"/>
        <w:gridCol w:w="2477"/>
      </w:tblGrid>
      <w:tr w:rsidR="00336257" w:rsidRPr="00DE6A92" w14:paraId="64044146" w14:textId="77777777" w:rsidTr="00524BFA">
        <w:tc>
          <w:tcPr>
            <w:tcW w:w="1304" w:type="pct"/>
          </w:tcPr>
          <w:p w14:paraId="531D11DF" w14:textId="77777777" w:rsidR="00336257" w:rsidRPr="00336257" w:rsidRDefault="00336257" w:rsidP="00336257">
            <w:pPr>
              <w:pStyle w:val="Tableheading"/>
            </w:pPr>
            <w:r w:rsidRPr="000E06D7">
              <w:t>Name</w:t>
            </w:r>
          </w:p>
        </w:tc>
        <w:tc>
          <w:tcPr>
            <w:tcW w:w="2206" w:type="pct"/>
          </w:tcPr>
          <w:p w14:paraId="1D43772C" w14:textId="77777777" w:rsidR="00336257" w:rsidRPr="00336257" w:rsidRDefault="00336257" w:rsidP="00336257">
            <w:pPr>
              <w:pStyle w:val="Tableheading"/>
            </w:pPr>
            <w:r w:rsidRPr="000E06D7">
              <w:t>Position/organisation</w:t>
            </w:r>
          </w:p>
        </w:tc>
        <w:tc>
          <w:tcPr>
            <w:tcW w:w="1490" w:type="pct"/>
          </w:tcPr>
          <w:p w14:paraId="403FA0AF" w14:textId="77777777" w:rsidR="00336257" w:rsidRPr="00336257" w:rsidRDefault="00336257" w:rsidP="00336257">
            <w:pPr>
              <w:pStyle w:val="Tableheading"/>
            </w:pPr>
            <w:r w:rsidRPr="000E06D7">
              <w:t>Declared conflict of interest</w:t>
            </w:r>
          </w:p>
        </w:tc>
      </w:tr>
      <w:tr w:rsidR="00336257" w:rsidRPr="00DE6A92" w14:paraId="54ED9180" w14:textId="77777777" w:rsidTr="00524BFA">
        <w:trPr>
          <w:trHeight w:val="549"/>
        </w:trPr>
        <w:tc>
          <w:tcPr>
            <w:tcW w:w="1304" w:type="pct"/>
          </w:tcPr>
          <w:p w14:paraId="12490342" w14:textId="77777777" w:rsidR="00336257" w:rsidRPr="00336257" w:rsidRDefault="00336257" w:rsidP="00336257">
            <w:pPr>
              <w:pStyle w:val="Tabletext"/>
              <w:rPr>
                <w:highlight w:val="yellow"/>
              </w:rPr>
            </w:pPr>
            <w:r>
              <w:t>Prof Mark Morgan (Chair)</w:t>
            </w:r>
          </w:p>
        </w:tc>
        <w:tc>
          <w:tcPr>
            <w:tcW w:w="2206" w:type="pct"/>
          </w:tcPr>
          <w:p w14:paraId="160EB2E0" w14:textId="77777777" w:rsidR="00336257" w:rsidRPr="00336257" w:rsidRDefault="0063127C" w:rsidP="00336257">
            <w:pPr>
              <w:pStyle w:val="Tabletext"/>
            </w:pPr>
            <w:r>
              <w:t>As above</w:t>
            </w:r>
          </w:p>
        </w:tc>
        <w:tc>
          <w:tcPr>
            <w:tcW w:w="1490" w:type="pct"/>
          </w:tcPr>
          <w:p w14:paraId="4CF1022F" w14:textId="77777777" w:rsidR="00336257" w:rsidRPr="00336257" w:rsidRDefault="0063127C" w:rsidP="00336257">
            <w:pPr>
              <w:pStyle w:val="Tabletext"/>
              <w:rPr>
                <w:highlight w:val="yellow"/>
              </w:rPr>
            </w:pPr>
            <w:r>
              <w:t>As above</w:t>
            </w:r>
          </w:p>
        </w:tc>
      </w:tr>
      <w:tr w:rsidR="00336257" w:rsidRPr="00DE6A92" w14:paraId="310C9AC3" w14:textId="77777777" w:rsidTr="00524BFA">
        <w:trPr>
          <w:trHeight w:val="549"/>
        </w:trPr>
        <w:tc>
          <w:tcPr>
            <w:tcW w:w="1304" w:type="pct"/>
          </w:tcPr>
          <w:p w14:paraId="38F3BFD4" w14:textId="77777777" w:rsidR="00336257" w:rsidRPr="00336257" w:rsidRDefault="00336257" w:rsidP="00336257">
            <w:pPr>
              <w:pStyle w:val="Tabletext"/>
            </w:pPr>
            <w:r>
              <w:t>A/Prof Noel Hayman</w:t>
            </w:r>
          </w:p>
        </w:tc>
        <w:tc>
          <w:tcPr>
            <w:tcW w:w="2206" w:type="pct"/>
          </w:tcPr>
          <w:p w14:paraId="7A130A2B" w14:textId="77777777" w:rsidR="00336257" w:rsidRPr="00336257" w:rsidRDefault="0063127C" w:rsidP="00336257">
            <w:pPr>
              <w:pStyle w:val="Tabletext"/>
            </w:pPr>
            <w:r>
              <w:t>As above</w:t>
            </w:r>
          </w:p>
        </w:tc>
        <w:tc>
          <w:tcPr>
            <w:tcW w:w="1490" w:type="pct"/>
          </w:tcPr>
          <w:p w14:paraId="477A11E0" w14:textId="77777777" w:rsidR="00336257" w:rsidRPr="00336257" w:rsidRDefault="0063127C" w:rsidP="00336257">
            <w:pPr>
              <w:pStyle w:val="Tabletext"/>
            </w:pPr>
            <w:r>
              <w:t>As above</w:t>
            </w:r>
          </w:p>
        </w:tc>
      </w:tr>
      <w:tr w:rsidR="00336257" w:rsidRPr="00DE6A92" w14:paraId="68974F4B" w14:textId="77777777" w:rsidTr="00524BFA">
        <w:trPr>
          <w:trHeight w:val="549"/>
        </w:trPr>
        <w:tc>
          <w:tcPr>
            <w:tcW w:w="1304" w:type="pct"/>
          </w:tcPr>
          <w:p w14:paraId="4B9A0341" w14:textId="77777777" w:rsidR="00336257" w:rsidRPr="00336257" w:rsidRDefault="00336257" w:rsidP="00336257">
            <w:pPr>
              <w:pStyle w:val="Tabletext"/>
              <w:rPr>
                <w:highlight w:val="yellow"/>
              </w:rPr>
            </w:pPr>
            <w:r>
              <w:t>Prof Claire Jackson</w:t>
            </w:r>
          </w:p>
        </w:tc>
        <w:tc>
          <w:tcPr>
            <w:tcW w:w="2206" w:type="pct"/>
          </w:tcPr>
          <w:p w14:paraId="6E7BBB56" w14:textId="77777777" w:rsidR="00336257" w:rsidRPr="00336257" w:rsidRDefault="0063127C" w:rsidP="00336257">
            <w:pPr>
              <w:pStyle w:val="Tabletext"/>
              <w:rPr>
                <w:highlight w:val="yellow"/>
              </w:rPr>
            </w:pPr>
            <w:r>
              <w:t>As above</w:t>
            </w:r>
          </w:p>
        </w:tc>
        <w:tc>
          <w:tcPr>
            <w:tcW w:w="1490" w:type="pct"/>
          </w:tcPr>
          <w:p w14:paraId="1BCED392" w14:textId="77777777" w:rsidR="00336257" w:rsidRPr="00336257" w:rsidRDefault="0063127C" w:rsidP="00336257">
            <w:pPr>
              <w:pStyle w:val="Tabletext"/>
              <w:rPr>
                <w:highlight w:val="yellow"/>
              </w:rPr>
            </w:pPr>
            <w:r>
              <w:t>As above</w:t>
            </w:r>
          </w:p>
        </w:tc>
      </w:tr>
      <w:tr w:rsidR="00336257" w:rsidRPr="00DE6A92" w14:paraId="451C1AE1" w14:textId="77777777" w:rsidTr="00524BFA">
        <w:trPr>
          <w:trHeight w:val="549"/>
        </w:trPr>
        <w:tc>
          <w:tcPr>
            <w:tcW w:w="1304" w:type="pct"/>
          </w:tcPr>
          <w:p w14:paraId="0FC9E67C" w14:textId="77777777" w:rsidR="00336257" w:rsidRPr="00336257" w:rsidRDefault="00336257" w:rsidP="00336257">
            <w:pPr>
              <w:pStyle w:val="Tabletext"/>
            </w:pPr>
            <w:r>
              <w:t>Ms Rebecca James</w:t>
            </w:r>
          </w:p>
        </w:tc>
        <w:tc>
          <w:tcPr>
            <w:tcW w:w="2206" w:type="pct"/>
          </w:tcPr>
          <w:p w14:paraId="4F9BEEA6" w14:textId="77777777" w:rsidR="00336257" w:rsidRDefault="00336257" w:rsidP="00336257">
            <w:pPr>
              <w:pStyle w:val="Tabletext"/>
            </w:pPr>
          </w:p>
        </w:tc>
        <w:tc>
          <w:tcPr>
            <w:tcW w:w="1490" w:type="pct"/>
          </w:tcPr>
          <w:p w14:paraId="2C1F3AB6" w14:textId="77777777" w:rsidR="00336257" w:rsidRDefault="00336257" w:rsidP="00336257">
            <w:pPr>
              <w:pStyle w:val="Tabletext"/>
            </w:pPr>
          </w:p>
        </w:tc>
      </w:tr>
      <w:tr w:rsidR="00336257" w:rsidRPr="00DE6A92" w14:paraId="1C0F8D12" w14:textId="77777777" w:rsidTr="00524BFA">
        <w:trPr>
          <w:trHeight w:val="549"/>
        </w:trPr>
        <w:tc>
          <w:tcPr>
            <w:tcW w:w="1304" w:type="pct"/>
          </w:tcPr>
          <w:p w14:paraId="623FFD82" w14:textId="77777777" w:rsidR="00336257" w:rsidRPr="00336257" w:rsidRDefault="00336257" w:rsidP="00336257">
            <w:pPr>
              <w:pStyle w:val="Tabletext"/>
            </w:pPr>
            <w:r>
              <w:t>Prof Tim Usherwood</w:t>
            </w:r>
          </w:p>
        </w:tc>
        <w:tc>
          <w:tcPr>
            <w:tcW w:w="2206" w:type="pct"/>
          </w:tcPr>
          <w:p w14:paraId="4BED40EA" w14:textId="77777777" w:rsidR="00336257" w:rsidRPr="00336257" w:rsidRDefault="0063127C" w:rsidP="00336257">
            <w:pPr>
              <w:pStyle w:val="Tabletext"/>
            </w:pPr>
            <w:r>
              <w:t>As above</w:t>
            </w:r>
          </w:p>
        </w:tc>
        <w:tc>
          <w:tcPr>
            <w:tcW w:w="1490" w:type="pct"/>
          </w:tcPr>
          <w:p w14:paraId="67E01EEE" w14:textId="77777777" w:rsidR="00336257" w:rsidRPr="00336257" w:rsidRDefault="0063127C" w:rsidP="00336257">
            <w:pPr>
              <w:pStyle w:val="Tabletext"/>
            </w:pPr>
            <w:r>
              <w:t>As above</w:t>
            </w:r>
          </w:p>
        </w:tc>
      </w:tr>
      <w:tr w:rsidR="00336257" w:rsidRPr="00DE6A92" w14:paraId="68556DC6" w14:textId="77777777" w:rsidTr="00524BFA">
        <w:trPr>
          <w:trHeight w:val="549"/>
        </w:trPr>
        <w:tc>
          <w:tcPr>
            <w:tcW w:w="1304" w:type="pct"/>
          </w:tcPr>
          <w:p w14:paraId="1BA3A1A4" w14:textId="77777777" w:rsidR="00336257" w:rsidRPr="00336257" w:rsidRDefault="00336257" w:rsidP="00336257">
            <w:pPr>
              <w:pStyle w:val="Tabletext"/>
            </w:pPr>
            <w:r>
              <w:t>Prof Simon Willcock</w:t>
            </w:r>
          </w:p>
        </w:tc>
        <w:tc>
          <w:tcPr>
            <w:tcW w:w="2206" w:type="pct"/>
          </w:tcPr>
          <w:p w14:paraId="6F7CC999" w14:textId="77777777" w:rsidR="00336257" w:rsidRPr="00336257" w:rsidRDefault="0063127C" w:rsidP="00336257">
            <w:pPr>
              <w:pStyle w:val="Tabletext"/>
            </w:pPr>
            <w:r>
              <w:t>As above</w:t>
            </w:r>
          </w:p>
        </w:tc>
        <w:tc>
          <w:tcPr>
            <w:tcW w:w="1490" w:type="pct"/>
          </w:tcPr>
          <w:p w14:paraId="214ED531" w14:textId="77777777" w:rsidR="00336257" w:rsidRPr="00336257" w:rsidRDefault="0063127C" w:rsidP="00336257">
            <w:pPr>
              <w:pStyle w:val="Tabletext"/>
            </w:pPr>
            <w:r>
              <w:t>As above</w:t>
            </w:r>
          </w:p>
        </w:tc>
      </w:tr>
      <w:tr w:rsidR="0051703A" w:rsidRPr="00DE6A92" w14:paraId="0593190C" w14:textId="77777777" w:rsidTr="00524BFA">
        <w:trPr>
          <w:trHeight w:val="549"/>
        </w:trPr>
        <w:tc>
          <w:tcPr>
            <w:tcW w:w="1304" w:type="pct"/>
          </w:tcPr>
          <w:p w14:paraId="30612EE1" w14:textId="77777777" w:rsidR="0051703A" w:rsidRDefault="0051703A" w:rsidP="00336257">
            <w:pPr>
              <w:pStyle w:val="Tabletext"/>
            </w:pPr>
            <w:r>
              <w:t>Ms Thy Cao</w:t>
            </w:r>
          </w:p>
        </w:tc>
        <w:tc>
          <w:tcPr>
            <w:tcW w:w="2206" w:type="pct"/>
          </w:tcPr>
          <w:p w14:paraId="1B504170" w14:textId="77777777" w:rsidR="0051703A" w:rsidRDefault="0051703A" w:rsidP="00336257">
            <w:pPr>
              <w:pStyle w:val="Tabletext"/>
            </w:pPr>
            <w:r>
              <w:t>As above</w:t>
            </w:r>
          </w:p>
        </w:tc>
        <w:tc>
          <w:tcPr>
            <w:tcW w:w="1490" w:type="pct"/>
          </w:tcPr>
          <w:p w14:paraId="70EB150A" w14:textId="77777777" w:rsidR="0051703A" w:rsidRDefault="0051703A" w:rsidP="00336257">
            <w:pPr>
              <w:pStyle w:val="Tabletext"/>
            </w:pPr>
            <w:r>
              <w:t>As above</w:t>
            </w:r>
          </w:p>
        </w:tc>
      </w:tr>
    </w:tbl>
    <w:p w14:paraId="773490F0" w14:textId="77777777" w:rsidR="00336257" w:rsidRPr="000C0BD8" w:rsidRDefault="00336257" w:rsidP="000C0BD8">
      <w:pPr>
        <w:pStyle w:val="TableCaption"/>
      </w:pPr>
    </w:p>
    <w:p w14:paraId="36A92E24" w14:textId="77777777" w:rsidR="00336257" w:rsidRPr="005631FB" w:rsidRDefault="00336257" w:rsidP="00336257">
      <w:pPr>
        <w:pStyle w:val="Heading2"/>
      </w:pPr>
      <w:bookmarkStart w:id="65" w:name="_Toc15644853"/>
      <w:r>
        <w:t>Consultation Item</w:t>
      </w:r>
      <w:r w:rsidRPr="005631FB">
        <w:t xml:space="preserve"> Working Group</w:t>
      </w:r>
      <w:r>
        <w:t xml:space="preserve"> members</w:t>
      </w:r>
      <w:bookmarkEnd w:id="65"/>
    </w:p>
    <w:p w14:paraId="135BE4BC" w14:textId="77777777" w:rsidR="00336257" w:rsidRPr="005631FB" w:rsidRDefault="00336257" w:rsidP="00336257">
      <w:r w:rsidRPr="005631FB">
        <w:t xml:space="preserve">The </w:t>
      </w:r>
      <w:r>
        <w:t>Consultation Item</w:t>
      </w:r>
      <w:r w:rsidRPr="005631FB">
        <w:t xml:space="preserve"> Working Group</w:t>
      </w:r>
      <w:r>
        <w:t xml:space="preserve"> (the Working Group/</w:t>
      </w:r>
      <w:r w:rsidR="00BB5E60">
        <w:t>CI</w:t>
      </w:r>
      <w:r>
        <w:t>WG)</w:t>
      </w:r>
      <w:r w:rsidRPr="005631FB">
        <w:t xml:space="preserve"> is one of </w:t>
      </w:r>
      <w:r>
        <w:t>five</w:t>
      </w:r>
      <w:r w:rsidRPr="005631FB">
        <w:t xml:space="preserve"> clinical Working Groups that have been established to support the work of the </w:t>
      </w:r>
      <w:r>
        <w:t>General Practice and Primary Care</w:t>
      </w:r>
      <w:r w:rsidRPr="005631FB">
        <w:t xml:space="preserve"> Clinical Committee. It was established to review </w:t>
      </w:r>
      <w:r>
        <w:t>consultation</w:t>
      </w:r>
      <w:r w:rsidRPr="005631FB">
        <w:t xml:space="preserve"> items, and make recommendations to the Committee based on rapid evidence review and clinical expertise. </w:t>
      </w:r>
    </w:p>
    <w:p w14:paraId="4762C8FA" w14:textId="69692A00" w:rsidR="00336257" w:rsidRDefault="00336257" w:rsidP="00336257">
      <w:r w:rsidRPr="005631FB">
        <w:t xml:space="preserve">The </w:t>
      </w:r>
      <w:r>
        <w:t>Consultation Item</w:t>
      </w:r>
      <w:r w:rsidRPr="005631FB">
        <w:t xml:space="preserve"> Working Group consists of </w:t>
      </w:r>
      <w:r>
        <w:t>seven</w:t>
      </w:r>
      <w:r w:rsidRPr="005631FB">
        <w:t xml:space="preserve"> members, whose names, positions/organisations and declared conflicts of interest are listed in</w:t>
      </w:r>
      <w:r w:rsidR="00FA585F">
        <w:t xml:space="preserve"> Table 5.</w:t>
      </w:r>
    </w:p>
    <w:p w14:paraId="33C50001" w14:textId="77777777" w:rsidR="00336257" w:rsidRPr="000C0BD8" w:rsidRDefault="00336257" w:rsidP="000C0BD8">
      <w:pPr>
        <w:pStyle w:val="TableCaption"/>
      </w:pPr>
      <w:r w:rsidRPr="000C0BD8">
        <w:t>Table 5: Consultation Item Working Group members</w:t>
      </w:r>
    </w:p>
    <w:tbl>
      <w:tblPr>
        <w:tblW w:w="5000" w:type="pct"/>
        <w:tblLook w:val="04A0" w:firstRow="1" w:lastRow="0" w:firstColumn="1" w:lastColumn="0" w:noHBand="0" w:noVBand="1"/>
        <w:tblCaption w:val="Table 5.  Consultation Item Working Group members "/>
        <w:tblDescription w:val="Table 5. Consultation Item Working Group members.  Consists of 3 columns.  Column 1.  Members name. Column 2. Members position/organisation and Column 3. Members declared conflict of interest. "/>
      </w:tblPr>
      <w:tblGrid>
        <w:gridCol w:w="2168"/>
        <w:gridCol w:w="3667"/>
        <w:gridCol w:w="2477"/>
      </w:tblGrid>
      <w:tr w:rsidR="00336257" w:rsidRPr="00DE6A92" w14:paraId="6F61C1FB" w14:textId="77777777" w:rsidTr="00524BFA">
        <w:tc>
          <w:tcPr>
            <w:tcW w:w="1304" w:type="pct"/>
          </w:tcPr>
          <w:p w14:paraId="279DF065" w14:textId="77777777" w:rsidR="00336257" w:rsidRPr="00336257" w:rsidRDefault="00336257" w:rsidP="00336257">
            <w:pPr>
              <w:pStyle w:val="Tableheading"/>
            </w:pPr>
            <w:r w:rsidRPr="000E06D7">
              <w:t>Name</w:t>
            </w:r>
          </w:p>
        </w:tc>
        <w:tc>
          <w:tcPr>
            <w:tcW w:w="2206" w:type="pct"/>
          </w:tcPr>
          <w:p w14:paraId="711C17D9" w14:textId="77777777" w:rsidR="00336257" w:rsidRPr="00336257" w:rsidRDefault="00336257" w:rsidP="00336257">
            <w:pPr>
              <w:pStyle w:val="Tableheading"/>
            </w:pPr>
            <w:r w:rsidRPr="000E06D7">
              <w:t>Position/organisation</w:t>
            </w:r>
          </w:p>
        </w:tc>
        <w:tc>
          <w:tcPr>
            <w:tcW w:w="1490" w:type="pct"/>
          </w:tcPr>
          <w:p w14:paraId="5DCBD2C5" w14:textId="77777777" w:rsidR="00336257" w:rsidRPr="00336257" w:rsidRDefault="00336257" w:rsidP="00336257">
            <w:pPr>
              <w:pStyle w:val="Tableheading"/>
            </w:pPr>
            <w:r w:rsidRPr="000E06D7">
              <w:t>Declared conflict of interest</w:t>
            </w:r>
          </w:p>
        </w:tc>
      </w:tr>
      <w:tr w:rsidR="00336257" w:rsidRPr="00DE6A92" w14:paraId="55D9396A" w14:textId="77777777" w:rsidTr="00524BFA">
        <w:trPr>
          <w:trHeight w:val="549"/>
        </w:trPr>
        <w:tc>
          <w:tcPr>
            <w:tcW w:w="1304" w:type="pct"/>
          </w:tcPr>
          <w:p w14:paraId="145BA20A" w14:textId="77777777" w:rsidR="00336257" w:rsidRPr="00336257" w:rsidRDefault="00336257" w:rsidP="00336257">
            <w:pPr>
              <w:pStyle w:val="Tabletext"/>
              <w:rPr>
                <w:highlight w:val="yellow"/>
              </w:rPr>
            </w:pPr>
            <w:r>
              <w:t>A/Prof Kathryn Panaretto (Chair)</w:t>
            </w:r>
          </w:p>
        </w:tc>
        <w:tc>
          <w:tcPr>
            <w:tcW w:w="2206" w:type="pct"/>
          </w:tcPr>
          <w:p w14:paraId="1A6403D2" w14:textId="77777777" w:rsidR="00336257" w:rsidRPr="00336257" w:rsidRDefault="003E7EC0" w:rsidP="00336257">
            <w:pPr>
              <w:pStyle w:val="Tabletext"/>
              <w:rPr>
                <w:highlight w:val="yellow"/>
              </w:rPr>
            </w:pPr>
            <w:r>
              <w:t>As above</w:t>
            </w:r>
          </w:p>
        </w:tc>
        <w:tc>
          <w:tcPr>
            <w:tcW w:w="1490" w:type="pct"/>
          </w:tcPr>
          <w:p w14:paraId="09F34CE2" w14:textId="77777777" w:rsidR="00336257" w:rsidRPr="00336257" w:rsidRDefault="003E7EC0" w:rsidP="00336257">
            <w:pPr>
              <w:pStyle w:val="Tabletext"/>
              <w:rPr>
                <w:highlight w:val="yellow"/>
              </w:rPr>
            </w:pPr>
            <w:r>
              <w:t>As above</w:t>
            </w:r>
          </w:p>
        </w:tc>
      </w:tr>
      <w:tr w:rsidR="00336257" w:rsidRPr="00DE6A92" w14:paraId="0BBDFCD5" w14:textId="77777777" w:rsidTr="00524BFA">
        <w:trPr>
          <w:trHeight w:val="549"/>
        </w:trPr>
        <w:tc>
          <w:tcPr>
            <w:tcW w:w="1304" w:type="pct"/>
          </w:tcPr>
          <w:p w14:paraId="097C8402" w14:textId="77777777" w:rsidR="00336257" w:rsidRPr="00336257" w:rsidRDefault="00336257" w:rsidP="00336257">
            <w:pPr>
              <w:pStyle w:val="Tabletext"/>
            </w:pPr>
            <w:r>
              <w:t>Ms Karen Booth</w:t>
            </w:r>
          </w:p>
        </w:tc>
        <w:tc>
          <w:tcPr>
            <w:tcW w:w="2206" w:type="pct"/>
          </w:tcPr>
          <w:p w14:paraId="08E0F4CE" w14:textId="77777777" w:rsidR="00336257" w:rsidRPr="00336257" w:rsidRDefault="003E7EC0" w:rsidP="00336257">
            <w:pPr>
              <w:pStyle w:val="Tabletext"/>
              <w:rPr>
                <w:highlight w:val="yellow"/>
              </w:rPr>
            </w:pPr>
            <w:r>
              <w:t>As above</w:t>
            </w:r>
          </w:p>
        </w:tc>
        <w:tc>
          <w:tcPr>
            <w:tcW w:w="1490" w:type="pct"/>
          </w:tcPr>
          <w:p w14:paraId="391C3F87" w14:textId="77777777" w:rsidR="00336257" w:rsidRPr="00336257" w:rsidRDefault="003E7EC0" w:rsidP="00336257">
            <w:pPr>
              <w:pStyle w:val="Tabletext"/>
              <w:rPr>
                <w:highlight w:val="yellow"/>
              </w:rPr>
            </w:pPr>
            <w:r>
              <w:t>As above</w:t>
            </w:r>
          </w:p>
        </w:tc>
      </w:tr>
      <w:tr w:rsidR="00336257" w:rsidRPr="00DE6A92" w14:paraId="77DF228E" w14:textId="77777777" w:rsidTr="00524BFA">
        <w:trPr>
          <w:trHeight w:val="549"/>
        </w:trPr>
        <w:tc>
          <w:tcPr>
            <w:tcW w:w="1304" w:type="pct"/>
          </w:tcPr>
          <w:p w14:paraId="1299223E" w14:textId="77777777" w:rsidR="00336257" w:rsidRPr="00336257" w:rsidRDefault="00336257" w:rsidP="00336257">
            <w:pPr>
              <w:pStyle w:val="Tabletext"/>
            </w:pPr>
            <w:r>
              <w:t>Dr Steve Hambleton</w:t>
            </w:r>
          </w:p>
        </w:tc>
        <w:tc>
          <w:tcPr>
            <w:tcW w:w="2206" w:type="pct"/>
          </w:tcPr>
          <w:p w14:paraId="17C3541B" w14:textId="77777777" w:rsidR="00336257" w:rsidRPr="00336257" w:rsidRDefault="003E7EC0" w:rsidP="00336257">
            <w:pPr>
              <w:pStyle w:val="Tabletext"/>
              <w:rPr>
                <w:highlight w:val="yellow"/>
              </w:rPr>
            </w:pPr>
            <w:r>
              <w:t>As above</w:t>
            </w:r>
          </w:p>
        </w:tc>
        <w:tc>
          <w:tcPr>
            <w:tcW w:w="1490" w:type="pct"/>
          </w:tcPr>
          <w:p w14:paraId="3B7E5066" w14:textId="77777777" w:rsidR="00336257" w:rsidRPr="00336257" w:rsidRDefault="003E7EC0" w:rsidP="00336257">
            <w:pPr>
              <w:pStyle w:val="Tabletext"/>
              <w:rPr>
                <w:highlight w:val="yellow"/>
              </w:rPr>
            </w:pPr>
            <w:r>
              <w:t>As above</w:t>
            </w:r>
          </w:p>
        </w:tc>
      </w:tr>
      <w:tr w:rsidR="00336257" w:rsidRPr="00DE6A92" w14:paraId="6D2F9836" w14:textId="77777777" w:rsidTr="00524BFA">
        <w:trPr>
          <w:trHeight w:val="549"/>
        </w:trPr>
        <w:tc>
          <w:tcPr>
            <w:tcW w:w="1304" w:type="pct"/>
          </w:tcPr>
          <w:p w14:paraId="463DA90E" w14:textId="77777777" w:rsidR="00336257" w:rsidRPr="00336257" w:rsidRDefault="00336257" w:rsidP="00336257">
            <w:pPr>
              <w:pStyle w:val="Tabletext"/>
              <w:rPr>
                <w:highlight w:val="yellow"/>
              </w:rPr>
            </w:pPr>
            <w:r>
              <w:t>Ms Rebecca James</w:t>
            </w:r>
          </w:p>
        </w:tc>
        <w:tc>
          <w:tcPr>
            <w:tcW w:w="2206" w:type="pct"/>
          </w:tcPr>
          <w:p w14:paraId="468B6783" w14:textId="77777777" w:rsidR="00336257" w:rsidRPr="00336257" w:rsidRDefault="003E7EC0" w:rsidP="00336257">
            <w:pPr>
              <w:pStyle w:val="Tabletext"/>
              <w:rPr>
                <w:highlight w:val="yellow"/>
              </w:rPr>
            </w:pPr>
            <w:r>
              <w:t>As above</w:t>
            </w:r>
          </w:p>
        </w:tc>
        <w:tc>
          <w:tcPr>
            <w:tcW w:w="1490" w:type="pct"/>
          </w:tcPr>
          <w:p w14:paraId="6D0ED5DE" w14:textId="77777777" w:rsidR="00336257" w:rsidRPr="00336257" w:rsidRDefault="003E7EC0" w:rsidP="00336257">
            <w:pPr>
              <w:pStyle w:val="Tabletext"/>
              <w:rPr>
                <w:highlight w:val="yellow"/>
              </w:rPr>
            </w:pPr>
            <w:r>
              <w:t>As above</w:t>
            </w:r>
          </w:p>
        </w:tc>
      </w:tr>
      <w:tr w:rsidR="00336257" w:rsidRPr="00DE6A92" w14:paraId="436F089C" w14:textId="77777777" w:rsidTr="00524BFA">
        <w:trPr>
          <w:trHeight w:val="549"/>
        </w:trPr>
        <w:tc>
          <w:tcPr>
            <w:tcW w:w="1304" w:type="pct"/>
          </w:tcPr>
          <w:p w14:paraId="55EF457A" w14:textId="77777777" w:rsidR="00336257" w:rsidRPr="00336257" w:rsidRDefault="00336257" w:rsidP="00336257">
            <w:pPr>
              <w:pStyle w:val="Tabletext"/>
            </w:pPr>
            <w:r>
              <w:t>Prof Stephen Jan</w:t>
            </w:r>
          </w:p>
        </w:tc>
        <w:tc>
          <w:tcPr>
            <w:tcW w:w="2206" w:type="pct"/>
          </w:tcPr>
          <w:p w14:paraId="57494EE2" w14:textId="77777777" w:rsidR="00336257" w:rsidRPr="00336257" w:rsidRDefault="003E7EC0" w:rsidP="00336257">
            <w:pPr>
              <w:pStyle w:val="Tabletext"/>
            </w:pPr>
            <w:r>
              <w:t>As above</w:t>
            </w:r>
          </w:p>
        </w:tc>
        <w:tc>
          <w:tcPr>
            <w:tcW w:w="1490" w:type="pct"/>
          </w:tcPr>
          <w:p w14:paraId="32640DB8" w14:textId="77777777" w:rsidR="00336257" w:rsidRPr="00336257" w:rsidRDefault="003E7EC0" w:rsidP="00336257">
            <w:pPr>
              <w:pStyle w:val="Tabletext"/>
            </w:pPr>
            <w:r>
              <w:t>As above</w:t>
            </w:r>
          </w:p>
        </w:tc>
      </w:tr>
      <w:tr w:rsidR="00336257" w:rsidRPr="00DE6A92" w14:paraId="4FD51066" w14:textId="77777777" w:rsidTr="00524BFA">
        <w:trPr>
          <w:trHeight w:val="549"/>
        </w:trPr>
        <w:tc>
          <w:tcPr>
            <w:tcW w:w="1304" w:type="pct"/>
          </w:tcPr>
          <w:p w14:paraId="15AA2E6D" w14:textId="77777777" w:rsidR="00336257" w:rsidRPr="00336257" w:rsidRDefault="00336257" w:rsidP="00336257">
            <w:pPr>
              <w:pStyle w:val="Tabletext"/>
            </w:pPr>
            <w:r>
              <w:t>Prof Caroline Laurence</w:t>
            </w:r>
          </w:p>
        </w:tc>
        <w:tc>
          <w:tcPr>
            <w:tcW w:w="2206" w:type="pct"/>
          </w:tcPr>
          <w:p w14:paraId="3CC3D8B3" w14:textId="77777777" w:rsidR="00336257" w:rsidRPr="00336257" w:rsidRDefault="003E7EC0" w:rsidP="00336257">
            <w:pPr>
              <w:pStyle w:val="Tabletext"/>
            </w:pPr>
            <w:r>
              <w:t>As above</w:t>
            </w:r>
          </w:p>
        </w:tc>
        <w:tc>
          <w:tcPr>
            <w:tcW w:w="1490" w:type="pct"/>
          </w:tcPr>
          <w:p w14:paraId="405D2158" w14:textId="77777777" w:rsidR="00336257" w:rsidRPr="00336257" w:rsidRDefault="003E7EC0" w:rsidP="00336257">
            <w:pPr>
              <w:pStyle w:val="Tabletext"/>
            </w:pPr>
            <w:r>
              <w:t>As above</w:t>
            </w:r>
          </w:p>
        </w:tc>
      </w:tr>
      <w:tr w:rsidR="003E7EC0" w:rsidRPr="00DE6A92" w14:paraId="7CC7D5EC" w14:textId="77777777" w:rsidTr="00524BFA">
        <w:trPr>
          <w:trHeight w:val="549"/>
        </w:trPr>
        <w:tc>
          <w:tcPr>
            <w:tcW w:w="1304" w:type="pct"/>
          </w:tcPr>
          <w:p w14:paraId="3BE2F451" w14:textId="77777777" w:rsidR="003E7EC0" w:rsidRPr="00336257" w:rsidRDefault="003E7EC0" w:rsidP="003E7EC0">
            <w:pPr>
              <w:pStyle w:val="Tabletext"/>
            </w:pPr>
            <w:r>
              <w:t>Dr Ewen McPhee</w:t>
            </w:r>
          </w:p>
        </w:tc>
        <w:tc>
          <w:tcPr>
            <w:tcW w:w="2206" w:type="pct"/>
          </w:tcPr>
          <w:p w14:paraId="0CC3AA69" w14:textId="77777777" w:rsidR="003E7EC0" w:rsidRPr="00336257" w:rsidRDefault="003E7EC0" w:rsidP="003E7EC0">
            <w:pPr>
              <w:pStyle w:val="Tabletext"/>
            </w:pPr>
            <w:r w:rsidRPr="006A18A7">
              <w:t>As above</w:t>
            </w:r>
          </w:p>
        </w:tc>
        <w:tc>
          <w:tcPr>
            <w:tcW w:w="1490" w:type="pct"/>
          </w:tcPr>
          <w:p w14:paraId="496D2F99" w14:textId="77777777" w:rsidR="003E7EC0" w:rsidRPr="00336257" w:rsidRDefault="003E7EC0" w:rsidP="003E7EC0">
            <w:pPr>
              <w:pStyle w:val="Tabletext"/>
            </w:pPr>
            <w:r w:rsidRPr="006A18A7">
              <w:t>As above</w:t>
            </w:r>
          </w:p>
        </w:tc>
      </w:tr>
    </w:tbl>
    <w:p w14:paraId="1966BAAB" w14:textId="77777777" w:rsidR="00336257" w:rsidRPr="000C0BD8" w:rsidRDefault="00336257" w:rsidP="000C0BD8">
      <w:pPr>
        <w:pStyle w:val="TableCaption"/>
      </w:pPr>
    </w:p>
    <w:p w14:paraId="1513F662" w14:textId="77777777" w:rsidR="00336257" w:rsidRPr="005631FB" w:rsidRDefault="00336257" w:rsidP="00336257">
      <w:pPr>
        <w:pStyle w:val="Heading2"/>
      </w:pPr>
      <w:bookmarkStart w:id="66" w:name="_Toc15644854"/>
      <w:r>
        <w:t>Referrals and Repeat Scripts</w:t>
      </w:r>
      <w:r w:rsidRPr="005631FB">
        <w:t xml:space="preserve"> Working Group</w:t>
      </w:r>
      <w:r>
        <w:t xml:space="preserve"> members</w:t>
      </w:r>
      <w:bookmarkEnd w:id="66"/>
    </w:p>
    <w:p w14:paraId="39DFD349" w14:textId="77777777" w:rsidR="00336257" w:rsidRPr="005631FB" w:rsidRDefault="00336257" w:rsidP="00336257">
      <w:r w:rsidRPr="005631FB">
        <w:t xml:space="preserve">The </w:t>
      </w:r>
      <w:r>
        <w:t>Referrals and Repeat Scripts</w:t>
      </w:r>
      <w:r w:rsidRPr="005631FB">
        <w:t xml:space="preserve"> Working Group</w:t>
      </w:r>
      <w:r>
        <w:t xml:space="preserve"> (the Working Group/</w:t>
      </w:r>
      <w:r w:rsidR="0066705F">
        <w:t>RRS</w:t>
      </w:r>
      <w:r>
        <w:t>WG)</w:t>
      </w:r>
      <w:r w:rsidRPr="005631FB">
        <w:t xml:space="preserve"> is one of </w:t>
      </w:r>
      <w:r>
        <w:t>five</w:t>
      </w:r>
      <w:r w:rsidRPr="005631FB">
        <w:t xml:space="preserve"> clinical Working Groups that have been established to support the work of the </w:t>
      </w:r>
      <w:r>
        <w:t>General Practice and Primary Care</w:t>
      </w:r>
      <w:r w:rsidRPr="005631FB">
        <w:t xml:space="preserve"> Clinical Committee. It was established to review </w:t>
      </w:r>
      <w:r>
        <w:t>referrals and repeat script</w:t>
      </w:r>
      <w:r w:rsidRPr="005631FB">
        <w:t xml:space="preserve"> items, and make recommendations to the Committee based on rapid evidence review and clinical expertise. </w:t>
      </w:r>
    </w:p>
    <w:p w14:paraId="5AB96E83" w14:textId="5EF3948B" w:rsidR="00336257" w:rsidRDefault="00336257" w:rsidP="00336257">
      <w:r w:rsidRPr="005631FB">
        <w:t xml:space="preserve">The </w:t>
      </w:r>
      <w:r>
        <w:t>Referrals and Repeat Scripts</w:t>
      </w:r>
      <w:r w:rsidRPr="005631FB">
        <w:t xml:space="preserve"> Working Group consists of </w:t>
      </w:r>
      <w:r>
        <w:t>six</w:t>
      </w:r>
      <w:r w:rsidRPr="005631FB">
        <w:t xml:space="preserve"> members, whose names, positions/organisations and declared conflicts of interest are listed in</w:t>
      </w:r>
      <w:r w:rsidR="00FA585F">
        <w:t xml:space="preserve"> Table 6.</w:t>
      </w:r>
    </w:p>
    <w:p w14:paraId="16D16D03" w14:textId="77777777" w:rsidR="00336257" w:rsidRDefault="00336257" w:rsidP="000C0BD8">
      <w:pPr>
        <w:pStyle w:val="Tableheading"/>
      </w:pPr>
      <w:r>
        <w:t>Table 6: Referrals and Repeat Scripts Working Group members</w:t>
      </w:r>
    </w:p>
    <w:tbl>
      <w:tblPr>
        <w:tblW w:w="5000" w:type="pct"/>
        <w:tblLook w:val="04A0" w:firstRow="1" w:lastRow="0" w:firstColumn="1" w:lastColumn="0" w:noHBand="0" w:noVBand="1"/>
        <w:tblCaption w:val="Table 6: Referrals and Repeat Scripts Working Group members"/>
        <w:tblDescription w:val="Table 6. Referrals and Repeat Script Working Group members.  Consists of 3 columns.  Column 1.  Members name. Column 2. Members position/organisation and Column 3. Members declared conflict of interest. "/>
      </w:tblPr>
      <w:tblGrid>
        <w:gridCol w:w="2168"/>
        <w:gridCol w:w="3667"/>
        <w:gridCol w:w="2477"/>
      </w:tblGrid>
      <w:tr w:rsidR="00336257" w:rsidRPr="00DE6A92" w14:paraId="33A94879" w14:textId="77777777" w:rsidTr="00524BFA">
        <w:tc>
          <w:tcPr>
            <w:tcW w:w="1304" w:type="pct"/>
          </w:tcPr>
          <w:p w14:paraId="7B4FC242" w14:textId="77777777" w:rsidR="00336257" w:rsidRPr="00336257" w:rsidRDefault="00336257" w:rsidP="00336257">
            <w:pPr>
              <w:pStyle w:val="Tableheading"/>
            </w:pPr>
            <w:r w:rsidRPr="000E06D7">
              <w:t>Name</w:t>
            </w:r>
          </w:p>
        </w:tc>
        <w:tc>
          <w:tcPr>
            <w:tcW w:w="2206" w:type="pct"/>
          </w:tcPr>
          <w:p w14:paraId="3DDC6AB1" w14:textId="77777777" w:rsidR="00336257" w:rsidRPr="00336257" w:rsidRDefault="00336257" w:rsidP="00336257">
            <w:pPr>
              <w:pStyle w:val="Tableheading"/>
            </w:pPr>
            <w:r w:rsidRPr="000E06D7">
              <w:t>Position/organisation</w:t>
            </w:r>
          </w:p>
        </w:tc>
        <w:tc>
          <w:tcPr>
            <w:tcW w:w="1490" w:type="pct"/>
          </w:tcPr>
          <w:p w14:paraId="4BF5E6EF" w14:textId="77777777" w:rsidR="00336257" w:rsidRPr="00336257" w:rsidRDefault="00336257" w:rsidP="00336257">
            <w:pPr>
              <w:pStyle w:val="Tableheading"/>
            </w:pPr>
            <w:r w:rsidRPr="000E06D7">
              <w:t>Declared conflict of interest</w:t>
            </w:r>
          </w:p>
        </w:tc>
      </w:tr>
      <w:tr w:rsidR="00336257" w:rsidRPr="00DE6A92" w14:paraId="341988BB" w14:textId="77777777" w:rsidTr="00524BFA">
        <w:trPr>
          <w:trHeight w:val="549"/>
        </w:trPr>
        <w:tc>
          <w:tcPr>
            <w:tcW w:w="1304" w:type="pct"/>
          </w:tcPr>
          <w:p w14:paraId="004E2825" w14:textId="77777777" w:rsidR="00336257" w:rsidRPr="00336257" w:rsidRDefault="00336257" w:rsidP="00336257">
            <w:pPr>
              <w:pStyle w:val="Tabletext"/>
              <w:rPr>
                <w:highlight w:val="yellow"/>
              </w:rPr>
            </w:pPr>
            <w:r>
              <w:t>Dr Emma Kennedy (Chair)</w:t>
            </w:r>
          </w:p>
        </w:tc>
        <w:tc>
          <w:tcPr>
            <w:tcW w:w="2206" w:type="pct"/>
          </w:tcPr>
          <w:p w14:paraId="5166D348" w14:textId="77777777" w:rsidR="00336257" w:rsidRPr="00336257" w:rsidRDefault="003E7EC0" w:rsidP="00336257">
            <w:pPr>
              <w:pStyle w:val="Tabletext"/>
              <w:rPr>
                <w:highlight w:val="yellow"/>
              </w:rPr>
            </w:pPr>
            <w:r>
              <w:t>As above</w:t>
            </w:r>
          </w:p>
        </w:tc>
        <w:tc>
          <w:tcPr>
            <w:tcW w:w="1490" w:type="pct"/>
          </w:tcPr>
          <w:p w14:paraId="70C441B4" w14:textId="77777777" w:rsidR="00336257" w:rsidRPr="00336257" w:rsidRDefault="003E7EC0" w:rsidP="00336257">
            <w:pPr>
              <w:pStyle w:val="Tabletext"/>
              <w:rPr>
                <w:highlight w:val="yellow"/>
              </w:rPr>
            </w:pPr>
            <w:r>
              <w:t>As above</w:t>
            </w:r>
          </w:p>
        </w:tc>
      </w:tr>
      <w:tr w:rsidR="00336257" w:rsidRPr="00DE6A92" w14:paraId="102C65F0" w14:textId="77777777" w:rsidTr="00524BFA">
        <w:trPr>
          <w:trHeight w:val="549"/>
        </w:trPr>
        <w:tc>
          <w:tcPr>
            <w:tcW w:w="1304" w:type="pct"/>
          </w:tcPr>
          <w:p w14:paraId="529F4EF7" w14:textId="77777777" w:rsidR="00336257" w:rsidRPr="00336257" w:rsidRDefault="00336257" w:rsidP="00336257">
            <w:pPr>
              <w:pStyle w:val="Tabletext"/>
            </w:pPr>
            <w:r>
              <w:t>Ms Karen Booth</w:t>
            </w:r>
          </w:p>
        </w:tc>
        <w:tc>
          <w:tcPr>
            <w:tcW w:w="2206" w:type="pct"/>
          </w:tcPr>
          <w:p w14:paraId="44A53C30" w14:textId="77777777" w:rsidR="00336257" w:rsidRPr="00336257" w:rsidRDefault="003E7EC0" w:rsidP="00336257">
            <w:pPr>
              <w:pStyle w:val="Tabletext"/>
              <w:rPr>
                <w:highlight w:val="yellow"/>
              </w:rPr>
            </w:pPr>
            <w:r>
              <w:t>As above</w:t>
            </w:r>
          </w:p>
        </w:tc>
        <w:tc>
          <w:tcPr>
            <w:tcW w:w="1490" w:type="pct"/>
          </w:tcPr>
          <w:p w14:paraId="1202CAD7" w14:textId="77777777" w:rsidR="00336257" w:rsidRPr="00336257" w:rsidRDefault="003E7EC0" w:rsidP="00336257">
            <w:pPr>
              <w:pStyle w:val="Tabletext"/>
              <w:rPr>
                <w:highlight w:val="yellow"/>
              </w:rPr>
            </w:pPr>
            <w:r>
              <w:t>As above</w:t>
            </w:r>
          </w:p>
        </w:tc>
      </w:tr>
      <w:tr w:rsidR="00336257" w:rsidRPr="00DE6A92" w14:paraId="07080345" w14:textId="77777777" w:rsidTr="00524BFA">
        <w:trPr>
          <w:trHeight w:val="549"/>
        </w:trPr>
        <w:tc>
          <w:tcPr>
            <w:tcW w:w="1304" w:type="pct"/>
          </w:tcPr>
          <w:p w14:paraId="124F54C6" w14:textId="77777777" w:rsidR="00336257" w:rsidRPr="00336257" w:rsidRDefault="00336257" w:rsidP="00336257">
            <w:pPr>
              <w:pStyle w:val="Tabletext"/>
            </w:pPr>
            <w:r>
              <w:t>Helen Maxwell-Wright</w:t>
            </w:r>
          </w:p>
        </w:tc>
        <w:tc>
          <w:tcPr>
            <w:tcW w:w="2206" w:type="pct"/>
          </w:tcPr>
          <w:p w14:paraId="0873E655" w14:textId="77777777" w:rsidR="00336257" w:rsidRPr="00EA013A" w:rsidRDefault="00336257" w:rsidP="00336257">
            <w:pPr>
              <w:pStyle w:val="Tabletext"/>
              <w:rPr>
                <w:highlight w:val="yellow"/>
              </w:rPr>
            </w:pPr>
          </w:p>
        </w:tc>
        <w:tc>
          <w:tcPr>
            <w:tcW w:w="1490" w:type="pct"/>
          </w:tcPr>
          <w:p w14:paraId="6157F968" w14:textId="77777777" w:rsidR="00336257" w:rsidRPr="00EA013A" w:rsidRDefault="00336257" w:rsidP="00336257">
            <w:pPr>
              <w:pStyle w:val="Tabletext"/>
              <w:rPr>
                <w:highlight w:val="yellow"/>
              </w:rPr>
            </w:pPr>
          </w:p>
        </w:tc>
      </w:tr>
      <w:tr w:rsidR="00336257" w:rsidRPr="00DE6A92" w14:paraId="6D1A036C" w14:textId="77777777" w:rsidTr="00524BFA">
        <w:trPr>
          <w:trHeight w:val="549"/>
        </w:trPr>
        <w:tc>
          <w:tcPr>
            <w:tcW w:w="1304" w:type="pct"/>
          </w:tcPr>
          <w:p w14:paraId="5972248A" w14:textId="77777777" w:rsidR="00336257" w:rsidRPr="00336257" w:rsidRDefault="00336257" w:rsidP="00336257">
            <w:pPr>
              <w:pStyle w:val="Tabletext"/>
              <w:rPr>
                <w:highlight w:val="yellow"/>
              </w:rPr>
            </w:pPr>
            <w:r>
              <w:t>Dr Ewen McPhee</w:t>
            </w:r>
          </w:p>
        </w:tc>
        <w:tc>
          <w:tcPr>
            <w:tcW w:w="2206" w:type="pct"/>
          </w:tcPr>
          <w:p w14:paraId="0AF09E00" w14:textId="77777777" w:rsidR="00336257" w:rsidRPr="00336257" w:rsidRDefault="003E7EC0" w:rsidP="00336257">
            <w:pPr>
              <w:pStyle w:val="Tabletext"/>
              <w:rPr>
                <w:highlight w:val="yellow"/>
              </w:rPr>
            </w:pPr>
            <w:r>
              <w:t>As above</w:t>
            </w:r>
          </w:p>
        </w:tc>
        <w:tc>
          <w:tcPr>
            <w:tcW w:w="1490" w:type="pct"/>
          </w:tcPr>
          <w:p w14:paraId="4BEA0DA3" w14:textId="77777777" w:rsidR="00336257" w:rsidRPr="00336257" w:rsidRDefault="003E7EC0" w:rsidP="00336257">
            <w:pPr>
              <w:pStyle w:val="Tabletext"/>
              <w:rPr>
                <w:highlight w:val="yellow"/>
              </w:rPr>
            </w:pPr>
            <w:r>
              <w:t>As above</w:t>
            </w:r>
          </w:p>
        </w:tc>
      </w:tr>
      <w:tr w:rsidR="00336257" w:rsidRPr="00DE6A92" w14:paraId="19E041A0" w14:textId="77777777" w:rsidTr="00524BFA">
        <w:trPr>
          <w:trHeight w:val="549"/>
        </w:trPr>
        <w:tc>
          <w:tcPr>
            <w:tcW w:w="1304" w:type="pct"/>
          </w:tcPr>
          <w:p w14:paraId="1A0244F1" w14:textId="77777777" w:rsidR="00336257" w:rsidRPr="00336257" w:rsidRDefault="00336257" w:rsidP="00336257">
            <w:pPr>
              <w:pStyle w:val="Tabletext"/>
            </w:pPr>
            <w:r>
              <w:t>Mr Tim Perry</w:t>
            </w:r>
          </w:p>
        </w:tc>
        <w:tc>
          <w:tcPr>
            <w:tcW w:w="2206" w:type="pct"/>
          </w:tcPr>
          <w:p w14:paraId="641B8B05" w14:textId="77777777" w:rsidR="00336257" w:rsidRPr="00336257" w:rsidRDefault="003E7EC0" w:rsidP="00336257">
            <w:pPr>
              <w:pStyle w:val="Tabletext"/>
            </w:pPr>
            <w:r>
              <w:t>As above</w:t>
            </w:r>
          </w:p>
        </w:tc>
        <w:tc>
          <w:tcPr>
            <w:tcW w:w="1490" w:type="pct"/>
          </w:tcPr>
          <w:p w14:paraId="0FB124DF" w14:textId="77777777" w:rsidR="00336257" w:rsidRPr="00336257" w:rsidRDefault="003E7EC0" w:rsidP="00336257">
            <w:pPr>
              <w:pStyle w:val="Tabletext"/>
            </w:pPr>
            <w:r>
              <w:t>As above</w:t>
            </w:r>
          </w:p>
        </w:tc>
      </w:tr>
      <w:tr w:rsidR="00336257" w:rsidRPr="00DE6A92" w14:paraId="75B7C248" w14:textId="77777777" w:rsidTr="00524BFA">
        <w:trPr>
          <w:trHeight w:val="549"/>
        </w:trPr>
        <w:tc>
          <w:tcPr>
            <w:tcW w:w="1304" w:type="pct"/>
          </w:tcPr>
          <w:p w14:paraId="4B425CF5" w14:textId="77777777" w:rsidR="00336257" w:rsidRPr="00336257" w:rsidRDefault="00336257" w:rsidP="00336257">
            <w:pPr>
              <w:pStyle w:val="Tabletext"/>
            </w:pPr>
            <w:r>
              <w:t>Prof Simon Wil</w:t>
            </w:r>
            <w:r w:rsidRPr="00336257">
              <w:t>lcock</w:t>
            </w:r>
          </w:p>
        </w:tc>
        <w:tc>
          <w:tcPr>
            <w:tcW w:w="2206" w:type="pct"/>
          </w:tcPr>
          <w:p w14:paraId="4BF507EF" w14:textId="77777777" w:rsidR="00336257" w:rsidRPr="00336257" w:rsidRDefault="003E7EC0" w:rsidP="00336257">
            <w:pPr>
              <w:pStyle w:val="Tabletext"/>
            </w:pPr>
            <w:r>
              <w:t>As above</w:t>
            </w:r>
          </w:p>
        </w:tc>
        <w:tc>
          <w:tcPr>
            <w:tcW w:w="1490" w:type="pct"/>
          </w:tcPr>
          <w:p w14:paraId="123E2901" w14:textId="77777777" w:rsidR="00336257" w:rsidRPr="00336257" w:rsidRDefault="003E7EC0" w:rsidP="00336257">
            <w:pPr>
              <w:pStyle w:val="Tabletext"/>
            </w:pPr>
            <w:r>
              <w:t>As above</w:t>
            </w:r>
          </w:p>
        </w:tc>
      </w:tr>
    </w:tbl>
    <w:p w14:paraId="25A549D5" w14:textId="77777777" w:rsidR="00336257" w:rsidRPr="005631FB" w:rsidRDefault="00336257" w:rsidP="00336257">
      <w:pPr>
        <w:pStyle w:val="Heading2"/>
      </w:pPr>
      <w:bookmarkStart w:id="67" w:name="_Toc15644855"/>
      <w:r w:rsidRPr="005631FB">
        <w:t>Conflicts of interest</w:t>
      </w:r>
      <w:bookmarkEnd w:id="67"/>
    </w:p>
    <w:p w14:paraId="510E25A7" w14:textId="77777777" w:rsidR="00336257" w:rsidRDefault="00336257" w:rsidP="00336257">
      <w:r w:rsidRPr="005631F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704669">
        <w:t xml:space="preserve">Tables 1-6 </w:t>
      </w:r>
      <w:r w:rsidRPr="005631FB">
        <w:t xml:space="preserve">above. </w:t>
      </w:r>
    </w:p>
    <w:p w14:paraId="26C75721" w14:textId="77777777" w:rsidR="00336257" w:rsidRDefault="00336257" w:rsidP="00336257">
      <w:r w:rsidRPr="004D1B38">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48665033" w14:textId="77777777" w:rsidR="00336257" w:rsidRDefault="00336257" w:rsidP="00336257">
      <w:pPr>
        <w:pStyle w:val="Heading2"/>
      </w:pPr>
      <w:bookmarkStart w:id="68" w:name="_Toc485295723"/>
      <w:bookmarkStart w:id="69" w:name="_Toc15644856"/>
      <w:bookmarkStart w:id="70" w:name="_Hlk517688214"/>
      <w:r w:rsidRPr="009200D8">
        <w:t xml:space="preserve">Areas of responsibility of the </w:t>
      </w:r>
      <w:bookmarkEnd w:id="68"/>
      <w:r>
        <w:t>Committee</w:t>
      </w:r>
      <w:bookmarkEnd w:id="69"/>
    </w:p>
    <w:p w14:paraId="181F8BBF" w14:textId="77777777" w:rsidR="00336257" w:rsidRPr="007D797C" w:rsidRDefault="00336257" w:rsidP="00336257">
      <w:r w:rsidRPr="007D797C">
        <w:t>The Committee reviewed 60 MBS items</w:t>
      </w:r>
      <w:r w:rsidR="00C01006">
        <w:t xml:space="preserve"> in phase two</w:t>
      </w:r>
      <w:r w:rsidRPr="007D797C">
        <w:t xml:space="preserve">: </w:t>
      </w:r>
      <w:r w:rsidR="00E5009F">
        <w:t>48</w:t>
      </w:r>
      <w:r w:rsidRPr="007D797C">
        <w:t xml:space="preserve"> </w:t>
      </w:r>
      <w:r w:rsidR="00C64440">
        <w:t>general consultation items</w:t>
      </w:r>
      <w:r w:rsidRPr="007D797C">
        <w:t xml:space="preserve">, </w:t>
      </w:r>
      <w:r w:rsidR="00E5009F">
        <w:t>11 chronic disease management items, 5 health assessment items and 2 medication management items</w:t>
      </w:r>
      <w:r w:rsidRPr="007D797C">
        <w:t xml:space="preserve">. </w:t>
      </w:r>
    </w:p>
    <w:p w14:paraId="0D40E25A" w14:textId="77777777" w:rsidR="00336257" w:rsidRDefault="00336257" w:rsidP="00336257">
      <w:r w:rsidRPr="007D797C">
        <w:t xml:space="preserve">The </w:t>
      </w:r>
      <w:r w:rsidR="00EF5A59">
        <w:t>48 general consultation</w:t>
      </w:r>
      <w:r w:rsidRPr="007D797C">
        <w:t xml:space="preserve"> items </w:t>
      </w:r>
      <w:r w:rsidR="009577E4">
        <w:t>are for</w:t>
      </w:r>
      <w:r w:rsidRPr="007D797C">
        <w:t xml:space="preserve"> </w:t>
      </w:r>
      <w:r w:rsidR="00333192">
        <w:t xml:space="preserve">consultations by </w:t>
      </w:r>
      <w:r w:rsidR="00C14AE7">
        <w:t>GPs</w:t>
      </w:r>
      <w:r w:rsidR="00333192">
        <w:t xml:space="preserve"> and other medical practitioners</w:t>
      </w:r>
      <w:r w:rsidR="00C14AE7">
        <w:t xml:space="preserve"> in consultation rooms, Residential Aged Care Facilities and other locations</w:t>
      </w:r>
      <w:r w:rsidRPr="007D797C">
        <w:t xml:space="preserve">. In FY </w:t>
      </w:r>
      <w:r w:rsidR="00E21F9A">
        <w:t>2016-17</w:t>
      </w:r>
      <w:r w:rsidRPr="007D797C">
        <w:t xml:space="preserve">, </w:t>
      </w:r>
      <w:r w:rsidR="00333192">
        <w:t>the use by GPs of these</w:t>
      </w:r>
      <w:r w:rsidRPr="007D797C">
        <w:t xml:space="preserve"> items accounted for approximately </w:t>
      </w:r>
      <w:r w:rsidR="00E21F9A">
        <w:t>118 million</w:t>
      </w:r>
      <w:r w:rsidRPr="007D797C">
        <w:t xml:space="preserve"> services and $</w:t>
      </w:r>
      <w:r w:rsidR="00E21F9A">
        <w:t>5.1 billion</w:t>
      </w:r>
      <w:r w:rsidRPr="007D797C">
        <w:t xml:space="preserve"> in benefits. Over the past five years, service volumes for these items have grown at </w:t>
      </w:r>
      <w:r w:rsidR="00E21F9A">
        <w:t>2.5</w:t>
      </w:r>
      <w:r w:rsidRPr="007D797C">
        <w:t xml:space="preserve"> per cent per year, and the cost of benefits has increased by </w:t>
      </w:r>
      <w:r w:rsidR="00E21F9A">
        <w:t xml:space="preserve">1.7 </w:t>
      </w:r>
      <w:r w:rsidRPr="007D797C">
        <w:t>per cent per year</w:t>
      </w:r>
      <w:r>
        <w:t>.</w:t>
      </w:r>
      <w:r w:rsidRPr="007D797C">
        <w:t xml:space="preserve"> </w:t>
      </w:r>
    </w:p>
    <w:p w14:paraId="0D384082" w14:textId="77777777" w:rsidR="00016F4E" w:rsidRDefault="00016F4E" w:rsidP="00F466B0">
      <w:pPr>
        <w:pStyle w:val="FigureCaption"/>
      </w:pPr>
      <w:bookmarkStart w:id="71" w:name="_Toc15644912"/>
      <w:r>
        <w:t>Figure 2</w:t>
      </w:r>
      <w:r w:rsidRPr="00016F4E">
        <w:t xml:space="preserve">: </w:t>
      </w:r>
      <w:r>
        <w:t>key statistics for A1 GP consultations, 2011-12 and 2016-17</w:t>
      </w:r>
      <w:bookmarkEnd w:id="71"/>
    </w:p>
    <w:p w14:paraId="420F7C57" w14:textId="77777777" w:rsidR="00EE39A3" w:rsidRDefault="0023584F" w:rsidP="00336257">
      <w:r w:rsidRPr="0023584F">
        <w:rPr>
          <w:noProof/>
        </w:rPr>
        <w:drawing>
          <wp:inline distT="0" distB="0" distL="0" distR="0" wp14:anchorId="668E0456" wp14:editId="714956EB">
            <wp:extent cx="5278120" cy="3527425"/>
            <wp:effectExtent l="0" t="0" r="0" b="0"/>
            <wp:docPr id="2" name="Picture 2" descr="Figure 2: Key Statistics for A1 GP consultation 2011-2-12 and 2016-2017.&#10;Consists of 5 box lists.  Box list 1. Total Benefits $B was 2011-12 4.1% and 2016 5.1%. &#10; Box list 2Total Services Millions$ was 2011-12 22.7 and 2016-24.6%.  Box list" title="Figure 2: Key Statistics for A1 GP consultation 2011-2-12 and 2016-2017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3527425"/>
                    </a:xfrm>
                    <a:prstGeom prst="rect">
                      <a:avLst/>
                    </a:prstGeom>
                  </pic:spPr>
                </pic:pic>
              </a:graphicData>
            </a:graphic>
          </wp:inline>
        </w:drawing>
      </w:r>
    </w:p>
    <w:p w14:paraId="6721E986" w14:textId="77777777" w:rsidR="00903412" w:rsidRDefault="00903412" w:rsidP="00903412">
      <w:r w:rsidRPr="007D797C">
        <w:t xml:space="preserve">In FY </w:t>
      </w:r>
      <w:r>
        <w:t>2016-17</w:t>
      </w:r>
      <w:r w:rsidRPr="007D797C">
        <w:t xml:space="preserve">, </w:t>
      </w:r>
      <w:r>
        <w:t xml:space="preserve">the use by </w:t>
      </w:r>
      <w:r w:rsidR="00086A1E">
        <w:t>other medical practitioners</w:t>
      </w:r>
      <w:r>
        <w:t xml:space="preserve"> of </w:t>
      </w:r>
      <w:r w:rsidR="00086A1E">
        <w:t>Level A-B consultation items</w:t>
      </w:r>
      <w:r w:rsidRPr="007D797C">
        <w:t xml:space="preserve"> accounted for approximately </w:t>
      </w:r>
      <w:r w:rsidR="009B2EC5">
        <w:t>5.6</w:t>
      </w:r>
      <w:r>
        <w:t xml:space="preserve"> million</w:t>
      </w:r>
      <w:r w:rsidRPr="007D797C">
        <w:t xml:space="preserve"> services and $</w:t>
      </w:r>
      <w:r w:rsidR="009B2EC5">
        <w:t>140 million</w:t>
      </w:r>
      <w:r w:rsidRPr="007D797C">
        <w:t xml:space="preserve"> in benefits. Over the past five years, service volumes for these items have grown at </w:t>
      </w:r>
      <w:r w:rsidR="009B2EC5">
        <w:t>5.2</w:t>
      </w:r>
      <w:r w:rsidRPr="007D797C">
        <w:t xml:space="preserve"> per cent per year, and the cost of benefits has </w:t>
      </w:r>
      <w:r w:rsidR="009B2EC5">
        <w:t>decreased by 0.2</w:t>
      </w:r>
      <w:r>
        <w:t xml:space="preserve"> </w:t>
      </w:r>
      <w:r w:rsidRPr="007D797C">
        <w:t>per cent per year</w:t>
      </w:r>
      <w:r>
        <w:t>.</w:t>
      </w:r>
      <w:r w:rsidRPr="007D797C">
        <w:t xml:space="preserve"> </w:t>
      </w:r>
    </w:p>
    <w:p w14:paraId="1B08A44E" w14:textId="77777777" w:rsidR="00903412" w:rsidRDefault="00903412" w:rsidP="00EA4C34">
      <w:pPr>
        <w:pStyle w:val="Tableheading"/>
      </w:pPr>
    </w:p>
    <w:p w14:paraId="35940A05" w14:textId="77777777" w:rsidR="00EA4C34" w:rsidRDefault="00EA4C34" w:rsidP="00F466B0">
      <w:pPr>
        <w:pStyle w:val="FigureCaption"/>
      </w:pPr>
      <w:bookmarkStart w:id="72" w:name="_Toc15644913"/>
      <w:r>
        <w:t>Figure</w:t>
      </w:r>
      <w:r w:rsidR="00232CD4">
        <w:t xml:space="preserve"> 3</w:t>
      </w:r>
      <w:r>
        <w:t>: key statistics for A2 Other Medical Practitioner consultations, 2011-12 and 2016-17</w:t>
      </w:r>
      <w:bookmarkEnd w:id="72"/>
    </w:p>
    <w:p w14:paraId="0B5138D0" w14:textId="77777777" w:rsidR="00EA4C34" w:rsidRDefault="00EA4C34" w:rsidP="00336257">
      <w:r w:rsidRPr="00EA4C34">
        <w:rPr>
          <w:noProof/>
        </w:rPr>
        <w:drawing>
          <wp:inline distT="0" distB="0" distL="0" distR="0" wp14:anchorId="259862FE" wp14:editId="621A7A38">
            <wp:extent cx="5278120" cy="2622550"/>
            <wp:effectExtent l="0" t="0" r="0" b="6350"/>
            <wp:docPr id="8" name="Picture 8" descr="Figure 3: key statistics for A2 Other Medical Practitioner consultations, 2011-12 and 2016-17" title="Figure 3: key statistics for A2 Other Medical Practitioner consultation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622550"/>
                    </a:xfrm>
                    <a:prstGeom prst="rect">
                      <a:avLst/>
                    </a:prstGeom>
                  </pic:spPr>
                </pic:pic>
              </a:graphicData>
            </a:graphic>
          </wp:inline>
        </w:drawing>
      </w:r>
    </w:p>
    <w:p w14:paraId="45FD329E" w14:textId="77777777" w:rsidR="00333192" w:rsidRDefault="00333192" w:rsidP="00333192">
      <w:r w:rsidRPr="007D797C">
        <w:t xml:space="preserve">The </w:t>
      </w:r>
      <w:r>
        <w:t>11 chronic disease management</w:t>
      </w:r>
      <w:r w:rsidRPr="007D797C">
        <w:t xml:space="preserve"> items </w:t>
      </w:r>
      <w:r>
        <w:t>include GP Management Plans, Team Care Arrangements, and</w:t>
      </w:r>
      <w:r w:rsidR="00EA4C34">
        <w:t xml:space="preserve"> contributions to and reviews of these arrangements</w:t>
      </w:r>
      <w:r w:rsidRPr="007D797C">
        <w:t xml:space="preserve">. In FY </w:t>
      </w:r>
      <w:r>
        <w:t>2016-17</w:t>
      </w:r>
      <w:r w:rsidRPr="007D797C">
        <w:t xml:space="preserve">, these items accounted for approximately </w:t>
      </w:r>
      <w:r w:rsidR="002B339F">
        <w:t>8.1</w:t>
      </w:r>
      <w:r>
        <w:t xml:space="preserve"> million</w:t>
      </w:r>
      <w:r w:rsidRPr="007D797C">
        <w:t xml:space="preserve"> services and $</w:t>
      </w:r>
      <w:r w:rsidR="00BA5727">
        <w:t>854 million</w:t>
      </w:r>
      <w:r>
        <w:t xml:space="preserve"> </w:t>
      </w:r>
      <w:r w:rsidRPr="007D797C">
        <w:t xml:space="preserve">in benefits. Over the past five years, service volumes for these items have grown at </w:t>
      </w:r>
      <w:r w:rsidR="00BA5727">
        <w:t>13.1</w:t>
      </w:r>
      <w:r w:rsidRPr="007D797C">
        <w:t xml:space="preserve"> per cent per year, and the cost of benefits has increased by </w:t>
      </w:r>
      <w:r w:rsidR="00BA5727">
        <w:t>0.3</w:t>
      </w:r>
      <w:r>
        <w:t xml:space="preserve"> </w:t>
      </w:r>
      <w:r w:rsidRPr="007D797C">
        <w:t>per cent per year</w:t>
      </w:r>
      <w:r>
        <w:t>.</w:t>
      </w:r>
      <w:r w:rsidRPr="007D797C">
        <w:t xml:space="preserve"> </w:t>
      </w:r>
    </w:p>
    <w:p w14:paraId="1D8BB3F0" w14:textId="77777777" w:rsidR="00F92346" w:rsidRDefault="00F92346" w:rsidP="00F466B0">
      <w:pPr>
        <w:pStyle w:val="FigureCaption"/>
      </w:pPr>
      <w:bookmarkStart w:id="73" w:name="_Toc15644914"/>
      <w:r>
        <w:t xml:space="preserve">Figure </w:t>
      </w:r>
      <w:r w:rsidR="00232CD4">
        <w:t>4</w:t>
      </w:r>
      <w:r>
        <w:t>: key statistics for Chronic Disease Management items, 2011-12 and 2016-17</w:t>
      </w:r>
      <w:bookmarkEnd w:id="73"/>
    </w:p>
    <w:p w14:paraId="1382BE2E" w14:textId="77777777" w:rsidR="00F92346" w:rsidRDefault="00F92346" w:rsidP="00336257">
      <w:r w:rsidRPr="00F92346">
        <w:rPr>
          <w:noProof/>
        </w:rPr>
        <w:drawing>
          <wp:inline distT="0" distB="0" distL="0" distR="0" wp14:anchorId="2CCFAF48" wp14:editId="36841714">
            <wp:extent cx="5278120" cy="3094990"/>
            <wp:effectExtent l="0" t="0" r="0" b="0"/>
            <wp:docPr id="6" name="Picture 6" descr="Figure 4: key statistics for Chronic Disease Management items, 2011-12 and 2016-17" title="Figure 4: key statistics for Chronic Disease Manage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3094990"/>
                    </a:xfrm>
                    <a:prstGeom prst="rect">
                      <a:avLst/>
                    </a:prstGeom>
                  </pic:spPr>
                </pic:pic>
              </a:graphicData>
            </a:graphic>
          </wp:inline>
        </w:drawing>
      </w:r>
    </w:p>
    <w:p w14:paraId="19C6A2D6" w14:textId="77777777" w:rsidR="00782701" w:rsidRDefault="00782701" w:rsidP="00782701">
      <w:r w:rsidRPr="007D797C">
        <w:t xml:space="preserve">The </w:t>
      </w:r>
      <w:r>
        <w:t>11 chronic disease management</w:t>
      </w:r>
      <w:r w:rsidRPr="007D797C">
        <w:t xml:space="preserve"> items </w:t>
      </w:r>
      <w:r>
        <w:t>also include items for arranging and participating in case conferences</w:t>
      </w:r>
      <w:r w:rsidRPr="007D797C">
        <w:t xml:space="preserve">. In FY </w:t>
      </w:r>
      <w:r>
        <w:t>2016-17</w:t>
      </w:r>
      <w:r w:rsidRPr="007D797C">
        <w:t xml:space="preserve">, these items accounted for approximately </w:t>
      </w:r>
      <w:r>
        <w:t xml:space="preserve">85.7 </w:t>
      </w:r>
      <w:r w:rsidR="000C0A46">
        <w:t>thousand</w:t>
      </w:r>
      <w:r w:rsidRPr="007D797C">
        <w:t xml:space="preserve"> services and $</w:t>
      </w:r>
      <w:r>
        <w:t xml:space="preserve">8.4 million </w:t>
      </w:r>
      <w:r w:rsidRPr="007D797C">
        <w:t xml:space="preserve">in benefits. Over the past five years, service volumes for these items have grown at </w:t>
      </w:r>
      <w:r>
        <w:t>16.8</w:t>
      </w:r>
      <w:r w:rsidRPr="007D797C">
        <w:t xml:space="preserve"> per cent per year, and the cost of benefits has increased by </w:t>
      </w:r>
      <w:r>
        <w:t xml:space="preserve">0.5 </w:t>
      </w:r>
      <w:r w:rsidRPr="007D797C">
        <w:t>per cent per year</w:t>
      </w:r>
      <w:r>
        <w:t>.</w:t>
      </w:r>
      <w:r w:rsidRPr="007D797C">
        <w:t xml:space="preserve"> </w:t>
      </w:r>
    </w:p>
    <w:p w14:paraId="7461A117" w14:textId="77777777" w:rsidR="00B802CE" w:rsidRDefault="00EA4C34" w:rsidP="00F466B0">
      <w:pPr>
        <w:pStyle w:val="FigureCaption"/>
      </w:pPr>
      <w:bookmarkStart w:id="74" w:name="_Toc15644915"/>
      <w:r>
        <w:t xml:space="preserve">Figure </w:t>
      </w:r>
      <w:r w:rsidR="00232CD4">
        <w:t>5</w:t>
      </w:r>
      <w:r>
        <w:t>: key statistics for case conferencing items, 2011-12 and 2016-17</w:t>
      </w:r>
      <w:bookmarkEnd w:id="74"/>
    </w:p>
    <w:p w14:paraId="606DD5C8" w14:textId="77777777" w:rsidR="00B802CE" w:rsidRDefault="00B802CE" w:rsidP="00336257">
      <w:r w:rsidRPr="00B802CE">
        <w:rPr>
          <w:noProof/>
        </w:rPr>
        <w:drawing>
          <wp:inline distT="0" distB="0" distL="0" distR="0" wp14:anchorId="04761D68" wp14:editId="4252C8AB">
            <wp:extent cx="5278120" cy="3195955"/>
            <wp:effectExtent l="0" t="0" r="0" b="4445"/>
            <wp:docPr id="7" name="Picture 7" descr="Figure 5: key statistics for case conferencing items, 2011-12 and 2016-17" title="Figure 5: key statistics for case conferencing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3195955"/>
                    </a:xfrm>
                    <a:prstGeom prst="rect">
                      <a:avLst/>
                    </a:prstGeom>
                  </pic:spPr>
                </pic:pic>
              </a:graphicData>
            </a:graphic>
          </wp:inline>
        </w:drawing>
      </w:r>
    </w:p>
    <w:p w14:paraId="70AF3F2E" w14:textId="77777777" w:rsidR="003462F3" w:rsidRDefault="003462F3" w:rsidP="00336257"/>
    <w:p w14:paraId="0E17CCA3" w14:textId="77777777" w:rsidR="00E752CD" w:rsidRDefault="00E752CD" w:rsidP="00E752CD">
      <w:r w:rsidRPr="007D797C">
        <w:t xml:space="preserve">The </w:t>
      </w:r>
      <w:r>
        <w:t xml:space="preserve">five health assessment </w:t>
      </w:r>
      <w:r w:rsidRPr="007D797C">
        <w:t xml:space="preserve">items </w:t>
      </w:r>
      <w:r>
        <w:t>include four time-tiered health assessment items</w:t>
      </w:r>
      <w:r w:rsidRPr="007D797C">
        <w:t xml:space="preserve">. In FY </w:t>
      </w:r>
      <w:r>
        <w:t>2016-17</w:t>
      </w:r>
      <w:r w:rsidRPr="007D797C">
        <w:t xml:space="preserve">, these items accounted for approximately </w:t>
      </w:r>
      <w:r w:rsidR="003F3A0D">
        <w:t xml:space="preserve">764 thousand </w:t>
      </w:r>
      <w:r w:rsidRPr="007D797C">
        <w:t>services and $</w:t>
      </w:r>
      <w:r w:rsidR="003F3A0D">
        <w:t xml:space="preserve">155 </w:t>
      </w:r>
      <w:r>
        <w:t xml:space="preserve">million </w:t>
      </w:r>
      <w:r w:rsidRPr="007D797C">
        <w:t xml:space="preserve">in benefits. Over the past five years, service volumes for these items have grown at </w:t>
      </w:r>
      <w:r w:rsidR="003F3A0D">
        <w:t>3.9</w:t>
      </w:r>
      <w:r w:rsidRPr="007D797C">
        <w:t xml:space="preserve"> per cent per year, and the cost of benefits has increased by </w:t>
      </w:r>
      <w:r w:rsidR="003F3A0D">
        <w:t>2.3</w:t>
      </w:r>
      <w:r>
        <w:t xml:space="preserve"> </w:t>
      </w:r>
      <w:r w:rsidRPr="007D797C">
        <w:t>per cent per year</w:t>
      </w:r>
      <w:r>
        <w:t>.</w:t>
      </w:r>
      <w:r w:rsidRPr="007D797C">
        <w:t xml:space="preserve"> </w:t>
      </w:r>
    </w:p>
    <w:p w14:paraId="421245AF" w14:textId="77777777" w:rsidR="003462F3" w:rsidRDefault="003462F3" w:rsidP="00F466B0">
      <w:pPr>
        <w:pStyle w:val="FigureCaption"/>
      </w:pPr>
      <w:bookmarkStart w:id="75" w:name="_Toc15644916"/>
      <w:r>
        <w:t xml:space="preserve">Figure </w:t>
      </w:r>
      <w:r w:rsidR="00232CD4">
        <w:t>6</w:t>
      </w:r>
      <w:r>
        <w:t>: key statistics for</w:t>
      </w:r>
      <w:r w:rsidR="004834F0">
        <w:t xml:space="preserve"> time-tiered</w:t>
      </w:r>
      <w:r>
        <w:t xml:space="preserve"> health assessment items, 2011-12 and 2016-17</w:t>
      </w:r>
      <w:bookmarkEnd w:id="75"/>
    </w:p>
    <w:p w14:paraId="52081474" w14:textId="77777777" w:rsidR="003462F3" w:rsidRDefault="003462F3" w:rsidP="00336257"/>
    <w:p w14:paraId="1B0583BB" w14:textId="77777777" w:rsidR="003462F3" w:rsidRDefault="003462F3" w:rsidP="00336257">
      <w:r w:rsidRPr="003462F3">
        <w:rPr>
          <w:noProof/>
        </w:rPr>
        <w:drawing>
          <wp:inline distT="0" distB="0" distL="0" distR="0" wp14:anchorId="7CE91033" wp14:editId="141F6AB1">
            <wp:extent cx="5278120" cy="2931160"/>
            <wp:effectExtent l="0" t="0" r="0" b="2540"/>
            <wp:docPr id="10" name="Picture 10" descr="Figure 6: key statistics for time-tiered health assessment items, 2011-12 and 2016-17" title="Figure 6: key statistics for time-tiered health assess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931160"/>
                    </a:xfrm>
                    <a:prstGeom prst="rect">
                      <a:avLst/>
                    </a:prstGeom>
                  </pic:spPr>
                </pic:pic>
              </a:graphicData>
            </a:graphic>
          </wp:inline>
        </w:drawing>
      </w:r>
    </w:p>
    <w:p w14:paraId="3D9B4B64" w14:textId="77777777" w:rsidR="003F3A0D" w:rsidRDefault="003F3A0D" w:rsidP="009A2054">
      <w:r w:rsidRPr="007D797C">
        <w:t xml:space="preserve">The </w:t>
      </w:r>
      <w:r>
        <w:t xml:space="preserve">five health assessment </w:t>
      </w:r>
      <w:r w:rsidRPr="007D797C">
        <w:t xml:space="preserve">items </w:t>
      </w:r>
      <w:r>
        <w:t>also include an indigenous health assessment item</w:t>
      </w:r>
      <w:r w:rsidRPr="007D797C">
        <w:t xml:space="preserve">. In FY </w:t>
      </w:r>
      <w:r>
        <w:t>2016-17</w:t>
      </w:r>
      <w:r w:rsidRPr="007D797C">
        <w:t xml:space="preserve">, </w:t>
      </w:r>
      <w:r>
        <w:t>this</w:t>
      </w:r>
      <w:r w:rsidR="003B4384">
        <w:t xml:space="preserve"> item</w:t>
      </w:r>
      <w:r w:rsidRPr="007D797C">
        <w:t xml:space="preserve"> accounted for approximately </w:t>
      </w:r>
      <w:r>
        <w:t xml:space="preserve">218 thousand </w:t>
      </w:r>
      <w:r w:rsidRPr="007D797C">
        <w:t>services and $</w:t>
      </w:r>
      <w:r>
        <w:t xml:space="preserve">46 million </w:t>
      </w:r>
      <w:r w:rsidRPr="007D797C">
        <w:t xml:space="preserve">in benefits. Over the past five years, service volumes for these items have grown at </w:t>
      </w:r>
      <w:r>
        <w:t>6.2</w:t>
      </w:r>
      <w:r w:rsidRPr="007D797C">
        <w:t xml:space="preserve"> per cent per year, and the cost of benefits has increased by </w:t>
      </w:r>
      <w:r>
        <w:t xml:space="preserve">2.2 </w:t>
      </w:r>
      <w:r w:rsidRPr="007D797C">
        <w:t>per cent per year</w:t>
      </w:r>
      <w:r>
        <w:t>.</w:t>
      </w:r>
      <w:r w:rsidRPr="007D797C">
        <w:t xml:space="preserve"> </w:t>
      </w:r>
    </w:p>
    <w:p w14:paraId="09A8067C" w14:textId="77777777" w:rsidR="004834F0" w:rsidRDefault="004834F0" w:rsidP="00F466B0">
      <w:pPr>
        <w:pStyle w:val="FigureCaption"/>
      </w:pPr>
      <w:bookmarkStart w:id="76" w:name="_Toc15644917"/>
      <w:r>
        <w:t xml:space="preserve">Figure </w:t>
      </w:r>
      <w:r w:rsidR="00232CD4">
        <w:t>7</w:t>
      </w:r>
      <w:r>
        <w:t>: key statistics for Indigenous health assessment items, 2011-12 and 2016-17</w:t>
      </w:r>
      <w:bookmarkEnd w:id="76"/>
    </w:p>
    <w:p w14:paraId="0E0D7DA5" w14:textId="77777777" w:rsidR="004834F0" w:rsidRDefault="004834F0" w:rsidP="00336257">
      <w:r w:rsidRPr="004834F0">
        <w:rPr>
          <w:noProof/>
        </w:rPr>
        <w:drawing>
          <wp:inline distT="0" distB="0" distL="0" distR="0" wp14:anchorId="144CCD03" wp14:editId="6161B538">
            <wp:extent cx="5278120" cy="2983230"/>
            <wp:effectExtent l="0" t="0" r="0" b="7620"/>
            <wp:docPr id="12" name="Picture 12" descr="Figure 7: key statistics for Indigenous health assessment items, 2011-12 and 2016-17" title="Figure 7: key statistics for Indigenous health assess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983230"/>
                    </a:xfrm>
                    <a:prstGeom prst="rect">
                      <a:avLst/>
                    </a:prstGeom>
                  </pic:spPr>
                </pic:pic>
              </a:graphicData>
            </a:graphic>
          </wp:inline>
        </w:drawing>
      </w:r>
    </w:p>
    <w:p w14:paraId="3699D811" w14:textId="77777777" w:rsidR="00275338" w:rsidRDefault="003B4384" w:rsidP="003B4384">
      <w:r w:rsidRPr="007D797C">
        <w:t xml:space="preserve">The </w:t>
      </w:r>
      <w:r>
        <w:t xml:space="preserve">two health assessment </w:t>
      </w:r>
      <w:r w:rsidRPr="007D797C">
        <w:t xml:space="preserve">items </w:t>
      </w:r>
      <w:r>
        <w:t xml:space="preserve">are for a GP to </w:t>
      </w:r>
      <w:r w:rsidR="00275338">
        <w:t>work with a</w:t>
      </w:r>
      <w:r>
        <w:t xml:space="preserve"> community pharmacy or accredited pharmacist</w:t>
      </w:r>
      <w:r w:rsidR="00275338">
        <w:t xml:space="preserve"> to review a patient's medications and develop a medication management plan</w:t>
      </w:r>
      <w:r w:rsidRPr="007D797C">
        <w:t xml:space="preserve">. In FY </w:t>
      </w:r>
      <w:r>
        <w:t>2016-17</w:t>
      </w:r>
      <w:r w:rsidRPr="007D797C">
        <w:t xml:space="preserve">, </w:t>
      </w:r>
      <w:r w:rsidR="00275338">
        <w:t>these items</w:t>
      </w:r>
      <w:r w:rsidRPr="007D797C">
        <w:t xml:space="preserve"> accounted for approximately </w:t>
      </w:r>
      <w:r w:rsidR="00275338">
        <w:t>130</w:t>
      </w:r>
      <w:r>
        <w:t xml:space="preserve"> thousand </w:t>
      </w:r>
      <w:r w:rsidRPr="007D797C">
        <w:t>services and $</w:t>
      </w:r>
      <w:r w:rsidR="00275338">
        <w:t>17.1</w:t>
      </w:r>
      <w:r>
        <w:t xml:space="preserve"> million </w:t>
      </w:r>
      <w:r w:rsidRPr="007D797C">
        <w:t xml:space="preserve">in benefits. Over the past five years, service volumes for these items have </w:t>
      </w:r>
      <w:r w:rsidR="00275338">
        <w:t>decreased at 1.9</w:t>
      </w:r>
      <w:r w:rsidRPr="007D797C">
        <w:t xml:space="preserve"> per cent per year, and the cost of benefits has increased by </w:t>
      </w:r>
      <w:r w:rsidR="00275338">
        <w:t>0.7</w:t>
      </w:r>
      <w:r>
        <w:t xml:space="preserve"> </w:t>
      </w:r>
      <w:r w:rsidRPr="007D797C">
        <w:t>per cent per year</w:t>
      </w:r>
      <w:r>
        <w:t>.</w:t>
      </w:r>
      <w:r w:rsidRPr="007D797C">
        <w:t xml:space="preserve"> </w:t>
      </w:r>
    </w:p>
    <w:p w14:paraId="4702D5B3" w14:textId="77777777" w:rsidR="004834F0" w:rsidRDefault="004834F0" w:rsidP="00F466B0">
      <w:pPr>
        <w:pStyle w:val="FigureCaption"/>
      </w:pPr>
      <w:bookmarkStart w:id="77" w:name="_Toc15644918"/>
      <w:r>
        <w:t xml:space="preserve">Figure </w:t>
      </w:r>
      <w:r w:rsidR="00232CD4">
        <w:t>8</w:t>
      </w:r>
      <w:r>
        <w:t>: key statistics for medication management items, 2011-12 and 2016-17</w:t>
      </w:r>
      <w:bookmarkEnd w:id="77"/>
    </w:p>
    <w:p w14:paraId="52CCFF7B" w14:textId="77777777" w:rsidR="00F92346" w:rsidRDefault="00F92346" w:rsidP="00336257"/>
    <w:p w14:paraId="1D71E827" w14:textId="77777777" w:rsidR="004834F0" w:rsidRDefault="004834F0" w:rsidP="00336257">
      <w:r w:rsidRPr="004834F0">
        <w:rPr>
          <w:noProof/>
        </w:rPr>
        <w:drawing>
          <wp:inline distT="0" distB="0" distL="0" distR="0" wp14:anchorId="7C7209F8" wp14:editId="3DF56D20">
            <wp:extent cx="5278120" cy="2976880"/>
            <wp:effectExtent l="0" t="0" r="0" b="0"/>
            <wp:docPr id="13" name="Picture 13" descr="Figure 8: key statistics for medication management items, 2011-12 and 2016-17" title="Figure 8: key statistics for medication management items, 2011-12 a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976880"/>
                    </a:xfrm>
                    <a:prstGeom prst="rect">
                      <a:avLst/>
                    </a:prstGeom>
                  </pic:spPr>
                </pic:pic>
              </a:graphicData>
            </a:graphic>
          </wp:inline>
        </w:drawing>
      </w:r>
    </w:p>
    <w:p w14:paraId="35E3EB2C" w14:textId="77777777" w:rsidR="004834F0" w:rsidRPr="007D797C" w:rsidRDefault="004834F0" w:rsidP="00336257"/>
    <w:p w14:paraId="03C1CA02" w14:textId="77777777" w:rsidR="00336257" w:rsidRPr="00FB48BC" w:rsidRDefault="00336257" w:rsidP="00336257">
      <w:pPr>
        <w:pStyle w:val="Heading2"/>
      </w:pPr>
      <w:bookmarkStart w:id="78" w:name="_Toc457463621"/>
      <w:bookmarkStart w:id="79" w:name="_Toc459996811"/>
      <w:bookmarkStart w:id="80" w:name="_Toc458166999"/>
      <w:bookmarkStart w:id="81" w:name="_Toc464871137"/>
      <w:bookmarkStart w:id="82" w:name="_Toc482641297"/>
      <w:bookmarkStart w:id="83" w:name="_Toc15644857"/>
      <w:bookmarkStart w:id="84" w:name="_Toc456045432"/>
      <w:bookmarkEnd w:id="70"/>
      <w:r w:rsidRPr="00FB48BC">
        <w:t>Summary of the Committee’s review approach</w:t>
      </w:r>
      <w:bookmarkEnd w:id="78"/>
      <w:bookmarkEnd w:id="79"/>
      <w:bookmarkEnd w:id="80"/>
      <w:bookmarkEnd w:id="81"/>
      <w:bookmarkEnd w:id="82"/>
      <w:bookmarkEnd w:id="83"/>
    </w:p>
    <w:p w14:paraId="3C6F6C18" w14:textId="77777777" w:rsidR="00336257" w:rsidRPr="00FD6810" w:rsidRDefault="00336257" w:rsidP="00336257">
      <w:r w:rsidRPr="00FD6810">
        <w:t xml:space="preserve">The Committee completed a review of its items across </w:t>
      </w:r>
      <w:r w:rsidR="00524BFA">
        <w:t>five</w:t>
      </w:r>
      <w:r w:rsidRPr="00FD6810">
        <w:t xml:space="preserve"> full </w:t>
      </w:r>
      <w:r>
        <w:t>c</w:t>
      </w:r>
      <w:r w:rsidRPr="00FD6810">
        <w:t>ommittee meetings</w:t>
      </w:r>
      <w:r w:rsidR="00524BFA">
        <w:t>, two interim full committee meetings and several additional working group meetings</w:t>
      </w:r>
      <w:r w:rsidRPr="00FD6810">
        <w:t xml:space="preserve">, during which it developed the recommendations and rationales </w:t>
      </w:r>
      <w:r>
        <w:t>contained in this report.</w:t>
      </w:r>
      <w:r w:rsidRPr="00FD6810">
        <w:t xml:space="preserve"> </w:t>
      </w:r>
    </w:p>
    <w:p w14:paraId="1992A57E" w14:textId="77777777" w:rsidR="00336257" w:rsidRDefault="00336257" w:rsidP="00336257">
      <w:r w:rsidRPr="00FD6810">
        <w:t xml:space="preserve">The </w:t>
      </w:r>
      <w:r w:rsidR="00603FF9">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29E3A545" w14:textId="77777777" w:rsidR="00336257" w:rsidRDefault="00336257" w:rsidP="00336257">
      <w:r w:rsidRPr="00FD6810">
        <w:t>The Review also drew on data presented in the relevant literature and clinical guidelines, all of which are referenced in the report. Guidelines and literature were sourced from medical journals and other sources, such as professional societies.</w:t>
      </w:r>
      <w:r w:rsidR="00603FF9">
        <w:t xml:space="preserve"> The Committee consulted with key stakeholder groups in developing recommendations and rationale.</w:t>
      </w:r>
    </w:p>
    <w:p w14:paraId="3A881A47" w14:textId="77777777" w:rsidR="00F37221" w:rsidRPr="00170E79" w:rsidRDefault="00250A5D" w:rsidP="009B0335">
      <w:r>
        <w:t>Public consultation on</w:t>
      </w:r>
      <w:r w:rsidR="00224640">
        <w:t xml:space="preserve"> draft</w:t>
      </w:r>
      <w:r>
        <w:t xml:space="preserve"> Phase 1 and Phase 2 Committee </w:t>
      </w:r>
      <w:r w:rsidR="00224640">
        <w:t xml:space="preserve">recommendations was undertaken between September 2018 and March 2019.  </w:t>
      </w:r>
      <w:r w:rsidR="00F37221" w:rsidRPr="002B657F">
        <w:t xml:space="preserve">The </w:t>
      </w:r>
      <w:r w:rsidR="00F37221">
        <w:t xml:space="preserve">Committee </w:t>
      </w:r>
      <w:r w:rsidR="00F37221" w:rsidRPr="002B657F">
        <w:t xml:space="preserve">considered feedback </w:t>
      </w:r>
      <w:r w:rsidR="00F37221">
        <w:t xml:space="preserve">from the public consultation </w:t>
      </w:r>
      <w:r w:rsidR="00F37221" w:rsidRPr="002B657F">
        <w:t>and made changes to a number of recommendat</w:t>
      </w:r>
      <w:r w:rsidR="00F37221">
        <w:t xml:space="preserve">ions as is reflected in this </w:t>
      </w:r>
      <w:r w:rsidR="00F37221" w:rsidRPr="002B657F">
        <w:t xml:space="preserve">report.  </w:t>
      </w:r>
    </w:p>
    <w:p w14:paraId="733573DB" w14:textId="05BE1BD2" w:rsidR="00384239" w:rsidRPr="00C5777F" w:rsidRDefault="00070347" w:rsidP="00384239">
      <w:pPr>
        <w:pStyle w:val="Heading1"/>
      </w:pPr>
      <w:bookmarkStart w:id="85" w:name="_Toc15050482"/>
      <w:bookmarkStart w:id="86" w:name="_Toc15051124"/>
      <w:bookmarkStart w:id="87" w:name="_Toc15051767"/>
      <w:bookmarkStart w:id="88" w:name="_Toc15052410"/>
      <w:bookmarkStart w:id="89" w:name="_Toc15053052"/>
      <w:bookmarkStart w:id="90" w:name="_Toc15053695"/>
      <w:bookmarkStart w:id="91" w:name="_Toc15054341"/>
      <w:bookmarkStart w:id="92" w:name="_Toc15054418"/>
      <w:bookmarkStart w:id="93" w:name="_Toc15644858"/>
      <w:bookmarkEnd w:id="84"/>
      <w:bookmarkEnd w:id="85"/>
      <w:bookmarkEnd w:id="86"/>
      <w:bookmarkEnd w:id="87"/>
      <w:bookmarkEnd w:id="88"/>
      <w:bookmarkEnd w:id="89"/>
      <w:bookmarkEnd w:id="90"/>
      <w:bookmarkEnd w:id="91"/>
      <w:bookmarkEnd w:id="92"/>
      <w:r>
        <w:t>Recommendations</w:t>
      </w:r>
      <w:bookmarkEnd w:id="93"/>
      <w:r>
        <w:t xml:space="preserve"> </w:t>
      </w:r>
      <w:bookmarkEnd w:id="49"/>
    </w:p>
    <w:p w14:paraId="64AA8ECB" w14:textId="2AE43AA6" w:rsidR="001B1197" w:rsidRPr="001B1197" w:rsidRDefault="001B1197" w:rsidP="00F348AB">
      <w:pPr>
        <w:pStyle w:val="Heading2"/>
        <w:numPr>
          <w:ilvl w:val="0"/>
          <w:numId w:val="0"/>
        </w:numPr>
        <w:ind w:left="-417"/>
      </w:pPr>
      <w:bookmarkStart w:id="94" w:name="_Toc15644859"/>
      <w:r w:rsidRPr="001B1197">
        <w:t xml:space="preserve">Vision for the future </w:t>
      </w:r>
      <w:r w:rsidR="00FE680C">
        <w:t>–</w:t>
      </w:r>
      <w:r w:rsidR="00FA1E0D">
        <w:t xml:space="preserve"> </w:t>
      </w:r>
      <w:r w:rsidR="00FE680C">
        <w:t xml:space="preserve">GP Stewardship and </w:t>
      </w:r>
      <w:r w:rsidR="00F348AB">
        <w:t>team b</w:t>
      </w:r>
      <w:r w:rsidR="00FE680C">
        <w:t xml:space="preserve">ased </w:t>
      </w:r>
      <w:r w:rsidR="00F348AB">
        <w:t>c</w:t>
      </w:r>
      <w:r w:rsidR="00FE680C">
        <w:t>are</w:t>
      </w:r>
      <w:bookmarkEnd w:id="94"/>
    </w:p>
    <w:p w14:paraId="27C0A32F" w14:textId="5AD2C17C" w:rsidR="002C0D70" w:rsidRPr="00F44F16" w:rsidRDefault="002C0D70"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95" w:name="_Toc15644860"/>
      <w:r w:rsidRPr="00F44F16">
        <w:t>Recommendation 1</w:t>
      </w:r>
      <w:bookmarkEnd w:id="95"/>
    </w:p>
    <w:p w14:paraId="22BECAE9" w14:textId="04F1F4A5" w:rsidR="003C7EC0" w:rsidRPr="001B1197" w:rsidRDefault="00140F1D" w:rsidP="008F13EA">
      <w:pPr>
        <w:pBdr>
          <w:top w:val="single" w:sz="4" w:space="1" w:color="auto"/>
          <w:left w:val="single" w:sz="4" w:space="1" w:color="auto"/>
          <w:bottom w:val="single" w:sz="4" w:space="1" w:color="auto"/>
          <w:right w:val="single" w:sz="4" w:space="1" w:color="auto"/>
        </w:pBdr>
        <w:shd w:val="clear" w:color="auto" w:fill="F2F2F2" w:themeFill="background1" w:themeFillShade="F2"/>
      </w:pPr>
      <w:r>
        <w:t>M</w:t>
      </w:r>
      <w:r w:rsidR="0027605E" w:rsidRPr="0027605E">
        <w:t xml:space="preserve">ove to a </w:t>
      </w:r>
      <w:r w:rsidR="00F37221">
        <w:t>person</w:t>
      </w:r>
      <w:r w:rsidR="0027605E" w:rsidRPr="0027605E">
        <w:t xml:space="preserve">-centred primary care model supporting </w:t>
      </w:r>
      <w:r w:rsidR="00FE680C">
        <w:t>gene</w:t>
      </w:r>
      <w:r w:rsidR="00F37221">
        <w:t>ral practitioner (</w:t>
      </w:r>
      <w:r w:rsidR="0027605E" w:rsidRPr="009B0335">
        <w:t>GP</w:t>
      </w:r>
      <w:r w:rsidR="00F37221" w:rsidRPr="00170E79">
        <w:t>)</w:t>
      </w:r>
      <w:r w:rsidR="0027605E" w:rsidRPr="00170E79">
        <w:t xml:space="preserve"> stewardship</w:t>
      </w:r>
      <w:r w:rsidR="00F37221">
        <w:t xml:space="preserve"> and team based care.</w:t>
      </w:r>
    </w:p>
    <w:p w14:paraId="001BADCC" w14:textId="77777777" w:rsidR="00FE680C" w:rsidRPr="009B0335" w:rsidRDefault="00FE680C" w:rsidP="009B0335">
      <w:pPr>
        <w:pStyle w:val="Bullet-green"/>
        <w:numPr>
          <w:ilvl w:val="0"/>
          <w:numId w:val="0"/>
        </w:numPr>
        <w:ind w:left="431"/>
        <w:rPr>
          <w:sz w:val="16"/>
          <w:szCs w:val="16"/>
        </w:rPr>
      </w:pPr>
    </w:p>
    <w:p w14:paraId="477AB85F" w14:textId="38145C0A" w:rsidR="001B1197" w:rsidRPr="001B1197" w:rsidRDefault="001B1197" w:rsidP="001B1197">
      <w:pPr>
        <w:pStyle w:val="Bullet-green"/>
      </w:pPr>
      <w:r w:rsidRPr="001B1197">
        <w:t>Challenges facing the Australian health system include an ageing population with a growing burden of chronic disease, increasing costs of interventions, unexplained variances in care delivery, inequities of access and outcome, missed opportunities for prevention, and a high proportion of avoidable hospital admissions by international standards.</w:t>
      </w:r>
    </w:p>
    <w:p w14:paraId="49FFF6F8" w14:textId="33061228" w:rsidR="001B1197" w:rsidRPr="001B1197" w:rsidRDefault="001B1197" w:rsidP="001B1197">
      <w:pPr>
        <w:pStyle w:val="Bullet-green"/>
      </w:pPr>
      <w:r w:rsidRPr="001B1197">
        <w:t xml:space="preserve">There is strong evidence that high quality, </w:t>
      </w:r>
      <w:r w:rsidR="00F37221">
        <w:t>person</w:t>
      </w:r>
      <w:r w:rsidRPr="001B1197">
        <w:t>-centred primary health care is key to improving effectiveness of care, preventing illness, and reducing inequities, variation and costs. However, there is poor fit between fee-for-service reimbursement and primary health care that provides continuing care for the person rather than episodic treatment for illness; that emphasises prevention and health promotion in addition to disease management; that focuses on outcomes rather than process; and that provides collaborative team based care integrated into the larger health system. (</w:t>
      </w:r>
      <w:r w:rsidRPr="001B1197">
        <w:endnoteReference w:id="1"/>
      </w:r>
      <w:r w:rsidRPr="001B1197">
        <w:t>)(</w:t>
      </w:r>
      <w:r w:rsidRPr="001B1197">
        <w:endnoteReference w:id="2"/>
      </w:r>
      <w:r w:rsidRPr="001B1197">
        <w:t>)</w:t>
      </w:r>
    </w:p>
    <w:p w14:paraId="7BB2557E" w14:textId="176876EC" w:rsidR="001B1197" w:rsidRPr="001B1197" w:rsidRDefault="001B1197" w:rsidP="001B1197">
      <w:pPr>
        <w:pStyle w:val="Bullet-green"/>
      </w:pPr>
      <w:r w:rsidRPr="001B1197">
        <w:t>Noting the above, the findings from the Diabetes Care Project (</w:t>
      </w:r>
      <w:r w:rsidRPr="001B1197">
        <w:endnoteReference w:id="3"/>
      </w:r>
      <w:r w:rsidRPr="001B1197">
        <w:t>), and the recommendations from the Primary Health Care Advisory Group (</w:t>
      </w:r>
      <w:r w:rsidRPr="001B1197">
        <w:endnoteReference w:id="4"/>
      </w:r>
      <w:r w:rsidRPr="001B1197">
        <w:t xml:space="preserve">), the Committee recommends that a new model for primary care funding should be developed to support high-quality, </w:t>
      </w:r>
      <w:r w:rsidR="00F37221">
        <w:t>person</w:t>
      </w:r>
      <w:r w:rsidRPr="001B1197">
        <w:t>-centred primary health care and GP stewardship of the health system</w:t>
      </w:r>
      <w:r w:rsidR="00E80F39">
        <w:t xml:space="preserve"> that is supported by multidisciplinary team based arrangements</w:t>
      </w:r>
      <w:r w:rsidRPr="001B1197">
        <w:t xml:space="preserve">. The Committee defines </w:t>
      </w:r>
      <w:r w:rsidR="00F37221">
        <w:t>person</w:t>
      </w:r>
      <w:r w:rsidRPr="001B1197">
        <w:t>-centred care as “a way of thinking and doing things that sees the people using health … services as equal partners in planning, developing and monitoring care to make sure it meets their needs. This means putting people and their families at the centre of decisions and seeing them as experts, working alongside professionals to get the best outcome." (</w:t>
      </w:r>
      <w:r w:rsidRPr="001B1197">
        <w:endnoteReference w:id="5"/>
      </w:r>
      <w:r w:rsidRPr="001B1197">
        <w:t>)</w:t>
      </w:r>
    </w:p>
    <w:p w14:paraId="0386B4F8" w14:textId="1DA6FD73" w:rsidR="001B1197" w:rsidRPr="001B1197" w:rsidRDefault="00A74B55" w:rsidP="005F454D">
      <w:pPr>
        <w:pStyle w:val="Bullet-green"/>
      </w:pPr>
      <w:r>
        <w:t xml:space="preserve">These strategies to support </w:t>
      </w:r>
      <w:r w:rsidR="00F37221">
        <w:t>person</w:t>
      </w:r>
      <w:r>
        <w:t xml:space="preserve">-centred care are </w:t>
      </w:r>
      <w:r w:rsidR="005F454D">
        <w:t>particularly</w:t>
      </w:r>
      <w:r>
        <w:t xml:space="preserve"> important at the interface between community, GP-care and acute hospital care.</w:t>
      </w:r>
    </w:p>
    <w:p w14:paraId="61D93AAD" w14:textId="4218545A" w:rsidR="001B1197" w:rsidRPr="001B1197" w:rsidRDefault="001B1197" w:rsidP="00573481">
      <w:pPr>
        <w:pStyle w:val="Heading3Numbered"/>
        <w:numPr>
          <w:ilvl w:val="0"/>
          <w:numId w:val="0"/>
        </w:numPr>
        <w:ind w:left="720" w:hanging="720"/>
      </w:pPr>
      <w:bookmarkStart w:id="96" w:name="_Toc15644861"/>
      <w:r w:rsidRPr="001B1197">
        <w:t>Rationale</w:t>
      </w:r>
      <w:r w:rsidR="00140F1D">
        <w:t xml:space="preserve"> 1</w:t>
      </w:r>
      <w:bookmarkEnd w:id="96"/>
      <w:r w:rsidRPr="001B1197">
        <w:t xml:space="preserve"> </w:t>
      </w:r>
    </w:p>
    <w:p w14:paraId="65ACDB9B" w14:textId="3A68C94D" w:rsidR="001B1197" w:rsidRPr="001B1197" w:rsidRDefault="001B1197" w:rsidP="001B1197">
      <w:pPr>
        <w:pStyle w:val="Bullet-green"/>
      </w:pPr>
      <w:r w:rsidRPr="001B1197">
        <w:t xml:space="preserve">Equitable access to high quality, </w:t>
      </w:r>
      <w:r w:rsidR="00F37221">
        <w:t>person</w:t>
      </w:r>
      <w:r w:rsidRPr="001B1197">
        <w:t>-centred health care is a fundamental human right, and an aspiration of the Australian health system.</w:t>
      </w:r>
    </w:p>
    <w:p w14:paraId="3371C491" w14:textId="77777777" w:rsidR="001B1197" w:rsidRPr="001B1197" w:rsidRDefault="001B1197" w:rsidP="001B1197">
      <w:pPr>
        <w:pStyle w:val="Bullet-green"/>
      </w:pPr>
      <w:r w:rsidRPr="001B1197">
        <w:t>To achieve equitable access to high quality health care for all, our health system needs to pursue the four goals of the “quadruple aim”: (</w:t>
      </w:r>
      <w:r w:rsidRPr="001B1197">
        <w:endnoteReference w:id="6"/>
      </w:r>
      <w:r w:rsidRPr="001B1197">
        <w:t>)(</w:t>
      </w:r>
      <w:r w:rsidRPr="001B1197">
        <w:endnoteReference w:id="7"/>
      </w:r>
      <w:r w:rsidRPr="001B1197">
        <w:t>)</w:t>
      </w:r>
    </w:p>
    <w:p w14:paraId="2E8EC0CC" w14:textId="77777777" w:rsidR="001B1197" w:rsidRPr="001B1197" w:rsidRDefault="001B1197" w:rsidP="001B1197">
      <w:pPr>
        <w:pStyle w:val="Bullet2"/>
      </w:pPr>
      <w:r w:rsidRPr="001B1197">
        <w:t>maximi</w:t>
      </w:r>
      <w:r w:rsidR="008137D9">
        <w:t>s</w:t>
      </w:r>
      <w:r w:rsidRPr="001B1197">
        <w:t>ing patient outcomes</w:t>
      </w:r>
    </w:p>
    <w:p w14:paraId="35872EF2" w14:textId="77777777" w:rsidR="001B1197" w:rsidRPr="001B1197" w:rsidRDefault="001B1197" w:rsidP="001B1197">
      <w:pPr>
        <w:pStyle w:val="Bullet2"/>
      </w:pPr>
      <w:r w:rsidRPr="001B1197">
        <w:t>enhancing patient experience</w:t>
      </w:r>
    </w:p>
    <w:p w14:paraId="1E20D5C7" w14:textId="77777777" w:rsidR="001B1197" w:rsidRPr="001B1197" w:rsidRDefault="001B1197" w:rsidP="001B1197">
      <w:pPr>
        <w:pStyle w:val="Bullet2"/>
      </w:pPr>
      <w:r w:rsidRPr="001B1197">
        <w:t>minimizing costs</w:t>
      </w:r>
    </w:p>
    <w:p w14:paraId="6CB6014A" w14:textId="77777777" w:rsidR="001B1197" w:rsidRPr="001B1197" w:rsidRDefault="001B1197" w:rsidP="001B1197">
      <w:pPr>
        <w:pStyle w:val="Bullet2"/>
      </w:pPr>
      <w:r w:rsidRPr="001B1197">
        <w:t>optimizing the experience of health providers</w:t>
      </w:r>
    </w:p>
    <w:p w14:paraId="1D5C7776" w14:textId="77777777" w:rsidR="001B1197" w:rsidRPr="001B1197" w:rsidRDefault="001B1197" w:rsidP="001B1197">
      <w:pPr>
        <w:pStyle w:val="Bullet-green"/>
      </w:pPr>
      <w:r w:rsidRPr="001B1197">
        <w:t>The Committee has identified principles for Australian primary care, based on review of key national and international statements and reports (</w:t>
      </w:r>
      <w:r w:rsidRPr="001B1197">
        <w:endnoteReference w:id="8"/>
      </w:r>
      <w:r w:rsidRPr="001B1197">
        <w:t>)(</w:t>
      </w:r>
      <w:r w:rsidRPr="001B1197">
        <w:endnoteReference w:id="9"/>
      </w:r>
      <w:r w:rsidRPr="001B1197">
        <w:t>)(</w:t>
      </w:r>
      <w:r w:rsidRPr="001B1197">
        <w:endnoteReference w:id="10"/>
      </w:r>
      <w:r w:rsidRPr="001B1197">
        <w:t>)(</w:t>
      </w:r>
      <w:r w:rsidRPr="001B1197">
        <w:endnoteReference w:id="11"/>
      </w:r>
      <w:r w:rsidRPr="001B1197">
        <w:t>)</w:t>
      </w:r>
    </w:p>
    <w:p w14:paraId="37FCFF20" w14:textId="77777777" w:rsidR="00866C55" w:rsidRDefault="00866C55" w:rsidP="001B1197">
      <w:pPr>
        <w:pStyle w:val="FigureCaption"/>
      </w:pPr>
    </w:p>
    <w:p w14:paraId="11EA8D3B" w14:textId="1DED69B5" w:rsidR="00B208C9" w:rsidRDefault="001B1197" w:rsidP="001B1197">
      <w:pPr>
        <w:pStyle w:val="FigureCaption"/>
      </w:pPr>
      <w:r w:rsidRPr="001B1197">
        <w:t> </w:t>
      </w:r>
      <w:bookmarkStart w:id="97" w:name="_Toc15644919"/>
      <w:r w:rsidR="00883C16">
        <w:t>Figure 9</w:t>
      </w:r>
      <w:r w:rsidR="001F390A">
        <w:t>: principles for primary health</w:t>
      </w:r>
      <w:r w:rsidRPr="001B1197">
        <w:t xml:space="preserve"> (</w:t>
      </w:r>
      <w:r w:rsidRPr="001B1197">
        <w:endnoteReference w:id="12"/>
      </w:r>
      <w:r w:rsidRPr="001B1197">
        <w:t>)(</w:t>
      </w:r>
      <w:r w:rsidRPr="001B1197">
        <w:endnoteReference w:id="13"/>
      </w:r>
      <w:r w:rsidRPr="001B1197">
        <w:t>)(</w:t>
      </w:r>
      <w:r w:rsidRPr="001B1197">
        <w:endnoteReference w:id="14"/>
      </w:r>
      <w:r w:rsidRPr="001B1197">
        <w:t>)(</w:t>
      </w:r>
      <w:r w:rsidRPr="001B1197">
        <w:endnoteReference w:id="15"/>
      </w:r>
      <w:r w:rsidRPr="001B1197">
        <w:t>)(</w:t>
      </w:r>
      <w:r w:rsidRPr="001B1197">
        <w:endnoteReference w:id="16"/>
      </w:r>
      <w:r w:rsidRPr="001B1197">
        <w:t>)(</w:t>
      </w:r>
      <w:r w:rsidRPr="001B1197">
        <w:endnoteReference w:id="17"/>
      </w:r>
      <w:r w:rsidRPr="001B1197">
        <w:t>)</w:t>
      </w:r>
      <w:bookmarkEnd w:id="97"/>
    </w:p>
    <w:p w14:paraId="6E38C94D" w14:textId="77777777" w:rsidR="001B1197" w:rsidRPr="001B1197" w:rsidRDefault="001B1197" w:rsidP="00B208C9">
      <w:r w:rsidRPr="001B1197">
        <w:rPr>
          <w:noProof/>
        </w:rPr>
        <w:drawing>
          <wp:inline distT="0" distB="0" distL="0" distR="0" wp14:anchorId="0B682C2F" wp14:editId="3673CC75">
            <wp:extent cx="5072909" cy="3616706"/>
            <wp:effectExtent l="0" t="0" r="0" b="3175"/>
            <wp:docPr id="3" name="Picture 3" descr=" Figure 9: principles for primary health (12)(13)(14)(15)(16)(17)&#10;Tier 1.Column 1: Basic Principles &#10;Tier 2.Colunm 1: Implications&#10;" title=" Figure 9: principles for primary health (12)(13)(14)(15)(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4142" cy="3617585"/>
                    </a:xfrm>
                    <a:prstGeom prst="rect">
                      <a:avLst/>
                    </a:prstGeom>
                  </pic:spPr>
                </pic:pic>
              </a:graphicData>
            </a:graphic>
          </wp:inline>
        </w:drawing>
      </w:r>
    </w:p>
    <w:p w14:paraId="138F8A02" w14:textId="77777777" w:rsidR="001B1197" w:rsidRPr="001B1197" w:rsidRDefault="001B1197" w:rsidP="001B1197">
      <w:pPr>
        <w:pStyle w:val="Bullet-green"/>
        <w:numPr>
          <w:ilvl w:val="0"/>
          <w:numId w:val="0"/>
        </w:numPr>
        <w:ind w:left="431" w:hanging="431"/>
      </w:pPr>
    </w:p>
    <w:p w14:paraId="04AE2C19" w14:textId="60FF692F" w:rsidR="001B1197" w:rsidRPr="00573481" w:rsidRDefault="001B1197" w:rsidP="00573481">
      <w:pPr>
        <w:rPr>
          <w:b/>
          <w:sz w:val="24"/>
        </w:rPr>
      </w:pPr>
      <w:r w:rsidRPr="00573481">
        <w:rPr>
          <w:b/>
          <w:sz w:val="24"/>
        </w:rPr>
        <w:t xml:space="preserve">Elements of an Australian </w:t>
      </w:r>
      <w:r w:rsidR="00F37221" w:rsidRPr="00573481">
        <w:rPr>
          <w:b/>
          <w:sz w:val="24"/>
        </w:rPr>
        <w:t>person</w:t>
      </w:r>
      <w:r w:rsidRPr="00573481">
        <w:rPr>
          <w:b/>
          <w:sz w:val="24"/>
        </w:rPr>
        <w:t>-centred primary care model supporting GP stewardship</w:t>
      </w:r>
      <w:r w:rsidR="00F37221" w:rsidRPr="00573481">
        <w:rPr>
          <w:b/>
          <w:sz w:val="24"/>
        </w:rPr>
        <w:t xml:space="preserve"> and team based care</w:t>
      </w:r>
    </w:p>
    <w:p w14:paraId="28DE657E" w14:textId="41732497" w:rsidR="001B1197" w:rsidRPr="001B1197" w:rsidRDefault="002924F7" w:rsidP="001B1197">
      <w:r>
        <w:t>In</w:t>
      </w:r>
      <w:r w:rsidR="001B1197" w:rsidRPr="001B1197">
        <w:t xml:space="preserve"> Phase 1 of its work the GPPCCC identified strategies to support GP stewardship</w:t>
      </w:r>
      <w:r w:rsidR="00F37221">
        <w:t xml:space="preserve"> and team based care</w:t>
      </w:r>
      <w:r w:rsidR="001B1197" w:rsidRPr="001B1197">
        <w:t xml:space="preserve">. These complement the principles and implications identified in </w:t>
      </w:r>
      <w:r>
        <w:t>Figure 9 above</w:t>
      </w:r>
      <w:r w:rsidR="001B1197" w:rsidRPr="001B1197">
        <w:t xml:space="preserve">, and provide mechanisms for GP stewardship within the context of </w:t>
      </w:r>
      <w:r w:rsidR="00F37221">
        <w:t>person</w:t>
      </w:r>
      <w:r w:rsidR="001B1197" w:rsidRPr="001B1197">
        <w:t>-centred primary care.</w:t>
      </w:r>
    </w:p>
    <w:p w14:paraId="76E86544" w14:textId="794F79A3" w:rsidR="001B1197" w:rsidRPr="001B1197" w:rsidRDefault="001B1197" w:rsidP="001B1197">
      <w:pPr>
        <w:pStyle w:val="FigureCaption"/>
      </w:pPr>
      <w:bookmarkStart w:id="98" w:name="_Toc15644920"/>
      <w:r w:rsidRPr="001B1197">
        <w:t>Figure 1</w:t>
      </w:r>
      <w:r w:rsidR="00883C16">
        <w:t>0</w:t>
      </w:r>
      <w:r w:rsidR="001F390A">
        <w:t xml:space="preserve">: elements of an Australian </w:t>
      </w:r>
      <w:r w:rsidR="00F37221">
        <w:t>person</w:t>
      </w:r>
      <w:r w:rsidR="001F390A">
        <w:t>-centred primary care model supporting GP stewardship</w:t>
      </w:r>
      <w:r w:rsidR="00F37221">
        <w:t xml:space="preserve"> and team based care</w:t>
      </w:r>
      <w:bookmarkEnd w:id="98"/>
    </w:p>
    <w:p w14:paraId="4C81E161" w14:textId="0ACFA739" w:rsidR="001B1197" w:rsidRDefault="001B1197" w:rsidP="001B1197">
      <w:pPr>
        <w:pStyle w:val="Bullet2"/>
        <w:numPr>
          <w:ilvl w:val="0"/>
          <w:numId w:val="0"/>
        </w:numPr>
        <w:rPr>
          <w:rStyle w:val="IntenseEmphasis"/>
        </w:rPr>
      </w:pPr>
      <w:r w:rsidRPr="001B1197">
        <w:rPr>
          <w:noProof/>
          <w:lang w:val="en-AU" w:eastAsia="en-AU"/>
        </w:rPr>
        <w:drawing>
          <wp:inline distT="0" distB="0" distL="0" distR="0" wp14:anchorId="137785FD" wp14:editId="6B5BFA72">
            <wp:extent cx="5278120" cy="3690620"/>
            <wp:effectExtent l="0" t="0" r="0" b="5080"/>
            <wp:docPr id="4" name="Picture 4" descr="Figure 10: elements of an Australian patient-centred primary care model supporting GP stewardship.&#10;" title="Figure 10: elements of an Australian patient-centred primary care model supporting GP stew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3690620"/>
                    </a:xfrm>
                    <a:prstGeom prst="rect">
                      <a:avLst/>
                    </a:prstGeom>
                  </pic:spPr>
                </pic:pic>
              </a:graphicData>
            </a:graphic>
          </wp:inline>
        </w:drawing>
      </w:r>
    </w:p>
    <w:p w14:paraId="5B4EE37D" w14:textId="77777777" w:rsidR="00F348AB" w:rsidRPr="001B1197" w:rsidRDefault="00F348AB" w:rsidP="001B1197">
      <w:pPr>
        <w:pStyle w:val="Bullet2"/>
        <w:numPr>
          <w:ilvl w:val="0"/>
          <w:numId w:val="0"/>
        </w:numPr>
        <w:rPr>
          <w:rStyle w:val="IntenseEmphasis"/>
        </w:rPr>
      </w:pPr>
    </w:p>
    <w:p w14:paraId="5BC24ECB" w14:textId="2C6E492C" w:rsidR="00091FB9" w:rsidRDefault="00091FB9" w:rsidP="00F348AB">
      <w:pPr>
        <w:pStyle w:val="Heading2"/>
        <w:numPr>
          <w:ilvl w:val="0"/>
          <w:numId w:val="0"/>
        </w:numPr>
        <w:ind w:left="-417"/>
      </w:pPr>
      <w:bookmarkStart w:id="99" w:name="_Toc15050487"/>
      <w:bookmarkStart w:id="100" w:name="_Toc15051130"/>
      <w:bookmarkStart w:id="101" w:name="_Toc15051773"/>
      <w:bookmarkStart w:id="102" w:name="_Toc15052415"/>
      <w:bookmarkStart w:id="103" w:name="_Toc15053057"/>
      <w:bookmarkStart w:id="104" w:name="_Toc15053700"/>
      <w:bookmarkStart w:id="105" w:name="_Toc15054346"/>
      <w:bookmarkStart w:id="106" w:name="_Toc15054423"/>
      <w:bookmarkStart w:id="107" w:name="_Toc15644862"/>
      <w:bookmarkEnd w:id="99"/>
      <w:bookmarkEnd w:id="100"/>
      <w:bookmarkEnd w:id="101"/>
      <w:bookmarkEnd w:id="102"/>
      <w:bookmarkEnd w:id="103"/>
      <w:bookmarkEnd w:id="104"/>
      <w:bookmarkEnd w:id="105"/>
      <w:bookmarkEnd w:id="106"/>
      <w:r w:rsidRPr="00091FB9">
        <w:t>Voluntary patient enrolment</w:t>
      </w:r>
      <w:r w:rsidR="00FA1E0D">
        <w:t xml:space="preserve"> – enhancing patient</w:t>
      </w:r>
      <w:r w:rsidR="00FA1E0D" w:rsidRPr="00FA1E0D">
        <w:t xml:space="preserve"> access</w:t>
      </w:r>
      <w:bookmarkEnd w:id="107"/>
    </w:p>
    <w:p w14:paraId="63C37112" w14:textId="659CB580" w:rsidR="002B71AE" w:rsidRDefault="002B71AE" w:rsidP="002B71AE">
      <w:pPr>
        <w:rPr>
          <w:lang w:val="en-US" w:eastAsia="en-US"/>
        </w:rPr>
      </w:pPr>
      <w:r>
        <w:rPr>
          <w:lang w:val="en-US" w:eastAsia="en-US"/>
        </w:rPr>
        <w:t>The Committee supports the implementation of a voluntary p</w:t>
      </w:r>
      <w:r w:rsidRPr="002B71AE">
        <w:rPr>
          <w:lang w:val="en-US" w:eastAsia="en-US"/>
        </w:rPr>
        <w:t xml:space="preserve">atient enrolment </w:t>
      </w:r>
      <w:r>
        <w:rPr>
          <w:lang w:val="en-US" w:eastAsia="en-US"/>
        </w:rPr>
        <w:t xml:space="preserve">model that </w:t>
      </w:r>
      <w:r w:rsidRPr="002B71AE">
        <w:rPr>
          <w:lang w:val="en-US" w:eastAsia="en-US"/>
        </w:rPr>
        <w:t>encourage</w:t>
      </w:r>
      <w:r>
        <w:rPr>
          <w:lang w:val="en-US" w:eastAsia="en-US"/>
        </w:rPr>
        <w:t>s</w:t>
      </w:r>
      <w:r w:rsidRPr="002B71AE">
        <w:rPr>
          <w:lang w:val="en-US" w:eastAsia="en-US"/>
        </w:rPr>
        <w:t xml:space="preserve"> practices to build continuity of care into their business models, ensuring support for longitudinal care and population health, as well as acute, episodic care.</w:t>
      </w:r>
      <w:r w:rsidR="00250172" w:rsidRPr="00250172">
        <w:rPr>
          <w:lang w:val="en-US" w:eastAsia="en-US"/>
        </w:rPr>
        <w:t xml:space="preserve"> </w:t>
      </w:r>
    </w:p>
    <w:p w14:paraId="47EBDFD1" w14:textId="6841BF67" w:rsidR="00250172" w:rsidRDefault="00250172" w:rsidP="009B0335">
      <w:pPr>
        <w:spacing w:before="0"/>
        <w:rPr>
          <w:lang w:val="en-US" w:eastAsia="en-US"/>
        </w:rPr>
      </w:pPr>
    </w:p>
    <w:p w14:paraId="4855B3B6" w14:textId="77777777" w:rsidR="00091FB9" w:rsidRPr="00091FB9" w:rsidRDefault="00091FB9"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08" w:name="_Toc15644863"/>
      <w:r w:rsidRPr="00091FB9">
        <w:t xml:space="preserve">Recommendation </w:t>
      </w:r>
      <w:r w:rsidR="001B1197">
        <w:t>2</w:t>
      </w:r>
      <w:bookmarkEnd w:id="108"/>
    </w:p>
    <w:p w14:paraId="1ADC3186" w14:textId="64CB1F0E" w:rsidR="00091FB9" w:rsidRDefault="00140F1D"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t>I</w:t>
      </w:r>
      <w:r w:rsidR="00FA1E0D">
        <w:t>ntroduc</w:t>
      </w:r>
      <w:r>
        <w:t>e</w:t>
      </w:r>
      <w:r w:rsidR="00FA1E0D">
        <w:t xml:space="preserve"> a </w:t>
      </w:r>
      <w:r w:rsidR="00091FB9" w:rsidRPr="00091FB9">
        <w:t xml:space="preserve">new fee for practices </w:t>
      </w:r>
      <w:r w:rsidR="00736FF4">
        <w:t xml:space="preserve">to </w:t>
      </w:r>
      <w:r w:rsidR="00091FB9" w:rsidRPr="00091FB9">
        <w:t>enro</w:t>
      </w:r>
      <w:r w:rsidR="00C26413">
        <w:t>l</w:t>
      </w:r>
      <w:r w:rsidR="00091FB9" w:rsidRPr="00091FB9">
        <w:t xml:space="preserve"> a </w:t>
      </w:r>
      <w:r w:rsidR="00091FB9" w:rsidRPr="00170E79">
        <w:t>patient.</w:t>
      </w:r>
      <w:r w:rsidR="00091FB9" w:rsidRPr="00091FB9">
        <w:t xml:space="preserve"> </w:t>
      </w:r>
    </w:p>
    <w:p w14:paraId="0C64A472" w14:textId="38F3F16D" w:rsidR="001F390A" w:rsidRPr="00091FB9" w:rsidRDefault="001F390A" w:rsidP="00736FF4">
      <w:pPr>
        <w:pStyle w:val="Bullet-green"/>
      </w:pPr>
      <w:r>
        <w:t xml:space="preserve">The fee should be weighted by </w:t>
      </w:r>
      <w:r w:rsidR="00BC1EE6">
        <w:t xml:space="preserve">relevant </w:t>
      </w:r>
      <w:r>
        <w:t xml:space="preserve">patient characteristics, </w:t>
      </w:r>
      <w:r w:rsidR="00BC1EE6">
        <w:t xml:space="preserve">such as </w:t>
      </w:r>
      <w:r>
        <w:t xml:space="preserve">rurality, </w:t>
      </w:r>
      <w:r w:rsidR="00231889">
        <w:t>Indigeneity</w:t>
      </w:r>
      <w:r>
        <w:t>, risk</w:t>
      </w:r>
      <w:r w:rsidR="00FE7099">
        <w:t>, etc.</w:t>
      </w:r>
    </w:p>
    <w:p w14:paraId="0C0556D3" w14:textId="77777777" w:rsidR="009E2868" w:rsidRPr="009E2868" w:rsidRDefault="00091FB9" w:rsidP="009E2868">
      <w:pPr>
        <w:pStyle w:val="Bullet-green"/>
        <w:rPr>
          <w:rStyle w:val="IntenseEmphasis"/>
        </w:rPr>
      </w:pPr>
      <w:r w:rsidRPr="00091FB9">
        <w:t xml:space="preserve">This fee supports the holistic care that practices and GPs deliver to enrolled patients through flexible access e.g. through non-face-to-face channels, communication of results, and repeat prescriptions or referrals where clinically </w:t>
      </w:r>
      <w:r w:rsidRPr="009E2868">
        <w:t>appropriate.</w:t>
      </w:r>
      <w:r w:rsidR="009E2868" w:rsidRPr="009E2868">
        <w:t xml:space="preserve"> </w:t>
      </w:r>
      <w:r w:rsidR="009E2868" w:rsidRPr="009E2868">
        <w:rPr>
          <w:rStyle w:val="IntenseEmphasis"/>
          <w:b w:val="0"/>
          <w:bCs w:val="0"/>
          <w:i w:val="0"/>
          <w:iCs w:val="0"/>
          <w:color w:val="auto"/>
        </w:rPr>
        <w:t>The mutual obligations on the GP and the practice</w:t>
      </w:r>
      <w:r w:rsidR="00BC1EE6">
        <w:rPr>
          <w:rStyle w:val="IntenseEmphasis"/>
        </w:rPr>
        <w:t xml:space="preserve"> for enrolled patients</w:t>
      </w:r>
      <w:r w:rsidR="009E2868" w:rsidRPr="009E2868">
        <w:rPr>
          <w:rStyle w:val="IntenseEmphasis"/>
          <w:b w:val="0"/>
          <w:bCs w:val="0"/>
          <w:i w:val="0"/>
          <w:iCs w:val="0"/>
          <w:color w:val="auto"/>
        </w:rPr>
        <w:t xml:space="preserve"> should at a minimum include the following:</w:t>
      </w:r>
    </w:p>
    <w:p w14:paraId="43E092FA" w14:textId="77777777" w:rsidR="009E2868" w:rsidRPr="009E2868" w:rsidRDefault="009E2868" w:rsidP="009E2868">
      <w:pPr>
        <w:pStyle w:val="Bullet2"/>
        <w:rPr>
          <w:rStyle w:val="IntenseEmphasis"/>
          <w:b w:val="0"/>
          <w:bCs w:val="0"/>
          <w:i w:val="0"/>
          <w:iCs w:val="0"/>
          <w:color w:val="auto"/>
        </w:rPr>
      </w:pPr>
      <w:r w:rsidRPr="009E2868">
        <w:rPr>
          <w:rStyle w:val="IntenseEmphasis"/>
          <w:b w:val="0"/>
          <w:bCs w:val="0"/>
          <w:i w:val="0"/>
          <w:iCs w:val="0"/>
          <w:color w:val="auto"/>
        </w:rPr>
        <w:t xml:space="preserve">Providing </w:t>
      </w:r>
      <w:r w:rsidR="00BC1EE6">
        <w:rPr>
          <w:rStyle w:val="IntenseEmphasis"/>
        </w:rPr>
        <w:t>non face-to-face access</w:t>
      </w:r>
      <w:r w:rsidRPr="009E2868">
        <w:rPr>
          <w:rStyle w:val="IntenseEmphasis"/>
          <w:b w:val="0"/>
          <w:bCs w:val="0"/>
          <w:i w:val="0"/>
          <w:iCs w:val="0"/>
          <w:color w:val="auto"/>
        </w:rPr>
        <w:t xml:space="preserve"> to enrolled patients</w:t>
      </w:r>
    </w:p>
    <w:p w14:paraId="19734EC0" w14:textId="77777777" w:rsidR="009E2868" w:rsidRPr="009E2868" w:rsidRDefault="009E2868" w:rsidP="009E2868">
      <w:pPr>
        <w:pStyle w:val="Bullet2"/>
        <w:rPr>
          <w:rStyle w:val="IntenseEmphasis"/>
          <w:b w:val="0"/>
          <w:bCs w:val="0"/>
          <w:i w:val="0"/>
          <w:iCs w:val="0"/>
          <w:color w:val="auto"/>
        </w:rPr>
      </w:pPr>
      <w:r w:rsidRPr="009E2868">
        <w:rPr>
          <w:rStyle w:val="IntenseEmphasis"/>
          <w:b w:val="0"/>
          <w:bCs w:val="0"/>
          <w:i w:val="0"/>
          <w:iCs w:val="0"/>
          <w:color w:val="auto"/>
        </w:rPr>
        <w:t xml:space="preserve">Providing </w:t>
      </w:r>
      <w:r w:rsidRPr="002670FA">
        <w:rPr>
          <w:rStyle w:val="IntenseEmphasis"/>
        </w:rPr>
        <w:t>some after hours or emergency services</w:t>
      </w:r>
      <w:r w:rsidRPr="009E2868">
        <w:rPr>
          <w:rStyle w:val="IntenseEmphasis"/>
          <w:b w:val="0"/>
          <w:bCs w:val="0"/>
          <w:i w:val="0"/>
          <w:iCs w:val="0"/>
          <w:color w:val="auto"/>
        </w:rPr>
        <w:t xml:space="preserve"> for enrolled patients</w:t>
      </w:r>
    </w:p>
    <w:p w14:paraId="5FDFE304" w14:textId="5F7344D6" w:rsidR="00FA1E0D" w:rsidRDefault="00FA1E0D" w:rsidP="00091FB9">
      <w:pPr>
        <w:pStyle w:val="Bullet-green"/>
      </w:pPr>
      <w:r w:rsidRPr="00091FB9">
        <w:t>Consumers should be able to</w:t>
      </w:r>
      <w:r>
        <w:t xml:space="preserve"> choose whether to</w:t>
      </w:r>
      <w:r w:rsidRPr="00091FB9">
        <w:t xml:space="preserve"> enrol with a practice, and nominate a GP within that practice, with flexibility so patients can see other providers</w:t>
      </w:r>
      <w:r>
        <w:t xml:space="preserve"> within the practice</w:t>
      </w:r>
      <w:r w:rsidRPr="00091FB9">
        <w:t>.</w:t>
      </w:r>
      <w:r w:rsidR="00736FF4">
        <w:t xml:space="preserve">  </w:t>
      </w:r>
      <w:r w:rsidR="00250172">
        <w:t xml:space="preserve">The model would also need to maintain enrolled patient access to services outside of their nominated practice, such as where patients require urgent or emergency services or may be travelling.  </w:t>
      </w:r>
    </w:p>
    <w:p w14:paraId="6EB0BBF3" w14:textId="0B65EA73" w:rsidR="00091FB9" w:rsidRPr="00091FB9" w:rsidRDefault="00091FB9" w:rsidP="00091FB9">
      <w:pPr>
        <w:pStyle w:val="Bullet-green"/>
      </w:pPr>
      <w:r w:rsidRPr="00091FB9">
        <w:t>The Committee recommends that the Government engage with consumers (potentially through focus groups) to develop a clear outline of the patient's role in enrolment, and to develop appropriate language around formalising the relationship between the doctor and patient, noting the importance of informed patient consent.</w:t>
      </w:r>
    </w:p>
    <w:p w14:paraId="0D2738D0" w14:textId="5437C994" w:rsidR="00091FB9" w:rsidRPr="00091FB9" w:rsidRDefault="00091FB9" w:rsidP="00091FB9">
      <w:pPr>
        <w:pStyle w:val="Bullet-green"/>
      </w:pPr>
      <w:r w:rsidRPr="00091FB9">
        <w:t xml:space="preserve">This fee also supports </w:t>
      </w:r>
      <w:r w:rsidR="00140F1D">
        <w:t>R</w:t>
      </w:r>
      <w:r w:rsidR="00C95C95">
        <w:t>ecommendation 1, including</w:t>
      </w:r>
      <w:r w:rsidRPr="00091FB9">
        <w:t xml:space="preserve"> the need to better align the reimbursement model with the requirements of high quality, </w:t>
      </w:r>
      <w:r w:rsidR="00E80F39">
        <w:t>person-</w:t>
      </w:r>
      <w:r w:rsidRPr="00091FB9">
        <w:t>centred primary health care, GP stewardship of the health system, and continuous quality improvement.</w:t>
      </w:r>
    </w:p>
    <w:p w14:paraId="34BB4DD1" w14:textId="0D3F6ACE" w:rsidR="00091FB9" w:rsidRPr="00091FB9" w:rsidRDefault="00710A7B" w:rsidP="00091FB9">
      <w:pPr>
        <w:pStyle w:val="Bullet-green"/>
      </w:pPr>
      <w:r>
        <w:t xml:space="preserve">For enrolled patients, </w:t>
      </w:r>
      <w:r w:rsidR="00091FB9" w:rsidRPr="00091FB9">
        <w:t>Chronic Disease Management and Health Assessment items should be restricted to those practices where a patient is enrolled.</w:t>
      </w:r>
      <w:r>
        <w:t xml:space="preserve"> For patients who are not enrolled, these items can</w:t>
      </w:r>
      <w:r w:rsidR="002670FA">
        <w:t xml:space="preserve"> continue to</w:t>
      </w:r>
      <w:r>
        <w:t xml:space="preserve"> be claimed by the patient's usual GP</w:t>
      </w:r>
      <w:r w:rsidR="002670FA">
        <w:t>.</w:t>
      </w:r>
    </w:p>
    <w:p w14:paraId="10A524FE" w14:textId="77777777" w:rsidR="00091FB9" w:rsidRDefault="00091FB9" w:rsidP="00091FB9">
      <w:pPr>
        <w:pStyle w:val="Bullet-green"/>
      </w:pPr>
      <w:r w:rsidRPr="00091FB9">
        <w:t>The nominated GP should be responsible for maintaining the patient's My Health Record, where the patient has not opted-out.</w:t>
      </w:r>
    </w:p>
    <w:p w14:paraId="2A88E47D" w14:textId="77777777" w:rsidR="00CA35C6" w:rsidRDefault="00CA35C6" w:rsidP="00091FB9">
      <w:pPr>
        <w:pStyle w:val="Bullet-green"/>
      </w:pPr>
      <w:r>
        <w:t xml:space="preserve">There </w:t>
      </w:r>
      <w:r w:rsidR="00D53A01">
        <w:t>Committee recommends that there is</w:t>
      </w:r>
      <w:r>
        <w:t xml:space="preserve"> broad consultation with consumers and health professionals</w:t>
      </w:r>
      <w:r w:rsidR="00D53A01">
        <w:t xml:space="preserve"> on all recommendations, noting the potentially wide-ranging impact of this specific recommendation.</w:t>
      </w:r>
    </w:p>
    <w:p w14:paraId="60B25C6F" w14:textId="11E5FF02" w:rsidR="009E2868" w:rsidRPr="00091FB9" w:rsidRDefault="009E2868" w:rsidP="009E2868">
      <w:pPr>
        <w:pStyle w:val="Bullet-green"/>
      </w:pPr>
      <w:r>
        <w:rPr>
          <w:rFonts w:eastAsiaTheme="minorEastAsia"/>
        </w:rPr>
        <w:t>The Committee notes the unique issues with enrolment which may be faced by patients in rural and remote areas, and for mobile populations, and recommends that appropriate flexibility should be built into the model to address these challenges</w:t>
      </w:r>
      <w:r w:rsidR="002670FA">
        <w:rPr>
          <w:rFonts w:eastAsiaTheme="minorEastAsia"/>
        </w:rPr>
        <w:t>.</w:t>
      </w:r>
    </w:p>
    <w:p w14:paraId="3591040A" w14:textId="30906E6F" w:rsidR="00091FB9" w:rsidRPr="00091FB9" w:rsidRDefault="00091FB9" w:rsidP="00F44F16">
      <w:pPr>
        <w:pStyle w:val="Heading3Numbered"/>
        <w:numPr>
          <w:ilvl w:val="0"/>
          <w:numId w:val="0"/>
        </w:numPr>
        <w:ind w:left="720" w:hanging="720"/>
      </w:pPr>
      <w:bookmarkStart w:id="109" w:name="_Toc15644864"/>
      <w:r w:rsidRPr="00091FB9">
        <w:t>Rationale</w:t>
      </w:r>
      <w:r w:rsidR="00681093">
        <w:t xml:space="preserve"> 2</w:t>
      </w:r>
      <w:bookmarkEnd w:id="109"/>
    </w:p>
    <w:p w14:paraId="1754B4D3" w14:textId="170E5D12" w:rsidR="00091FB9" w:rsidRPr="00091FB9" w:rsidRDefault="00091FB9" w:rsidP="00091FB9">
      <w:pPr>
        <w:pStyle w:val="Bullet-green"/>
      </w:pPr>
      <w:r w:rsidRPr="00091FB9">
        <w:t xml:space="preserve">Evidence indicates that having a </w:t>
      </w:r>
      <w:r w:rsidR="00A21C16">
        <w:t>regular</w:t>
      </w:r>
      <w:r w:rsidRPr="00091FB9">
        <w:t xml:space="preserve"> GP is beneficial for patient outcomes (</w:t>
      </w:r>
      <w:r w:rsidRPr="00091FB9">
        <w:endnoteReference w:id="18"/>
      </w:r>
      <w:r w:rsidRPr="00091FB9">
        <w:t>), patient experience and value for the system (</w:t>
      </w:r>
      <w:r w:rsidRPr="00091FB9">
        <w:endnoteReference w:id="19"/>
      </w:r>
      <w:r w:rsidRPr="00091FB9">
        <w:t>)(</w:t>
      </w:r>
      <w:r w:rsidRPr="00091FB9">
        <w:endnoteReference w:id="20"/>
      </w:r>
      <w:r w:rsidRPr="00091FB9">
        <w:t>)(</w:t>
      </w:r>
      <w:r w:rsidRPr="00091FB9">
        <w:endnoteReference w:id="21"/>
      </w:r>
      <w:r w:rsidRPr="00091FB9">
        <w:t>)(</w:t>
      </w:r>
      <w:r w:rsidRPr="00091FB9">
        <w:endnoteReference w:id="22"/>
      </w:r>
      <w:r w:rsidRPr="00091FB9">
        <w:t>)(</w:t>
      </w:r>
      <w:r w:rsidRPr="00091FB9">
        <w:endnoteReference w:id="23"/>
      </w:r>
      <w:r w:rsidRPr="00091FB9">
        <w:t>)</w:t>
      </w:r>
      <w:r w:rsidR="002670FA">
        <w:t>.</w:t>
      </w:r>
    </w:p>
    <w:p w14:paraId="27A9B72E" w14:textId="77777777" w:rsidR="00091FB9" w:rsidRPr="00091FB9" w:rsidRDefault="00091FB9" w:rsidP="00F3235D">
      <w:pPr>
        <w:pStyle w:val="Bullet-green"/>
      </w:pPr>
      <w:r w:rsidRPr="00091FB9">
        <w:t>Patient enrolment will encourage practices to build continuity of care into their business models</w:t>
      </w:r>
      <w:r w:rsidR="00D611D0">
        <w:t>,</w:t>
      </w:r>
      <w:r w:rsidR="00F3235D">
        <w:t xml:space="preserve"> ensuring support</w:t>
      </w:r>
      <w:r w:rsidR="00F3235D" w:rsidRPr="00F3235D">
        <w:rPr>
          <w:rFonts w:eastAsiaTheme="minorEastAsia"/>
          <w:lang w:val="en-US"/>
        </w:rPr>
        <w:t xml:space="preserve"> for longitudinal care and population health</w:t>
      </w:r>
      <w:r w:rsidR="00F3235D">
        <w:t xml:space="preserve"> </w:t>
      </w:r>
      <w:r w:rsidR="00D611D0">
        <w:t>as well as acute, episodic care.</w:t>
      </w:r>
    </w:p>
    <w:p w14:paraId="34E51FDA" w14:textId="77777777" w:rsidR="00C54C3A" w:rsidRPr="00C54C3A" w:rsidRDefault="00C54C3A" w:rsidP="00C54C3A">
      <w:pPr>
        <w:pStyle w:val="Bullet-green"/>
      </w:pPr>
      <w:r w:rsidRPr="00C54C3A">
        <w:rPr>
          <w:rFonts w:eastAsiaTheme="minorEastAsia"/>
          <w:lang w:val="en-US"/>
        </w:rPr>
        <w:t>GPs and practices will be remunerated for consultation through multiple channels, facilitating digitally enabled care where appropriate</w:t>
      </w:r>
    </w:p>
    <w:p w14:paraId="5503B441" w14:textId="77777777" w:rsidR="00307DD0" w:rsidRPr="00C54C3A" w:rsidRDefault="00C54C3A" w:rsidP="00307DD0">
      <w:pPr>
        <w:pStyle w:val="Bullet-green"/>
      </w:pPr>
      <w:r w:rsidRPr="00C54C3A">
        <w:rPr>
          <w:rFonts w:eastAsiaTheme="minorEastAsia"/>
          <w:lang w:val="en-US"/>
        </w:rPr>
        <w:t>Stronger connection between patient and the GP-led practice team can assist patients to navigate the health system</w:t>
      </w:r>
      <w:r w:rsidR="00307DD0">
        <w:rPr>
          <w:rFonts w:eastAsiaTheme="minorEastAsia"/>
        </w:rPr>
        <w:t>, and can ensure more seamless communication between primary and hospital care.</w:t>
      </w:r>
    </w:p>
    <w:p w14:paraId="0A26F516" w14:textId="67A3B025" w:rsidR="00C178C8" w:rsidRPr="00C178C8" w:rsidRDefault="002C63F4" w:rsidP="00C178C8">
      <w:pPr>
        <w:pStyle w:val="Bullet-green"/>
      </w:pPr>
      <w:r>
        <w:rPr>
          <w:rFonts w:eastAsiaTheme="minorEastAsia"/>
        </w:rPr>
        <w:t xml:space="preserve">Enrolment will lead to stronger GP stewardship, with </w:t>
      </w:r>
      <w:r w:rsidRPr="002C63F4">
        <w:rPr>
          <w:rFonts w:eastAsiaTheme="minorEastAsia"/>
          <w:lang w:val="en-US"/>
        </w:rPr>
        <w:t xml:space="preserve">GPs supported to drive data-driven improvements in quality of care, and in referral and prescribing practices </w:t>
      </w:r>
      <w:r w:rsidR="00BC1EE6">
        <w:rPr>
          <w:rFonts w:eastAsiaTheme="minorEastAsia"/>
        </w:rPr>
        <w:t>leading to</w:t>
      </w:r>
      <w:r>
        <w:rPr>
          <w:rFonts w:eastAsiaTheme="minorEastAsia"/>
        </w:rPr>
        <w:t xml:space="preserve"> p</w:t>
      </w:r>
      <w:r w:rsidR="00C178C8" w:rsidRPr="00C178C8">
        <w:rPr>
          <w:rFonts w:eastAsiaTheme="minorEastAsia"/>
          <w:lang w:val="en-US"/>
        </w:rPr>
        <w:t>otential downstream savings from preventable hospitalisations</w:t>
      </w:r>
      <w:r w:rsidR="002670FA">
        <w:rPr>
          <w:rFonts w:eastAsiaTheme="minorEastAsia"/>
          <w:lang w:val="en-US"/>
        </w:rPr>
        <w:t>.</w:t>
      </w:r>
    </w:p>
    <w:p w14:paraId="13950DCF" w14:textId="77777777" w:rsidR="00FE7099" w:rsidRDefault="002961BB" w:rsidP="00091FB9">
      <w:pPr>
        <w:pStyle w:val="Bullet-green"/>
      </w:pPr>
      <w:r>
        <w:t>Weighting of the payment is necessary because there are various factors which will change the likely cost of caring for a patient holistically over a period of time, e.g. f</w:t>
      </w:r>
      <w:r w:rsidR="00FE7099" w:rsidRPr="00FE7099">
        <w:t xml:space="preserve">lexible-access </w:t>
      </w:r>
      <w:r w:rsidR="00231889">
        <w:t>needs</w:t>
      </w:r>
      <w:r w:rsidR="00231889" w:rsidRPr="00FE7099">
        <w:t xml:space="preserve"> </w:t>
      </w:r>
      <w:r w:rsidR="00FE7099" w:rsidRPr="00FE7099">
        <w:t>are likely t</w:t>
      </w:r>
      <w:r w:rsidR="00CA0078">
        <w:t>o be higher for rural practices.</w:t>
      </w:r>
    </w:p>
    <w:p w14:paraId="583F763F" w14:textId="5CA134FB" w:rsidR="00091FB9" w:rsidRDefault="002961BB" w:rsidP="00091FB9">
      <w:pPr>
        <w:pStyle w:val="Bullet-green"/>
      </w:pPr>
      <w:r>
        <w:t xml:space="preserve">This will not require a major change to existing patient behaviour. </w:t>
      </w:r>
      <w:r w:rsidR="00091FB9" w:rsidRPr="00091FB9">
        <w:t>A survey in 2012 reported that 92% of Australians always attend the same practice, however many see multiple GPs within that practice (</w:t>
      </w:r>
      <w:r w:rsidR="00091FB9" w:rsidRPr="00091FB9">
        <w:endnoteReference w:id="24"/>
      </w:r>
      <w:r w:rsidR="00091FB9" w:rsidRPr="00091FB9">
        <w:t>). A similar survey (</w:t>
      </w:r>
      <w:r w:rsidR="00091FB9" w:rsidRPr="00091FB9">
        <w:endnoteReference w:id="25"/>
      </w:r>
      <w:r w:rsidR="00091FB9" w:rsidRPr="00091FB9">
        <w:t xml:space="preserve">), in 2013, reported over one-quarter of the sample had attended more than one practice in the previous year. Multiple practice attendance was less common with increasing age, and less likely for survey respondents from regional Australia, compared with respondents from metropolitan areas. </w:t>
      </w:r>
    </w:p>
    <w:p w14:paraId="2F7A6464" w14:textId="77777777" w:rsidR="000A3722" w:rsidRPr="00091FB9" w:rsidRDefault="000A3722" w:rsidP="009B0335">
      <w:pPr>
        <w:pStyle w:val="Bullet-green"/>
        <w:numPr>
          <w:ilvl w:val="0"/>
          <w:numId w:val="0"/>
        </w:numPr>
        <w:ind w:left="431"/>
      </w:pPr>
    </w:p>
    <w:p w14:paraId="15A823A2" w14:textId="77777777" w:rsidR="00091FB9" w:rsidRPr="00091FB9" w:rsidRDefault="00091FB9"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10" w:name="_Toc15644865"/>
      <w:r w:rsidRPr="00091FB9">
        <w:t xml:space="preserve">Recommendation </w:t>
      </w:r>
      <w:r w:rsidR="001B1197">
        <w:t>3</w:t>
      </w:r>
      <w:bookmarkEnd w:id="110"/>
    </w:p>
    <w:p w14:paraId="0C40517F" w14:textId="75387A0C" w:rsidR="00FA1E0D" w:rsidRDefault="00E231E2"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rPr>
          <w:rStyle w:val="IntenseEmphasis"/>
          <w:rFonts w:eastAsiaTheme="minorHAnsi" w:cs="Arial"/>
          <w:b w:val="0"/>
          <w:bCs w:val="0"/>
          <w:i w:val="0"/>
          <w:iCs w:val="0"/>
          <w:color w:val="auto"/>
          <w:sz w:val="24"/>
          <w:szCs w:val="26"/>
          <w:lang w:val="en-US" w:eastAsia="en-US"/>
        </w:rPr>
      </w:pPr>
      <w:r w:rsidRPr="00E231E2">
        <w:rPr>
          <w:rStyle w:val="IntenseEmphasis"/>
          <w:b w:val="0"/>
          <w:bCs w:val="0"/>
          <w:i w:val="0"/>
          <w:iCs w:val="0"/>
          <w:color w:val="auto"/>
        </w:rPr>
        <w:t>Introduce flexible access to primary care services for enrolled patients</w:t>
      </w:r>
      <w:r w:rsidR="00FA1E0D">
        <w:rPr>
          <w:rStyle w:val="IntenseEmphasis"/>
          <w:b w:val="0"/>
          <w:bCs w:val="0"/>
          <w:i w:val="0"/>
          <w:iCs w:val="0"/>
          <w:color w:val="auto"/>
        </w:rPr>
        <w:t>.</w:t>
      </w:r>
    </w:p>
    <w:p w14:paraId="6E6BC209" w14:textId="4C1F5036" w:rsidR="00091FB9" w:rsidRPr="00091FB9" w:rsidRDefault="00091FB9" w:rsidP="00091FB9">
      <w:pPr>
        <w:pStyle w:val="Bullet-green"/>
      </w:pPr>
      <w:r w:rsidRPr="00091FB9">
        <w:t xml:space="preserve">The Committee recognises that many members of the community including </w:t>
      </w:r>
      <w:r w:rsidR="00A57DD0">
        <w:t>those living with disability and/or</w:t>
      </w:r>
      <w:r w:rsidRPr="00091FB9">
        <w:t xml:space="preserve"> with transport issues</w:t>
      </w:r>
      <w:r w:rsidR="00A57DD0">
        <w:t>,</w:t>
      </w:r>
      <w:r w:rsidRPr="00091FB9">
        <w:t xml:space="preserve"> and people living in rural and remote communities</w:t>
      </w:r>
      <w:r w:rsidR="00A57DD0">
        <w:t>,</w:t>
      </w:r>
      <w:r w:rsidRPr="00091FB9">
        <w:t xml:space="preserve"> face challenges in attending general practices. This recommendation focuses</w:t>
      </w:r>
      <w:r w:rsidR="00BC1EE6">
        <w:t xml:space="preserve"> on</w:t>
      </w:r>
      <w:r w:rsidRPr="00091FB9">
        <w:t xml:space="preserve"> increasing access to care. </w:t>
      </w:r>
    </w:p>
    <w:p w14:paraId="74C22B54" w14:textId="77777777" w:rsidR="00681093" w:rsidRDefault="00681093">
      <w:pPr>
        <w:spacing w:before="0" w:after="0" w:line="240" w:lineRule="auto"/>
        <w:rPr>
          <w:rStyle w:val="IntenseEmphasis"/>
          <w:b w:val="0"/>
          <w:bCs w:val="0"/>
          <w:i w:val="0"/>
          <w:iCs w:val="0"/>
          <w:color w:val="auto"/>
        </w:rPr>
      </w:pPr>
      <w:bookmarkStart w:id="111" w:name="_Hlk520468927"/>
      <w:r>
        <w:rPr>
          <w:rStyle w:val="IntenseEmphasis"/>
          <w:b w:val="0"/>
          <w:bCs w:val="0"/>
          <w:i w:val="0"/>
          <w:iCs w:val="0"/>
          <w:color w:val="auto"/>
        </w:rPr>
        <w:br w:type="page"/>
      </w:r>
    </w:p>
    <w:p w14:paraId="36FFB859" w14:textId="2FE95431" w:rsidR="000E247C" w:rsidRPr="00D86D43" w:rsidRDefault="00D86D43" w:rsidP="008A43F9">
      <w:pPr>
        <w:pStyle w:val="Bullet-green"/>
        <w:rPr>
          <w:rStyle w:val="IntenseEmphasis"/>
          <w:b w:val="0"/>
          <w:bCs w:val="0"/>
          <w:i w:val="0"/>
          <w:iCs w:val="0"/>
          <w:color w:val="auto"/>
        </w:rPr>
      </w:pPr>
      <w:r>
        <w:rPr>
          <w:rStyle w:val="IntenseEmphasis"/>
          <w:b w:val="0"/>
          <w:bCs w:val="0"/>
          <w:i w:val="0"/>
          <w:iCs w:val="0"/>
          <w:color w:val="auto"/>
        </w:rPr>
        <w:t xml:space="preserve">The </w:t>
      </w:r>
      <w:r w:rsidRPr="008A43F9">
        <w:rPr>
          <w:rStyle w:val="IntenseEmphasis"/>
          <w:b w:val="0"/>
          <w:bCs w:val="0"/>
          <w:i w:val="0"/>
          <w:iCs w:val="0"/>
          <w:color w:val="auto"/>
        </w:rPr>
        <w:t>mutual obligations on the GP and the practice</w:t>
      </w:r>
      <w:r w:rsidR="00BC1EE6" w:rsidRPr="008A43F9">
        <w:rPr>
          <w:rStyle w:val="IntenseEmphasis"/>
          <w:b w:val="0"/>
          <w:bCs w:val="0"/>
          <w:i w:val="0"/>
          <w:iCs w:val="0"/>
          <w:color w:val="auto"/>
        </w:rPr>
        <w:t xml:space="preserve"> for enrolled patients</w:t>
      </w:r>
      <w:r w:rsidRPr="008A43F9">
        <w:rPr>
          <w:rStyle w:val="IntenseEmphasis"/>
          <w:b w:val="0"/>
          <w:bCs w:val="0"/>
          <w:i w:val="0"/>
          <w:iCs w:val="0"/>
          <w:color w:val="auto"/>
        </w:rPr>
        <w:t xml:space="preserve"> should at a minimum include the following:</w:t>
      </w:r>
    </w:p>
    <w:p w14:paraId="0B500986" w14:textId="77777777" w:rsidR="00D86D43" w:rsidRPr="008A43F9" w:rsidRDefault="00D86D43" w:rsidP="008A43F9">
      <w:pPr>
        <w:pStyle w:val="Bullet2"/>
        <w:rPr>
          <w:rStyle w:val="IntenseEmphasis"/>
          <w:b w:val="0"/>
          <w:bCs w:val="0"/>
          <w:i w:val="0"/>
          <w:iCs w:val="0"/>
          <w:color w:val="auto"/>
        </w:rPr>
      </w:pPr>
      <w:r w:rsidRPr="008A43F9">
        <w:rPr>
          <w:rStyle w:val="IntenseEmphasis"/>
          <w:b w:val="0"/>
          <w:bCs w:val="0"/>
          <w:i w:val="0"/>
          <w:iCs w:val="0"/>
          <w:color w:val="auto"/>
        </w:rPr>
        <w:t xml:space="preserve">Providing </w:t>
      </w:r>
      <w:r w:rsidR="00BC1EE6" w:rsidRPr="008A43F9">
        <w:rPr>
          <w:rStyle w:val="IntenseEmphasis"/>
          <w:b w:val="0"/>
          <w:bCs w:val="0"/>
          <w:i w:val="0"/>
          <w:iCs w:val="0"/>
          <w:color w:val="auto"/>
        </w:rPr>
        <w:t>non-face-to-face access</w:t>
      </w:r>
      <w:r w:rsidR="009E2868" w:rsidRPr="008A43F9">
        <w:rPr>
          <w:rStyle w:val="IntenseEmphasis"/>
          <w:b w:val="0"/>
          <w:bCs w:val="0"/>
          <w:i w:val="0"/>
          <w:iCs w:val="0"/>
          <w:color w:val="auto"/>
        </w:rPr>
        <w:t xml:space="preserve"> </w:t>
      </w:r>
      <w:r w:rsidRPr="008A43F9">
        <w:rPr>
          <w:rStyle w:val="IntenseEmphasis"/>
          <w:b w:val="0"/>
          <w:bCs w:val="0"/>
          <w:i w:val="0"/>
          <w:iCs w:val="0"/>
          <w:color w:val="auto"/>
        </w:rPr>
        <w:t>to enrolled patients</w:t>
      </w:r>
    </w:p>
    <w:p w14:paraId="188A0F55" w14:textId="77777777" w:rsidR="00D86D43" w:rsidRPr="00D86D43" w:rsidRDefault="00D86D43" w:rsidP="00D86D43">
      <w:pPr>
        <w:pStyle w:val="Bullet2"/>
        <w:rPr>
          <w:rStyle w:val="IntenseEmphasis"/>
          <w:b w:val="0"/>
          <w:bCs w:val="0"/>
          <w:i w:val="0"/>
          <w:iCs w:val="0"/>
          <w:color w:val="auto"/>
        </w:rPr>
      </w:pPr>
      <w:r w:rsidRPr="00D86D43">
        <w:rPr>
          <w:rStyle w:val="IntenseEmphasis"/>
          <w:b w:val="0"/>
          <w:bCs w:val="0"/>
          <w:i w:val="0"/>
          <w:iCs w:val="0"/>
          <w:color w:val="auto"/>
        </w:rPr>
        <w:t>Providing some after hours or emergency services for enrolled patients</w:t>
      </w:r>
    </w:p>
    <w:p w14:paraId="037AE575" w14:textId="77777777" w:rsidR="00091FB9" w:rsidRDefault="000E247C" w:rsidP="00445DC3">
      <w:pPr>
        <w:pStyle w:val="Bullet-green"/>
      </w:pPr>
      <w:r w:rsidRPr="00C075C2">
        <w:rPr>
          <w:rStyle w:val="IntenseEmphasis"/>
          <w:b w:val="0"/>
          <w:bCs w:val="0"/>
          <w:i w:val="0"/>
          <w:iCs w:val="0"/>
          <w:color w:val="auto"/>
        </w:rPr>
        <w:t>If the recommendation on voluntary patient enrolment is not supported, the Committee recommends that flexible access including non-face-to-face access (e.g. telephone, email</w:t>
      </w:r>
      <w:r w:rsidR="00ED756E" w:rsidRPr="00C075C2">
        <w:rPr>
          <w:rStyle w:val="IntenseEmphasis"/>
          <w:b w:val="0"/>
          <w:bCs w:val="0"/>
          <w:i w:val="0"/>
          <w:iCs w:val="0"/>
          <w:color w:val="auto"/>
        </w:rPr>
        <w:t xml:space="preserve">, videoconsulting, </w:t>
      </w:r>
      <w:r w:rsidR="00231889" w:rsidRPr="00445DC3">
        <w:rPr>
          <w:rStyle w:val="IntenseEmphasis"/>
          <w:b w:val="0"/>
          <w:bCs w:val="0"/>
          <w:i w:val="0"/>
          <w:iCs w:val="0"/>
          <w:color w:val="auto"/>
        </w:rPr>
        <w:t xml:space="preserve">telehealth, </w:t>
      </w:r>
      <w:r w:rsidR="00ED756E" w:rsidRPr="00445DC3">
        <w:rPr>
          <w:rStyle w:val="IntenseEmphasis"/>
          <w:b w:val="0"/>
          <w:bCs w:val="0"/>
          <w:i w:val="0"/>
          <w:iCs w:val="0"/>
          <w:color w:val="auto"/>
        </w:rPr>
        <w:t>etc</w:t>
      </w:r>
      <w:r w:rsidRPr="00445DC3">
        <w:rPr>
          <w:rStyle w:val="IntenseEmphasis"/>
          <w:b w:val="0"/>
          <w:bCs w:val="0"/>
          <w:i w:val="0"/>
          <w:iCs w:val="0"/>
          <w:color w:val="auto"/>
        </w:rPr>
        <w:t>)</w:t>
      </w:r>
      <w:r w:rsidR="00BC1EE6">
        <w:rPr>
          <w:rStyle w:val="IntenseEmphasis"/>
        </w:rPr>
        <w:t xml:space="preserve"> </w:t>
      </w:r>
      <w:r w:rsidR="00BC1EE6" w:rsidRPr="006B69A6">
        <w:t>for consumers facing difficulties in accessing face-to-face consultations (e</w:t>
      </w:r>
      <w:r w:rsidR="008A43F9">
        <w:t>.</w:t>
      </w:r>
      <w:r w:rsidR="00BC1EE6" w:rsidRPr="006B69A6">
        <w:t>g</w:t>
      </w:r>
      <w:r w:rsidR="008A43F9">
        <w:t>.</w:t>
      </w:r>
      <w:r w:rsidR="00BC1EE6" w:rsidRPr="006B69A6">
        <w:t xml:space="preserve"> remote, rural, disabled)</w:t>
      </w:r>
      <w:r w:rsidRPr="00445DC3">
        <w:rPr>
          <w:rStyle w:val="IntenseEmphasis"/>
          <w:b w:val="0"/>
          <w:bCs w:val="0"/>
          <w:i w:val="0"/>
          <w:iCs w:val="0"/>
          <w:color w:val="auto"/>
        </w:rPr>
        <w:t xml:space="preserve"> be </w:t>
      </w:r>
      <w:bookmarkEnd w:id="111"/>
      <w:r w:rsidR="00445DC3" w:rsidRPr="00445DC3">
        <w:rPr>
          <w:rStyle w:val="IntenseEmphasis"/>
          <w:b w:val="0"/>
          <w:bCs w:val="0"/>
          <w:i w:val="0"/>
          <w:iCs w:val="0"/>
          <w:color w:val="auto"/>
        </w:rPr>
        <w:t>made available as soon as possible through other means, including new MBS items.</w:t>
      </w:r>
      <w:r w:rsidR="004B012E">
        <w:t xml:space="preserve"> </w:t>
      </w:r>
    </w:p>
    <w:p w14:paraId="1CC1681D" w14:textId="2C4E52C2" w:rsidR="00091FB9" w:rsidRPr="00091FB9" w:rsidRDefault="00C851BF" w:rsidP="00F44F16">
      <w:pPr>
        <w:pStyle w:val="Heading3Numbered"/>
        <w:numPr>
          <w:ilvl w:val="0"/>
          <w:numId w:val="0"/>
        </w:numPr>
        <w:ind w:left="720" w:hanging="720"/>
      </w:pPr>
      <w:bookmarkStart w:id="112" w:name="_Toc15644866"/>
      <w:r>
        <w:t>Rationale</w:t>
      </w:r>
      <w:r w:rsidR="00681093">
        <w:t xml:space="preserve"> 3</w:t>
      </w:r>
      <w:bookmarkEnd w:id="112"/>
    </w:p>
    <w:p w14:paraId="42C3D343" w14:textId="77777777" w:rsidR="00091FB9" w:rsidRPr="00091FB9" w:rsidRDefault="00091FB9" w:rsidP="00091FB9">
      <w:r w:rsidRPr="00091FB9">
        <w:t>This recommendation focuses increasing access to care. It is based on the following.</w:t>
      </w:r>
    </w:p>
    <w:p w14:paraId="6D8C8A0D" w14:textId="77777777" w:rsidR="00091FB9" w:rsidRPr="00091FB9" w:rsidRDefault="00091FB9" w:rsidP="00091FB9">
      <w:pPr>
        <w:pStyle w:val="Bullet-green"/>
      </w:pPr>
      <w:r w:rsidRPr="00091FB9">
        <w:rPr>
          <w:rFonts w:eastAsiaTheme="minorEastAsia"/>
        </w:rPr>
        <w:t>The evidence demonstrates high patient satisfaction and consumer su</w:t>
      </w:r>
      <w:r w:rsidR="002121BE">
        <w:rPr>
          <w:rFonts w:eastAsiaTheme="minorEastAsia"/>
        </w:rPr>
        <w:t>pport for non-face-to-face care</w:t>
      </w:r>
      <w:r w:rsidR="007F7D0D">
        <w:rPr>
          <w:rFonts w:eastAsiaTheme="minorEastAsia"/>
        </w:rPr>
        <w:t xml:space="preserve"> </w:t>
      </w:r>
      <w:r w:rsidR="003078EA">
        <w:rPr>
          <w:rFonts w:eastAsiaTheme="minorEastAsia"/>
        </w:rPr>
        <w:t>(</w:t>
      </w:r>
      <w:r w:rsidR="002121BE">
        <w:rPr>
          <w:rFonts w:eastAsiaTheme="minorEastAsia"/>
        </w:rPr>
        <w:endnoteReference w:id="26"/>
      </w:r>
      <w:r w:rsidR="003078EA">
        <w:rPr>
          <w:rFonts w:eastAsiaTheme="minorEastAsia"/>
        </w:rPr>
        <w:t>)</w:t>
      </w:r>
    </w:p>
    <w:p w14:paraId="43991753" w14:textId="77777777" w:rsidR="00091FB9" w:rsidRPr="00091FB9" w:rsidRDefault="00091FB9" w:rsidP="00091FB9">
      <w:pPr>
        <w:pStyle w:val="Bullet-green"/>
      </w:pPr>
      <w:r w:rsidRPr="00091FB9">
        <w:rPr>
          <w:rFonts w:eastAsiaTheme="minorEastAsia"/>
        </w:rPr>
        <w:t>There is strong evidence that non-face-to-face care can increase access, withou</w:t>
      </w:r>
      <w:r w:rsidR="0049511D">
        <w:rPr>
          <w:rFonts w:eastAsiaTheme="minorEastAsia"/>
        </w:rPr>
        <w:t>t compromising patient outcomes</w:t>
      </w:r>
      <w:r w:rsidR="007F7D0D">
        <w:rPr>
          <w:rFonts w:eastAsiaTheme="minorEastAsia"/>
        </w:rPr>
        <w:t xml:space="preserve"> </w:t>
      </w:r>
      <w:r w:rsidR="003078EA">
        <w:rPr>
          <w:rFonts w:eastAsiaTheme="minorEastAsia"/>
        </w:rPr>
        <w:t>(</w:t>
      </w:r>
      <w:r w:rsidR="0049511D">
        <w:rPr>
          <w:rFonts w:eastAsiaTheme="minorEastAsia"/>
        </w:rPr>
        <w:endnoteReference w:id="27"/>
      </w:r>
      <w:r w:rsidR="003078EA">
        <w:rPr>
          <w:rFonts w:eastAsiaTheme="minorEastAsia"/>
        </w:rPr>
        <w:t>)(</w:t>
      </w:r>
      <w:r w:rsidR="004A5146">
        <w:rPr>
          <w:rFonts w:eastAsiaTheme="minorEastAsia"/>
        </w:rPr>
        <w:endnoteReference w:id="28"/>
      </w:r>
      <w:r w:rsidR="003078EA">
        <w:rPr>
          <w:rFonts w:eastAsiaTheme="minorEastAsia"/>
        </w:rPr>
        <w:t>)</w:t>
      </w:r>
    </w:p>
    <w:p w14:paraId="632095B4" w14:textId="1FA1CFC8" w:rsidR="00091FB9" w:rsidRPr="009B0335" w:rsidRDefault="00091FB9" w:rsidP="00091FB9">
      <w:pPr>
        <w:pStyle w:val="Bullet-green"/>
      </w:pPr>
      <w:r w:rsidRPr="00091FB9">
        <w:rPr>
          <w:rFonts w:eastAsiaTheme="minorEastAsia"/>
        </w:rPr>
        <w:t>There is strong stakeholder support for flexible access</w:t>
      </w:r>
      <w:r w:rsidR="00344D4A">
        <w:rPr>
          <w:rFonts w:eastAsiaTheme="minorEastAsia"/>
        </w:rPr>
        <w:t>, including non-face-to-face access (see submissions from stakeholders to the Committee)</w:t>
      </w:r>
    </w:p>
    <w:p w14:paraId="1DACF5FD" w14:textId="77777777" w:rsidR="00250172" w:rsidRPr="00091FB9" w:rsidRDefault="00250172" w:rsidP="009B0335">
      <w:pPr>
        <w:pStyle w:val="Bullet-green"/>
        <w:numPr>
          <w:ilvl w:val="0"/>
          <w:numId w:val="0"/>
        </w:numPr>
        <w:ind w:left="431"/>
      </w:pPr>
    </w:p>
    <w:p w14:paraId="2591910F" w14:textId="5D2B1293" w:rsidR="002670FA" w:rsidRDefault="002670FA" w:rsidP="008F13EA">
      <w:pPr>
        <w:pStyle w:val="Heading2"/>
        <w:numPr>
          <w:ilvl w:val="0"/>
          <w:numId w:val="0"/>
        </w:numPr>
        <w:ind w:left="-417"/>
      </w:pPr>
      <w:bookmarkStart w:id="113" w:name="_Toc15644867"/>
      <w:r w:rsidRPr="002670FA">
        <w:t>Chronic disease management</w:t>
      </w:r>
      <w:r>
        <w:t xml:space="preserve"> </w:t>
      </w:r>
      <w:r w:rsidR="00476718">
        <w:t>–</w:t>
      </w:r>
      <w:r>
        <w:t xml:space="preserve"> </w:t>
      </w:r>
      <w:r w:rsidR="00866C55">
        <w:t>s</w:t>
      </w:r>
      <w:r w:rsidR="00476718">
        <w:t>upport</w:t>
      </w:r>
      <w:r w:rsidR="005954FF">
        <w:t>ing</w:t>
      </w:r>
      <w:r w:rsidR="00476718">
        <w:t xml:space="preserve"> c</w:t>
      </w:r>
      <w:r w:rsidRPr="002670FA">
        <w:t xml:space="preserve">oordinated, </w:t>
      </w:r>
      <w:r w:rsidR="00476718">
        <w:t>comprehensive and c</w:t>
      </w:r>
      <w:r w:rsidRPr="002670FA">
        <w:t>ontinuing</w:t>
      </w:r>
      <w:r w:rsidR="00476718">
        <w:t xml:space="preserve"> </w:t>
      </w:r>
      <w:r w:rsidR="00495F23">
        <w:t>c</w:t>
      </w:r>
      <w:r w:rsidR="00476718">
        <w:t>are</w:t>
      </w:r>
      <w:bookmarkEnd w:id="113"/>
    </w:p>
    <w:p w14:paraId="042F3EB6" w14:textId="77777777" w:rsidR="005954FF" w:rsidRPr="009B0335" w:rsidRDefault="005954FF"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14" w:name="_Toc15644868"/>
      <w:r w:rsidRPr="009B0335">
        <w:t>Recommendation 4</w:t>
      </w:r>
      <w:bookmarkEnd w:id="114"/>
    </w:p>
    <w:p w14:paraId="1CBE26EC" w14:textId="08895B76" w:rsidR="00804A1F" w:rsidRPr="009B0335" w:rsidRDefault="00140F1D" w:rsidP="008F13EA">
      <w:pPr>
        <w:pBdr>
          <w:top w:val="single" w:sz="4" w:space="1" w:color="auto"/>
          <w:left w:val="single" w:sz="4" w:space="1" w:color="auto"/>
          <w:bottom w:val="single" w:sz="4" w:space="1" w:color="auto"/>
          <w:right w:val="single" w:sz="4" w:space="1" w:color="auto"/>
        </w:pBdr>
        <w:shd w:val="clear" w:color="auto" w:fill="F2F2F2" w:themeFill="background1" w:themeFillShade="F2"/>
        <w:rPr>
          <w:lang w:val="en-US" w:eastAsia="en-US"/>
        </w:rPr>
      </w:pPr>
      <w:r>
        <w:rPr>
          <w:lang w:val="en-US" w:eastAsia="en-US"/>
        </w:rPr>
        <w:t>I</w:t>
      </w:r>
      <w:r w:rsidR="005954FF">
        <w:rPr>
          <w:lang w:val="en-US" w:eastAsia="en-US"/>
        </w:rPr>
        <w:t>mplement</w:t>
      </w:r>
      <w:r w:rsidR="00250172">
        <w:rPr>
          <w:lang w:val="en-US" w:eastAsia="en-US"/>
        </w:rPr>
        <w:t xml:space="preserve"> a </w:t>
      </w:r>
      <w:r w:rsidR="00250172" w:rsidRPr="009B0335">
        <w:rPr>
          <w:lang w:val="en-US" w:eastAsia="en-US"/>
        </w:rPr>
        <w:t>comprehensive</w:t>
      </w:r>
      <w:r>
        <w:rPr>
          <w:lang w:val="en-US" w:eastAsia="en-US"/>
        </w:rPr>
        <w:t xml:space="preserve"> </w:t>
      </w:r>
      <w:r w:rsidR="00C30D75">
        <w:rPr>
          <w:lang w:val="en-US" w:eastAsia="en-US"/>
        </w:rPr>
        <w:t>package of longitudinal care for</w:t>
      </w:r>
      <w:r w:rsidR="00495F23">
        <w:rPr>
          <w:lang w:val="en-US" w:eastAsia="en-US"/>
        </w:rPr>
        <w:t xml:space="preserve"> enrolled </w:t>
      </w:r>
      <w:r w:rsidR="00476718" w:rsidRPr="009B0335">
        <w:rPr>
          <w:lang w:val="en-US" w:eastAsia="en-US"/>
        </w:rPr>
        <w:t xml:space="preserve">patients with chronic </w:t>
      </w:r>
      <w:r w:rsidR="002B71AE" w:rsidRPr="009B0335">
        <w:rPr>
          <w:lang w:val="en-US" w:eastAsia="en-US"/>
        </w:rPr>
        <w:t>health conditions</w:t>
      </w:r>
      <w:r w:rsidR="00316355">
        <w:rPr>
          <w:lang w:val="en-US" w:eastAsia="en-US"/>
        </w:rPr>
        <w:t xml:space="preserve"> that</w:t>
      </w:r>
      <w:r w:rsidR="00C30D75">
        <w:rPr>
          <w:lang w:val="en-US" w:eastAsia="en-US"/>
        </w:rPr>
        <w:t xml:space="preserve"> promotes</w:t>
      </w:r>
      <w:r w:rsidR="002B71AE" w:rsidRPr="009B0335">
        <w:rPr>
          <w:lang w:val="en-US" w:eastAsia="en-US"/>
        </w:rPr>
        <w:t xml:space="preserve"> </w:t>
      </w:r>
      <w:r w:rsidR="00316355">
        <w:rPr>
          <w:lang w:val="en-US" w:eastAsia="en-US"/>
        </w:rPr>
        <w:t xml:space="preserve">the </w:t>
      </w:r>
      <w:r w:rsidR="00476718" w:rsidRPr="009B0335">
        <w:rPr>
          <w:lang w:val="en-US" w:eastAsia="en-US"/>
        </w:rPr>
        <w:t xml:space="preserve">effective use of </w:t>
      </w:r>
      <w:r>
        <w:rPr>
          <w:lang w:val="en-US" w:eastAsia="en-US"/>
        </w:rPr>
        <w:t xml:space="preserve">primary care </w:t>
      </w:r>
      <w:r w:rsidR="00476718" w:rsidRPr="009B0335">
        <w:rPr>
          <w:lang w:val="en-US" w:eastAsia="en-US"/>
        </w:rPr>
        <w:t xml:space="preserve">chronic disease management items. </w:t>
      </w:r>
    </w:p>
    <w:p w14:paraId="6A2859B6" w14:textId="2487BBA8" w:rsidR="00495F23" w:rsidRPr="009B0335" w:rsidRDefault="005954FF" w:rsidP="00495F23">
      <w:r w:rsidRPr="009B0335">
        <w:rPr>
          <w:lang w:val="en-US" w:eastAsia="en-US"/>
        </w:rPr>
        <w:t xml:space="preserve">The Committee </w:t>
      </w:r>
      <w:r w:rsidR="00804A1F" w:rsidRPr="009B0335">
        <w:rPr>
          <w:lang w:val="en-US" w:eastAsia="en-US"/>
        </w:rPr>
        <w:t xml:space="preserve">recommends </w:t>
      </w:r>
      <w:r w:rsidR="00D43930">
        <w:rPr>
          <w:lang w:val="en-US" w:eastAsia="en-US"/>
        </w:rPr>
        <w:t xml:space="preserve">that </w:t>
      </w:r>
      <w:r w:rsidR="00804A1F" w:rsidRPr="009B0335">
        <w:rPr>
          <w:lang w:val="en-US" w:eastAsia="en-US"/>
        </w:rPr>
        <w:t>a range of enhancements to MBS supported chronic disease management</w:t>
      </w:r>
      <w:r w:rsidR="00495F23">
        <w:rPr>
          <w:lang w:val="en-US" w:eastAsia="en-US"/>
        </w:rPr>
        <w:t xml:space="preserve"> items</w:t>
      </w:r>
      <w:r w:rsidR="00804A1F" w:rsidRPr="009B0335">
        <w:rPr>
          <w:lang w:val="en-US" w:eastAsia="en-US"/>
        </w:rPr>
        <w:t xml:space="preserve"> </w:t>
      </w:r>
      <w:r w:rsidR="00495F23">
        <w:rPr>
          <w:lang w:val="en-US" w:eastAsia="en-US"/>
        </w:rPr>
        <w:t xml:space="preserve">to </w:t>
      </w:r>
      <w:r w:rsidR="00495F23" w:rsidRPr="009B0335">
        <w:rPr>
          <w:lang w:val="en-US" w:eastAsia="en-US"/>
        </w:rPr>
        <w:t>increas</w:t>
      </w:r>
      <w:r w:rsidR="00495F23">
        <w:rPr>
          <w:lang w:val="en-US" w:eastAsia="en-US"/>
        </w:rPr>
        <w:t>e</w:t>
      </w:r>
      <w:r w:rsidR="00495F23" w:rsidRPr="009B0335">
        <w:rPr>
          <w:lang w:val="en-US" w:eastAsia="en-US"/>
        </w:rPr>
        <w:t xml:space="preserve"> high value </w:t>
      </w:r>
      <w:r w:rsidR="00495F23">
        <w:rPr>
          <w:lang w:val="en-US" w:eastAsia="en-US"/>
        </w:rPr>
        <w:t xml:space="preserve">primary </w:t>
      </w:r>
      <w:r w:rsidR="00495F23" w:rsidRPr="009B0335">
        <w:rPr>
          <w:lang w:val="en-US" w:eastAsia="en-US"/>
        </w:rPr>
        <w:t>care</w:t>
      </w:r>
      <w:r w:rsidR="00495F23">
        <w:rPr>
          <w:lang w:val="en-US" w:eastAsia="en-US"/>
        </w:rPr>
        <w:t xml:space="preserve">, enhance </w:t>
      </w:r>
      <w:r w:rsidR="00495F23" w:rsidRPr="009B0335">
        <w:rPr>
          <w:lang w:val="en-US" w:eastAsia="en-US"/>
        </w:rPr>
        <w:t>multidisciplinary care</w:t>
      </w:r>
      <w:r w:rsidR="00495F23">
        <w:rPr>
          <w:lang w:val="en-US" w:eastAsia="en-US"/>
        </w:rPr>
        <w:t xml:space="preserve"> planning and </w:t>
      </w:r>
      <w:r w:rsidR="00495F23" w:rsidRPr="009B0335">
        <w:rPr>
          <w:lang w:val="en-US" w:eastAsia="en-US"/>
        </w:rPr>
        <w:t xml:space="preserve">coordination </w:t>
      </w:r>
      <w:r w:rsidR="00495F23">
        <w:rPr>
          <w:lang w:val="en-US" w:eastAsia="en-US"/>
        </w:rPr>
        <w:t xml:space="preserve">activities, and support increased </w:t>
      </w:r>
      <w:r w:rsidR="00495F23" w:rsidRPr="009B0335">
        <w:t xml:space="preserve">patient activation. </w:t>
      </w:r>
    </w:p>
    <w:p w14:paraId="0DA96B6D" w14:textId="67893D20" w:rsidR="00476718" w:rsidRDefault="009B0335" w:rsidP="009B0335">
      <w:pPr>
        <w:rPr>
          <w:lang w:val="en-US" w:eastAsia="en-US"/>
        </w:rPr>
      </w:pPr>
      <w:r>
        <w:t>T</w:t>
      </w:r>
      <w:r w:rsidR="00867F73" w:rsidRPr="009B0335">
        <w:t>he</w:t>
      </w:r>
      <w:r w:rsidR="00495F23">
        <w:t xml:space="preserve">se enhancements </w:t>
      </w:r>
      <w:r w:rsidR="00867F73" w:rsidRPr="009B0335">
        <w:rPr>
          <w:lang w:val="en-US" w:eastAsia="en-US"/>
        </w:rPr>
        <w:t xml:space="preserve">represent an </w:t>
      </w:r>
      <w:r w:rsidR="00A24635" w:rsidRPr="009B0335">
        <w:rPr>
          <w:lang w:val="en-US" w:eastAsia="en-US"/>
        </w:rPr>
        <w:t>analogous</w:t>
      </w:r>
      <w:r w:rsidR="00867F73" w:rsidRPr="009B0335">
        <w:rPr>
          <w:lang w:val="en-US" w:eastAsia="en-US"/>
        </w:rPr>
        <w:t xml:space="preserve"> package of care for patients with chronic health conditions</w:t>
      </w:r>
      <w:r w:rsidR="00615471" w:rsidRPr="009B0335">
        <w:rPr>
          <w:lang w:val="en-US" w:eastAsia="en-US"/>
        </w:rPr>
        <w:t>, and are not</w:t>
      </w:r>
      <w:r w:rsidR="00867F73" w:rsidRPr="009B0335">
        <w:rPr>
          <w:lang w:val="en-US" w:eastAsia="en-US"/>
        </w:rPr>
        <w:t xml:space="preserve"> intended </w:t>
      </w:r>
      <w:r w:rsidR="00615471" w:rsidRPr="009B0335">
        <w:rPr>
          <w:lang w:val="en-US" w:eastAsia="en-US"/>
        </w:rPr>
        <w:t xml:space="preserve">to be considered in isolation. </w:t>
      </w:r>
    </w:p>
    <w:p w14:paraId="09850C0D" w14:textId="475A6F11" w:rsidR="007139AE" w:rsidRDefault="007139AE" w:rsidP="009B0335">
      <w:r w:rsidRPr="007139AE">
        <w:rPr>
          <w:lang w:val="en-US" w:eastAsia="en-US"/>
        </w:rPr>
        <w:t xml:space="preserve">See Appendix A.1. for a full list of </w:t>
      </w:r>
      <w:r w:rsidR="00C924AE">
        <w:rPr>
          <w:lang w:val="en-US" w:eastAsia="en-US"/>
        </w:rPr>
        <w:t>Chronic Disease Management Items and usage.</w:t>
      </w:r>
    </w:p>
    <w:p w14:paraId="425D77D1" w14:textId="5B4DE01E" w:rsidR="00476718" w:rsidRDefault="009A6EFE"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15" w:name="_Toc15644869"/>
      <w:r w:rsidRPr="00C7715C">
        <w:t xml:space="preserve">Recommendation </w:t>
      </w:r>
      <w:r w:rsidR="001B1197">
        <w:t>4</w:t>
      </w:r>
      <w:r w:rsidR="0082601E">
        <w:t>.1</w:t>
      </w:r>
      <w:bookmarkEnd w:id="115"/>
    </w:p>
    <w:p w14:paraId="645245C6" w14:textId="0B16B85C" w:rsidR="00476718" w:rsidRPr="009B0335" w:rsidRDefault="00140F1D" w:rsidP="008F13EA">
      <w:pPr>
        <w:pBdr>
          <w:top w:val="single" w:sz="4" w:space="1" w:color="auto"/>
          <w:left w:val="single" w:sz="4" w:space="1" w:color="auto"/>
          <w:bottom w:val="single" w:sz="4" w:space="1" w:color="auto"/>
          <w:right w:val="single" w:sz="4" w:space="1" w:color="auto"/>
        </w:pBdr>
        <w:shd w:val="clear" w:color="auto" w:fill="F2F2F2" w:themeFill="background1" w:themeFillShade="F2"/>
      </w:pPr>
      <w:r>
        <w:t>C</w:t>
      </w:r>
      <w:r w:rsidR="000A3722">
        <w:t>ombin</w:t>
      </w:r>
      <w:r>
        <w:t>e</w:t>
      </w:r>
      <w:r w:rsidR="000A3722" w:rsidRPr="000A3722">
        <w:t xml:space="preserve"> GP Management Plans (GPMPs) and Team Care Arrangements (TCAs)</w:t>
      </w:r>
      <w:r w:rsidR="000A3722">
        <w:t>,</w:t>
      </w:r>
      <w:r w:rsidR="000A3722" w:rsidRPr="000A3722">
        <w:t xml:space="preserve"> and strengthen GPMPs</w:t>
      </w:r>
      <w:r w:rsidR="00493D06">
        <w:t xml:space="preserve">. </w:t>
      </w:r>
    </w:p>
    <w:p w14:paraId="7FC5B747" w14:textId="77777777" w:rsidR="005C44F7" w:rsidRDefault="005C44F7" w:rsidP="009A6EFE">
      <w:pPr>
        <w:pStyle w:val="Bullet-green"/>
      </w:pPr>
      <w:r>
        <w:t>Item 723</w:t>
      </w:r>
    </w:p>
    <w:p w14:paraId="5F151FD1" w14:textId="77777777" w:rsidR="008B0463" w:rsidRDefault="000D5CFD" w:rsidP="005C44F7">
      <w:pPr>
        <w:pStyle w:val="Bullet2"/>
      </w:pPr>
      <w:r>
        <w:t>Delete</w:t>
      </w:r>
      <w:r w:rsidR="008B0463">
        <w:t xml:space="preserve"> item</w:t>
      </w:r>
      <w:r w:rsidR="00C641E4">
        <w:t xml:space="preserve"> </w:t>
      </w:r>
    </w:p>
    <w:p w14:paraId="48728D09" w14:textId="77777777" w:rsidR="005C44F7" w:rsidRDefault="005C44F7" w:rsidP="009A6EFE">
      <w:pPr>
        <w:pStyle w:val="Bullet-green"/>
      </w:pPr>
      <w:r>
        <w:t>Item 729</w:t>
      </w:r>
    </w:p>
    <w:p w14:paraId="6D9972A0" w14:textId="77777777" w:rsidR="00C641E4" w:rsidRDefault="008B0463" w:rsidP="005C44F7">
      <w:pPr>
        <w:pStyle w:val="Bullet2"/>
      </w:pPr>
      <w:r>
        <w:t>Delete item</w:t>
      </w:r>
      <w:r w:rsidR="00C641E4">
        <w:t xml:space="preserve"> </w:t>
      </w:r>
    </w:p>
    <w:p w14:paraId="32CF5498" w14:textId="77777777" w:rsidR="005C44F7" w:rsidRDefault="005C44F7" w:rsidP="009A6EFE">
      <w:pPr>
        <w:pStyle w:val="Bullet-green"/>
      </w:pPr>
      <w:r>
        <w:t>Item 731</w:t>
      </w:r>
    </w:p>
    <w:p w14:paraId="56ED176B" w14:textId="77777777" w:rsidR="005C44F7" w:rsidRDefault="005C44F7" w:rsidP="005C44F7">
      <w:pPr>
        <w:pStyle w:val="Bullet2"/>
      </w:pPr>
      <w:r>
        <w:t>No change to item</w:t>
      </w:r>
    </w:p>
    <w:p w14:paraId="60A859A8" w14:textId="77777777" w:rsidR="005C44F7" w:rsidRDefault="005C44F7" w:rsidP="00222A43">
      <w:pPr>
        <w:pStyle w:val="Bullet-green"/>
      </w:pPr>
      <w:r>
        <w:t>Item 721</w:t>
      </w:r>
    </w:p>
    <w:p w14:paraId="3584708D" w14:textId="77777777" w:rsidR="000B487E" w:rsidRDefault="009A6EFE" w:rsidP="005C44F7">
      <w:pPr>
        <w:pStyle w:val="Bullet2"/>
      </w:pPr>
      <w:r w:rsidRPr="009A6EFE">
        <w:t xml:space="preserve">Change </w:t>
      </w:r>
      <w:r w:rsidR="000B487E">
        <w:t>item</w:t>
      </w:r>
      <w:r w:rsidRPr="009A6EFE">
        <w:t xml:space="preserve"> descriptor</w:t>
      </w:r>
      <w:r w:rsidR="00594362">
        <w:t>, schedule fee and explanatory note</w:t>
      </w:r>
    </w:p>
    <w:p w14:paraId="34DEA7FE" w14:textId="77777777" w:rsidR="000B487E" w:rsidRDefault="000B487E" w:rsidP="005C44F7">
      <w:pPr>
        <w:pStyle w:val="Bullet2"/>
      </w:pPr>
      <w:r>
        <w:t>The descriptor should:</w:t>
      </w:r>
    </w:p>
    <w:p w14:paraId="5CDF7BC9" w14:textId="77777777" w:rsidR="00165ACC" w:rsidRDefault="004F306D" w:rsidP="00C92CF9">
      <w:pPr>
        <w:pStyle w:val="Dash3"/>
      </w:pPr>
      <w:r>
        <w:t xml:space="preserve">State that this item is available </w:t>
      </w:r>
      <w:r w:rsidR="00923346">
        <w:t xml:space="preserve">at the enrolled practice, for patients who are enrolled, or </w:t>
      </w:r>
      <w:r w:rsidR="00165ACC">
        <w:t xml:space="preserve">to be performed by the usual GP for patients who are not enrolled. </w:t>
      </w:r>
    </w:p>
    <w:p w14:paraId="049CB6EC" w14:textId="208E776F" w:rsidR="003C794A" w:rsidRDefault="000B487E" w:rsidP="00C92CF9">
      <w:pPr>
        <w:pStyle w:val="Dash3"/>
      </w:pPr>
      <w:r>
        <w:t>In</w:t>
      </w:r>
      <w:r w:rsidR="007B78DD">
        <w:t>clude the coordination of the development of team care arrangements</w:t>
      </w:r>
      <w:r w:rsidR="00BC572C">
        <w:t xml:space="preserve"> where required</w:t>
      </w:r>
      <w:r w:rsidR="00D60C6A">
        <w:t>.</w:t>
      </w:r>
    </w:p>
    <w:p w14:paraId="3B2EE8A2" w14:textId="77777777" w:rsidR="00594362" w:rsidRDefault="00594362" w:rsidP="005C44F7">
      <w:pPr>
        <w:pStyle w:val="Bullet2"/>
      </w:pPr>
      <w:r>
        <w:t>The explanatory note should:</w:t>
      </w:r>
    </w:p>
    <w:p w14:paraId="119F5BA8" w14:textId="25F4FB53" w:rsidR="0007491E" w:rsidRPr="0007491E" w:rsidRDefault="00C0768F" w:rsidP="0007491E">
      <w:pPr>
        <w:pStyle w:val="Dash3"/>
      </w:pPr>
      <w:r>
        <w:t>Note</w:t>
      </w:r>
      <w:r w:rsidRPr="0007491E">
        <w:t xml:space="preserve"> </w:t>
      </w:r>
      <w:r w:rsidR="0007491E" w:rsidRPr="0007491E">
        <w:t xml:space="preserve">that a GPMP should </w:t>
      </w:r>
      <w:r>
        <w:t xml:space="preserve">include </w:t>
      </w:r>
      <w:r w:rsidRPr="0007491E">
        <w:t>an assessment of physical, psychological and social function</w:t>
      </w:r>
      <w:r>
        <w:t>, and should</w:t>
      </w:r>
      <w:r w:rsidRPr="0007491E">
        <w:t xml:space="preserve"> </w:t>
      </w:r>
      <w:r w:rsidR="0007491E" w:rsidRPr="0007491E">
        <w:t xml:space="preserve">encompass a comprehensive preventive health plan (beyond the scope of existing chronic diseases), </w:t>
      </w:r>
    </w:p>
    <w:p w14:paraId="298BF67A" w14:textId="77777777" w:rsidR="0007491E" w:rsidRPr="0007491E" w:rsidRDefault="0007491E" w:rsidP="0007491E">
      <w:pPr>
        <w:pStyle w:val="Dash3"/>
      </w:pPr>
      <w:r w:rsidRPr="0007491E">
        <w:t>Note that the GPMP must address all the patient's known health care needs, health problems and other relevant conditions</w:t>
      </w:r>
    </w:p>
    <w:p w14:paraId="797B73DE" w14:textId="77777777" w:rsidR="0007491E" w:rsidRPr="0007491E" w:rsidRDefault="0007491E" w:rsidP="0007491E">
      <w:pPr>
        <w:pStyle w:val="Dash3"/>
      </w:pPr>
      <w:r w:rsidRPr="0007491E">
        <w:t xml:space="preserve">Include the requirement to review the patient's health </w:t>
      </w:r>
      <w:r w:rsidR="00DA4BAC">
        <w:t>record</w:t>
      </w:r>
      <w:r w:rsidRPr="0007491E">
        <w:t xml:space="preserve"> to ensure currency and accuracy</w:t>
      </w:r>
    </w:p>
    <w:p w14:paraId="10190BC7" w14:textId="77777777" w:rsidR="001513F0" w:rsidRDefault="001513F0" w:rsidP="00594362">
      <w:pPr>
        <w:pStyle w:val="Dash3"/>
      </w:pPr>
      <w:r>
        <w:t>Require the GPMP to be uploaded to My Health Record</w:t>
      </w:r>
      <w:r w:rsidR="00CA2633">
        <w:t xml:space="preserve">, </w:t>
      </w:r>
      <w:r w:rsidR="00CA2633" w:rsidRPr="00CA2633">
        <w:t>unless patient consent is withdrawn, and where reasonably achievable</w:t>
      </w:r>
    </w:p>
    <w:p w14:paraId="2BE59C26" w14:textId="34D8D1FF" w:rsidR="00681093" w:rsidRDefault="00CA20FF" w:rsidP="00594362">
      <w:pPr>
        <w:pStyle w:val="Dash3"/>
      </w:pPr>
      <w:r>
        <w:t xml:space="preserve">Include a strengthened definition of chronic condition, being a condition </w:t>
      </w:r>
      <w:r w:rsidR="00D6740E">
        <w:t xml:space="preserve">that </w:t>
      </w:r>
      <w:r>
        <w:t>"</w:t>
      </w:r>
      <w:r w:rsidR="00D6740E">
        <w:t>requires</w:t>
      </w:r>
      <w:r>
        <w:t xml:space="preserve"> a structured and holistic approach", with detailed guidance added to the explanatory note on what does and does not constitute a chronic condition.</w:t>
      </w:r>
    </w:p>
    <w:p w14:paraId="7CFCEAF7" w14:textId="77777777" w:rsidR="00681093" w:rsidRDefault="00681093">
      <w:pPr>
        <w:spacing w:before="0" w:after="0" w:line="240" w:lineRule="auto"/>
        <w:rPr>
          <w:rFonts w:ascii="Calibri" w:hAnsi="Calibri"/>
          <w:szCs w:val="20"/>
          <w:lang w:val="en-US" w:eastAsia="en-US"/>
        </w:rPr>
      </w:pPr>
      <w:r>
        <w:br w:type="page"/>
      </w:r>
    </w:p>
    <w:p w14:paraId="22A422E4" w14:textId="77777777" w:rsidR="009A6EFE" w:rsidRPr="009A6EFE" w:rsidRDefault="009A6EFE" w:rsidP="009A6EFE">
      <w:pPr>
        <w:pStyle w:val="Bullet-green"/>
      </w:pPr>
      <w:bookmarkStart w:id="116" w:name="_Hlk517163738"/>
      <w:bookmarkStart w:id="117" w:name="_Hlk517359721"/>
      <w:r w:rsidRPr="009A6EFE">
        <w:t>The proposed new descriptor</w:t>
      </w:r>
      <w:r w:rsidR="008A4091">
        <w:t xml:space="preserve"> for item 721</w:t>
      </w:r>
      <w:r w:rsidRPr="009A6EFE">
        <w:t xml:space="preserve"> is as follows:</w:t>
      </w:r>
    </w:p>
    <w:p w14:paraId="0DDB4A71" w14:textId="425A57A6" w:rsidR="009A6EFE" w:rsidRPr="009B0335" w:rsidRDefault="00033747" w:rsidP="009A6EFE">
      <w:pPr>
        <w:rPr>
          <w:i/>
        </w:rPr>
      </w:pPr>
      <w:r w:rsidRPr="009B0335">
        <w:rPr>
          <w:i/>
        </w:rPr>
        <w:t>Attendance by a patient's usual</w:t>
      </w:r>
      <w:r w:rsidR="008A4091" w:rsidRPr="009B0335">
        <w:rPr>
          <w:i/>
        </w:rPr>
        <w:t xml:space="preserve"> </w:t>
      </w:r>
      <w:r w:rsidR="003E2FE2" w:rsidRPr="009B0335">
        <w:rPr>
          <w:i/>
        </w:rPr>
        <w:t>gener</w:t>
      </w:r>
      <w:r w:rsidR="008A4091" w:rsidRPr="009B0335">
        <w:rPr>
          <w:i/>
        </w:rPr>
        <w:t>al practitioner</w:t>
      </w:r>
      <w:r w:rsidR="004F306D" w:rsidRPr="009B0335">
        <w:rPr>
          <w:i/>
        </w:rPr>
        <w:t xml:space="preserve"> </w:t>
      </w:r>
      <w:r w:rsidR="00A9396E" w:rsidRPr="009B0335">
        <w:rPr>
          <w:i/>
        </w:rPr>
        <w:t xml:space="preserve">and other health professionals </w:t>
      </w:r>
      <w:r w:rsidR="004F306D" w:rsidRPr="009B0335">
        <w:rPr>
          <w:i/>
        </w:rPr>
        <w:t>in the practice where the patient is enrolled</w:t>
      </w:r>
      <w:r w:rsidR="000B378E" w:rsidRPr="009B0335">
        <w:rPr>
          <w:i/>
        </w:rPr>
        <w:t xml:space="preserve"> (or the usual practice</w:t>
      </w:r>
      <w:r w:rsidR="00165ACC" w:rsidRPr="009B0335">
        <w:rPr>
          <w:i/>
        </w:rPr>
        <w:t xml:space="preserve"> for patients who are not enrolled)</w:t>
      </w:r>
      <w:r w:rsidR="008A4091" w:rsidRPr="009B0335">
        <w:rPr>
          <w:i/>
        </w:rPr>
        <w:t>, for preparation of a GP management plan</w:t>
      </w:r>
      <w:r w:rsidR="00713A95" w:rsidRPr="009B0335">
        <w:rPr>
          <w:i/>
        </w:rPr>
        <w:t xml:space="preserve"> and to coordinate </w:t>
      </w:r>
      <w:r w:rsidR="008F1BE3" w:rsidRPr="009B0335">
        <w:rPr>
          <w:i/>
        </w:rPr>
        <w:t>any necessary</w:t>
      </w:r>
      <w:r w:rsidR="00713A95" w:rsidRPr="009B0335">
        <w:rPr>
          <w:i/>
        </w:rPr>
        <w:t xml:space="preserve"> team care arrangements</w:t>
      </w:r>
      <w:r w:rsidR="008A4091" w:rsidRPr="009B0335">
        <w:rPr>
          <w:i/>
        </w:rPr>
        <w:t xml:space="preserve"> for a patient (other than a service associated with a service to which any of items 735 to 758 apply)</w:t>
      </w:r>
      <w:r w:rsidR="00A9396E" w:rsidRPr="009B0335">
        <w:rPr>
          <w:i/>
        </w:rPr>
        <w:t>.</w:t>
      </w:r>
    </w:p>
    <w:p w14:paraId="30C37AB6" w14:textId="77777777" w:rsidR="004B411A" w:rsidRDefault="009A6EFE" w:rsidP="006A4922">
      <w:pPr>
        <w:pStyle w:val="Bullet-green"/>
      </w:pPr>
      <w:r w:rsidRPr="009479F0">
        <w:t xml:space="preserve">The proposed new </w:t>
      </w:r>
      <w:r>
        <w:t>explanatory note</w:t>
      </w:r>
      <w:r w:rsidR="00D50931">
        <w:t xml:space="preserve"> for item 721</w:t>
      </w:r>
      <w:r w:rsidRPr="009479F0">
        <w:t xml:space="preserve"> is as follows:</w:t>
      </w:r>
    </w:p>
    <w:p w14:paraId="564771A8" w14:textId="77777777" w:rsidR="004B411A" w:rsidRPr="009B0335" w:rsidRDefault="004B411A" w:rsidP="004B411A">
      <w:pPr>
        <w:rPr>
          <w:i/>
        </w:rPr>
      </w:pPr>
      <w:r w:rsidRPr="009B0335">
        <w:rPr>
          <w:i/>
        </w:rPr>
        <w:t>This CDM service is for a patient who has at least one medical condition that:</w:t>
      </w:r>
    </w:p>
    <w:p w14:paraId="0DE01632" w14:textId="77777777" w:rsidR="004B411A" w:rsidRPr="009B0335" w:rsidRDefault="004B411A" w:rsidP="009B0335">
      <w:pPr>
        <w:ind w:left="567"/>
        <w:rPr>
          <w:i/>
        </w:rPr>
      </w:pPr>
      <w:r w:rsidRPr="009B0335">
        <w:rPr>
          <w:i/>
        </w:rPr>
        <w:t>(a) has been (or is likely to be) present for at least six months</w:t>
      </w:r>
      <w:r w:rsidR="00D6740E" w:rsidRPr="009B0335">
        <w:rPr>
          <w:i/>
        </w:rPr>
        <w:t xml:space="preserve"> and requires a structured</w:t>
      </w:r>
      <w:r w:rsidR="00084534" w:rsidRPr="009B0335">
        <w:rPr>
          <w:i/>
        </w:rPr>
        <w:t>, ongoing</w:t>
      </w:r>
      <w:r w:rsidR="00D6740E" w:rsidRPr="009B0335">
        <w:rPr>
          <w:i/>
        </w:rPr>
        <w:t xml:space="preserve"> and holistic approach</w:t>
      </w:r>
      <w:r w:rsidRPr="009B0335">
        <w:rPr>
          <w:i/>
        </w:rPr>
        <w:t>; or</w:t>
      </w:r>
    </w:p>
    <w:p w14:paraId="68C03FAC" w14:textId="77777777" w:rsidR="004B411A" w:rsidRPr="009B0335" w:rsidRDefault="004B411A" w:rsidP="009B0335">
      <w:pPr>
        <w:ind w:left="567"/>
        <w:rPr>
          <w:i/>
        </w:rPr>
      </w:pPr>
      <w:r w:rsidRPr="009B0335">
        <w:rPr>
          <w:i/>
        </w:rPr>
        <w:t>(b) is terminal.</w:t>
      </w:r>
    </w:p>
    <w:p w14:paraId="32579C93" w14:textId="77777777" w:rsidR="004B411A" w:rsidRPr="009B0335" w:rsidRDefault="004B411A" w:rsidP="004B411A">
      <w:pPr>
        <w:rPr>
          <w:i/>
        </w:rPr>
      </w:pPr>
      <w:r w:rsidRPr="009B0335">
        <w:rPr>
          <w:i/>
        </w:rPr>
        <w:t>A rebate will not be paid within twelve months of a previous claim for item 721, or within three months of a claim for item 732, except where there are exceptional circumstances that require the preparation of a new GPMP.</w:t>
      </w:r>
    </w:p>
    <w:p w14:paraId="661E8D3D" w14:textId="77777777" w:rsidR="006A4922" w:rsidRPr="009B0335" w:rsidRDefault="006A4922" w:rsidP="006A4922">
      <w:pPr>
        <w:rPr>
          <w:i/>
        </w:rPr>
      </w:pPr>
      <w:r w:rsidRPr="009B0335">
        <w:rPr>
          <w:i/>
        </w:rPr>
        <w:t>A comprehensive written plan</w:t>
      </w:r>
      <w:r w:rsidR="00F43CD4" w:rsidRPr="009B0335">
        <w:rPr>
          <w:i/>
        </w:rPr>
        <w:t xml:space="preserve"> covering management of the patient's chronic disease(s) and comprehensive preventive health </w:t>
      </w:r>
      <w:r w:rsidR="00232DD1" w:rsidRPr="009B0335">
        <w:rPr>
          <w:i/>
        </w:rPr>
        <w:t xml:space="preserve">plan </w:t>
      </w:r>
      <w:r w:rsidRPr="009B0335">
        <w:rPr>
          <w:i/>
        </w:rPr>
        <w:t>must be prepared describing:</w:t>
      </w:r>
    </w:p>
    <w:p w14:paraId="3D1D5532" w14:textId="77777777" w:rsidR="006A4922" w:rsidRPr="009B0335" w:rsidRDefault="00C45C25" w:rsidP="006A4922">
      <w:pPr>
        <w:pStyle w:val="Squarebullet"/>
        <w:rPr>
          <w:i/>
        </w:rPr>
      </w:pPr>
      <w:r w:rsidRPr="009B0335">
        <w:rPr>
          <w:i/>
        </w:rPr>
        <w:t>All the</w:t>
      </w:r>
      <w:r w:rsidR="006A4922" w:rsidRPr="009B0335">
        <w:rPr>
          <w:i/>
        </w:rPr>
        <w:t xml:space="preserve"> patient's</w:t>
      </w:r>
      <w:r w:rsidRPr="009B0335">
        <w:rPr>
          <w:i/>
        </w:rPr>
        <w:t xml:space="preserve"> known</w:t>
      </w:r>
      <w:r w:rsidR="006A4922" w:rsidRPr="009B0335">
        <w:rPr>
          <w:i/>
        </w:rPr>
        <w:t xml:space="preserve"> health care needs, health problems and </w:t>
      </w:r>
      <w:r w:rsidRPr="009B0335">
        <w:rPr>
          <w:i/>
        </w:rPr>
        <w:t xml:space="preserve">other </w:t>
      </w:r>
      <w:r w:rsidR="006A4922" w:rsidRPr="009B0335">
        <w:rPr>
          <w:i/>
        </w:rPr>
        <w:t>relevant conditions</w:t>
      </w:r>
      <w:r w:rsidR="00F43CD4" w:rsidRPr="009B0335">
        <w:rPr>
          <w:i/>
        </w:rPr>
        <w:t>, including an assessment of physical, psychological and social function</w:t>
      </w:r>
      <w:r w:rsidRPr="009B0335">
        <w:rPr>
          <w:i/>
        </w:rPr>
        <w:t xml:space="preserve">, and reviewing the </w:t>
      </w:r>
      <w:r w:rsidR="00AE4CCF" w:rsidRPr="009B0335">
        <w:rPr>
          <w:i/>
        </w:rPr>
        <w:t>patient's health summary to ensure currency and accuracy;</w:t>
      </w:r>
    </w:p>
    <w:p w14:paraId="295A388E" w14:textId="77777777" w:rsidR="00232DD1" w:rsidRPr="009B0335" w:rsidRDefault="00232DD1" w:rsidP="006A4922">
      <w:pPr>
        <w:pStyle w:val="Squarebullet"/>
        <w:rPr>
          <w:i/>
        </w:rPr>
      </w:pPr>
      <w:r w:rsidRPr="009B0335">
        <w:rPr>
          <w:i/>
        </w:rPr>
        <w:t>A comprehensive health promotion and disease prevention plan, agreed with the patient;</w:t>
      </w:r>
    </w:p>
    <w:p w14:paraId="05386DD1" w14:textId="77777777" w:rsidR="006A4922" w:rsidRPr="009B0335" w:rsidRDefault="006A4922" w:rsidP="006A4922">
      <w:pPr>
        <w:pStyle w:val="Squarebullet"/>
        <w:rPr>
          <w:i/>
        </w:rPr>
      </w:pPr>
      <w:r w:rsidRPr="009B0335">
        <w:rPr>
          <w:i/>
        </w:rPr>
        <w:t>management goals with which the patient agrees;</w:t>
      </w:r>
    </w:p>
    <w:p w14:paraId="60D99050" w14:textId="77777777" w:rsidR="006A4922" w:rsidRPr="009B0335" w:rsidRDefault="006A4922" w:rsidP="006A4922">
      <w:pPr>
        <w:pStyle w:val="Squarebullet"/>
        <w:rPr>
          <w:i/>
        </w:rPr>
      </w:pPr>
      <w:r w:rsidRPr="009B0335">
        <w:rPr>
          <w:i/>
        </w:rPr>
        <w:t>actions to be taken by the patient;</w:t>
      </w:r>
    </w:p>
    <w:p w14:paraId="15823F68" w14:textId="77777777" w:rsidR="006A4922" w:rsidRPr="009B0335" w:rsidRDefault="006A4922" w:rsidP="006A4922">
      <w:pPr>
        <w:pStyle w:val="Squarebullet"/>
        <w:rPr>
          <w:i/>
        </w:rPr>
      </w:pPr>
      <w:r w:rsidRPr="009B0335">
        <w:rPr>
          <w:i/>
        </w:rPr>
        <w:t>treatment and services the patient is likely to need;</w:t>
      </w:r>
    </w:p>
    <w:p w14:paraId="40C7334D" w14:textId="77777777" w:rsidR="006A4922" w:rsidRPr="009B0335" w:rsidRDefault="006A4922" w:rsidP="006A4922">
      <w:pPr>
        <w:pStyle w:val="Squarebullet"/>
        <w:rPr>
          <w:i/>
        </w:rPr>
      </w:pPr>
      <w:r w:rsidRPr="009B0335">
        <w:rPr>
          <w:i/>
        </w:rPr>
        <w:t>arrangements for providing thi</w:t>
      </w:r>
      <w:r w:rsidR="00932160" w:rsidRPr="009B0335">
        <w:rPr>
          <w:i/>
        </w:rPr>
        <w:t>s treatment and these services;</w:t>
      </w:r>
    </w:p>
    <w:p w14:paraId="3507E57E" w14:textId="77777777" w:rsidR="006A4922" w:rsidRPr="009B0335" w:rsidRDefault="006A4922" w:rsidP="006A4922">
      <w:pPr>
        <w:pStyle w:val="Squarebullet"/>
        <w:rPr>
          <w:i/>
        </w:rPr>
      </w:pPr>
      <w:r w:rsidRPr="009B0335">
        <w:rPr>
          <w:i/>
        </w:rPr>
        <w:t xml:space="preserve">arrangements to review the plan </w:t>
      </w:r>
      <w:r w:rsidR="00932160" w:rsidRPr="009B0335">
        <w:rPr>
          <w:i/>
        </w:rPr>
        <w:t>by a date specified in the plan;</w:t>
      </w:r>
    </w:p>
    <w:p w14:paraId="0AFBE86C" w14:textId="1608B24E" w:rsidR="00681093" w:rsidRDefault="005D1490" w:rsidP="006A4922">
      <w:pPr>
        <w:pStyle w:val="Squarebullet"/>
        <w:rPr>
          <w:i/>
        </w:rPr>
      </w:pPr>
      <w:r w:rsidRPr="009B0335">
        <w:rPr>
          <w:i/>
        </w:rPr>
        <w:t xml:space="preserve">if required, </w:t>
      </w:r>
      <w:r w:rsidR="00932160" w:rsidRPr="009B0335">
        <w:rPr>
          <w:i/>
        </w:rPr>
        <w:t xml:space="preserve">arrangements for multidisciplinary care of the patient, </w:t>
      </w:r>
      <w:r w:rsidRPr="009B0335">
        <w:rPr>
          <w:i/>
        </w:rPr>
        <w:t>including treatment and service goals, treatment by other providers, and patient actions</w:t>
      </w:r>
    </w:p>
    <w:p w14:paraId="66AD2350" w14:textId="77777777" w:rsidR="00681093" w:rsidRDefault="00681093">
      <w:pPr>
        <w:spacing w:before="0" w:after="0" w:line="240" w:lineRule="auto"/>
        <w:rPr>
          <w:i/>
          <w:szCs w:val="20"/>
          <w:lang w:val="en-US" w:eastAsia="en-US"/>
        </w:rPr>
      </w:pPr>
      <w:r>
        <w:rPr>
          <w:i/>
        </w:rPr>
        <w:br w:type="page"/>
      </w:r>
    </w:p>
    <w:p w14:paraId="7D101BF2" w14:textId="77777777" w:rsidR="006A4922" w:rsidRPr="009B0335" w:rsidRDefault="006A4922" w:rsidP="006A4922">
      <w:pPr>
        <w:pStyle w:val="Squarebullet"/>
        <w:numPr>
          <w:ilvl w:val="0"/>
          <w:numId w:val="0"/>
        </w:numPr>
        <w:rPr>
          <w:i/>
        </w:rPr>
      </w:pPr>
      <w:r w:rsidRPr="009B0335">
        <w:rPr>
          <w:i/>
        </w:rPr>
        <w:t>In preparing the plan, the provider must:</w:t>
      </w:r>
    </w:p>
    <w:p w14:paraId="6E0D1344" w14:textId="77777777" w:rsidR="006A4922" w:rsidRPr="009B0335" w:rsidRDefault="006A4922" w:rsidP="006A4922">
      <w:pPr>
        <w:pStyle w:val="Squarebullet"/>
        <w:rPr>
          <w:i/>
        </w:rPr>
      </w:pPr>
      <w:r w:rsidRPr="009B0335">
        <w:rPr>
          <w:i/>
        </w:rPr>
        <w:t>explain to the patient and the patient's carer (if any, and if the practitioner considers it appropriate and the patient agrees) the steps involved in preparing the plan; and</w:t>
      </w:r>
    </w:p>
    <w:p w14:paraId="06A8F764" w14:textId="77777777" w:rsidR="006A4922" w:rsidRPr="009B0335" w:rsidRDefault="006A4922" w:rsidP="006A4922">
      <w:pPr>
        <w:pStyle w:val="Squarebullet"/>
        <w:rPr>
          <w:i/>
        </w:rPr>
      </w:pPr>
      <w:r w:rsidRPr="009B0335">
        <w:rPr>
          <w:i/>
        </w:rPr>
        <w:t>record the plan; and</w:t>
      </w:r>
    </w:p>
    <w:p w14:paraId="1B276928" w14:textId="77777777" w:rsidR="006A4922" w:rsidRPr="009B0335" w:rsidRDefault="006A4922" w:rsidP="006A4922">
      <w:pPr>
        <w:pStyle w:val="Squarebullet"/>
        <w:rPr>
          <w:i/>
        </w:rPr>
      </w:pPr>
      <w:r w:rsidRPr="009B0335">
        <w:rPr>
          <w:i/>
        </w:rPr>
        <w:t>record the patient's agreement to the preparation of the plan; and</w:t>
      </w:r>
    </w:p>
    <w:p w14:paraId="51F9F55A" w14:textId="77777777" w:rsidR="006A4922" w:rsidRPr="009B0335" w:rsidRDefault="006A4922" w:rsidP="006A4922">
      <w:pPr>
        <w:pStyle w:val="Squarebullet"/>
        <w:rPr>
          <w:i/>
        </w:rPr>
      </w:pPr>
      <w:r w:rsidRPr="009B0335">
        <w:rPr>
          <w:i/>
        </w:rPr>
        <w:t>offer a copy of the plan to the patient and the patient's carer (if any, and if the practitioner considers it appropri</w:t>
      </w:r>
      <w:r w:rsidR="00883D26" w:rsidRPr="009B0335">
        <w:rPr>
          <w:i/>
        </w:rPr>
        <w:t xml:space="preserve">ate and the patient agrees); </w:t>
      </w:r>
    </w:p>
    <w:p w14:paraId="7D466505" w14:textId="77777777" w:rsidR="006907FA" w:rsidRPr="009B0335" w:rsidRDefault="006A4922" w:rsidP="009A6EFE">
      <w:pPr>
        <w:pStyle w:val="Squarebullet"/>
        <w:rPr>
          <w:i/>
        </w:rPr>
      </w:pPr>
      <w:r w:rsidRPr="009B0335">
        <w:rPr>
          <w:i/>
        </w:rPr>
        <w:t>add a copy of the plan t</w:t>
      </w:r>
      <w:r w:rsidR="00CC573A" w:rsidRPr="009B0335">
        <w:rPr>
          <w:i/>
        </w:rPr>
        <w:t xml:space="preserve">o the patient's medical records, and upload a copy of the plan to My Health Record, </w:t>
      </w:r>
      <w:r w:rsidR="00CA2633" w:rsidRPr="009B0335">
        <w:rPr>
          <w:i/>
        </w:rPr>
        <w:t>unless patient consent is withdrawn, and where reasonably achievable</w:t>
      </w:r>
      <w:bookmarkEnd w:id="116"/>
      <w:r w:rsidR="00C2544F" w:rsidRPr="009B0335">
        <w:rPr>
          <w:i/>
        </w:rPr>
        <w:t>;</w:t>
      </w:r>
    </w:p>
    <w:p w14:paraId="109E5D2A" w14:textId="77777777" w:rsidR="00941463" w:rsidRPr="009B0335" w:rsidRDefault="00941463" w:rsidP="008C2046">
      <w:pPr>
        <w:pStyle w:val="Squarebullet"/>
        <w:rPr>
          <w:i/>
        </w:rPr>
      </w:pPr>
      <w:r w:rsidRPr="009B0335">
        <w:rPr>
          <w:i/>
        </w:rPr>
        <w:t>provide</w:t>
      </w:r>
      <w:r w:rsidR="005D596D" w:rsidRPr="009B0335">
        <w:rPr>
          <w:i/>
        </w:rPr>
        <w:t xml:space="preserve"> an a</w:t>
      </w:r>
      <w:r w:rsidR="00153CA2" w:rsidRPr="009B0335">
        <w:rPr>
          <w:i/>
        </w:rPr>
        <w:t>ppropriate written referral to collaborating providers with</w:t>
      </w:r>
      <w:r w:rsidRPr="009B0335">
        <w:rPr>
          <w:i/>
        </w:rPr>
        <w:t xml:space="preserve"> copies of relevant parts of the document </w:t>
      </w:r>
      <w:r w:rsidR="00153CA2" w:rsidRPr="009B0335">
        <w:rPr>
          <w:i/>
        </w:rPr>
        <w:t xml:space="preserve">attached, </w:t>
      </w:r>
      <w:r w:rsidR="008446C0" w:rsidRPr="009B0335">
        <w:rPr>
          <w:i/>
        </w:rPr>
        <w:t>and</w:t>
      </w:r>
      <w:r w:rsidRPr="009B0335">
        <w:rPr>
          <w:i/>
        </w:rPr>
        <w:t xml:space="preserve"> advise that the document has been uploaded to </w:t>
      </w:r>
      <w:r w:rsidR="00F93782" w:rsidRPr="009B0335">
        <w:rPr>
          <w:i/>
        </w:rPr>
        <w:t>My Health Record</w:t>
      </w:r>
      <w:r w:rsidR="00153CA2" w:rsidRPr="009B0335">
        <w:rPr>
          <w:i/>
        </w:rPr>
        <w:t xml:space="preserve"> </w:t>
      </w:r>
      <w:r w:rsidR="008446C0" w:rsidRPr="009B0335">
        <w:rPr>
          <w:i/>
        </w:rPr>
        <w:t>where appropriate</w:t>
      </w:r>
      <w:r w:rsidR="00153CA2" w:rsidRPr="009B0335">
        <w:rPr>
          <w:i/>
        </w:rPr>
        <w:t xml:space="preserve"> </w:t>
      </w:r>
    </w:p>
    <w:p w14:paraId="473E26BF" w14:textId="4B70FEFF" w:rsidR="009A6EFE" w:rsidRPr="00C7715C" w:rsidRDefault="009A6EFE" w:rsidP="00F44F16">
      <w:pPr>
        <w:pStyle w:val="Heading3Numbered"/>
        <w:numPr>
          <w:ilvl w:val="0"/>
          <w:numId w:val="0"/>
        </w:numPr>
      </w:pPr>
      <w:bookmarkStart w:id="118" w:name="_Toc15644870"/>
      <w:bookmarkEnd w:id="117"/>
      <w:r w:rsidRPr="00C7715C">
        <w:t>Rationale</w:t>
      </w:r>
      <w:r>
        <w:t xml:space="preserve"> </w:t>
      </w:r>
      <w:r w:rsidR="001B1197">
        <w:t>4</w:t>
      </w:r>
      <w:r w:rsidR="0082601E">
        <w:t>.1</w:t>
      </w:r>
      <w:bookmarkEnd w:id="118"/>
    </w:p>
    <w:p w14:paraId="36614667" w14:textId="2CE363EB" w:rsidR="009A6EFE" w:rsidRPr="008F2607" w:rsidRDefault="009A6EFE" w:rsidP="009B0335">
      <w:pPr>
        <w:pStyle w:val="Bullet-green"/>
      </w:pPr>
      <w:r w:rsidRPr="008F2607">
        <w:t xml:space="preserve">This recommendation focuses on </w:t>
      </w:r>
      <w:r w:rsidR="00A808AB">
        <w:t>reducing administrative burden and low value care, and increasing patient activation in their own care planning</w:t>
      </w:r>
      <w:r w:rsidRPr="008F2607">
        <w:t>.</w:t>
      </w:r>
    </w:p>
    <w:p w14:paraId="4CD6AF2A" w14:textId="77777777" w:rsidR="00635AAD" w:rsidRDefault="00635AAD" w:rsidP="009A6EFE">
      <w:pPr>
        <w:pStyle w:val="Bullet-green"/>
      </w:pPr>
      <w:r>
        <w:t xml:space="preserve">The Committee agreed that </w:t>
      </w:r>
      <w:r w:rsidR="00AE4CCF" w:rsidRPr="00AE4CCF">
        <w:t xml:space="preserve">planned proactive health care </w:t>
      </w:r>
      <w:r>
        <w:t>is critical to patient outcomes</w:t>
      </w:r>
    </w:p>
    <w:p w14:paraId="630ABE9D" w14:textId="77777777" w:rsidR="00635AAD" w:rsidRPr="00635AAD" w:rsidRDefault="00635AAD" w:rsidP="00635AAD">
      <w:pPr>
        <w:pStyle w:val="Bullet2"/>
      </w:pPr>
      <w:r w:rsidRPr="00635AAD">
        <w:t>Approximately 50% Australians have at least one prominent chronic health condition (i.e. arthritis, asthma, back pain, cancer, cardiovascular disease, chronic obstructive pulmonary disease, diabetes or mental ill-health). Nearly a quarter of all Australians (23%) have two or more chronic conditions. Chronic conditions are responsible for around three-quarters of the total non-fatal burden of disease in Australia</w:t>
      </w:r>
      <w:r w:rsidR="00C436F4">
        <w:t>.</w:t>
      </w:r>
      <w:r w:rsidR="00F2263A">
        <w:t xml:space="preserve"> (</w:t>
      </w:r>
      <w:r w:rsidR="00CF3B13">
        <w:endnoteReference w:id="29"/>
      </w:r>
      <w:r w:rsidR="00F2263A">
        <w:t>)</w:t>
      </w:r>
    </w:p>
    <w:p w14:paraId="2E3F7D81" w14:textId="77777777" w:rsidR="00635AAD" w:rsidRPr="00635AAD" w:rsidRDefault="00635AAD" w:rsidP="00635AAD">
      <w:pPr>
        <w:pStyle w:val="Bullet2"/>
      </w:pPr>
      <w:r w:rsidRPr="00635AAD">
        <w:t>Aboriginal and Torres Strait Islander people experience poorer health than other Australians, with a burden of disease 2-3 times greater than the general Australian population. Much of the differen</w:t>
      </w:r>
      <w:r w:rsidR="004A02C3">
        <w:t>ce is due to chronic conditions</w:t>
      </w:r>
      <w:r w:rsidR="00F2263A">
        <w:t xml:space="preserve"> (</w:t>
      </w:r>
      <w:r w:rsidR="00F2263A">
        <w:endnoteReference w:id="30"/>
      </w:r>
      <w:r w:rsidR="00F2263A">
        <w:t>).</w:t>
      </w:r>
      <w:r w:rsidR="004A02C3">
        <w:t xml:space="preserve"> </w:t>
      </w:r>
      <w:r w:rsidRPr="00635AAD">
        <w:t>Chronic disease is also a major cause of higher morbidity and mortality in remote and rural areas, and in economically disadvantaged communities.</w:t>
      </w:r>
    </w:p>
    <w:p w14:paraId="54BE89FD" w14:textId="781B47C9" w:rsidR="00635AAD" w:rsidRPr="00635AAD" w:rsidRDefault="00635AAD" w:rsidP="00635AAD">
      <w:pPr>
        <w:pStyle w:val="Bullet2"/>
      </w:pPr>
      <w:r w:rsidRPr="00635AAD">
        <w:t>The World Health Organization argues that in order to respond to the emerging epidemic of chronic, non-communicable disease and the growing costs of referred care, health services need to develop as integrated, pe</w:t>
      </w:r>
      <w:r w:rsidR="00E80F39">
        <w:t>rson</w:t>
      </w:r>
      <w:r w:rsidRPr="00635AAD">
        <w:t>-centred health systems, founded on strong, coordinated and wel</w:t>
      </w:r>
      <w:r w:rsidR="004A02C3">
        <w:t>l-resourced primary health care.</w:t>
      </w:r>
      <w:r w:rsidR="00202531">
        <w:t xml:space="preserve"> (</w:t>
      </w:r>
      <w:r w:rsidR="00202531">
        <w:endnoteReference w:id="31"/>
      </w:r>
      <w:r w:rsidR="00202531">
        <w:t>)(</w:t>
      </w:r>
      <w:r w:rsidR="00202531">
        <w:endnoteReference w:id="32"/>
      </w:r>
      <w:r w:rsidR="00202531">
        <w:t>)</w:t>
      </w:r>
    </w:p>
    <w:p w14:paraId="2CC09DBB" w14:textId="77777777" w:rsidR="00635AAD" w:rsidRPr="00635AAD" w:rsidRDefault="00635AAD" w:rsidP="00635AAD">
      <w:pPr>
        <w:pStyle w:val="Bullet2"/>
      </w:pPr>
      <w:r w:rsidRPr="00635AAD">
        <w:t>Essential elements of integrated care of patients living with chronic disease include:</w:t>
      </w:r>
      <w:r w:rsidR="00BE7D0B">
        <w:t xml:space="preserve"> </w:t>
      </w:r>
      <w:r w:rsidR="00202531">
        <w:t>(</w:t>
      </w:r>
      <w:r w:rsidR="00202531">
        <w:endnoteReference w:id="33"/>
      </w:r>
      <w:r w:rsidR="00202531">
        <w:t>)(</w:t>
      </w:r>
      <w:r w:rsidR="00202531">
        <w:endnoteReference w:id="34"/>
      </w:r>
      <w:r w:rsidR="00202531">
        <w:t>)(</w:t>
      </w:r>
      <w:r w:rsidR="00202531">
        <w:endnoteReference w:id="35"/>
      </w:r>
      <w:r w:rsidR="00BE7D0B">
        <w:t>)(</w:t>
      </w:r>
      <w:r w:rsidR="00BE7D0B">
        <w:endnoteReference w:id="36"/>
      </w:r>
      <w:r w:rsidR="00BE7D0B">
        <w:t>)</w:t>
      </w:r>
    </w:p>
    <w:p w14:paraId="746FDB35" w14:textId="499DD8FD" w:rsidR="00635AAD" w:rsidRPr="00635AAD" w:rsidRDefault="00170E79" w:rsidP="00635AAD">
      <w:pPr>
        <w:pStyle w:val="Dash3"/>
      </w:pPr>
      <w:r w:rsidRPr="00635AAD">
        <w:t>P</w:t>
      </w:r>
      <w:r>
        <w:t>erson-</w:t>
      </w:r>
      <w:r w:rsidR="00635AAD" w:rsidRPr="00635AAD">
        <w:t>centredness, including personal goal setting, empowerment, activation and education</w:t>
      </w:r>
    </w:p>
    <w:p w14:paraId="02397D03" w14:textId="77777777" w:rsidR="00635AAD" w:rsidRPr="00635AAD" w:rsidRDefault="00635AAD" w:rsidP="00635AAD">
      <w:pPr>
        <w:pStyle w:val="Dash3"/>
      </w:pPr>
      <w:r w:rsidRPr="00635AAD">
        <w:t>Evidence-based treatment that is safe and effective</w:t>
      </w:r>
    </w:p>
    <w:p w14:paraId="727DA032" w14:textId="77777777" w:rsidR="00635AAD" w:rsidRPr="00635AAD" w:rsidRDefault="00635AAD" w:rsidP="00635AAD">
      <w:pPr>
        <w:pStyle w:val="Dash3"/>
      </w:pPr>
      <w:r w:rsidRPr="00635AAD">
        <w:t>Proactive care with a focus on prevention (primary, secondary, tertiary)</w:t>
      </w:r>
    </w:p>
    <w:p w14:paraId="5877A2A3" w14:textId="77777777" w:rsidR="00635AAD" w:rsidRPr="00635AAD" w:rsidRDefault="00635AAD" w:rsidP="00635AAD">
      <w:pPr>
        <w:pStyle w:val="Dash3"/>
      </w:pPr>
      <w:r w:rsidRPr="00635AAD">
        <w:t>Continuity of care with availability of health information as &amp; when required</w:t>
      </w:r>
    </w:p>
    <w:p w14:paraId="00A73D88" w14:textId="77777777" w:rsidR="00635AAD" w:rsidRPr="00635AAD" w:rsidRDefault="00635AAD" w:rsidP="00635AAD">
      <w:pPr>
        <w:pStyle w:val="Dash3"/>
      </w:pPr>
      <w:r w:rsidRPr="00635AAD">
        <w:t>Individualized care planning and regular reviews</w:t>
      </w:r>
    </w:p>
    <w:p w14:paraId="2AF0369E" w14:textId="77777777" w:rsidR="00635AAD" w:rsidRPr="00635AAD" w:rsidRDefault="00635AAD" w:rsidP="00635AAD">
      <w:pPr>
        <w:pStyle w:val="Dash3"/>
      </w:pPr>
      <w:r w:rsidRPr="00635AAD">
        <w:t>Flexible, multi-disciplinary team-based care</w:t>
      </w:r>
    </w:p>
    <w:p w14:paraId="5C6C0551" w14:textId="77777777" w:rsidR="00635AAD" w:rsidRPr="00635AAD" w:rsidRDefault="00635AAD" w:rsidP="00635AAD">
      <w:pPr>
        <w:pStyle w:val="Dash3"/>
      </w:pPr>
      <w:r w:rsidRPr="00635AAD">
        <w:t>Care facilitation for those who require it</w:t>
      </w:r>
    </w:p>
    <w:p w14:paraId="3714E96D" w14:textId="77777777" w:rsidR="00635AAD" w:rsidRPr="00635AAD" w:rsidRDefault="00635AAD" w:rsidP="00635AAD">
      <w:pPr>
        <w:pStyle w:val="Dash3"/>
      </w:pPr>
      <w:r w:rsidRPr="00635AAD">
        <w:t>Equitable and timely access to care</w:t>
      </w:r>
    </w:p>
    <w:p w14:paraId="384BD975" w14:textId="77777777" w:rsidR="00DB324D" w:rsidRDefault="00635AAD" w:rsidP="00DB324D">
      <w:pPr>
        <w:pStyle w:val="Dash3"/>
      </w:pPr>
      <w:r w:rsidRPr="00635AAD">
        <w:t xml:space="preserve">Continuous quality improvement </w:t>
      </w:r>
    </w:p>
    <w:p w14:paraId="50E235B2" w14:textId="479A3C33" w:rsidR="00DB324D" w:rsidRDefault="00DB324D" w:rsidP="00DB324D">
      <w:pPr>
        <w:pStyle w:val="Bullet2"/>
      </w:pPr>
      <w:r>
        <w:t>P</w:t>
      </w:r>
      <w:r w:rsidR="00170E79">
        <w:t>erson-</w:t>
      </w:r>
      <w:r>
        <w:t>centredness is the clinical method used by the GP to effectively incorporate patient experience and expe</w:t>
      </w:r>
      <w:r w:rsidR="00166228">
        <w:t>ctations into the clinical care.</w:t>
      </w:r>
      <w:r w:rsidR="00DA72AA">
        <w:t xml:space="preserve"> (</w:t>
      </w:r>
      <w:r w:rsidR="006E689B">
        <w:endnoteReference w:id="37"/>
      </w:r>
      <w:r w:rsidR="003078EA">
        <w:t>)(</w:t>
      </w:r>
      <w:r w:rsidR="00D45B2D">
        <w:endnoteReference w:id="38"/>
      </w:r>
      <w:r w:rsidR="00DA72AA">
        <w:t>)</w:t>
      </w:r>
      <w:r w:rsidR="00166228">
        <w:t xml:space="preserve"> </w:t>
      </w:r>
      <w:r>
        <w:t>This approach incorporates and facilitates empowerment goal setting and engagement by the patient in their health concern.</w:t>
      </w:r>
      <w:r w:rsidR="00166228">
        <w:t xml:space="preserve"> </w:t>
      </w:r>
      <w:r>
        <w:t xml:space="preserve">The method used as a standard approach in all consultations leads to a more collaborative approach to patient concerns and health care. </w:t>
      </w:r>
    </w:p>
    <w:p w14:paraId="1132BF7D" w14:textId="77777777" w:rsidR="00635AAD" w:rsidRPr="00635AAD" w:rsidRDefault="00635AAD" w:rsidP="00DB324D">
      <w:pPr>
        <w:pStyle w:val="Bullet2"/>
      </w:pPr>
      <w:r w:rsidRPr="00635AAD">
        <w:t>An evidence review by McKinsey reported significant reductions in hospitalization rates from patient empowerment and education, multidisciplinary team care, care coordination, and</w:t>
      </w:r>
      <w:r w:rsidR="00986973">
        <w:t xml:space="preserve"> individualized care plans.</w:t>
      </w:r>
      <w:r w:rsidR="00BE7D0B">
        <w:t xml:space="preserve"> (</w:t>
      </w:r>
      <w:r w:rsidR="00BE7D0B">
        <w:endnoteReference w:id="39"/>
      </w:r>
      <w:r w:rsidR="00BE7D0B">
        <w:t>)</w:t>
      </w:r>
    </w:p>
    <w:p w14:paraId="62E8DF5F" w14:textId="77777777" w:rsidR="00635AAD" w:rsidRPr="00635AAD" w:rsidRDefault="00635AAD" w:rsidP="00635AAD">
      <w:pPr>
        <w:pStyle w:val="Bullet2"/>
      </w:pPr>
      <w:r w:rsidRPr="00635AAD">
        <w:t>The Australian Diabetes Care Project found statistically significant improvement in HbA1c, blood pressure and other key clinical variables, and reduced hospital costs, from an intervention comprising an integrated information platform, data-driven CQI, funding based on risk stratification, QI support payments and dedicated Care Facilitators</w:t>
      </w:r>
      <w:r w:rsidR="00986973">
        <w:t>.</w:t>
      </w:r>
      <w:r w:rsidR="00BE7D0B">
        <w:t xml:space="preserve"> (</w:t>
      </w:r>
      <w:r w:rsidR="00BE7D0B">
        <w:endnoteReference w:id="40"/>
      </w:r>
      <w:r w:rsidR="00BE7D0B">
        <w:t>)</w:t>
      </w:r>
    </w:p>
    <w:p w14:paraId="1ACE2BDC" w14:textId="77777777" w:rsidR="009A6EFE" w:rsidRPr="009A6EFE" w:rsidRDefault="009A6EFE" w:rsidP="009A6EFE">
      <w:pPr>
        <w:pStyle w:val="Bullet-green"/>
      </w:pPr>
      <w:r w:rsidRPr="009A6EFE">
        <w:t>The Committee agreed that</w:t>
      </w:r>
      <w:r w:rsidR="008D1293">
        <w:t xml:space="preserve"> </w:t>
      </w:r>
      <w:r w:rsidR="00EB1897">
        <w:t xml:space="preserve">GPMPs and TCAs should be combined into one item to reduce administrative burden and </w:t>
      </w:r>
      <w:r w:rsidR="00325EE9">
        <w:t>reduce</w:t>
      </w:r>
      <w:r w:rsidR="00EB1897">
        <w:t xml:space="preserve"> </w:t>
      </w:r>
      <w:r w:rsidR="00AE4CCF" w:rsidRPr="00AE4CCF">
        <w:t>duplication</w:t>
      </w:r>
      <w:r w:rsidR="00AE4CCF">
        <w:t>.</w:t>
      </w:r>
    </w:p>
    <w:p w14:paraId="7275636C" w14:textId="77777777" w:rsidR="00F027CF" w:rsidRPr="00F027CF" w:rsidRDefault="00DB4B10" w:rsidP="00F027CF">
      <w:pPr>
        <w:pStyle w:val="Bullet2"/>
      </w:pPr>
      <w:r>
        <w:rPr>
          <w:rFonts w:eastAsiaTheme="minorEastAsia"/>
        </w:rPr>
        <w:t>There is s</w:t>
      </w:r>
      <w:r w:rsidR="00030407" w:rsidRPr="00030407">
        <w:rPr>
          <w:rFonts w:eastAsiaTheme="minorEastAsia"/>
        </w:rPr>
        <w:t>trong support from AMA and other stakeholders to reduce administrative burden</w:t>
      </w:r>
      <w:r w:rsidR="00581939">
        <w:rPr>
          <w:rFonts w:eastAsiaTheme="minorEastAsia"/>
        </w:rPr>
        <w:t xml:space="preserve"> and </w:t>
      </w:r>
      <w:r w:rsidR="00030407" w:rsidRPr="00030407">
        <w:rPr>
          <w:rFonts w:eastAsiaTheme="minorEastAsia"/>
        </w:rPr>
        <w:t>red</w:t>
      </w:r>
      <w:r w:rsidR="00F027CF">
        <w:rPr>
          <w:rFonts w:eastAsiaTheme="minorEastAsia"/>
        </w:rPr>
        <w:t xml:space="preserve"> tape </w:t>
      </w:r>
      <w:r w:rsidR="00581939">
        <w:rPr>
          <w:rFonts w:eastAsiaTheme="minorEastAsia"/>
        </w:rPr>
        <w:t>for chronic disease management items</w:t>
      </w:r>
    </w:p>
    <w:p w14:paraId="1C741189" w14:textId="77777777" w:rsidR="00F027CF" w:rsidRPr="00F027CF" w:rsidRDefault="00F027CF" w:rsidP="00F027CF">
      <w:pPr>
        <w:pStyle w:val="Bullet2"/>
      </w:pPr>
      <w:r>
        <w:rPr>
          <w:rFonts w:eastAsiaTheme="minorEastAsia"/>
        </w:rPr>
        <w:t xml:space="preserve">The majority of GPMPs and TCAs are </w:t>
      </w:r>
      <w:r w:rsidR="00A27EE2">
        <w:rPr>
          <w:rFonts w:eastAsiaTheme="minorEastAsia"/>
        </w:rPr>
        <w:t xml:space="preserve">currently </w:t>
      </w:r>
      <w:r>
        <w:rPr>
          <w:rFonts w:eastAsiaTheme="minorEastAsia"/>
        </w:rPr>
        <w:t>claimed together</w:t>
      </w:r>
      <w:r w:rsidR="003078EA">
        <w:rPr>
          <w:rFonts w:eastAsiaTheme="minorEastAsia"/>
        </w:rPr>
        <w:t>(</w:t>
      </w:r>
      <w:bookmarkStart w:id="119" w:name="_Ref522095903"/>
      <w:r w:rsidR="003078EA">
        <w:rPr>
          <w:rFonts w:eastAsiaTheme="minorEastAsia"/>
        </w:rPr>
        <w:endnoteReference w:id="41"/>
      </w:r>
      <w:bookmarkEnd w:id="119"/>
      <w:r w:rsidR="003078EA">
        <w:rPr>
          <w:rFonts w:eastAsiaTheme="minorEastAsia"/>
        </w:rPr>
        <w:t>)</w:t>
      </w:r>
      <w:r>
        <w:rPr>
          <w:rFonts w:eastAsiaTheme="minorEastAsia"/>
        </w:rPr>
        <w:t xml:space="preserve">: </w:t>
      </w:r>
    </w:p>
    <w:p w14:paraId="2BD16C71" w14:textId="77777777" w:rsidR="00030407" w:rsidRPr="00030407" w:rsidRDefault="00030407" w:rsidP="00F027CF">
      <w:pPr>
        <w:pStyle w:val="Dash3"/>
      </w:pPr>
      <w:r w:rsidRPr="00030407">
        <w:rPr>
          <w:rFonts w:eastAsiaTheme="minorEastAsia"/>
        </w:rPr>
        <w:t>77% of GPMPs are co-claimed with TCAs in the same appointment, an increase from 37% in 2005-06</w:t>
      </w:r>
    </w:p>
    <w:p w14:paraId="1C3A0352" w14:textId="77777777" w:rsidR="00030407" w:rsidRPr="00030407" w:rsidRDefault="00030407" w:rsidP="00F027CF">
      <w:pPr>
        <w:pStyle w:val="Dash3"/>
      </w:pPr>
      <w:r w:rsidRPr="00030407">
        <w:rPr>
          <w:rFonts w:eastAsiaTheme="minorEastAsia"/>
        </w:rPr>
        <w:t>62% of GPMP and TCA reviews are co-claimed</w:t>
      </w:r>
    </w:p>
    <w:p w14:paraId="789E1336" w14:textId="77777777" w:rsidR="00030407" w:rsidRPr="00EB1897" w:rsidRDefault="0076620F" w:rsidP="001B7726">
      <w:pPr>
        <w:pStyle w:val="Bullet2"/>
      </w:pPr>
      <w:r>
        <w:t>S</w:t>
      </w:r>
      <w:r w:rsidR="001C248F">
        <w:t xml:space="preserve">ome TCAs are claimed for patients who do not </w:t>
      </w:r>
      <w:r>
        <w:t>use the associated allied health services</w:t>
      </w:r>
      <w:r w:rsidR="001C248F">
        <w:t xml:space="preserve">: </w:t>
      </w:r>
      <w:r w:rsidR="00030407" w:rsidRPr="001C248F">
        <w:rPr>
          <w:rFonts w:eastAsiaTheme="minorEastAsia"/>
        </w:rPr>
        <w:t>30% of patients who claimed a TCA did not use any allied health services that calendar year</w:t>
      </w:r>
      <w:r w:rsidR="003078EA">
        <w:rPr>
          <w:rFonts w:eastAsiaTheme="minorEastAsia"/>
        </w:rPr>
        <w:t>(</w:t>
      </w:r>
      <w:bookmarkStart w:id="120" w:name="_Ref522095913"/>
      <w:r w:rsidR="003078EA">
        <w:rPr>
          <w:rFonts w:eastAsiaTheme="minorEastAsia"/>
        </w:rPr>
        <w:endnoteReference w:id="42"/>
      </w:r>
      <w:bookmarkEnd w:id="120"/>
      <w:r w:rsidR="003078EA">
        <w:rPr>
          <w:rFonts w:eastAsiaTheme="minorEastAsia"/>
        </w:rPr>
        <w:t>)</w:t>
      </w:r>
      <w:r w:rsidR="00030407" w:rsidRPr="001C248F">
        <w:rPr>
          <w:rFonts w:eastAsiaTheme="minorEastAsia"/>
        </w:rPr>
        <w:tab/>
      </w:r>
    </w:p>
    <w:p w14:paraId="6354082F" w14:textId="77777777" w:rsidR="00EB1897" w:rsidRPr="00030407" w:rsidRDefault="00EB1897" w:rsidP="00EB1897">
      <w:pPr>
        <w:pStyle w:val="Bullet-green"/>
      </w:pPr>
      <w:r>
        <w:t>The Committee agreed that item 729 should be abolished as its usefulness is limited</w:t>
      </w:r>
    </w:p>
    <w:p w14:paraId="29CADFCC" w14:textId="77777777" w:rsidR="00030407" w:rsidRPr="00BA595A" w:rsidRDefault="00EB1897" w:rsidP="00BB519B">
      <w:pPr>
        <w:pStyle w:val="Bullet2"/>
      </w:pPr>
      <w:r>
        <w:rPr>
          <w:rFonts w:eastAsiaTheme="minorEastAsia"/>
        </w:rPr>
        <w:t>Item 729</w:t>
      </w:r>
      <w:r w:rsidR="001C248F">
        <w:rPr>
          <w:rFonts w:eastAsiaTheme="minorEastAsia"/>
        </w:rPr>
        <w:t xml:space="preserve"> </w:t>
      </w:r>
      <w:r w:rsidR="00A23741">
        <w:rPr>
          <w:rFonts w:eastAsiaTheme="minorEastAsia"/>
        </w:rPr>
        <w:t xml:space="preserve">was </w:t>
      </w:r>
      <w:r w:rsidR="00030407" w:rsidRPr="00030407">
        <w:rPr>
          <w:rFonts w:eastAsiaTheme="minorEastAsia"/>
        </w:rPr>
        <w:t>only used 2574 times in 2016-17</w:t>
      </w:r>
      <w:r w:rsidR="003078EA">
        <w:rPr>
          <w:rFonts w:eastAsiaTheme="minorEastAsia"/>
        </w:rPr>
        <w:t>(</w:t>
      </w:r>
      <w:r w:rsidR="003078EA">
        <w:rPr>
          <w:rFonts w:eastAsiaTheme="minorEastAsia"/>
        </w:rPr>
        <w:endnoteReference w:id="43"/>
      </w:r>
      <w:r w:rsidR="003078EA">
        <w:rPr>
          <w:rFonts w:eastAsiaTheme="minorEastAsia"/>
        </w:rPr>
        <w:t>)</w:t>
      </w:r>
    </w:p>
    <w:p w14:paraId="66F85E16" w14:textId="77777777" w:rsidR="00BA595A" w:rsidRDefault="00BA595A" w:rsidP="00BA595A">
      <w:pPr>
        <w:pStyle w:val="Bullet-green"/>
      </w:pPr>
      <w:r>
        <w:t>The Committee agreed that there should be no change to item 731 as in the context of Residential Aged Care Facilities, an item for contributing to a care plan is more appropriate</w:t>
      </w:r>
    </w:p>
    <w:p w14:paraId="613E6F0C" w14:textId="77777777" w:rsidR="00BA595A" w:rsidRPr="00EB1897" w:rsidRDefault="00BA595A" w:rsidP="00BA595A">
      <w:pPr>
        <w:pStyle w:val="Bullet2"/>
      </w:pPr>
      <w:r>
        <w:t xml:space="preserve">Item 731 was used </w:t>
      </w:r>
      <w:r w:rsidRPr="00BA595A">
        <w:t>131</w:t>
      </w:r>
      <w:r>
        <w:t>,</w:t>
      </w:r>
      <w:r w:rsidRPr="00BA595A">
        <w:t>935</w:t>
      </w:r>
      <w:r>
        <w:t xml:space="preserve"> times in 2016-17</w:t>
      </w:r>
      <w:r w:rsidR="003078EA">
        <w:t>(</w:t>
      </w:r>
      <w:r w:rsidR="003078EA">
        <w:endnoteReference w:id="44"/>
      </w:r>
      <w:r w:rsidR="003078EA">
        <w:t>)</w:t>
      </w:r>
    </w:p>
    <w:p w14:paraId="3336FF45" w14:textId="77777777" w:rsidR="00871D7F" w:rsidRDefault="00871D7F" w:rsidP="00871D7F">
      <w:pPr>
        <w:pStyle w:val="Bullet-green"/>
      </w:pPr>
      <w:r>
        <w:t>The Committee agreed that a copy of the GPMP is to be uploaded to the My Health Record (</w:t>
      </w:r>
      <w:r w:rsidR="00CA2633" w:rsidRPr="00CA2633">
        <w:t>unless patient consent is withdrawn, and where reasonably achievable</w:t>
      </w:r>
      <w:r>
        <w:t>) to assist in information sharing between the patient and their care team</w:t>
      </w:r>
    </w:p>
    <w:p w14:paraId="5FEBC0B9" w14:textId="3C6857B6" w:rsidR="00F6243A" w:rsidRPr="009B0335" w:rsidRDefault="00F6243A" w:rsidP="00F3126C">
      <w:pPr>
        <w:pStyle w:val="Bullet2"/>
      </w:pPr>
      <w:r>
        <w:rPr>
          <w:rFonts w:eastAsiaTheme="minorEastAsia"/>
        </w:rPr>
        <w:t xml:space="preserve">There should be exemptions for patients who have opted-out of My Health Record and for GPs and practices </w:t>
      </w:r>
      <w:r w:rsidR="00F93782">
        <w:rPr>
          <w:rFonts w:eastAsiaTheme="minorEastAsia"/>
        </w:rPr>
        <w:t xml:space="preserve">where it is not reasonably achievable e.g. </w:t>
      </w:r>
      <w:r>
        <w:rPr>
          <w:rFonts w:eastAsiaTheme="minorEastAsia"/>
        </w:rPr>
        <w:t>with insufficient access to high-speed internet</w:t>
      </w:r>
    </w:p>
    <w:p w14:paraId="09F9A8E7" w14:textId="77777777" w:rsidR="000A3722" w:rsidRPr="00F3126C" w:rsidRDefault="000A3722" w:rsidP="009B0335">
      <w:pPr>
        <w:pStyle w:val="Bullet2"/>
        <w:numPr>
          <w:ilvl w:val="0"/>
          <w:numId w:val="0"/>
        </w:numPr>
        <w:ind w:left="720"/>
        <w:rPr>
          <w:rStyle w:val="IntenseEmphasis"/>
          <w:b w:val="0"/>
          <w:bCs w:val="0"/>
          <w:i w:val="0"/>
          <w:iCs w:val="0"/>
          <w:color w:val="auto"/>
        </w:rPr>
      </w:pPr>
    </w:p>
    <w:p w14:paraId="34828D19" w14:textId="030445A6" w:rsidR="000A3722" w:rsidRDefault="00821301"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bookmarkStart w:id="121" w:name="_Toc15644871"/>
      <w:r>
        <w:t xml:space="preserve">Recommendation </w:t>
      </w:r>
      <w:r w:rsidR="0082601E">
        <w:t>4.2</w:t>
      </w:r>
      <w:bookmarkEnd w:id="121"/>
    </w:p>
    <w:p w14:paraId="30CE0C8B" w14:textId="5F7D5C56" w:rsidR="00170E79" w:rsidRPr="009B0335" w:rsidRDefault="00140F1D" w:rsidP="008F13EA">
      <w:pPr>
        <w:pBdr>
          <w:top w:val="single" w:sz="4" w:space="1" w:color="auto"/>
          <w:left w:val="single" w:sz="4" w:space="1" w:color="auto"/>
          <w:bottom w:val="single" w:sz="4" w:space="1" w:color="auto"/>
          <w:right w:val="single" w:sz="4" w:space="1" w:color="auto"/>
        </w:pBdr>
        <w:shd w:val="clear" w:color="auto" w:fill="F2F2F2" w:themeFill="background1" w:themeFillShade="F2"/>
      </w:pPr>
      <w:r>
        <w:rPr>
          <w:rFonts w:eastAsiaTheme="minorEastAsia"/>
        </w:rPr>
        <w:t>L</w:t>
      </w:r>
      <w:r w:rsidR="00843AC4" w:rsidRPr="009B0335">
        <w:rPr>
          <w:rFonts w:eastAsiaTheme="minorEastAsia"/>
        </w:rPr>
        <w:t xml:space="preserve">ink </w:t>
      </w:r>
      <w:r w:rsidR="00843AC4" w:rsidRPr="009B0335">
        <w:t xml:space="preserve">allied health chronic disease management items to the creation of a </w:t>
      </w:r>
      <w:r w:rsidR="00493D06" w:rsidRPr="009B0335">
        <w:t xml:space="preserve">GPMP. </w:t>
      </w:r>
    </w:p>
    <w:p w14:paraId="1D1E5206" w14:textId="77777777" w:rsidR="00821301" w:rsidRDefault="00821301" w:rsidP="00821301">
      <w:pPr>
        <w:pStyle w:val="Bullet-green"/>
      </w:pPr>
      <w:r>
        <w:t>Items 10950-10970 and 81100-</w:t>
      </w:r>
      <w:r w:rsidRPr="003A27C7">
        <w:t>81125</w:t>
      </w:r>
    </w:p>
    <w:p w14:paraId="2F3D6B4D" w14:textId="5932B77B" w:rsidR="00821301" w:rsidRDefault="00821301" w:rsidP="00821301">
      <w:pPr>
        <w:pStyle w:val="Bullet2"/>
      </w:pPr>
      <w:r>
        <w:t>Change the descriptors to remove references to Team Care Arrangements and make clear that allied health services will be linked to the creation of a GPMP</w:t>
      </w:r>
      <w:r w:rsidR="00170E79">
        <w:t>.</w:t>
      </w:r>
    </w:p>
    <w:p w14:paraId="624A2883" w14:textId="674C3272" w:rsidR="00821301" w:rsidRPr="00E55638" w:rsidRDefault="00821301" w:rsidP="00F44F16">
      <w:pPr>
        <w:pStyle w:val="Heading3Numbered"/>
        <w:numPr>
          <w:ilvl w:val="0"/>
          <w:numId w:val="0"/>
        </w:numPr>
        <w:ind w:left="720" w:hanging="720"/>
      </w:pPr>
      <w:bookmarkStart w:id="122" w:name="_Toc15644872"/>
      <w:r>
        <w:t xml:space="preserve">Rationale </w:t>
      </w:r>
      <w:r w:rsidR="0082601E">
        <w:t>4.2</w:t>
      </w:r>
      <w:bookmarkEnd w:id="122"/>
    </w:p>
    <w:p w14:paraId="520104A0" w14:textId="77777777" w:rsidR="00821301" w:rsidRPr="00E55638" w:rsidRDefault="00821301" w:rsidP="00821301">
      <w:r w:rsidRPr="00E55638">
        <w:t xml:space="preserve">This recommendation focuses on </w:t>
      </w:r>
      <w:r>
        <w:t>simplifying Chronic Disease Management items</w:t>
      </w:r>
      <w:r w:rsidRPr="00E55638">
        <w:t>. It is based on the following.</w:t>
      </w:r>
    </w:p>
    <w:p w14:paraId="0C1B6291" w14:textId="77777777" w:rsidR="00821301" w:rsidRDefault="00821301" w:rsidP="00821301">
      <w:pPr>
        <w:pStyle w:val="Bullet-green"/>
      </w:pPr>
      <w:r>
        <w:t>The Committee agreed that allied health items should be directly linked to the creation of a GP Management Plan, and the item for Team Care Arrangements should be deleted</w:t>
      </w:r>
    </w:p>
    <w:p w14:paraId="11A1127F" w14:textId="24DDDE04" w:rsidR="00821301" w:rsidRPr="00821301" w:rsidRDefault="00821301" w:rsidP="00821301">
      <w:pPr>
        <w:pStyle w:val="Bullet2"/>
      </w:pPr>
      <w:r w:rsidRPr="00821301">
        <w:rPr>
          <w:rFonts w:eastAsiaTheme="minorEastAsia"/>
        </w:rPr>
        <w:t>77% of GPMPs are co-claimed with TCAs in the same appointment, an increase from 37% in 2005-06</w:t>
      </w:r>
      <w:r w:rsidR="003078EA">
        <w:rPr>
          <w:rFonts w:eastAsiaTheme="minorEastAsia"/>
        </w:rPr>
        <w:t>(</w:t>
      </w:r>
      <w:r w:rsidR="003078EA">
        <w:rPr>
          <w:rFonts w:eastAsiaTheme="minorEastAsia"/>
        </w:rPr>
        <w:fldChar w:fldCharType="begin"/>
      </w:r>
      <w:r w:rsidR="003078EA">
        <w:rPr>
          <w:rFonts w:eastAsiaTheme="minorEastAsia"/>
        </w:rPr>
        <w:instrText xml:space="preserve"> NOTEREF _Ref522095903 \h </w:instrText>
      </w:r>
      <w:r w:rsidR="003078EA">
        <w:rPr>
          <w:rFonts w:eastAsiaTheme="minorEastAsia"/>
        </w:rPr>
      </w:r>
      <w:r w:rsidR="003078EA">
        <w:rPr>
          <w:rFonts w:eastAsiaTheme="minorEastAsia"/>
        </w:rPr>
        <w:fldChar w:fldCharType="separate"/>
      </w:r>
      <w:r w:rsidR="0097062E">
        <w:rPr>
          <w:rFonts w:eastAsiaTheme="minorEastAsia"/>
        </w:rPr>
        <w:t>41</w:t>
      </w:r>
      <w:r w:rsidR="003078EA">
        <w:rPr>
          <w:rFonts w:eastAsiaTheme="minorEastAsia"/>
        </w:rPr>
        <w:fldChar w:fldCharType="end"/>
      </w:r>
      <w:r w:rsidR="003078EA">
        <w:rPr>
          <w:rFonts w:eastAsiaTheme="minorEastAsia"/>
        </w:rPr>
        <w:t>)</w:t>
      </w:r>
    </w:p>
    <w:p w14:paraId="6B4F3FFE" w14:textId="4F0C4515" w:rsidR="00821301" w:rsidRPr="00F44F16" w:rsidRDefault="00821301" w:rsidP="00B1790B">
      <w:pPr>
        <w:pStyle w:val="Bullet2"/>
      </w:pPr>
      <w:r w:rsidRPr="00821301">
        <w:rPr>
          <w:rFonts w:eastAsiaTheme="minorEastAsia"/>
        </w:rPr>
        <w:t>30% of patients who claimed a TCA did not use any allied health services that calendar year</w:t>
      </w:r>
      <w:r w:rsidR="00D545FD">
        <w:rPr>
          <w:rFonts w:eastAsiaTheme="minorEastAsia"/>
        </w:rPr>
        <w:t xml:space="preserve"> </w:t>
      </w:r>
      <w:r w:rsidR="003078EA">
        <w:rPr>
          <w:rFonts w:eastAsiaTheme="minorEastAsia"/>
        </w:rPr>
        <w:t>(</w:t>
      </w:r>
      <w:r w:rsidR="003078EA">
        <w:rPr>
          <w:rFonts w:eastAsiaTheme="minorEastAsia"/>
        </w:rPr>
        <w:fldChar w:fldCharType="begin"/>
      </w:r>
      <w:r w:rsidR="003078EA">
        <w:rPr>
          <w:rFonts w:eastAsiaTheme="minorEastAsia"/>
        </w:rPr>
        <w:instrText xml:space="preserve"> NOTEREF _Ref522095913 \h </w:instrText>
      </w:r>
      <w:r w:rsidR="003078EA">
        <w:rPr>
          <w:rFonts w:eastAsiaTheme="minorEastAsia"/>
        </w:rPr>
      </w:r>
      <w:r w:rsidR="003078EA">
        <w:rPr>
          <w:rFonts w:eastAsiaTheme="minorEastAsia"/>
        </w:rPr>
        <w:fldChar w:fldCharType="separate"/>
      </w:r>
      <w:r w:rsidR="0097062E">
        <w:rPr>
          <w:rFonts w:eastAsiaTheme="minorEastAsia"/>
        </w:rPr>
        <w:t>42</w:t>
      </w:r>
      <w:r w:rsidR="003078EA">
        <w:rPr>
          <w:rFonts w:eastAsiaTheme="minorEastAsia"/>
        </w:rPr>
        <w:fldChar w:fldCharType="end"/>
      </w:r>
      <w:r w:rsidR="003078EA">
        <w:rPr>
          <w:rFonts w:eastAsiaTheme="minorEastAsia"/>
        </w:rPr>
        <w:t>)</w:t>
      </w:r>
      <w:r w:rsidRPr="00821301">
        <w:rPr>
          <w:rFonts w:eastAsiaTheme="minorEastAsia"/>
        </w:rPr>
        <w:tab/>
      </w:r>
    </w:p>
    <w:p w14:paraId="5D505449" w14:textId="77777777" w:rsidR="00681093" w:rsidRDefault="00681093" w:rsidP="00F44F16">
      <w:pPr>
        <w:pStyle w:val="Bullet2"/>
        <w:numPr>
          <w:ilvl w:val="0"/>
          <w:numId w:val="0"/>
        </w:numPr>
        <w:ind w:left="720"/>
      </w:pPr>
    </w:p>
    <w:p w14:paraId="41498C66" w14:textId="130203B3" w:rsidR="000A3722" w:rsidRDefault="00BB5315"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rPr>
          <w:rFonts w:eastAsiaTheme="minorEastAsia"/>
        </w:rPr>
      </w:pPr>
      <w:bookmarkStart w:id="123" w:name="_Toc15644873"/>
      <w:r w:rsidRPr="008470C4">
        <w:t xml:space="preserve">Recommendation </w:t>
      </w:r>
      <w:r w:rsidR="0082601E">
        <w:t>4.3</w:t>
      </w:r>
      <w:bookmarkEnd w:id="123"/>
    </w:p>
    <w:p w14:paraId="233F057E" w14:textId="2A47F202" w:rsidR="00843AC4" w:rsidRPr="009B0335" w:rsidRDefault="00140F1D" w:rsidP="008F13EA">
      <w:pPr>
        <w:pBdr>
          <w:top w:val="single" w:sz="4" w:space="1" w:color="auto"/>
          <w:left w:val="single" w:sz="4" w:space="1" w:color="auto"/>
          <w:bottom w:val="single" w:sz="4" w:space="1" w:color="auto"/>
          <w:right w:val="single" w:sz="4" w:space="1" w:color="auto"/>
        </w:pBdr>
        <w:shd w:val="clear" w:color="auto" w:fill="F2F2F2" w:themeFill="background1" w:themeFillShade="F2"/>
      </w:pPr>
      <w:r>
        <w:rPr>
          <w:rFonts w:eastAsiaTheme="minorEastAsia"/>
        </w:rPr>
        <w:t>E</w:t>
      </w:r>
      <w:r w:rsidR="00843AC4" w:rsidRPr="009B0335">
        <w:t>qualis</w:t>
      </w:r>
      <w:r>
        <w:t>e</w:t>
      </w:r>
      <w:r w:rsidR="00843AC4" w:rsidRPr="009B0335">
        <w:t xml:space="preserve"> rebate</w:t>
      </w:r>
      <w:r>
        <w:t>s</w:t>
      </w:r>
      <w:r w:rsidR="00843AC4" w:rsidRPr="009B0335">
        <w:t xml:space="preserve"> for GPM</w:t>
      </w:r>
      <w:r w:rsidR="00DF0E15" w:rsidRPr="009B0335">
        <w:t>P</w:t>
      </w:r>
      <w:r w:rsidR="00843AC4" w:rsidRPr="009B0335">
        <w:t xml:space="preserve"> preparation and review to</w:t>
      </w:r>
      <w:r w:rsidR="00843AC4" w:rsidRPr="009B0335">
        <w:rPr>
          <w:rFonts w:eastAsiaTheme="minorEastAsia"/>
        </w:rPr>
        <w:t xml:space="preserve"> </w:t>
      </w:r>
      <w:r w:rsidR="00E231E2">
        <w:rPr>
          <w:rFonts w:eastAsiaTheme="minorEastAsia"/>
        </w:rPr>
        <w:t xml:space="preserve">encourage </w:t>
      </w:r>
      <w:r w:rsidR="00843AC4" w:rsidRPr="009B0335">
        <w:t>l</w:t>
      </w:r>
      <w:r w:rsidR="00843AC4" w:rsidRPr="009B0335">
        <w:rPr>
          <w:rFonts w:eastAsiaTheme="minorEastAsia"/>
        </w:rPr>
        <w:t>ongitudinal patient care.</w:t>
      </w:r>
    </w:p>
    <w:p w14:paraId="4FF9186B" w14:textId="77777777" w:rsidR="003B7EC1" w:rsidRDefault="003B7EC1" w:rsidP="00BB5315">
      <w:pPr>
        <w:pStyle w:val="Bullet-green"/>
      </w:pPr>
      <w:r>
        <w:t>Item 732</w:t>
      </w:r>
    </w:p>
    <w:p w14:paraId="222AA055" w14:textId="77777777" w:rsidR="00BB5315" w:rsidRDefault="00BB5315" w:rsidP="00A46733">
      <w:pPr>
        <w:pStyle w:val="Bullet2"/>
      </w:pPr>
      <w:r w:rsidRPr="008470C4">
        <w:t xml:space="preserve">Change </w:t>
      </w:r>
      <w:r w:rsidR="00C37DF5">
        <w:t xml:space="preserve">the descriptor, explanatory note and </w:t>
      </w:r>
      <w:r w:rsidR="00050E30">
        <w:t xml:space="preserve">schedule fee </w:t>
      </w:r>
    </w:p>
    <w:p w14:paraId="5855A017" w14:textId="77777777" w:rsidR="00D82202" w:rsidRDefault="00D82202" w:rsidP="00D82202">
      <w:pPr>
        <w:pStyle w:val="Bullet2"/>
      </w:pPr>
      <w:r>
        <w:t>The schedule fee for item</w:t>
      </w:r>
      <w:r w:rsidR="005F01BE">
        <w:t>s</w:t>
      </w:r>
      <w:r>
        <w:t xml:space="preserve"> 732 </w:t>
      </w:r>
      <w:r w:rsidR="005F01BE">
        <w:t xml:space="preserve">and 721 should be of equal value, </w:t>
      </w:r>
      <w:r w:rsidR="004875C3">
        <w:t xml:space="preserve">noting that the recommendations support an increase to funding for </w:t>
      </w:r>
      <w:r w:rsidR="00D81C5D">
        <w:t>general practice</w:t>
      </w:r>
      <w:r w:rsidR="004875C3">
        <w:t>, including chronic disease management.</w:t>
      </w:r>
    </w:p>
    <w:p w14:paraId="67EB6992" w14:textId="77777777" w:rsidR="00C37DF5" w:rsidRDefault="00C37DF5" w:rsidP="003B7EC1">
      <w:pPr>
        <w:pStyle w:val="Bullet2"/>
      </w:pPr>
      <w:r>
        <w:t>The descriptor should:</w:t>
      </w:r>
    </w:p>
    <w:p w14:paraId="4D3DF05D" w14:textId="77777777" w:rsidR="000B378E" w:rsidRDefault="000B378E" w:rsidP="000B378E">
      <w:pPr>
        <w:pStyle w:val="Dash3"/>
      </w:pPr>
      <w:r>
        <w:t xml:space="preserve">State that this item is available at the enrolled practice, for patients who are enrolled, or to be performed by the usual GP for patients who are not enrolled. </w:t>
      </w:r>
    </w:p>
    <w:p w14:paraId="5C3AEFF5" w14:textId="77777777" w:rsidR="00F55E8B" w:rsidRDefault="00F55E8B" w:rsidP="00C37DF5">
      <w:pPr>
        <w:pStyle w:val="Dash3"/>
      </w:pPr>
      <w:r w:rsidRPr="00F55E8B">
        <w:t>Specify that a 732 is only available 3 months after the creation of a 721, then every 3 months, with a maximum of three claims for item 732 in the first year and four claims in subsequent years</w:t>
      </w:r>
      <w:r w:rsidR="00E16600">
        <w:t xml:space="preserve">. Note that an alternative is that after the creation of a 721, up to four 732s are performed a year without the need for further 721s. The Committee supports either option, noting that this is </w:t>
      </w:r>
      <w:r w:rsidR="00F7717A">
        <w:t xml:space="preserve">primarily </w:t>
      </w:r>
      <w:r w:rsidR="00E16600">
        <w:t>an administrative issue.</w:t>
      </w:r>
    </w:p>
    <w:p w14:paraId="5C14717A" w14:textId="77777777" w:rsidR="00F55E8B" w:rsidRPr="00F55E8B" w:rsidRDefault="00F55E8B" w:rsidP="00F55E8B">
      <w:pPr>
        <w:pStyle w:val="Bullet2"/>
      </w:pPr>
      <w:r w:rsidRPr="00F55E8B">
        <w:t>The explanatory note should specify that any changes in the Care Plan triggered by the review should be uploaded to My Health Record, unless patient consent is withdrawn</w:t>
      </w:r>
      <w:r>
        <w:t>, and where reasonably achievable.</w:t>
      </w:r>
    </w:p>
    <w:p w14:paraId="17524F9B" w14:textId="77777777" w:rsidR="00BC616A" w:rsidRDefault="00BB5315" w:rsidP="00BC616A">
      <w:pPr>
        <w:pStyle w:val="Bullet-green"/>
      </w:pPr>
      <w:r w:rsidRPr="008470C4">
        <w:t>The proposed new descriptor is as follows:</w:t>
      </w:r>
    </w:p>
    <w:p w14:paraId="4BC4B191" w14:textId="77777777" w:rsidR="007C77D6" w:rsidRPr="007C77D6" w:rsidRDefault="007C77D6" w:rsidP="00BC616A">
      <w:pPr>
        <w:pStyle w:val="Bullet-green"/>
        <w:numPr>
          <w:ilvl w:val="0"/>
          <w:numId w:val="0"/>
        </w:numPr>
      </w:pPr>
      <w:r w:rsidRPr="007C77D6">
        <w:t>Attendance by a</w:t>
      </w:r>
      <w:r w:rsidR="0025347C">
        <w:t xml:space="preserve"> patient's usual</w:t>
      </w:r>
      <w:r w:rsidRPr="007C77D6">
        <w:t xml:space="preserve"> </w:t>
      </w:r>
      <w:r w:rsidR="003E2FE2">
        <w:t>gener</w:t>
      </w:r>
      <w:r w:rsidRPr="007C77D6">
        <w:t>al practitioner</w:t>
      </w:r>
      <w:r w:rsidR="004F306D">
        <w:t xml:space="preserve"> at</w:t>
      </w:r>
      <w:r w:rsidRPr="007C77D6">
        <w:t xml:space="preserve"> </w:t>
      </w:r>
      <w:r w:rsidR="004F306D" w:rsidRPr="004F306D">
        <w:t>the practice where the patient is enrolled</w:t>
      </w:r>
      <w:r w:rsidR="000B378E">
        <w:t xml:space="preserve"> (or the usual practice </w:t>
      </w:r>
      <w:r w:rsidR="001B4115">
        <w:t>for patients who are not enrolled</w:t>
      </w:r>
      <w:r w:rsidR="000B378E">
        <w:t>)</w:t>
      </w:r>
      <w:r w:rsidR="004F306D" w:rsidRPr="004F306D">
        <w:t xml:space="preserve"> </w:t>
      </w:r>
      <w:r w:rsidRPr="007C77D6">
        <w:t xml:space="preserve">to </w:t>
      </w:r>
      <w:r w:rsidR="008F1BE3">
        <w:t xml:space="preserve">undertake a comprehensive </w:t>
      </w:r>
      <w:r w:rsidRPr="007C77D6">
        <w:t>r</w:t>
      </w:r>
      <w:r w:rsidR="0078483B">
        <w:t xml:space="preserve">eview of </w:t>
      </w:r>
      <w:r w:rsidRPr="007C77D6">
        <w:t xml:space="preserve">a GP management plan prepared by a </w:t>
      </w:r>
      <w:r w:rsidR="003E2FE2">
        <w:t>gener</w:t>
      </w:r>
      <w:r w:rsidRPr="007C77D6">
        <w:t xml:space="preserve">al practitioner </w:t>
      </w:r>
      <w:r w:rsidR="0078483B">
        <w:t>to which item 721 applies</w:t>
      </w:r>
      <w:r w:rsidR="008F1BE3">
        <w:t>, and to coordinate any necessary team care arrangements</w:t>
      </w:r>
      <w:r w:rsidR="00F451BB">
        <w:t>.</w:t>
      </w:r>
    </w:p>
    <w:p w14:paraId="53DCF3B9" w14:textId="77777777" w:rsidR="00534335" w:rsidRPr="008470C4" w:rsidRDefault="00F451BB" w:rsidP="00F451BB">
      <w:pPr>
        <w:pStyle w:val="Bullet-green"/>
        <w:numPr>
          <w:ilvl w:val="0"/>
          <w:numId w:val="0"/>
        </w:numPr>
      </w:pPr>
      <w:r w:rsidRPr="00F451BB">
        <w:t>Each service to which item 732 applies may only be claimed after three months has passed from the creation of the GP management plan (item 721), and then every three months up to a maximum of three claims in the first year and four claims in subsequent years, except where there are exceptional circumstances that necessitate earlier performance of the service to the patient.</w:t>
      </w:r>
    </w:p>
    <w:p w14:paraId="5E7ED732" w14:textId="77777777" w:rsidR="00BB5315" w:rsidRPr="008470C4" w:rsidRDefault="00BB5315" w:rsidP="00BB5315">
      <w:pPr>
        <w:pStyle w:val="Bullet-green"/>
      </w:pPr>
      <w:r w:rsidRPr="008470C4">
        <w:t>The proposed new explanatory note is as follows:</w:t>
      </w:r>
    </w:p>
    <w:p w14:paraId="431294F2" w14:textId="77777777" w:rsidR="00BC616A" w:rsidRPr="009B0335" w:rsidRDefault="00BC616A" w:rsidP="00F44F16">
      <w:pPr>
        <w:ind w:firstLine="431"/>
        <w:rPr>
          <w:i/>
        </w:rPr>
      </w:pPr>
      <w:r w:rsidRPr="009B0335">
        <w:rPr>
          <w:i/>
        </w:rPr>
        <w:t>When reviewing a GP Management Plan, the medical practitioner must:</w:t>
      </w:r>
    </w:p>
    <w:p w14:paraId="3AE8E473" w14:textId="77777777" w:rsidR="00BC616A" w:rsidRPr="009B0335" w:rsidRDefault="00BC616A" w:rsidP="00A52246">
      <w:pPr>
        <w:pStyle w:val="Squarebullet"/>
        <w:rPr>
          <w:i/>
        </w:rPr>
      </w:pPr>
      <w:r w:rsidRPr="009B0335">
        <w:rPr>
          <w:i/>
        </w:rPr>
        <w:t>explain to the patient and the patient's carer (if any, and if the practitioner considers it appropriate and the patient agrees) the steps involved in the review;</w:t>
      </w:r>
    </w:p>
    <w:p w14:paraId="1390F622" w14:textId="77777777" w:rsidR="00BC616A" w:rsidRPr="009B0335" w:rsidRDefault="00BC616A" w:rsidP="00A52246">
      <w:pPr>
        <w:pStyle w:val="Squarebullet"/>
        <w:rPr>
          <w:i/>
        </w:rPr>
      </w:pPr>
      <w:r w:rsidRPr="009B0335">
        <w:rPr>
          <w:i/>
        </w:rPr>
        <w:t>record the patient's agreement to the review of the plan;</w:t>
      </w:r>
    </w:p>
    <w:p w14:paraId="3B3F2E79" w14:textId="77777777" w:rsidR="00BC616A" w:rsidRPr="009B0335" w:rsidRDefault="00BC616A" w:rsidP="00A52246">
      <w:pPr>
        <w:pStyle w:val="Squarebullet"/>
        <w:rPr>
          <w:i/>
        </w:rPr>
      </w:pPr>
      <w:r w:rsidRPr="009B0335">
        <w:rPr>
          <w:i/>
        </w:rPr>
        <w:t>review all the matters set out in the relevant plan;</w:t>
      </w:r>
    </w:p>
    <w:p w14:paraId="01E6B3AC" w14:textId="77777777" w:rsidR="00BC616A" w:rsidRPr="009B0335" w:rsidRDefault="00BC616A" w:rsidP="00A52246">
      <w:pPr>
        <w:pStyle w:val="Squarebullet"/>
        <w:rPr>
          <w:i/>
        </w:rPr>
      </w:pPr>
      <w:r w:rsidRPr="009B0335">
        <w:rPr>
          <w:i/>
        </w:rPr>
        <w:t>make any required amendments to the patient's plan</w:t>
      </w:r>
      <w:r w:rsidR="00B60632" w:rsidRPr="009B0335">
        <w:rPr>
          <w:i/>
        </w:rPr>
        <w:t xml:space="preserve"> and add any new clinically relevant conditions as needed</w:t>
      </w:r>
      <w:r w:rsidRPr="009B0335">
        <w:rPr>
          <w:i/>
        </w:rPr>
        <w:t>;</w:t>
      </w:r>
    </w:p>
    <w:p w14:paraId="0A878D8D" w14:textId="77777777" w:rsidR="00BC616A" w:rsidRPr="009B0335" w:rsidRDefault="00BC616A" w:rsidP="00A52246">
      <w:pPr>
        <w:pStyle w:val="Squarebullet"/>
        <w:rPr>
          <w:i/>
        </w:rPr>
      </w:pPr>
      <w:r w:rsidRPr="009B0335">
        <w:rPr>
          <w:i/>
        </w:rPr>
        <w:t>offer a copy of the amended document to the patient and the patient's carer (if any, and if the practitioner considers it appropriate and the patient agrees);</w:t>
      </w:r>
    </w:p>
    <w:p w14:paraId="0D4E1951" w14:textId="77777777" w:rsidR="00BC616A" w:rsidRPr="009B0335" w:rsidRDefault="00BC616A" w:rsidP="00A52246">
      <w:pPr>
        <w:pStyle w:val="Squarebullet"/>
        <w:rPr>
          <w:i/>
        </w:rPr>
      </w:pPr>
      <w:r w:rsidRPr="009B0335">
        <w:rPr>
          <w:i/>
        </w:rPr>
        <w:t xml:space="preserve">provide for further review of the amended plan </w:t>
      </w:r>
      <w:r w:rsidR="005F65AE" w:rsidRPr="009B0335">
        <w:rPr>
          <w:i/>
        </w:rPr>
        <w:t>by a date specified in the plan;</w:t>
      </w:r>
    </w:p>
    <w:p w14:paraId="082E00A7" w14:textId="77777777" w:rsidR="00F451BB" w:rsidRPr="009B0335" w:rsidRDefault="00F451BB" w:rsidP="00F451BB">
      <w:pPr>
        <w:pStyle w:val="Squarebullet"/>
        <w:rPr>
          <w:i/>
        </w:rPr>
      </w:pPr>
      <w:r w:rsidRPr="009B0335">
        <w:rPr>
          <w:i/>
        </w:rPr>
        <w:t xml:space="preserve">add a copy of the plan to the patient's medical records, and if the plan is amended upload a copy of the amended plan to My Health Record, unless patient consent is withdrawn </w:t>
      </w:r>
      <w:r w:rsidR="00DD2368" w:rsidRPr="009B0335">
        <w:rPr>
          <w:i/>
        </w:rPr>
        <w:t>and where reasonably achievable;</w:t>
      </w:r>
    </w:p>
    <w:p w14:paraId="67DBAEC8" w14:textId="77777777" w:rsidR="00F93782" w:rsidRPr="009B0335" w:rsidRDefault="00F93782" w:rsidP="00F93782">
      <w:pPr>
        <w:pStyle w:val="Squarebullet"/>
        <w:rPr>
          <w:i/>
        </w:rPr>
      </w:pPr>
      <w:r w:rsidRPr="009B0335">
        <w:rPr>
          <w:i/>
        </w:rPr>
        <w:t>provide copies of relevant parts of the document or advise that the document has been uploaded to My Health Record in referrals to collaborating providers.</w:t>
      </w:r>
    </w:p>
    <w:p w14:paraId="71CD16B8" w14:textId="77777777" w:rsidR="00B636FC" w:rsidRDefault="00B636FC" w:rsidP="00B636FC">
      <w:pPr>
        <w:pStyle w:val="Bullet-green"/>
      </w:pPr>
      <w:r>
        <w:t>Item 721</w:t>
      </w:r>
    </w:p>
    <w:p w14:paraId="63ED8D39" w14:textId="77777777" w:rsidR="005F01BE" w:rsidRPr="005F01BE" w:rsidRDefault="005F01BE" w:rsidP="00043EE1">
      <w:pPr>
        <w:pStyle w:val="Bullet2"/>
      </w:pPr>
      <w:r w:rsidRPr="005F01BE">
        <w:t xml:space="preserve">The schedule fee for items </w:t>
      </w:r>
      <w:r w:rsidR="00043EE1">
        <w:t>721 and 732</w:t>
      </w:r>
      <w:r w:rsidRPr="005F01BE">
        <w:t xml:space="preserve"> should be of equal value, noting that the recommendations support an increase to funding for general practice, including chronic disease management.</w:t>
      </w:r>
    </w:p>
    <w:p w14:paraId="2B4FB1A1" w14:textId="251BF3CC" w:rsidR="00BB5315" w:rsidRPr="008470C4" w:rsidRDefault="00BB5315" w:rsidP="00F44F16">
      <w:pPr>
        <w:pStyle w:val="Heading3Numbered"/>
        <w:numPr>
          <w:ilvl w:val="0"/>
          <w:numId w:val="0"/>
        </w:numPr>
        <w:ind w:left="720" w:hanging="720"/>
      </w:pPr>
      <w:bookmarkStart w:id="124" w:name="_Toc15644874"/>
      <w:r w:rsidRPr="008470C4">
        <w:t xml:space="preserve">Rationale </w:t>
      </w:r>
      <w:r w:rsidR="0082601E">
        <w:t>4.3</w:t>
      </w:r>
      <w:bookmarkEnd w:id="124"/>
    </w:p>
    <w:p w14:paraId="2B5E32E0" w14:textId="77777777" w:rsidR="00BB5315" w:rsidRPr="008470C4" w:rsidRDefault="00BB5315" w:rsidP="00BB5315">
      <w:r w:rsidRPr="008470C4">
        <w:t xml:space="preserve">This recommendation focuses on </w:t>
      </w:r>
      <w:r w:rsidR="001F1D83">
        <w:t>improving access to longitudinal care for patients with chronic disease and ensuring proper use of chronic disease management items</w:t>
      </w:r>
      <w:r w:rsidRPr="008470C4">
        <w:t>. It is based on the following.</w:t>
      </w:r>
    </w:p>
    <w:p w14:paraId="57D2767E" w14:textId="77777777" w:rsidR="00507C3B" w:rsidRPr="00507C3B" w:rsidRDefault="00507C3B" w:rsidP="00507C3B">
      <w:pPr>
        <w:pStyle w:val="Bullet-green"/>
        <w:rPr>
          <w:rStyle w:val="IntenseEmphasis"/>
        </w:rPr>
      </w:pPr>
      <w:r w:rsidRPr="00507C3B">
        <w:t xml:space="preserve">The Committee agreed that increased use of item 732 </w:t>
      </w:r>
      <w:r w:rsidR="00614692">
        <w:t>w</w:t>
      </w:r>
      <w:r w:rsidRPr="00507C3B">
        <w:t>ould deliver increased longitudinal care for patients with chronic disease</w:t>
      </w:r>
    </w:p>
    <w:p w14:paraId="4018A5AD" w14:textId="77777777" w:rsidR="00507C3B" w:rsidRPr="00507C3B" w:rsidRDefault="00507C3B" w:rsidP="00507C3B">
      <w:pPr>
        <w:pStyle w:val="Bullet2"/>
      </w:pPr>
      <w:r w:rsidRPr="00507C3B">
        <w:rPr>
          <w:rFonts w:eastAsiaTheme="minorEastAsia"/>
        </w:rPr>
        <w:t>Longitudinal care and reviewing and updating the plan by the patient’s usual GP is important in optimising pat</w:t>
      </w:r>
      <w:r w:rsidR="00FC0913">
        <w:rPr>
          <w:rFonts w:eastAsiaTheme="minorEastAsia"/>
        </w:rPr>
        <w:t>ient outcomes from CDM planning</w:t>
      </w:r>
      <w:r w:rsidR="009B1BE3">
        <w:rPr>
          <w:rFonts w:eastAsiaTheme="minorEastAsia"/>
        </w:rPr>
        <w:t xml:space="preserve"> </w:t>
      </w:r>
      <w:r w:rsidR="003078EA">
        <w:rPr>
          <w:rFonts w:eastAsiaTheme="minorEastAsia"/>
        </w:rPr>
        <w:t>(</w:t>
      </w:r>
      <w:r w:rsidR="00FC0913">
        <w:rPr>
          <w:rFonts w:eastAsiaTheme="minorEastAsia"/>
        </w:rPr>
        <w:endnoteReference w:id="45"/>
      </w:r>
      <w:r w:rsidR="003078EA">
        <w:rPr>
          <w:rFonts w:eastAsiaTheme="minorEastAsia"/>
        </w:rPr>
        <w:t>)</w:t>
      </w:r>
    </w:p>
    <w:p w14:paraId="0C98B8E4" w14:textId="77777777" w:rsidR="00507C3B" w:rsidRPr="00507C3B" w:rsidRDefault="00507C3B" w:rsidP="00507C3B">
      <w:pPr>
        <w:pStyle w:val="Bullet2"/>
      </w:pPr>
      <w:r w:rsidRPr="00507C3B">
        <w:rPr>
          <w:rFonts w:eastAsiaTheme="minorEastAsia"/>
        </w:rPr>
        <w:t>55% of patients with GPMPs did not receive a review within a year in 2016/17</w:t>
      </w:r>
      <w:r w:rsidR="009B1BE3">
        <w:rPr>
          <w:rFonts w:eastAsiaTheme="minorEastAsia"/>
        </w:rPr>
        <w:t xml:space="preserve"> </w:t>
      </w:r>
      <w:r w:rsidR="00615793">
        <w:rPr>
          <w:rFonts w:eastAsiaTheme="minorEastAsia"/>
        </w:rPr>
        <w:t>(</w:t>
      </w:r>
      <w:r w:rsidR="00615793">
        <w:rPr>
          <w:rFonts w:eastAsiaTheme="minorEastAsia"/>
        </w:rPr>
        <w:endnoteReference w:id="46"/>
      </w:r>
      <w:r w:rsidR="00615793">
        <w:rPr>
          <w:rFonts w:eastAsiaTheme="minorEastAsia"/>
        </w:rPr>
        <w:t>)</w:t>
      </w:r>
    </w:p>
    <w:p w14:paraId="59F9AA8A" w14:textId="77777777" w:rsidR="00507C3B" w:rsidRPr="00C30D75" w:rsidRDefault="00507C3B" w:rsidP="00507C3B">
      <w:pPr>
        <w:pStyle w:val="Bullet2"/>
        <w:rPr>
          <w:rFonts w:eastAsiaTheme="minorEastAsia"/>
          <w:b/>
          <w:bCs/>
          <w:i/>
          <w:iCs/>
        </w:rPr>
      </w:pPr>
      <w:r w:rsidRPr="00507C3B">
        <w:rPr>
          <w:rFonts w:eastAsiaTheme="minorEastAsia"/>
        </w:rPr>
        <w:t>Reviews are currently reimbursed at around half the schedule fee of the creation of a GPMP</w:t>
      </w:r>
    </w:p>
    <w:p w14:paraId="5A105450" w14:textId="77777777" w:rsidR="00507C3B" w:rsidRPr="008A3698" w:rsidRDefault="00507C3B" w:rsidP="008A3698">
      <w:pPr>
        <w:pStyle w:val="Bullet-green"/>
        <w:rPr>
          <w:rStyle w:val="IntenseEmphasis"/>
          <w:b w:val="0"/>
          <w:bCs w:val="0"/>
          <w:i w:val="0"/>
          <w:iCs w:val="0"/>
          <w:color w:val="auto"/>
        </w:rPr>
      </w:pPr>
      <w:r w:rsidRPr="008A3698">
        <w:rPr>
          <w:rStyle w:val="IntenseEmphasis"/>
          <w:b w:val="0"/>
          <w:bCs w:val="0"/>
          <w:i w:val="0"/>
          <w:iCs w:val="0"/>
          <w:color w:val="auto"/>
        </w:rPr>
        <w:t>The Committee agreed that the quality of item 732 would be strengthened by ensuri</w:t>
      </w:r>
      <w:r w:rsidR="004D3AEC">
        <w:rPr>
          <w:rStyle w:val="IntenseEmphasis"/>
          <w:b w:val="0"/>
          <w:bCs w:val="0"/>
          <w:i w:val="0"/>
          <w:iCs w:val="0"/>
          <w:color w:val="auto"/>
        </w:rPr>
        <w:t>ng that it is conducted by a GP at the practice where the patient is enrolled</w:t>
      </w:r>
      <w:r w:rsidRPr="008A3698">
        <w:rPr>
          <w:rStyle w:val="IntenseEmphasis"/>
          <w:b w:val="0"/>
          <w:bCs w:val="0"/>
          <w:i w:val="0"/>
          <w:iCs w:val="0"/>
          <w:color w:val="auto"/>
        </w:rPr>
        <w:t xml:space="preserve"> and requiring the </w:t>
      </w:r>
      <w:r w:rsidRPr="008A3698">
        <w:t>updated plan</w:t>
      </w:r>
      <w:r w:rsidRPr="008A3698">
        <w:rPr>
          <w:rStyle w:val="IntenseEmphasis"/>
          <w:b w:val="0"/>
          <w:bCs w:val="0"/>
          <w:i w:val="0"/>
          <w:iCs w:val="0"/>
          <w:color w:val="auto"/>
        </w:rPr>
        <w:t xml:space="preserve"> to be uploaded to My Health Record</w:t>
      </w:r>
      <w:r w:rsidR="007F3209">
        <w:rPr>
          <w:rStyle w:val="IntenseEmphasis"/>
        </w:rPr>
        <w:t xml:space="preserve">, </w:t>
      </w:r>
      <w:r w:rsidR="007F3209" w:rsidRPr="007F3209">
        <w:t>unless patient consent is withdrawn, and where reasonably achievable.</w:t>
      </w:r>
    </w:p>
    <w:p w14:paraId="3F7F5548" w14:textId="77777777" w:rsidR="00507C3B" w:rsidRPr="008A3698" w:rsidRDefault="00507C3B" w:rsidP="004D3AEC">
      <w:pPr>
        <w:pStyle w:val="Bullet2"/>
        <w:rPr>
          <w:rStyle w:val="IntenseEmphasis"/>
          <w:b w:val="0"/>
          <w:bCs w:val="0"/>
          <w:i w:val="0"/>
          <w:iCs w:val="0"/>
          <w:color w:val="auto"/>
        </w:rPr>
      </w:pPr>
      <w:r w:rsidRPr="008A3698">
        <w:rPr>
          <w:rStyle w:val="IntenseEmphasis"/>
          <w:b w:val="0"/>
          <w:bCs w:val="0"/>
          <w:i w:val="0"/>
          <w:iCs w:val="0"/>
          <w:color w:val="auto"/>
        </w:rPr>
        <w:t xml:space="preserve">Requiring the review to be </w:t>
      </w:r>
      <w:r w:rsidRPr="004D3AEC">
        <w:rPr>
          <w:rStyle w:val="IntenseEmphasis"/>
          <w:b w:val="0"/>
          <w:bCs w:val="0"/>
          <w:i w:val="0"/>
          <w:iCs w:val="0"/>
          <w:color w:val="auto"/>
        </w:rPr>
        <w:t xml:space="preserve">conducted by </w:t>
      </w:r>
      <w:r w:rsidR="004D3AEC" w:rsidRPr="004D3AEC">
        <w:rPr>
          <w:rStyle w:val="IntenseEmphasis"/>
          <w:b w:val="0"/>
          <w:bCs w:val="0"/>
          <w:i w:val="0"/>
          <w:iCs w:val="0"/>
          <w:color w:val="auto"/>
        </w:rPr>
        <w:t xml:space="preserve">a GP at the practice where the patient is enrolled </w:t>
      </w:r>
      <w:r w:rsidRPr="004D3AEC">
        <w:rPr>
          <w:rStyle w:val="IntenseEmphasis"/>
          <w:b w:val="0"/>
          <w:bCs w:val="0"/>
          <w:i w:val="0"/>
          <w:iCs w:val="0"/>
          <w:color w:val="auto"/>
        </w:rPr>
        <w:t>will ensure that the review</w:t>
      </w:r>
      <w:r w:rsidRPr="008A3698">
        <w:rPr>
          <w:rStyle w:val="IntenseEmphasis"/>
          <w:b w:val="0"/>
          <w:bCs w:val="0"/>
          <w:i w:val="0"/>
          <w:iCs w:val="0"/>
          <w:color w:val="auto"/>
        </w:rPr>
        <w:t xml:space="preserve"> is facilitating longitudinal care</w:t>
      </w:r>
    </w:p>
    <w:p w14:paraId="12F78B4B" w14:textId="114EBA89" w:rsidR="00507C3B" w:rsidRPr="00F44F16" w:rsidRDefault="00507C3B" w:rsidP="008A3698">
      <w:pPr>
        <w:pStyle w:val="Bullet2"/>
        <w:rPr>
          <w:b/>
          <w:bCs/>
          <w:i/>
          <w:iCs/>
          <w:color w:val="1952F3"/>
        </w:rPr>
      </w:pPr>
      <w:r w:rsidRPr="008A3698">
        <w:rPr>
          <w:rStyle w:val="IntenseEmphasis"/>
          <w:b w:val="0"/>
          <w:bCs w:val="0"/>
          <w:i w:val="0"/>
          <w:iCs w:val="0"/>
          <w:color w:val="auto"/>
        </w:rPr>
        <w:t xml:space="preserve">Requiring the </w:t>
      </w:r>
      <w:r w:rsidRPr="008A3698">
        <w:t>updated plan</w:t>
      </w:r>
      <w:r w:rsidRPr="008A3698">
        <w:rPr>
          <w:rStyle w:val="IntenseEmphasis"/>
          <w:b w:val="0"/>
          <w:bCs w:val="0"/>
          <w:i w:val="0"/>
          <w:iCs w:val="0"/>
          <w:color w:val="auto"/>
        </w:rPr>
        <w:t xml:space="preserve"> to be uploaded to My Health Record will enable patient and </w:t>
      </w:r>
      <w:r w:rsidRPr="008A3698">
        <w:t>the patient's other health</w:t>
      </w:r>
      <w:r w:rsidRPr="00507C3B">
        <w:t xml:space="preserve"> care providers to access the current plan.</w:t>
      </w:r>
    </w:p>
    <w:p w14:paraId="1456E48D" w14:textId="77777777" w:rsidR="00681093" w:rsidRPr="00507C3B" w:rsidRDefault="00681093" w:rsidP="00F44F16">
      <w:pPr>
        <w:pStyle w:val="Bullet2"/>
        <w:numPr>
          <w:ilvl w:val="0"/>
          <w:numId w:val="0"/>
        </w:numPr>
        <w:ind w:left="720"/>
        <w:rPr>
          <w:rStyle w:val="IntenseEmphasis"/>
        </w:rPr>
      </w:pPr>
    </w:p>
    <w:p w14:paraId="3DA77172" w14:textId="3C649C65" w:rsidR="0015236D" w:rsidRDefault="00767F23"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25" w:name="_Toc15644875"/>
      <w:r>
        <w:t xml:space="preserve">Recommendation </w:t>
      </w:r>
      <w:r w:rsidR="0082601E">
        <w:t>4.4</w:t>
      </w:r>
      <w:bookmarkEnd w:id="125"/>
    </w:p>
    <w:p w14:paraId="180D4D39" w14:textId="20F8A8BE" w:rsidR="00DB19F0" w:rsidRPr="0015236D" w:rsidRDefault="00140F1D"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rPr>
          <w:rFonts w:eastAsiaTheme="minorEastAsia"/>
        </w:rPr>
        <w:t>I</w:t>
      </w:r>
      <w:r w:rsidR="00DB19F0">
        <w:rPr>
          <w:rFonts w:eastAsiaTheme="minorEastAsia"/>
        </w:rPr>
        <w:t>ncreas</w:t>
      </w:r>
      <w:r>
        <w:rPr>
          <w:rFonts w:eastAsiaTheme="minorEastAsia"/>
        </w:rPr>
        <w:t>e</w:t>
      </w:r>
      <w:r w:rsidR="00DB19F0">
        <w:rPr>
          <w:rFonts w:eastAsiaTheme="minorEastAsia"/>
        </w:rPr>
        <w:t xml:space="preserve"> </w:t>
      </w:r>
      <w:r w:rsidR="000A3722">
        <w:rPr>
          <w:rFonts w:eastAsiaTheme="minorEastAsia"/>
        </w:rPr>
        <w:t xml:space="preserve">patient </w:t>
      </w:r>
      <w:r w:rsidR="00DB19F0">
        <w:rPr>
          <w:rFonts w:eastAsiaTheme="minorEastAsia"/>
        </w:rPr>
        <w:t xml:space="preserve">access </w:t>
      </w:r>
      <w:r w:rsidR="00866C55" w:rsidRPr="00866C55">
        <w:rPr>
          <w:rFonts w:eastAsiaTheme="minorEastAsia"/>
        </w:rPr>
        <w:t>to high quality care coordination across physical, mental and social care domains.</w:t>
      </w:r>
      <w:r w:rsidR="00866C55" w:rsidDel="00866C55">
        <w:rPr>
          <w:rFonts w:eastAsiaTheme="minorEastAsia"/>
        </w:rPr>
        <w:t xml:space="preserve"> </w:t>
      </w:r>
    </w:p>
    <w:p w14:paraId="5158421F" w14:textId="7E6E4521" w:rsidR="0015236D" w:rsidRDefault="00767F23" w:rsidP="00F44F16">
      <w:pPr>
        <w:pStyle w:val="Heading3Numbered"/>
        <w:numPr>
          <w:ilvl w:val="0"/>
          <w:numId w:val="0"/>
        </w:numPr>
        <w:ind w:left="720" w:hanging="720"/>
      </w:pPr>
      <w:bookmarkStart w:id="126" w:name="_Toc15644876"/>
      <w:r>
        <w:t xml:space="preserve">Rationale </w:t>
      </w:r>
      <w:r w:rsidR="0082601E">
        <w:t>4.4</w:t>
      </w:r>
      <w:bookmarkEnd w:id="126"/>
    </w:p>
    <w:p w14:paraId="41ED84DD" w14:textId="43AE191A" w:rsidR="0015236D" w:rsidRPr="0015236D" w:rsidRDefault="0015236D" w:rsidP="0015236D">
      <w:r w:rsidRPr="0015236D">
        <w:t xml:space="preserve">This recommendation focuses on increasing access to care </w:t>
      </w:r>
      <w:r w:rsidR="00ED6042">
        <w:t>coor</w:t>
      </w:r>
      <w:r w:rsidR="00866C55">
        <w:t>d</w:t>
      </w:r>
      <w:r w:rsidR="00ED6042">
        <w:t xml:space="preserve">ination </w:t>
      </w:r>
      <w:r w:rsidRPr="0015236D">
        <w:t>services</w:t>
      </w:r>
      <w:r w:rsidR="00866C55">
        <w:t xml:space="preserve"> that encompass bio</w:t>
      </w:r>
      <w:r w:rsidR="00C30D75">
        <w:t>-psycho-</w:t>
      </w:r>
      <w:r w:rsidR="00866C55">
        <w:t>social models of care</w:t>
      </w:r>
      <w:r w:rsidR="00140F1D">
        <w:t xml:space="preserve"> and</w:t>
      </w:r>
      <w:r w:rsidR="00866C55">
        <w:t xml:space="preserve"> support</w:t>
      </w:r>
      <w:r w:rsidR="00140F1D">
        <w:t>s</w:t>
      </w:r>
      <w:r w:rsidR="00866C55">
        <w:t xml:space="preserve"> active patient involvement</w:t>
      </w:r>
      <w:r w:rsidR="00140F1D">
        <w:t xml:space="preserve"> in their own care planning</w:t>
      </w:r>
      <w:r w:rsidR="00CD6B7E">
        <w:t>. It is based on the following:</w:t>
      </w:r>
    </w:p>
    <w:p w14:paraId="500EF7D0" w14:textId="77777777" w:rsidR="0015236D" w:rsidRPr="00B1790B" w:rsidRDefault="0015236D" w:rsidP="0015236D">
      <w:pPr>
        <w:pStyle w:val="Bullet-green"/>
      </w:pPr>
      <w:r w:rsidRPr="0015236D">
        <w:rPr>
          <w:rFonts w:eastAsiaTheme="minorEastAsia"/>
        </w:rPr>
        <w:t xml:space="preserve">Consumers report difficulty with care navigation, including limited information and choice for patients about cost, quality and availability </w:t>
      </w:r>
    </w:p>
    <w:p w14:paraId="6945C51F" w14:textId="0905CF1E" w:rsidR="00B1790B" w:rsidRDefault="00B1790B" w:rsidP="00B1790B">
      <w:pPr>
        <w:pStyle w:val="Bullet-green"/>
      </w:pPr>
      <w:r w:rsidRPr="00B1790B">
        <w:t xml:space="preserve">Consumers with complex health care needs would benefit from greater assistance with care coordination and </w:t>
      </w:r>
      <w:r w:rsidR="00ED6042">
        <w:t>navigation</w:t>
      </w:r>
      <w:r w:rsidRPr="00B1790B">
        <w:t xml:space="preserve"> from a registered nurse, enrolled nurse or Aboriginal health practitioner or Aboriginal health worker</w:t>
      </w:r>
      <w:r w:rsidR="00CD6B7E">
        <w:t>.</w:t>
      </w:r>
    </w:p>
    <w:p w14:paraId="3B4A229C" w14:textId="438C5675" w:rsidR="00681093" w:rsidRDefault="00681093">
      <w:pPr>
        <w:spacing w:before="0" w:after="0" w:line="240" w:lineRule="auto"/>
      </w:pPr>
      <w:r>
        <w:br w:type="page"/>
      </w:r>
    </w:p>
    <w:p w14:paraId="34A818F1" w14:textId="3EE76F1E" w:rsidR="00516E38" w:rsidRPr="00516E38" w:rsidRDefault="00516E38"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27" w:name="_Toc15644877"/>
      <w:r w:rsidRPr="00516E38">
        <w:t xml:space="preserve">Recommendation </w:t>
      </w:r>
      <w:r w:rsidR="0082601E">
        <w:t>4.5</w:t>
      </w:r>
      <w:bookmarkEnd w:id="127"/>
    </w:p>
    <w:p w14:paraId="2FD1B7DC" w14:textId="7E3382B2" w:rsidR="00A64CD5" w:rsidRPr="00A64CD5" w:rsidRDefault="00140F1D"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rPr>
          <w:lang w:val="en-US"/>
        </w:rPr>
      </w:pPr>
      <w:r>
        <w:rPr>
          <w:rFonts w:eastAsiaTheme="minorEastAsia"/>
        </w:rPr>
        <w:t>D</w:t>
      </w:r>
      <w:r w:rsidR="00A64CD5">
        <w:rPr>
          <w:rFonts w:eastAsiaTheme="minorEastAsia"/>
        </w:rPr>
        <w:t>evelop</w:t>
      </w:r>
      <w:r w:rsidR="00DF0E15">
        <w:rPr>
          <w:rFonts w:eastAsiaTheme="minorEastAsia"/>
        </w:rPr>
        <w:t xml:space="preserve"> </w:t>
      </w:r>
      <w:r w:rsidR="00A64CD5">
        <w:rPr>
          <w:rFonts w:eastAsiaTheme="minorEastAsia"/>
          <w:lang w:val="en-US"/>
        </w:rPr>
        <w:t>advice and support mechanisms</w:t>
      </w:r>
      <w:r w:rsidR="00A64CD5" w:rsidRPr="00A64CD5">
        <w:rPr>
          <w:rFonts w:eastAsiaTheme="minorEastAsia"/>
          <w:lang w:val="en-US"/>
        </w:rPr>
        <w:t xml:space="preserve"> to activate and engage pati</w:t>
      </w:r>
      <w:r w:rsidR="00363DDB">
        <w:rPr>
          <w:rFonts w:eastAsiaTheme="minorEastAsia"/>
          <w:lang w:val="en-US"/>
        </w:rPr>
        <w:t>ents in their own care planning, including</w:t>
      </w:r>
      <w:r w:rsidR="00B94764">
        <w:rPr>
          <w:rFonts w:eastAsiaTheme="minorEastAsia"/>
          <w:lang w:val="en-US"/>
        </w:rPr>
        <w:t xml:space="preserve"> the</w:t>
      </w:r>
      <w:r w:rsidR="00363DDB">
        <w:rPr>
          <w:rFonts w:eastAsiaTheme="minorEastAsia"/>
          <w:lang w:val="en-US"/>
        </w:rPr>
        <w:t xml:space="preserve"> </w:t>
      </w:r>
      <w:r w:rsidR="00363DDB">
        <w:t>assessment and support</w:t>
      </w:r>
      <w:r w:rsidR="000A3722">
        <w:t xml:space="preserve"> </w:t>
      </w:r>
      <w:r w:rsidR="00B94764">
        <w:t xml:space="preserve">of </w:t>
      </w:r>
      <w:r w:rsidR="00363DDB">
        <w:t>patient health literacy</w:t>
      </w:r>
      <w:r w:rsidR="000A3722">
        <w:t xml:space="preserve"> activities</w:t>
      </w:r>
      <w:r w:rsidR="00DF0E15">
        <w:t>.</w:t>
      </w:r>
    </w:p>
    <w:p w14:paraId="18DD470F" w14:textId="77777777" w:rsidR="00F348AB" w:rsidRPr="00F348AB" w:rsidRDefault="00F348AB" w:rsidP="00F44F16">
      <w:pPr>
        <w:pStyle w:val="Heading3Numbered"/>
        <w:numPr>
          <w:ilvl w:val="0"/>
          <w:numId w:val="0"/>
        </w:numPr>
        <w:ind w:left="720" w:hanging="720"/>
        <w:rPr>
          <w:sz w:val="16"/>
          <w:szCs w:val="16"/>
        </w:rPr>
      </w:pPr>
    </w:p>
    <w:p w14:paraId="1B873264" w14:textId="3C9E1D78" w:rsidR="00516E38" w:rsidRPr="00516E38" w:rsidRDefault="00516E38" w:rsidP="00F44F16">
      <w:pPr>
        <w:pStyle w:val="Heading3Numbered"/>
        <w:numPr>
          <w:ilvl w:val="0"/>
          <w:numId w:val="0"/>
        </w:numPr>
        <w:ind w:left="720" w:hanging="720"/>
      </w:pPr>
      <w:bookmarkStart w:id="128" w:name="_Toc15644878"/>
      <w:r>
        <w:t xml:space="preserve">Rationale </w:t>
      </w:r>
      <w:r w:rsidR="0082601E">
        <w:t>4.5</w:t>
      </w:r>
      <w:bookmarkEnd w:id="128"/>
    </w:p>
    <w:p w14:paraId="2CA4D409" w14:textId="04245606" w:rsidR="00516E38" w:rsidRPr="00516E38" w:rsidRDefault="00516E38" w:rsidP="00516E38">
      <w:r w:rsidRPr="00516E38">
        <w:t xml:space="preserve">This recommendation focuses on improving patient experience and </w:t>
      </w:r>
      <w:r w:rsidR="00783C92">
        <w:t>increasing patient activation in care planning</w:t>
      </w:r>
      <w:r w:rsidRPr="00516E38">
        <w:t xml:space="preserve">. </w:t>
      </w:r>
    </w:p>
    <w:p w14:paraId="4A672F77" w14:textId="08B9F9C9" w:rsidR="00516E38" w:rsidRDefault="00516E38" w:rsidP="00CD6B7E">
      <w:r w:rsidRPr="00516E38">
        <w:t>The Committee agreed that</w:t>
      </w:r>
      <w:r w:rsidR="00783C92">
        <w:t xml:space="preserve"> patients need to be more involved in their own care planning</w:t>
      </w:r>
      <w:r w:rsidR="00CD6B7E">
        <w:t>, including</w:t>
      </w:r>
    </w:p>
    <w:p w14:paraId="7394CC08" w14:textId="13ABCEFC" w:rsidR="00783C92" w:rsidRPr="00CD6B7E" w:rsidRDefault="00CD6B7E" w:rsidP="00CD6B7E">
      <w:pPr>
        <w:pStyle w:val="Bullet-green"/>
        <w:rPr>
          <w:rFonts w:eastAsiaTheme="minorEastAsia"/>
        </w:rPr>
      </w:pPr>
      <w:r>
        <w:rPr>
          <w:rFonts w:eastAsiaTheme="minorEastAsia"/>
        </w:rPr>
        <w:t>e</w:t>
      </w:r>
      <w:r w:rsidR="00783C92" w:rsidRPr="00783C92">
        <w:rPr>
          <w:rFonts w:eastAsiaTheme="minorEastAsia"/>
        </w:rPr>
        <w:t>ffective care coordination means actively involving the patient in goal setting and decision-making, and pr</w:t>
      </w:r>
      <w:r w:rsidR="00352F4C">
        <w:rPr>
          <w:rFonts w:eastAsiaTheme="minorEastAsia"/>
        </w:rPr>
        <w:t>oviding self-management support</w:t>
      </w:r>
      <w:r w:rsidR="00615793">
        <w:rPr>
          <w:rFonts w:eastAsiaTheme="minorEastAsia"/>
        </w:rPr>
        <w:t>(</w:t>
      </w:r>
      <w:r w:rsidR="00352F4C">
        <w:rPr>
          <w:rFonts w:eastAsiaTheme="minorEastAsia"/>
        </w:rPr>
        <w:endnoteReference w:id="47"/>
      </w:r>
      <w:r w:rsidR="00615793">
        <w:rPr>
          <w:rFonts w:eastAsiaTheme="minorEastAsia"/>
        </w:rPr>
        <w:t>)</w:t>
      </w:r>
      <w:r>
        <w:rPr>
          <w:rFonts w:eastAsiaTheme="minorEastAsia"/>
        </w:rPr>
        <w:t>; and</w:t>
      </w:r>
    </w:p>
    <w:p w14:paraId="2E644D03" w14:textId="44D3FFB3" w:rsidR="00783C92" w:rsidRPr="00CD6B7E" w:rsidRDefault="00CD6B7E" w:rsidP="00CD6B7E">
      <w:pPr>
        <w:pStyle w:val="Bullet-green"/>
        <w:rPr>
          <w:rFonts w:eastAsiaTheme="minorEastAsia"/>
        </w:rPr>
      </w:pPr>
      <w:r>
        <w:rPr>
          <w:rFonts w:eastAsiaTheme="minorEastAsia"/>
        </w:rPr>
        <w:t>c</w:t>
      </w:r>
      <w:r w:rsidR="00783C92">
        <w:rPr>
          <w:rFonts w:eastAsiaTheme="minorEastAsia"/>
        </w:rPr>
        <w:t>linical experience</w:t>
      </w:r>
      <w:r w:rsidR="00783C92" w:rsidRPr="00783C92">
        <w:rPr>
          <w:rFonts w:eastAsiaTheme="minorEastAsia"/>
        </w:rPr>
        <w:t xml:space="preserve"> suggests that patients may not be sufficiently</w:t>
      </w:r>
      <w:r w:rsidR="00467B07">
        <w:rPr>
          <w:rFonts w:eastAsiaTheme="minorEastAsia"/>
        </w:rPr>
        <w:t xml:space="preserve"> supported or</w:t>
      </w:r>
      <w:r w:rsidR="00783C92" w:rsidRPr="00783C92">
        <w:rPr>
          <w:rFonts w:eastAsiaTheme="minorEastAsia"/>
        </w:rPr>
        <w:t xml:space="preserve"> engaged in their own care planning</w:t>
      </w:r>
    </w:p>
    <w:p w14:paraId="342631B1" w14:textId="77777777" w:rsidR="00866C55" w:rsidRPr="009B0335" w:rsidRDefault="00866C55" w:rsidP="008F13EA"/>
    <w:p w14:paraId="58EB3A8A" w14:textId="78A737AA" w:rsidR="003B539C" w:rsidRPr="003B539C" w:rsidRDefault="003B539C"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bookmarkStart w:id="129" w:name="_Toc15644879"/>
      <w:r>
        <w:t xml:space="preserve">Recommendation </w:t>
      </w:r>
      <w:r w:rsidR="00866C55">
        <w:t>4</w:t>
      </w:r>
      <w:r w:rsidR="0082601E">
        <w:t>.6</w:t>
      </w:r>
      <w:bookmarkEnd w:id="129"/>
    </w:p>
    <w:p w14:paraId="744EF4F6" w14:textId="4F085355" w:rsidR="00DF0E15" w:rsidRDefault="00140F1D"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rPr>
          <w:rFonts w:eastAsiaTheme="minorEastAsia"/>
        </w:rPr>
        <w:t>E</w:t>
      </w:r>
      <w:r w:rsidR="00DF0E15">
        <w:rPr>
          <w:rFonts w:eastAsiaTheme="minorEastAsia"/>
        </w:rPr>
        <w:t>ncourage increase</w:t>
      </w:r>
      <w:r>
        <w:rPr>
          <w:rFonts w:eastAsiaTheme="minorEastAsia"/>
        </w:rPr>
        <w:t>d</w:t>
      </w:r>
      <w:r w:rsidR="00DF0E15">
        <w:rPr>
          <w:rFonts w:eastAsiaTheme="minorEastAsia"/>
        </w:rPr>
        <w:t xml:space="preserve"> patient participation and </w:t>
      </w:r>
      <w:r w:rsidR="00153B68">
        <w:rPr>
          <w:rFonts w:eastAsiaTheme="minorEastAsia"/>
        </w:rPr>
        <w:t xml:space="preserve">rebate attendance of non-medical health professionals </w:t>
      </w:r>
      <w:r w:rsidR="00BB2A45">
        <w:rPr>
          <w:rFonts w:eastAsiaTheme="minorEastAsia"/>
        </w:rPr>
        <w:t xml:space="preserve">at </w:t>
      </w:r>
      <w:r>
        <w:rPr>
          <w:rFonts w:eastAsiaTheme="minorEastAsia"/>
        </w:rPr>
        <w:t xml:space="preserve">case </w:t>
      </w:r>
      <w:r w:rsidR="00BB2A45">
        <w:rPr>
          <w:rFonts w:eastAsiaTheme="minorEastAsia"/>
        </w:rPr>
        <w:t>conferences</w:t>
      </w:r>
      <w:r w:rsidR="00DF0E15">
        <w:rPr>
          <w:rFonts w:eastAsiaTheme="minorEastAsia"/>
        </w:rPr>
        <w:t>.</w:t>
      </w:r>
    </w:p>
    <w:p w14:paraId="5331A0CA" w14:textId="03A1E15A" w:rsidR="00C752E6" w:rsidRDefault="00C752E6" w:rsidP="003B539C">
      <w:pPr>
        <w:pStyle w:val="Bullet-green"/>
      </w:pPr>
      <w:r>
        <w:t>Items 735, 739, 743, 747, 750</w:t>
      </w:r>
    </w:p>
    <w:p w14:paraId="31F24B5D" w14:textId="77777777" w:rsidR="00467B07" w:rsidRDefault="00060787" w:rsidP="00060787">
      <w:pPr>
        <w:pStyle w:val="Bullet2"/>
      </w:pPr>
      <w:r w:rsidRPr="00060787">
        <w:t>Change the explanatory no</w:t>
      </w:r>
      <w:r w:rsidR="00467B07">
        <w:t>te</w:t>
      </w:r>
      <w:r w:rsidRPr="00060787">
        <w:t xml:space="preserve"> </w:t>
      </w:r>
      <w:r w:rsidR="00467B07">
        <w:t>to:</w:t>
      </w:r>
    </w:p>
    <w:p w14:paraId="4F7708E5" w14:textId="6019AE0D" w:rsidR="00E57FA8" w:rsidRDefault="00467B07" w:rsidP="009B0335">
      <w:pPr>
        <w:pStyle w:val="Dash3"/>
      </w:pPr>
      <w:r>
        <w:t>S</w:t>
      </w:r>
      <w:r w:rsidR="00060787" w:rsidRPr="00060787">
        <w:t xml:space="preserve">pecify that the patient </w:t>
      </w:r>
      <w:r w:rsidR="00ED6042">
        <w:t xml:space="preserve">or their nominated representative </w:t>
      </w:r>
      <w:r w:rsidR="00060787" w:rsidRPr="00060787">
        <w:t xml:space="preserve">should usually </w:t>
      </w:r>
      <w:r w:rsidR="00600D70">
        <w:t xml:space="preserve">be invited to </w:t>
      </w:r>
      <w:r w:rsidR="00060787" w:rsidRPr="00060787">
        <w:t>attend the case conference, subject to patient agreement</w:t>
      </w:r>
      <w:r>
        <w:t>;</w:t>
      </w:r>
    </w:p>
    <w:p w14:paraId="76CB47EA" w14:textId="77777777" w:rsidR="00060787" w:rsidRDefault="00467B07" w:rsidP="00467B07">
      <w:pPr>
        <w:pStyle w:val="Dash3"/>
      </w:pPr>
      <w:r>
        <w:t>R</w:t>
      </w:r>
      <w:r w:rsidR="00060787" w:rsidRPr="00060787">
        <w:t>equire the GP to provide a summary of the conference to the participants and to upload the updated care plan if changed by the case conference to My Health Record, unless patient consent is withdrawn</w:t>
      </w:r>
      <w:r w:rsidR="00060787">
        <w:t xml:space="preserve">, </w:t>
      </w:r>
      <w:r>
        <w:t>and where reasonably achievable;</w:t>
      </w:r>
    </w:p>
    <w:p w14:paraId="6F92C08F" w14:textId="77777777" w:rsidR="00467B07" w:rsidRDefault="00467B07" w:rsidP="00467B07">
      <w:pPr>
        <w:pStyle w:val="Dash3"/>
      </w:pPr>
      <w:r>
        <w:t>Note that case conferences can take place via telephone.</w:t>
      </w:r>
    </w:p>
    <w:p w14:paraId="6BF22528" w14:textId="77777777" w:rsidR="00EA13D2" w:rsidRPr="00060787" w:rsidRDefault="00EA13D2" w:rsidP="00EA13D2">
      <w:pPr>
        <w:pStyle w:val="Dash3"/>
      </w:pPr>
      <w:r>
        <w:t xml:space="preserve">State that </w:t>
      </w:r>
      <w:r w:rsidR="00A25AB1">
        <w:t>these items are</w:t>
      </w:r>
      <w:r>
        <w:t xml:space="preserve"> available at the enrolled practice, for patients who are enrolled, or to be performed by the usual GP for patients who are not enrolled. </w:t>
      </w:r>
    </w:p>
    <w:p w14:paraId="43886F6F" w14:textId="77777777" w:rsidR="00E30307" w:rsidRDefault="000F07CC" w:rsidP="000F07CC">
      <w:pPr>
        <w:pStyle w:val="Bullet2"/>
      </w:pPr>
      <w:r w:rsidRPr="000F07CC">
        <w:t>The proposed new explanatory note is as follows:</w:t>
      </w:r>
    </w:p>
    <w:p w14:paraId="6427D18F" w14:textId="77777777" w:rsidR="00E30307" w:rsidRPr="009B0335" w:rsidRDefault="00E30307" w:rsidP="00F44F16">
      <w:pPr>
        <w:ind w:left="360"/>
        <w:rPr>
          <w:i/>
        </w:rPr>
      </w:pPr>
      <w:r w:rsidRPr="009B0335">
        <w:rPr>
          <w:i/>
        </w:rPr>
        <w:t xml:space="preserve">Items 735 to 758 provide rebates for </w:t>
      </w:r>
      <w:r w:rsidR="003E2FE2" w:rsidRPr="009B0335">
        <w:rPr>
          <w:i/>
        </w:rPr>
        <w:t>genera</w:t>
      </w:r>
      <w:r w:rsidRPr="009B0335">
        <w:rPr>
          <w:i/>
        </w:rPr>
        <w:t xml:space="preserve">l practitioners </w:t>
      </w:r>
      <w:r w:rsidR="003E2FE2" w:rsidRPr="009B0335">
        <w:rPr>
          <w:i/>
        </w:rPr>
        <w:t>t</w:t>
      </w:r>
      <w:r w:rsidRPr="009B0335">
        <w:rPr>
          <w:i/>
        </w:rPr>
        <w:t>o organise and coordinate, or participate in, multidisciplinary case conferences for patients in the community or patients being discharged into the community from hospital or people living in residential aged care facilities.</w:t>
      </w:r>
    </w:p>
    <w:p w14:paraId="669F4BCA" w14:textId="77777777" w:rsidR="00E30307" w:rsidRPr="009B0335" w:rsidRDefault="00E30307" w:rsidP="00F44F16">
      <w:pPr>
        <w:ind w:left="360"/>
        <w:rPr>
          <w:i/>
        </w:rPr>
      </w:pPr>
      <w:r w:rsidRPr="009B0335">
        <w:rPr>
          <w:i/>
        </w:rPr>
        <w:t>To organise and coordinate case conference items 735, 739 and 743, the provider must:</w:t>
      </w:r>
    </w:p>
    <w:p w14:paraId="082B735B" w14:textId="77777777" w:rsidR="00E30307" w:rsidRPr="009B0335" w:rsidRDefault="00E30307" w:rsidP="009B0335">
      <w:pPr>
        <w:ind w:left="567"/>
        <w:rPr>
          <w:i/>
        </w:rPr>
      </w:pPr>
      <w:r w:rsidRPr="009B0335">
        <w:rPr>
          <w:i/>
        </w:rPr>
        <w:t>(a) explain to the patient the nature of a multidisciplinary case conference, ask the patient for their agreement to the conference taking place</w:t>
      </w:r>
      <w:r w:rsidR="002A7362" w:rsidRPr="009B0335">
        <w:rPr>
          <w:i/>
        </w:rPr>
        <w:t xml:space="preserve">, and ask the patient if they </w:t>
      </w:r>
      <w:r w:rsidR="00555DE4" w:rsidRPr="009B0335">
        <w:rPr>
          <w:i/>
        </w:rPr>
        <w:t>would like</w:t>
      </w:r>
      <w:r w:rsidR="002A7362" w:rsidRPr="009B0335">
        <w:rPr>
          <w:i/>
        </w:rPr>
        <w:t xml:space="preserve"> to </w:t>
      </w:r>
      <w:r w:rsidR="00555DE4" w:rsidRPr="009B0335">
        <w:rPr>
          <w:i/>
        </w:rPr>
        <w:t>attend</w:t>
      </w:r>
      <w:r w:rsidR="002A7362" w:rsidRPr="009B0335">
        <w:rPr>
          <w:i/>
        </w:rPr>
        <w:t xml:space="preserve"> the case conference</w:t>
      </w:r>
      <w:r w:rsidR="00600D70" w:rsidRPr="009B0335">
        <w:rPr>
          <w:i/>
        </w:rPr>
        <w:t xml:space="preserve"> (unless there is a valid clinical reason why the patient should not attend, which must be documented)</w:t>
      </w:r>
      <w:r w:rsidRPr="009B0335">
        <w:rPr>
          <w:i/>
        </w:rPr>
        <w:t>; and</w:t>
      </w:r>
    </w:p>
    <w:p w14:paraId="05F51DEA" w14:textId="77777777" w:rsidR="00E30307" w:rsidRPr="009B0335" w:rsidRDefault="00E30307" w:rsidP="009B0335">
      <w:pPr>
        <w:ind w:left="567"/>
        <w:rPr>
          <w:i/>
        </w:rPr>
      </w:pPr>
      <w:r w:rsidRPr="009B0335">
        <w:rPr>
          <w:i/>
        </w:rPr>
        <w:t>(b) record the patient's agreement to the conference; and</w:t>
      </w:r>
    </w:p>
    <w:p w14:paraId="278941CC" w14:textId="77777777" w:rsidR="00E30307" w:rsidRPr="009B0335" w:rsidRDefault="00E30307" w:rsidP="009B0335">
      <w:pPr>
        <w:ind w:left="567"/>
        <w:rPr>
          <w:i/>
        </w:rPr>
      </w:pPr>
      <w:r w:rsidRPr="009B0335">
        <w:rPr>
          <w:i/>
        </w:rPr>
        <w:t>(c) record the day on which the conference was held, and the times at which the conference started and ended; and</w:t>
      </w:r>
    </w:p>
    <w:p w14:paraId="57ADF3E4" w14:textId="77777777" w:rsidR="00E30307" w:rsidRPr="009B0335" w:rsidRDefault="00E30307" w:rsidP="009B0335">
      <w:pPr>
        <w:ind w:left="567"/>
        <w:rPr>
          <w:i/>
        </w:rPr>
      </w:pPr>
      <w:r w:rsidRPr="009B0335">
        <w:rPr>
          <w:i/>
        </w:rPr>
        <w:t>(d) record the names of the participants; and</w:t>
      </w:r>
    </w:p>
    <w:p w14:paraId="4772684A" w14:textId="77777777" w:rsidR="00E30307" w:rsidRPr="009B0335" w:rsidRDefault="00E30307" w:rsidP="009B0335">
      <w:pPr>
        <w:ind w:left="567"/>
        <w:rPr>
          <w:i/>
        </w:rPr>
      </w:pPr>
      <w:r w:rsidRPr="009B0335">
        <w:rPr>
          <w:i/>
        </w:rPr>
        <w:t>(e) offer the patient and the patient's carer (if any, and if the practitioner considers it appropriate and the patient agrees) a summary of the conference and provide this summary to other team members; and</w:t>
      </w:r>
    </w:p>
    <w:p w14:paraId="0B17BF65" w14:textId="77777777" w:rsidR="00E30307" w:rsidRPr="009B0335" w:rsidRDefault="00E30307" w:rsidP="009B0335">
      <w:pPr>
        <w:ind w:left="567"/>
        <w:rPr>
          <w:i/>
        </w:rPr>
      </w:pPr>
      <w:r w:rsidRPr="009B0335">
        <w:rPr>
          <w:i/>
        </w:rPr>
        <w:t>(f) discuss the outcomes of the conference with the patient and the patient's carer (if any, and if the practitioner considers it appropriate and the patient agrees); and</w:t>
      </w:r>
    </w:p>
    <w:p w14:paraId="2916375F" w14:textId="77777777" w:rsidR="00E30307" w:rsidRPr="009B0335" w:rsidRDefault="00E30307" w:rsidP="009B0335">
      <w:pPr>
        <w:ind w:left="567"/>
        <w:rPr>
          <w:i/>
        </w:rPr>
      </w:pPr>
      <w:r w:rsidRPr="009B0335">
        <w:rPr>
          <w:i/>
        </w:rPr>
        <w:t>(g) record all matters discussed and identified by the case conferencing team and put a copy of that record in the patient's medical records</w:t>
      </w:r>
      <w:r w:rsidR="00555DE4" w:rsidRPr="009B0335">
        <w:rPr>
          <w:i/>
        </w:rPr>
        <w:t xml:space="preserve">, and upload to My Health Record, </w:t>
      </w:r>
      <w:r w:rsidR="00483F48" w:rsidRPr="009B0335">
        <w:rPr>
          <w:i/>
        </w:rPr>
        <w:t>unless patient consent is withdrawn, and where reasonably achievable.</w:t>
      </w:r>
    </w:p>
    <w:p w14:paraId="5456FB65" w14:textId="77777777" w:rsidR="00E30307" w:rsidRPr="009B0335" w:rsidRDefault="00E30307" w:rsidP="00F44F16">
      <w:pPr>
        <w:ind w:left="360"/>
        <w:rPr>
          <w:i/>
        </w:rPr>
      </w:pPr>
      <w:r w:rsidRPr="009B0335">
        <w:rPr>
          <w:i/>
        </w:rPr>
        <w:t>To participate in multidisciplinary case conference items 747, 750 and 758, the provider must:</w:t>
      </w:r>
    </w:p>
    <w:p w14:paraId="27F74143" w14:textId="77777777" w:rsidR="004B5338" w:rsidRPr="009B0335" w:rsidRDefault="00E30307" w:rsidP="009B0335">
      <w:pPr>
        <w:ind w:left="567"/>
        <w:rPr>
          <w:i/>
        </w:rPr>
      </w:pPr>
      <w:r w:rsidRPr="009B0335">
        <w:rPr>
          <w:i/>
        </w:rPr>
        <w:t xml:space="preserve">(a) </w:t>
      </w:r>
      <w:r w:rsidR="004B5338" w:rsidRPr="009B0335">
        <w:rPr>
          <w:i/>
        </w:rPr>
        <w:t>explain to the patient the nature of a multidisciplinary case conference, ask the patient for their agreement to the conference taking place, and ask the patient if they would like to attend the case conference; and</w:t>
      </w:r>
    </w:p>
    <w:p w14:paraId="538F6C93" w14:textId="77777777" w:rsidR="00E30307" w:rsidRPr="009B0335" w:rsidRDefault="00E30307" w:rsidP="009B0335">
      <w:pPr>
        <w:ind w:left="567"/>
        <w:rPr>
          <w:i/>
        </w:rPr>
      </w:pPr>
      <w:r w:rsidRPr="009B0335">
        <w:rPr>
          <w:i/>
        </w:rPr>
        <w:t xml:space="preserve">(b) record the patient's agreement to the </w:t>
      </w:r>
      <w:r w:rsidR="003E2FE2" w:rsidRPr="009B0335">
        <w:rPr>
          <w:i/>
        </w:rPr>
        <w:t>general</w:t>
      </w:r>
      <w:r w:rsidRPr="009B0335">
        <w:rPr>
          <w:i/>
        </w:rPr>
        <w:t xml:space="preserve"> practitioner's participation; and</w:t>
      </w:r>
    </w:p>
    <w:p w14:paraId="404516F3" w14:textId="77777777" w:rsidR="00E30307" w:rsidRPr="009B0335" w:rsidRDefault="00E30307" w:rsidP="009B0335">
      <w:pPr>
        <w:ind w:left="567"/>
        <w:rPr>
          <w:i/>
        </w:rPr>
      </w:pPr>
      <w:r w:rsidRPr="009B0335">
        <w:rPr>
          <w:i/>
        </w:rPr>
        <w:t>(c) record the day on which the conference was held, and the times at which the conference started and ended; and</w:t>
      </w:r>
    </w:p>
    <w:p w14:paraId="358E300F" w14:textId="77777777" w:rsidR="00E30307" w:rsidRPr="009B0335" w:rsidRDefault="00E30307" w:rsidP="009B0335">
      <w:pPr>
        <w:ind w:left="567"/>
        <w:rPr>
          <w:i/>
        </w:rPr>
      </w:pPr>
      <w:r w:rsidRPr="009B0335">
        <w:rPr>
          <w:i/>
        </w:rPr>
        <w:t>(d) record the names of the participants; and</w:t>
      </w:r>
    </w:p>
    <w:p w14:paraId="2AD689BD" w14:textId="77777777" w:rsidR="00E30307" w:rsidRPr="009B0335" w:rsidRDefault="00E30307" w:rsidP="009B0335">
      <w:pPr>
        <w:ind w:left="567"/>
        <w:rPr>
          <w:i/>
        </w:rPr>
      </w:pPr>
      <w:r w:rsidRPr="009B0335">
        <w:rPr>
          <w:i/>
        </w:rPr>
        <w:t>(e) record all matters discussed and identified by the case conferencing team and put a copy of that record i</w:t>
      </w:r>
      <w:r w:rsidR="00555DE4" w:rsidRPr="009B0335">
        <w:rPr>
          <w:i/>
        </w:rPr>
        <w:t xml:space="preserve">n the patient's medical records, </w:t>
      </w:r>
      <w:r w:rsidR="00C61E62" w:rsidRPr="009B0335">
        <w:rPr>
          <w:i/>
        </w:rPr>
        <w:t>and upload to My Health Record any consequential changes to the Care Plan, unless patient consent is withdrawn and where reasonably achievable.</w:t>
      </w:r>
    </w:p>
    <w:p w14:paraId="036EECC8" w14:textId="77777777" w:rsidR="00E30307" w:rsidRPr="009B0335" w:rsidRDefault="00E30307" w:rsidP="00F44F16">
      <w:pPr>
        <w:ind w:left="360"/>
        <w:rPr>
          <w:i/>
        </w:rPr>
      </w:pPr>
      <w:r w:rsidRPr="009B0335">
        <w:rPr>
          <w:i/>
        </w:rPr>
        <w:t xml:space="preserve">Usual </w:t>
      </w:r>
      <w:r w:rsidR="003E2FE2" w:rsidRPr="009B0335">
        <w:rPr>
          <w:i/>
        </w:rPr>
        <w:t>general</w:t>
      </w:r>
      <w:r w:rsidRPr="009B0335">
        <w:rPr>
          <w:i/>
        </w:rPr>
        <w:t xml:space="preserve"> practitioner</w:t>
      </w:r>
    </w:p>
    <w:p w14:paraId="517E7552" w14:textId="77777777" w:rsidR="00E30307" w:rsidRPr="009B0335" w:rsidRDefault="00E30307" w:rsidP="00603A99">
      <w:pPr>
        <w:pStyle w:val="Squarebullet"/>
        <w:ind w:left="709"/>
        <w:rPr>
          <w:i/>
        </w:rPr>
      </w:pPr>
      <w:r w:rsidRPr="009B0335">
        <w:rPr>
          <w:i/>
        </w:rPr>
        <w:t xml:space="preserve">Items 735-758 should generally be undertaken by the patient's usual </w:t>
      </w:r>
      <w:r w:rsidR="00E942BE" w:rsidRPr="009B0335">
        <w:rPr>
          <w:i/>
        </w:rPr>
        <w:t>gener</w:t>
      </w:r>
      <w:r w:rsidRPr="009B0335">
        <w:rPr>
          <w:i/>
        </w:rPr>
        <w:t xml:space="preserve">al practitioner. This is </w:t>
      </w:r>
      <w:r w:rsidR="00045A32" w:rsidRPr="009B0335">
        <w:rPr>
          <w:i/>
        </w:rPr>
        <w:t>the patient's nominated</w:t>
      </w:r>
      <w:r w:rsidRPr="009B0335">
        <w:rPr>
          <w:i/>
        </w:rPr>
        <w:t xml:space="preserve"> </w:t>
      </w:r>
      <w:r w:rsidR="00E942BE" w:rsidRPr="009B0335">
        <w:rPr>
          <w:i/>
        </w:rPr>
        <w:t>gener</w:t>
      </w:r>
      <w:r w:rsidRPr="009B0335">
        <w:rPr>
          <w:i/>
        </w:rPr>
        <w:t xml:space="preserve">al practitioner, or a </w:t>
      </w:r>
      <w:r w:rsidR="00E942BE" w:rsidRPr="009B0335">
        <w:rPr>
          <w:i/>
        </w:rPr>
        <w:t>gener</w:t>
      </w:r>
      <w:r w:rsidRPr="009B0335">
        <w:rPr>
          <w:i/>
        </w:rPr>
        <w:t>al practitioner working in the medical practice</w:t>
      </w:r>
      <w:r w:rsidR="00045A32" w:rsidRPr="009B0335">
        <w:rPr>
          <w:i/>
        </w:rPr>
        <w:t xml:space="preserve"> where the patient is enrolled</w:t>
      </w:r>
      <w:r w:rsidR="00EA13D2" w:rsidRPr="009B0335">
        <w:rPr>
          <w:i/>
        </w:rPr>
        <w:t>. For patients who are not enrolled, the usual general practitioner is the GP, or a GP working in the medical practice, who has provided the majority of care to the patient over the previous twelve months and/or will be providing the majority of GP services to the patient over the next twelve months.</w:t>
      </w:r>
    </w:p>
    <w:p w14:paraId="7B679B42" w14:textId="77777777" w:rsidR="00E30307" w:rsidRPr="009B0335" w:rsidRDefault="00E30307" w:rsidP="00F44F16">
      <w:pPr>
        <w:ind w:left="360"/>
        <w:rPr>
          <w:i/>
        </w:rPr>
      </w:pPr>
      <w:r w:rsidRPr="009B0335">
        <w:rPr>
          <w:i/>
        </w:rPr>
        <w:t>Multidisciplinary case conference team members</w:t>
      </w:r>
    </w:p>
    <w:p w14:paraId="50BC3653" w14:textId="0D71D181" w:rsidR="00E30307" w:rsidRPr="009B0335" w:rsidRDefault="00E30307" w:rsidP="00F44F16">
      <w:pPr>
        <w:pStyle w:val="Squarebullet"/>
        <w:ind w:left="709"/>
        <w:rPr>
          <w:i/>
        </w:rPr>
      </w:pPr>
      <w:r w:rsidRPr="009B0335">
        <w:rPr>
          <w:i/>
        </w:rPr>
        <w:t xml:space="preserve">Examples of persons who, for the purposes of care planning and case conferencing may be included in a multidisciplinary care team are </w:t>
      </w:r>
      <w:r w:rsidR="009B5074">
        <w:rPr>
          <w:i/>
        </w:rPr>
        <w:t xml:space="preserve">Nurse Practitioners and </w:t>
      </w:r>
      <w:r w:rsidRPr="009B0335">
        <w:rPr>
          <w:i/>
        </w:rPr>
        <w:t xml:space="preserve">allied health professionals such as, but not limited to: Aboriginal health care workers; asthma educators; audiologists; dental therapists; dentists; diabetes educators; dietitians; mental health workers; occupational therapists; optometrists; orthoptists; orthotists or prosthetists; pharmacists; physiotherapists; podiatrists; psychologists; </w:t>
      </w:r>
      <w:r w:rsidR="00B3281F">
        <w:rPr>
          <w:i/>
        </w:rPr>
        <w:t xml:space="preserve">registered nurses; </w:t>
      </w:r>
      <w:r w:rsidRPr="009B0335">
        <w:rPr>
          <w:i/>
        </w:rPr>
        <w:t>social workers; speech pathologists.</w:t>
      </w:r>
    </w:p>
    <w:p w14:paraId="5F7CF806" w14:textId="77777777" w:rsidR="00E30307" w:rsidRPr="009B0335" w:rsidRDefault="00E30307" w:rsidP="00F44F16">
      <w:pPr>
        <w:pStyle w:val="Squarebullet"/>
        <w:ind w:left="709"/>
        <w:rPr>
          <w:i/>
        </w:rPr>
      </w:pPr>
      <w:r w:rsidRPr="009B0335">
        <w:rPr>
          <w:i/>
        </w:rPr>
        <w:t>A team may also include home and community service providers, or care organisers, such as: education providers; "meals on wheels" providers; personal care workers (workers who are paid to provide care services); probation officers.</w:t>
      </w:r>
    </w:p>
    <w:p w14:paraId="5843F145" w14:textId="77777777" w:rsidR="00E30307" w:rsidRPr="009B0335" w:rsidRDefault="00E30307" w:rsidP="00F44F16">
      <w:pPr>
        <w:pStyle w:val="Squarebullet"/>
        <w:ind w:left="709"/>
        <w:rPr>
          <w:i/>
        </w:rPr>
      </w:pPr>
      <w:r w:rsidRPr="009B0335">
        <w:rPr>
          <w:i/>
        </w:rPr>
        <w:t>The patient's informal or family carer may be included as a member of the team in addition to the minimum of three health or care providers.  The patient and the informal or family carer do not count towards the minimum of three.</w:t>
      </w:r>
    </w:p>
    <w:p w14:paraId="418BBDE8" w14:textId="77777777" w:rsidR="00E30307" w:rsidRPr="009B0335" w:rsidRDefault="00E30307" w:rsidP="00F44F16">
      <w:pPr>
        <w:ind w:left="360"/>
        <w:rPr>
          <w:i/>
        </w:rPr>
      </w:pPr>
      <w:r w:rsidRPr="009B0335">
        <w:rPr>
          <w:i/>
        </w:rPr>
        <w:t>Discharge case conference</w:t>
      </w:r>
    </w:p>
    <w:p w14:paraId="29013EF4" w14:textId="77777777" w:rsidR="00E30307" w:rsidRPr="009B0335" w:rsidRDefault="00E30307" w:rsidP="00F44F16">
      <w:pPr>
        <w:pStyle w:val="Squarebullet"/>
        <w:ind w:left="709"/>
        <w:rPr>
          <w:i/>
        </w:rPr>
      </w:pPr>
      <w:r w:rsidRPr="009B0335">
        <w:rPr>
          <w:i/>
        </w:rPr>
        <w:t>Organisation and coordination of a multidisciplinary discharge case conference (items 735, 739 and 743) may be provided for private in-patients being discharged into the community from hospital.</w:t>
      </w:r>
    </w:p>
    <w:p w14:paraId="2FD8F008" w14:textId="5D953E0B" w:rsidR="00681093" w:rsidRDefault="00F03D38" w:rsidP="00F03D38">
      <w:pPr>
        <w:pStyle w:val="Bullet-green"/>
      </w:pPr>
      <w:r w:rsidRPr="009B5074">
        <w:t xml:space="preserve">Create </w:t>
      </w:r>
      <w:r w:rsidR="00156826" w:rsidRPr="009B5074">
        <w:t>three</w:t>
      </w:r>
      <w:r w:rsidRPr="009B5074">
        <w:t xml:space="preserve"> new item</w:t>
      </w:r>
      <w:r w:rsidR="00E1443D" w:rsidRPr="009B5074">
        <w:t>s</w:t>
      </w:r>
      <w:r w:rsidRPr="009B5074">
        <w:t xml:space="preserve"> to rebate attendance at a case conference by non-</w:t>
      </w:r>
      <w:r w:rsidR="00B3281F">
        <w:t>medical</w:t>
      </w:r>
      <w:r w:rsidRPr="009B5074">
        <w:t xml:space="preserve"> health practitioners</w:t>
      </w:r>
      <w:r w:rsidR="00E1443D" w:rsidRPr="009B5074">
        <w:t>, one for 15-20 minutes to align with item 747, and one for 20-40 minutes to align with item 750</w:t>
      </w:r>
      <w:r w:rsidR="00156826" w:rsidRPr="009B5074">
        <w:t>, and one for &gt;40 minutes to align with item 758.</w:t>
      </w:r>
    </w:p>
    <w:p w14:paraId="60AA85B3" w14:textId="77777777" w:rsidR="00681093" w:rsidRDefault="00681093">
      <w:pPr>
        <w:spacing w:before="0" w:after="0" w:line="240" w:lineRule="auto"/>
      </w:pPr>
      <w:r>
        <w:br w:type="page"/>
      </w:r>
    </w:p>
    <w:p w14:paraId="307D3122" w14:textId="77777777" w:rsidR="00E1443D" w:rsidRPr="009B5074" w:rsidRDefault="003B539C" w:rsidP="003B539C">
      <w:pPr>
        <w:pStyle w:val="Bullet-green"/>
      </w:pPr>
      <w:r w:rsidRPr="009B5074">
        <w:t xml:space="preserve">The </w:t>
      </w:r>
      <w:r w:rsidR="00E1443D" w:rsidRPr="009B5074">
        <w:t xml:space="preserve">first </w:t>
      </w:r>
      <w:r w:rsidRPr="009B5074">
        <w:t>propos</w:t>
      </w:r>
      <w:r w:rsidR="00E1443D" w:rsidRPr="009B5074">
        <w:t>ed new descriptor is as follows:</w:t>
      </w:r>
    </w:p>
    <w:p w14:paraId="4DD2B11B" w14:textId="47BA6979" w:rsidR="00E1443D" w:rsidRPr="009B0335" w:rsidRDefault="00E1443D" w:rsidP="00F44F16">
      <w:pPr>
        <w:ind w:left="431"/>
        <w:rPr>
          <w:i/>
        </w:rPr>
      </w:pPr>
      <w:r w:rsidRPr="009B0335">
        <w:rPr>
          <w:i/>
        </w:rPr>
        <w:t>Attendance by a health practitioner (including allied health professionals</w:t>
      </w:r>
      <w:r w:rsidR="00153B68">
        <w:rPr>
          <w:i/>
        </w:rPr>
        <w:t>, registered nurses</w:t>
      </w:r>
      <w:r w:rsidR="0072088E" w:rsidRPr="009B0335">
        <w:rPr>
          <w:i/>
        </w:rPr>
        <w:t xml:space="preserve"> and nurse practitioners</w:t>
      </w:r>
      <w:r w:rsidRPr="009B0335">
        <w:rPr>
          <w:i/>
        </w:rPr>
        <w:t>, but not including a general practitioner, specialist or consultant physician), as a member of a multidisciplinary case conference team, to participate in:</w:t>
      </w:r>
    </w:p>
    <w:p w14:paraId="26E124CA" w14:textId="77777777" w:rsidR="00E1443D" w:rsidRPr="009B0335" w:rsidRDefault="00E1443D" w:rsidP="009B0335">
      <w:pPr>
        <w:ind w:left="567"/>
        <w:rPr>
          <w:i/>
        </w:rPr>
      </w:pPr>
      <w:r w:rsidRPr="009B0335">
        <w:rPr>
          <w:i/>
        </w:rPr>
        <w:t>(a) a community case conference; or</w:t>
      </w:r>
    </w:p>
    <w:p w14:paraId="264D13E7" w14:textId="77777777" w:rsidR="00E1443D" w:rsidRPr="009B0335" w:rsidRDefault="00E1443D" w:rsidP="009B0335">
      <w:pPr>
        <w:ind w:left="567"/>
        <w:rPr>
          <w:i/>
        </w:rPr>
      </w:pPr>
      <w:r w:rsidRPr="009B0335">
        <w:rPr>
          <w:i/>
        </w:rPr>
        <w:t>(b) a multidisciplinary case conference in a residential aged care facility; or</w:t>
      </w:r>
    </w:p>
    <w:p w14:paraId="7601596F" w14:textId="77777777" w:rsidR="00E1443D" w:rsidRPr="009B0335" w:rsidRDefault="00E1443D" w:rsidP="009B0335">
      <w:pPr>
        <w:ind w:left="567"/>
        <w:rPr>
          <w:i/>
        </w:rPr>
      </w:pPr>
      <w:r w:rsidRPr="009B0335">
        <w:rPr>
          <w:i/>
        </w:rPr>
        <w:t>(c) a multidisciplinary discharge case conference;</w:t>
      </w:r>
    </w:p>
    <w:p w14:paraId="2CD0F355" w14:textId="77777777" w:rsidR="00E1443D" w:rsidRPr="009B0335" w:rsidRDefault="00E1443D" w:rsidP="00F44F16">
      <w:pPr>
        <w:ind w:left="431"/>
        <w:rPr>
          <w:i/>
        </w:rPr>
      </w:pPr>
      <w:r w:rsidRPr="009B0335">
        <w:rPr>
          <w:i/>
        </w:rPr>
        <w:t>if the conference lasts for at least 15 minutes, but for less than 20 minutes (other than a service associated with a service to which items 721 to 732 apply)</w:t>
      </w:r>
    </w:p>
    <w:p w14:paraId="6713CF08" w14:textId="77777777" w:rsidR="00081166" w:rsidRPr="009B5074" w:rsidRDefault="00081166" w:rsidP="00081166">
      <w:pPr>
        <w:pStyle w:val="Bullet-green"/>
      </w:pPr>
      <w:r w:rsidRPr="009B5074">
        <w:t>The second proposed new descriptor is as follows:</w:t>
      </w:r>
    </w:p>
    <w:p w14:paraId="7DFA46DC" w14:textId="1B4F9FD9" w:rsidR="00081166" w:rsidRPr="009B0335" w:rsidRDefault="00081166" w:rsidP="00F44F16">
      <w:pPr>
        <w:ind w:left="431"/>
        <w:rPr>
          <w:i/>
        </w:rPr>
      </w:pPr>
      <w:r w:rsidRPr="009B0335">
        <w:rPr>
          <w:i/>
        </w:rPr>
        <w:t>Attendance by a health practitioner (including allied health professionals</w:t>
      </w:r>
      <w:r w:rsidR="00153B68">
        <w:rPr>
          <w:i/>
        </w:rPr>
        <w:t>, registered nurses</w:t>
      </w:r>
      <w:r w:rsidR="004F7139" w:rsidRPr="009B0335">
        <w:rPr>
          <w:i/>
        </w:rPr>
        <w:t xml:space="preserve"> and nurse practitioners</w:t>
      </w:r>
      <w:r w:rsidRPr="009B0335">
        <w:rPr>
          <w:i/>
        </w:rPr>
        <w:t>, but not including a general practitioner, specialist or consultant physician), as a member of a multidisciplinary case conference team, to participate in:</w:t>
      </w:r>
    </w:p>
    <w:p w14:paraId="057D67C7" w14:textId="77777777" w:rsidR="00081166" w:rsidRPr="009B0335" w:rsidRDefault="00081166" w:rsidP="009B0335">
      <w:pPr>
        <w:ind w:left="567"/>
        <w:rPr>
          <w:i/>
        </w:rPr>
      </w:pPr>
      <w:r w:rsidRPr="009B0335">
        <w:rPr>
          <w:i/>
        </w:rPr>
        <w:t>(a) a community case conference; or</w:t>
      </w:r>
    </w:p>
    <w:p w14:paraId="3702E887" w14:textId="77777777" w:rsidR="00081166" w:rsidRPr="009B0335" w:rsidRDefault="00081166" w:rsidP="009B0335">
      <w:pPr>
        <w:ind w:left="567"/>
        <w:rPr>
          <w:i/>
        </w:rPr>
      </w:pPr>
      <w:r w:rsidRPr="009B0335">
        <w:rPr>
          <w:i/>
        </w:rPr>
        <w:t>(b) a multidisciplinary case conference in a residential aged care facility; or</w:t>
      </w:r>
    </w:p>
    <w:p w14:paraId="059F5578" w14:textId="77777777" w:rsidR="00081166" w:rsidRPr="009B0335" w:rsidRDefault="00081166" w:rsidP="009B0335">
      <w:pPr>
        <w:ind w:left="567"/>
        <w:rPr>
          <w:i/>
        </w:rPr>
      </w:pPr>
      <w:r w:rsidRPr="009B0335">
        <w:rPr>
          <w:i/>
        </w:rPr>
        <w:t>(c) a multidisciplinary discharge case conference;</w:t>
      </w:r>
    </w:p>
    <w:p w14:paraId="4C9E8894" w14:textId="77777777" w:rsidR="00081166" w:rsidRPr="009B0335" w:rsidRDefault="00081166" w:rsidP="00F44F16">
      <w:pPr>
        <w:ind w:left="431"/>
        <w:rPr>
          <w:i/>
        </w:rPr>
      </w:pPr>
      <w:r w:rsidRPr="009B0335">
        <w:rPr>
          <w:i/>
        </w:rPr>
        <w:t>if the conference lasts for at least 20 minutes, but for less than 40 minutes (other than a service associated with a service to which items 721 to 732 apply)</w:t>
      </w:r>
    </w:p>
    <w:p w14:paraId="78EA6124" w14:textId="77777777" w:rsidR="00824714" w:rsidRPr="009B5074" w:rsidRDefault="00824714" w:rsidP="00824714">
      <w:pPr>
        <w:pStyle w:val="Bullet-green"/>
      </w:pPr>
      <w:r w:rsidRPr="009B5074">
        <w:t>The third proposed new descriptor is as follows:</w:t>
      </w:r>
    </w:p>
    <w:p w14:paraId="529D97F1" w14:textId="32514FA4" w:rsidR="00824714" w:rsidRPr="009B0335" w:rsidRDefault="00824714" w:rsidP="00F44F16">
      <w:pPr>
        <w:ind w:left="431"/>
        <w:rPr>
          <w:i/>
        </w:rPr>
      </w:pPr>
      <w:r w:rsidRPr="009B0335">
        <w:rPr>
          <w:i/>
        </w:rPr>
        <w:t>Attendance by a health practitioner (including allied health professionals</w:t>
      </w:r>
      <w:r w:rsidR="00153B68">
        <w:rPr>
          <w:i/>
        </w:rPr>
        <w:t>, registered nurses</w:t>
      </w:r>
      <w:r w:rsidR="004F7139" w:rsidRPr="009B0335">
        <w:rPr>
          <w:i/>
        </w:rPr>
        <w:t xml:space="preserve"> and nurse practitioners</w:t>
      </w:r>
      <w:r w:rsidRPr="009B0335">
        <w:rPr>
          <w:i/>
        </w:rPr>
        <w:t>, but not including a general practitioner, specialist or consultant physician), as a member of a multidisciplinary case conference team, to participate in:</w:t>
      </w:r>
    </w:p>
    <w:p w14:paraId="02DAC7C1" w14:textId="77777777" w:rsidR="00824714" w:rsidRPr="009B0335" w:rsidRDefault="00824714" w:rsidP="00F44F16">
      <w:pPr>
        <w:ind w:left="567"/>
        <w:rPr>
          <w:i/>
        </w:rPr>
      </w:pPr>
      <w:r w:rsidRPr="009B0335">
        <w:rPr>
          <w:i/>
        </w:rPr>
        <w:t xml:space="preserve"> (a) a community case conference; or</w:t>
      </w:r>
    </w:p>
    <w:p w14:paraId="1E2DEA5E" w14:textId="77777777" w:rsidR="00824714" w:rsidRPr="009B0335" w:rsidRDefault="00824714" w:rsidP="00F44F16">
      <w:pPr>
        <w:ind w:left="567"/>
        <w:rPr>
          <w:i/>
        </w:rPr>
      </w:pPr>
      <w:r w:rsidRPr="009B0335">
        <w:rPr>
          <w:i/>
        </w:rPr>
        <w:t>(b) a multidisciplinary case conference in a residential aged care facility; or</w:t>
      </w:r>
    </w:p>
    <w:p w14:paraId="6284D4EA" w14:textId="77777777" w:rsidR="00824714" w:rsidRPr="009B0335" w:rsidRDefault="00824714" w:rsidP="00F44F16">
      <w:pPr>
        <w:ind w:left="567"/>
        <w:rPr>
          <w:i/>
        </w:rPr>
      </w:pPr>
      <w:r w:rsidRPr="009B0335">
        <w:rPr>
          <w:i/>
        </w:rPr>
        <w:t>(c) a multidisciplinary discharge case conference;</w:t>
      </w:r>
    </w:p>
    <w:p w14:paraId="1CE911C4" w14:textId="77777777" w:rsidR="00824714" w:rsidRPr="009B0335" w:rsidRDefault="00824714" w:rsidP="00F44F16">
      <w:pPr>
        <w:ind w:left="431"/>
        <w:rPr>
          <w:i/>
        </w:rPr>
      </w:pPr>
      <w:r w:rsidRPr="009B0335">
        <w:rPr>
          <w:i/>
        </w:rPr>
        <w:t>if the conference lasts for at least 40 minutes (other than a service associated with a service to which items 721 to 732 apply)</w:t>
      </w:r>
    </w:p>
    <w:p w14:paraId="345B503D" w14:textId="417A144C" w:rsidR="003B539C" w:rsidRPr="003B539C" w:rsidRDefault="003B539C" w:rsidP="00F44F16">
      <w:pPr>
        <w:pStyle w:val="Heading3Numbered"/>
        <w:numPr>
          <w:ilvl w:val="0"/>
          <w:numId w:val="0"/>
        </w:numPr>
        <w:ind w:left="720" w:hanging="720"/>
      </w:pPr>
      <w:bookmarkStart w:id="130" w:name="_Toc15644880"/>
      <w:r>
        <w:t xml:space="preserve">Rationale </w:t>
      </w:r>
      <w:r w:rsidR="00C851BF">
        <w:t>4</w:t>
      </w:r>
      <w:r w:rsidR="00A824AB">
        <w:t>.6</w:t>
      </w:r>
      <w:bookmarkEnd w:id="130"/>
    </w:p>
    <w:p w14:paraId="2E220B4E" w14:textId="61E40338" w:rsidR="003B539C" w:rsidRPr="003B539C" w:rsidRDefault="003B539C" w:rsidP="003B539C">
      <w:r w:rsidRPr="003B539C">
        <w:t xml:space="preserve">This recommendation focuses on improving </w:t>
      </w:r>
      <w:r w:rsidR="00734D22">
        <w:t>access to case conferencing as part of effective chronic disease management, and ensuring that the patient is engaged in their own care planning</w:t>
      </w:r>
      <w:r w:rsidRPr="003B539C">
        <w:t>. It is based on the following.</w:t>
      </w:r>
    </w:p>
    <w:p w14:paraId="6B186C53" w14:textId="1D318E2E" w:rsidR="00E074FF" w:rsidRDefault="00E074FF" w:rsidP="00CD6B7E">
      <w:pPr>
        <w:pStyle w:val="Bullet-green"/>
      </w:pPr>
      <w:r>
        <w:t>The Committee agreed that use of case conferencing was important</w:t>
      </w:r>
      <w:r w:rsidR="00CD6B7E">
        <w:t>:</w:t>
      </w:r>
    </w:p>
    <w:p w14:paraId="2300A6D0" w14:textId="77777777" w:rsidR="00E074FF" w:rsidRPr="00E074FF" w:rsidRDefault="00E074FF" w:rsidP="00A76ECE">
      <w:pPr>
        <w:pStyle w:val="Bullet2"/>
      </w:pPr>
      <w:r>
        <w:t>A</w:t>
      </w:r>
      <w:r w:rsidRPr="00E074FF">
        <w:t>pproximately 50% Australians have at least one prominent chronic condition (i.e. arthritis, asthma, back pain, cancer, cardiovascular disease, chronic obstructive pulmonary disease, diabetes or mental ill-health)</w:t>
      </w:r>
      <w:r w:rsidR="00BE7D0B">
        <w:t xml:space="preserve"> (</w:t>
      </w:r>
      <w:r w:rsidR="00BE7D0B">
        <w:endnoteReference w:id="48"/>
      </w:r>
      <w:r w:rsidR="00BE7D0B">
        <w:t>)</w:t>
      </w:r>
    </w:p>
    <w:p w14:paraId="6B0C3A60" w14:textId="77777777" w:rsidR="00E074FF" w:rsidRPr="00E074FF" w:rsidRDefault="00E074FF" w:rsidP="00A76ECE">
      <w:pPr>
        <w:pStyle w:val="Bullet2"/>
      </w:pPr>
      <w:r w:rsidRPr="00E074FF">
        <w:t>Multi-disciplinary team based care, with efficient and accurate communication between providers, is essential for the safe and effective care of patients living with chronic disease.</w:t>
      </w:r>
      <w:r w:rsidR="00BE7D0B">
        <w:t xml:space="preserve"> (</w:t>
      </w:r>
      <w:r w:rsidR="00BE7D0B">
        <w:endnoteReference w:id="49"/>
      </w:r>
      <w:r w:rsidR="00BE7D0B">
        <w:t>)(</w:t>
      </w:r>
      <w:r w:rsidR="00BE7D0B">
        <w:endnoteReference w:id="50"/>
      </w:r>
      <w:r w:rsidR="00BE7D0B">
        <w:t>)(</w:t>
      </w:r>
      <w:r w:rsidR="00BE7D0B">
        <w:endnoteReference w:id="51"/>
      </w:r>
      <w:r w:rsidR="00BE7D0B">
        <w:t>)</w:t>
      </w:r>
      <w:r w:rsidRPr="00E074FF">
        <w:t xml:space="preserve"> This was one of the elements identified by McKinsey in an evidence review as providing significant redu</w:t>
      </w:r>
      <w:r w:rsidR="00A76C81">
        <w:t>ctions in hospitalization rates.</w:t>
      </w:r>
      <w:r w:rsidR="00BE7D0B">
        <w:t xml:space="preserve"> (</w:t>
      </w:r>
      <w:r w:rsidR="00BE7D0B">
        <w:endnoteReference w:id="52"/>
      </w:r>
      <w:r w:rsidR="00BE7D0B">
        <w:t>)</w:t>
      </w:r>
    </w:p>
    <w:p w14:paraId="4F285349" w14:textId="77777777" w:rsidR="00E074FF" w:rsidRPr="00E074FF" w:rsidRDefault="00E074FF" w:rsidP="00A76ECE">
      <w:pPr>
        <w:pStyle w:val="Bullet2"/>
      </w:pPr>
      <w:r w:rsidRPr="00E074FF">
        <w:t>While much communication between providers is appropriately written, verbal communication can complement this and is widely seen as essential for safety and quality in chronic disease management</w:t>
      </w:r>
      <w:r w:rsidR="00C26E5D">
        <w:t>.</w:t>
      </w:r>
      <w:r w:rsidR="00BE7D0B">
        <w:t xml:space="preserve"> (</w:t>
      </w:r>
      <w:r w:rsidR="00BE7D0B">
        <w:endnoteReference w:id="53"/>
      </w:r>
      <w:r w:rsidR="00BE7D0B">
        <w:t>)(</w:t>
      </w:r>
      <w:r w:rsidR="00BE7D0B">
        <w:endnoteReference w:id="54"/>
      </w:r>
      <w:r w:rsidR="00BE7D0B">
        <w:t>)(</w:t>
      </w:r>
      <w:r w:rsidR="00BE7D0B">
        <w:endnoteReference w:id="55"/>
      </w:r>
      <w:r w:rsidR="00BE7D0B">
        <w:t>)</w:t>
      </w:r>
    </w:p>
    <w:p w14:paraId="590FEC43" w14:textId="77777777" w:rsidR="00E20EB2" w:rsidRDefault="00E20EB2" w:rsidP="00F74DBD">
      <w:pPr>
        <w:pStyle w:val="Bullet-green"/>
      </w:pPr>
      <w:r>
        <w:t>The Committee agreed that uptake of case conferencing items is variable</w:t>
      </w:r>
    </w:p>
    <w:p w14:paraId="52E7B0E3" w14:textId="77777777" w:rsidR="00E20EB2" w:rsidRPr="00E20EB2" w:rsidRDefault="00E20EB2" w:rsidP="00E20EB2">
      <w:pPr>
        <w:pStyle w:val="Bullet2"/>
      </w:pPr>
      <w:r w:rsidRPr="00E20EB2">
        <w:t>The number of GP case conferencing items per 1000 population varies widely across States and Territories (highest in NT, lowest in SA, a 4.4-fold difference). Rates are also significantly higher in remote and rural communities. Rates are highest in patients aged 70 years and older.</w:t>
      </w:r>
      <w:r w:rsidR="00615793">
        <w:t xml:space="preserve"> (</w:t>
      </w:r>
      <w:r w:rsidR="00615793">
        <w:endnoteReference w:id="56"/>
      </w:r>
      <w:r w:rsidR="00615793">
        <w:t>)</w:t>
      </w:r>
    </w:p>
    <w:p w14:paraId="1D79D98C" w14:textId="77777777" w:rsidR="00E20EB2" w:rsidRDefault="00E20EB2" w:rsidP="00E20EB2">
      <w:pPr>
        <w:pStyle w:val="Bullet2"/>
      </w:pPr>
      <w:r w:rsidRPr="00E20EB2">
        <w:t>GPs report that it is logistically difficult to arrange a face to face or teleconference meeting with at least two other providers, and that the requirement for contemporaneity makes inclusion of additional members even more challenging.</w:t>
      </w:r>
    </w:p>
    <w:p w14:paraId="669B849B" w14:textId="77777777" w:rsidR="00F74DBD" w:rsidRPr="00F74DBD" w:rsidRDefault="00F74DBD" w:rsidP="00F74DBD">
      <w:pPr>
        <w:pStyle w:val="Bullet-green"/>
      </w:pPr>
      <w:r w:rsidRPr="00F74DBD">
        <w:t>The Committee agreed that patients should be given the opportunity to participate in case conferences</w:t>
      </w:r>
    </w:p>
    <w:p w14:paraId="773B29B6" w14:textId="77777777" w:rsidR="00F74DBD" w:rsidRPr="00CD6B7E" w:rsidRDefault="00F74DBD" w:rsidP="00274F60">
      <w:pPr>
        <w:pStyle w:val="Bullet2"/>
        <w:rPr>
          <w:b/>
          <w:bCs/>
          <w:i/>
          <w:iCs/>
        </w:rPr>
      </w:pPr>
      <w:r w:rsidRPr="00CD6B7E">
        <w:t>Consumers report limited awareness of these items’ availability.</w:t>
      </w:r>
    </w:p>
    <w:p w14:paraId="33BC318A" w14:textId="77777777" w:rsidR="00F74DBD" w:rsidRPr="00F74DBD" w:rsidRDefault="00F74DBD" w:rsidP="00F74DBD">
      <w:pPr>
        <w:pStyle w:val="Bullet2"/>
        <w:rPr>
          <w:rStyle w:val="IntenseEmphasis"/>
          <w:b w:val="0"/>
          <w:bCs w:val="0"/>
          <w:i w:val="0"/>
          <w:iCs w:val="0"/>
          <w:color w:val="auto"/>
        </w:rPr>
      </w:pPr>
      <w:r w:rsidRPr="00F74DBD">
        <w:rPr>
          <w:rFonts w:eastAsiaTheme="minorEastAsia"/>
        </w:rPr>
        <w:t xml:space="preserve">Effective care coordination means actively involving the patient in goal setting and decision-making, and providing self-management support </w:t>
      </w:r>
    </w:p>
    <w:p w14:paraId="55C54FE0" w14:textId="77777777" w:rsidR="003B539C" w:rsidRPr="003B539C" w:rsidRDefault="001D1A31" w:rsidP="003B539C">
      <w:pPr>
        <w:pStyle w:val="Bullet-green"/>
      </w:pPr>
      <w:r>
        <w:t>The Committee agreed that enabling non-doctor health practitioners to claim an MBS item for participation in a case conference may increase uptake of case conferences</w:t>
      </w:r>
    </w:p>
    <w:p w14:paraId="0D962EED" w14:textId="77777777" w:rsidR="00817085" w:rsidRPr="00817085" w:rsidRDefault="00817085" w:rsidP="00817085">
      <w:pPr>
        <w:pStyle w:val="Bullet2"/>
        <w:rPr>
          <w:lang w:val="en-AU"/>
        </w:rPr>
      </w:pPr>
      <w:r w:rsidRPr="00817085">
        <w:rPr>
          <w:rFonts w:eastAsiaTheme="minorEastAsia"/>
        </w:rPr>
        <w:t xml:space="preserve">Multi-disciplinary team based care, with efficient and accurate communication between providers, is essential for the safe and effective care of patients living with chronic disease. </w:t>
      </w:r>
    </w:p>
    <w:p w14:paraId="5592F8D0" w14:textId="77777777" w:rsidR="00817085" w:rsidRPr="00817085" w:rsidRDefault="00817085" w:rsidP="00817085">
      <w:pPr>
        <w:pStyle w:val="Bullet2"/>
        <w:rPr>
          <w:lang w:val="en-AU"/>
        </w:rPr>
      </w:pPr>
      <w:r w:rsidRPr="00817085">
        <w:rPr>
          <w:rFonts w:eastAsiaTheme="minorEastAsia"/>
        </w:rPr>
        <w:t>While much communication between providers is appropriately written, verbal communication can complement this and is widely seen as essential for safety and quality in chronic disease management.</w:t>
      </w:r>
    </w:p>
    <w:p w14:paraId="02601EAE" w14:textId="635C9565" w:rsidR="00817085" w:rsidRPr="009B0335" w:rsidRDefault="00817085" w:rsidP="00817085">
      <w:pPr>
        <w:pStyle w:val="Bullet2"/>
        <w:rPr>
          <w:lang w:val="en-AU"/>
        </w:rPr>
      </w:pPr>
      <w:r w:rsidRPr="00817085">
        <w:rPr>
          <w:rFonts w:eastAsiaTheme="minorEastAsia"/>
        </w:rPr>
        <w:t>Case conferencing items are not highly utilised, with 3.5 services per 1000 patients, but their use is growing (15% CAGR)</w:t>
      </w:r>
      <w:r w:rsidR="00C46CF4">
        <w:rPr>
          <w:rFonts w:eastAsiaTheme="minorEastAsia"/>
        </w:rPr>
        <w:t xml:space="preserve"> (</w:t>
      </w:r>
      <w:r w:rsidR="00C46CF4">
        <w:rPr>
          <w:rFonts w:eastAsiaTheme="minorEastAsia"/>
        </w:rPr>
        <w:endnoteReference w:id="57"/>
      </w:r>
      <w:r w:rsidR="00C46CF4">
        <w:rPr>
          <w:rFonts w:eastAsiaTheme="minorEastAsia"/>
        </w:rPr>
        <w:t>)</w:t>
      </w:r>
    </w:p>
    <w:p w14:paraId="71DC2B2A" w14:textId="77777777" w:rsidR="00B3281F" w:rsidRPr="00F74DBD" w:rsidRDefault="00B3281F" w:rsidP="009B0335">
      <w:pPr>
        <w:pStyle w:val="Bullet2"/>
        <w:numPr>
          <w:ilvl w:val="0"/>
          <w:numId w:val="0"/>
        </w:numPr>
        <w:ind w:left="720"/>
        <w:rPr>
          <w:lang w:val="en-AU"/>
        </w:rPr>
      </w:pPr>
    </w:p>
    <w:p w14:paraId="7E88E9DE" w14:textId="7A290087" w:rsidR="00DF0E15" w:rsidRPr="00706C75" w:rsidRDefault="00DF0E15"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bookmarkStart w:id="131" w:name="_Toc15644881"/>
      <w:r>
        <w:t xml:space="preserve">Recommendation </w:t>
      </w:r>
      <w:r w:rsidR="00A824AB">
        <w:t>4.7</w:t>
      </w:r>
      <w:bookmarkEnd w:id="131"/>
    </w:p>
    <w:p w14:paraId="05D20621" w14:textId="526A38AF" w:rsidR="00DF0E15" w:rsidRPr="009B0335" w:rsidRDefault="00603A99" w:rsidP="008F13EA">
      <w:pPr>
        <w:pBdr>
          <w:top w:val="single" w:sz="4" w:space="1" w:color="auto"/>
          <w:left w:val="single" w:sz="4" w:space="1" w:color="auto"/>
          <w:bottom w:val="single" w:sz="4" w:space="1" w:color="auto"/>
          <w:right w:val="single" w:sz="4" w:space="1" w:color="auto"/>
        </w:pBdr>
        <w:shd w:val="clear" w:color="auto" w:fill="F2F2F2" w:themeFill="background1" w:themeFillShade="F2"/>
        <w:rPr>
          <w:lang w:val="en-US"/>
        </w:rPr>
      </w:pPr>
      <w:r>
        <w:rPr>
          <w:rFonts w:eastAsiaTheme="minorEastAsia"/>
        </w:rPr>
        <w:t>L</w:t>
      </w:r>
      <w:r w:rsidR="00A614CE">
        <w:rPr>
          <w:rFonts w:eastAsiaTheme="minorEastAsia"/>
        </w:rPr>
        <w:t xml:space="preserve">ink Medication Management Reviews (MMR) to GPMP </w:t>
      </w:r>
      <w:r>
        <w:rPr>
          <w:rFonts w:eastAsiaTheme="minorEastAsia"/>
        </w:rPr>
        <w:t xml:space="preserve">and </w:t>
      </w:r>
      <w:r w:rsidR="00A614CE">
        <w:t>ensur</w:t>
      </w:r>
      <w:r>
        <w:t>e</w:t>
      </w:r>
      <w:r w:rsidR="00A614CE">
        <w:t xml:space="preserve"> the rebate accurately reflects </w:t>
      </w:r>
      <w:r>
        <w:t>GP activity</w:t>
      </w:r>
      <w:r w:rsidR="00A614CE" w:rsidRPr="00706C75">
        <w:t>.</w:t>
      </w:r>
    </w:p>
    <w:p w14:paraId="6580D325" w14:textId="0283654E" w:rsidR="00DF0E15" w:rsidRDefault="00DF0E15" w:rsidP="00DF0E15">
      <w:pPr>
        <w:pStyle w:val="Bullet-green"/>
      </w:pPr>
      <w:r>
        <w:t>Item 900</w:t>
      </w:r>
    </w:p>
    <w:p w14:paraId="1A31290E" w14:textId="77777777" w:rsidR="00DF0E15" w:rsidRPr="00706C75" w:rsidRDefault="00DF0E15" w:rsidP="00DF0E15">
      <w:pPr>
        <w:pStyle w:val="Bullet2"/>
      </w:pPr>
      <w:r w:rsidRPr="00706C75">
        <w:t>Change the descriptor</w:t>
      </w:r>
      <w:r>
        <w:t>, explanatory note</w:t>
      </w:r>
      <w:r w:rsidRPr="00706C75">
        <w:t xml:space="preserve"> and schedule fee.</w:t>
      </w:r>
    </w:p>
    <w:p w14:paraId="6B00C62A" w14:textId="77777777" w:rsidR="00DF0E15" w:rsidRDefault="00DF0E15" w:rsidP="00DF0E15">
      <w:pPr>
        <w:pStyle w:val="Bullet2"/>
      </w:pPr>
      <w:r>
        <w:t>The descriptor should:</w:t>
      </w:r>
    </w:p>
    <w:p w14:paraId="17BF2F6C" w14:textId="77777777" w:rsidR="00DF0E15" w:rsidRDefault="00DF0E15" w:rsidP="00DF0E15">
      <w:pPr>
        <w:pStyle w:val="Dash3"/>
      </w:pPr>
      <w:r>
        <w:t>S</w:t>
      </w:r>
      <w:r w:rsidRPr="004A61AD">
        <w:t xml:space="preserve">pecify that the item </w:t>
      </w:r>
      <w:r>
        <w:t>must</w:t>
      </w:r>
      <w:r w:rsidRPr="004A61AD">
        <w:t xml:space="preserve"> be claimed at the same time or within </w:t>
      </w:r>
      <w:r>
        <w:t xml:space="preserve">12 months of a GPMP (item 721), </w:t>
      </w:r>
      <w:r w:rsidRPr="004A61AD">
        <w:t>for a patient at risk of medication misadventure due to unstable health status, use of high risk medicines,</w:t>
      </w:r>
      <w:r>
        <w:t xml:space="preserve"> not meeting therapeutic goals,</w:t>
      </w:r>
      <w:r w:rsidRPr="004A61AD">
        <w:t xml:space="preserve"> or issues surrounding adherence.</w:t>
      </w:r>
    </w:p>
    <w:p w14:paraId="1C8B06F2" w14:textId="77777777" w:rsidR="00DF0E15" w:rsidRDefault="00DF0E15" w:rsidP="00DF0E15">
      <w:pPr>
        <w:pStyle w:val="Dash3"/>
      </w:pPr>
      <w:r w:rsidRPr="00B0053A">
        <w:t xml:space="preserve">State that this item is available at the enrolled practice, for patients who are enrolled, or to be performed by the usual GP for patients who are not enrolled. </w:t>
      </w:r>
    </w:p>
    <w:p w14:paraId="1C963B0C" w14:textId="77777777" w:rsidR="00DF0E15" w:rsidRDefault="00DF0E15" w:rsidP="00DF0E15">
      <w:pPr>
        <w:pStyle w:val="Dash3"/>
      </w:pPr>
      <w:r>
        <w:t xml:space="preserve">Require a copy of the MMR to be uploaded to My Health Record, </w:t>
      </w:r>
      <w:r w:rsidRPr="00CA2633">
        <w:t>unless patient consent is withdrawn, and where reasonably achievable</w:t>
      </w:r>
      <w:r>
        <w:t>.</w:t>
      </w:r>
    </w:p>
    <w:p w14:paraId="4A63F9A0" w14:textId="77777777" w:rsidR="00DF0E15" w:rsidRDefault="00DF0E15" w:rsidP="00DF0E15">
      <w:pPr>
        <w:pStyle w:val="Bullet2"/>
      </w:pPr>
      <w:r>
        <w:t>The explanatory note should:</w:t>
      </w:r>
    </w:p>
    <w:p w14:paraId="786C46CA" w14:textId="77777777" w:rsidR="00DF0E15" w:rsidRDefault="00DF0E15" w:rsidP="00DF0E15">
      <w:pPr>
        <w:pStyle w:val="Dash3"/>
      </w:pPr>
      <w:r w:rsidRPr="00E705B9">
        <w:t>Allow appropriately trained allied health professionals to assist with information gathering that would allow an accredited pharmacist to complete the MMR without being</w:t>
      </w:r>
      <w:r>
        <w:t xml:space="preserve"> physically</w:t>
      </w:r>
      <w:r w:rsidRPr="00E705B9">
        <w:t xml:space="preserve"> present</w:t>
      </w:r>
      <w:r>
        <w:t>,</w:t>
      </w:r>
      <w:r w:rsidRPr="00E705B9">
        <w:t xml:space="preserve"> for use in very remote communities where timely access to an accredited pharmacist is not feasible. </w:t>
      </w:r>
    </w:p>
    <w:p w14:paraId="6CE4A126" w14:textId="77777777" w:rsidR="00DF0E15" w:rsidRPr="004A61AD" w:rsidRDefault="00DF0E15" w:rsidP="00DF0E15">
      <w:pPr>
        <w:pStyle w:val="Bullet2"/>
      </w:pPr>
      <w:r>
        <w:t>The schedule fee should be substantially reduced, and any savings should be</w:t>
      </w:r>
      <w:r w:rsidRPr="00AB5A22">
        <w:t xml:space="preserve"> re-invested into other initiatives to support general practice such as</w:t>
      </w:r>
      <w:r>
        <w:t xml:space="preserve"> voluntary</w:t>
      </w:r>
      <w:r w:rsidRPr="00AB5A22">
        <w:t xml:space="preserve"> patient enrolment. </w:t>
      </w:r>
    </w:p>
    <w:p w14:paraId="1A07330E" w14:textId="77777777" w:rsidR="00DF0E15" w:rsidRPr="001802A2" w:rsidRDefault="00DF0E15" w:rsidP="00DF0E15">
      <w:pPr>
        <w:pStyle w:val="Bullet-green"/>
      </w:pPr>
      <w:r>
        <w:t>Item 903</w:t>
      </w:r>
    </w:p>
    <w:p w14:paraId="213E6A7E" w14:textId="1D379290" w:rsidR="00681093" w:rsidRDefault="00DF0E15" w:rsidP="00DF0E15">
      <w:pPr>
        <w:pStyle w:val="Bullet2"/>
      </w:pPr>
      <w:r w:rsidRPr="001802A2">
        <w:t>Change the descriptor and schedule fee.</w:t>
      </w:r>
    </w:p>
    <w:p w14:paraId="77FE6CE9" w14:textId="77777777" w:rsidR="00681093" w:rsidRDefault="00681093">
      <w:pPr>
        <w:spacing w:before="0" w:after="0" w:line="240" w:lineRule="auto"/>
        <w:rPr>
          <w:szCs w:val="20"/>
          <w:lang w:val="en-US" w:eastAsia="en-US"/>
        </w:rPr>
      </w:pPr>
      <w:r>
        <w:br w:type="page"/>
      </w:r>
    </w:p>
    <w:p w14:paraId="72882568" w14:textId="77777777" w:rsidR="00DF0E15" w:rsidRDefault="00DF0E15" w:rsidP="00DF0E15">
      <w:pPr>
        <w:pStyle w:val="Bullet2"/>
      </w:pPr>
      <w:r w:rsidRPr="001802A2">
        <w:t xml:space="preserve">The descriptor </w:t>
      </w:r>
      <w:r>
        <w:t>should:</w:t>
      </w:r>
    </w:p>
    <w:p w14:paraId="6C100B7A" w14:textId="77777777" w:rsidR="00DF0E15" w:rsidRPr="000C6641" w:rsidRDefault="00DF0E15" w:rsidP="00DF0E15">
      <w:pPr>
        <w:pStyle w:val="Dash3"/>
      </w:pPr>
      <w:r w:rsidRPr="000C6641">
        <w:t xml:space="preserve">State that this item is available at the enrolled practice, for patients who are enrolled, or to be performed by the usual GP for patients who are not enrolled. </w:t>
      </w:r>
    </w:p>
    <w:p w14:paraId="3E953B89" w14:textId="77777777" w:rsidR="00DF0E15" w:rsidRDefault="00DF0E15" w:rsidP="00DF0E15">
      <w:pPr>
        <w:pStyle w:val="Dash3"/>
      </w:pPr>
      <w:r>
        <w:t>R</w:t>
      </w:r>
      <w:r w:rsidRPr="0024465D">
        <w:t xml:space="preserve">equire a copy of the MMR to be uploaded to My Health Record, </w:t>
      </w:r>
      <w:r w:rsidRPr="00CA2633">
        <w:t>unless patient consent is withdrawn, and where reasonably achievable</w:t>
      </w:r>
      <w:r>
        <w:t>.</w:t>
      </w:r>
    </w:p>
    <w:p w14:paraId="7E19C61D" w14:textId="77777777" w:rsidR="00DF0E15" w:rsidRPr="0024465D" w:rsidRDefault="00DF0E15" w:rsidP="00DF0E15">
      <w:pPr>
        <w:pStyle w:val="Dash3"/>
      </w:pPr>
      <w:r>
        <w:t xml:space="preserve">Allow a proxy to request a medication review where they have sought consent from the patient's usual general practitioner, and where the patient is either being discharged or lives in MMM 5, 6, or 7. </w:t>
      </w:r>
    </w:p>
    <w:p w14:paraId="3DD25473" w14:textId="77777777" w:rsidR="00DF0E15" w:rsidRPr="001802A2" w:rsidRDefault="00DF0E15" w:rsidP="00DF0E15">
      <w:pPr>
        <w:pStyle w:val="Bullet2"/>
      </w:pPr>
      <w:r>
        <w:t xml:space="preserve">The schedule fee should be substantially reduced to make it equal to item 900, noting that </w:t>
      </w:r>
      <w:r w:rsidRPr="00AA7B2D">
        <w:t xml:space="preserve">any savings should be re-invested into other initiatives to support general practice such as voluntary patient enrolment. </w:t>
      </w:r>
    </w:p>
    <w:p w14:paraId="48FE9AD1" w14:textId="77777777" w:rsidR="00DF0E15" w:rsidRDefault="00DF0E15" w:rsidP="00DF0E15">
      <w:pPr>
        <w:pStyle w:val="Bullet-green"/>
      </w:pPr>
      <w:r w:rsidRPr="00706C75">
        <w:t>The proposed new descriptor</w:t>
      </w:r>
      <w:r>
        <w:t xml:space="preserve"> for item 900</w:t>
      </w:r>
      <w:r w:rsidRPr="00706C75">
        <w:t xml:space="preserve"> is as follows:</w:t>
      </w:r>
    </w:p>
    <w:p w14:paraId="6A861200" w14:textId="77777777" w:rsidR="00DF0E15" w:rsidRPr="009B0335" w:rsidRDefault="00DF0E15" w:rsidP="00F44F16">
      <w:pPr>
        <w:pStyle w:val="Bullet-green"/>
        <w:numPr>
          <w:ilvl w:val="0"/>
          <w:numId w:val="0"/>
        </w:numPr>
        <w:ind w:left="431"/>
        <w:rPr>
          <w:i/>
        </w:rPr>
      </w:pPr>
      <w:r w:rsidRPr="009B0335">
        <w:rPr>
          <w:i/>
        </w:rPr>
        <w:t>Participation by a patient's usual general practitioner at the practice where the patient is enrolled (or the usual practice where a patient is not enrolled) in a Domiciliary Medication Management Review (DMMR) for a patient living in a community setting, in which the general practitioner, or their proxy, with the patient’s consent:</w:t>
      </w:r>
    </w:p>
    <w:p w14:paraId="346D6E2E" w14:textId="77777777" w:rsidR="00DF0E15" w:rsidRPr="009B0335" w:rsidRDefault="00DF0E15" w:rsidP="009B0335">
      <w:pPr>
        <w:pStyle w:val="Bullet-green"/>
        <w:numPr>
          <w:ilvl w:val="0"/>
          <w:numId w:val="0"/>
        </w:numPr>
        <w:ind w:left="567"/>
        <w:rPr>
          <w:i/>
        </w:rPr>
      </w:pPr>
      <w:r w:rsidRPr="009B0335">
        <w:rPr>
          <w:i/>
        </w:rPr>
        <w:t>(a) assesses the patient as:</w:t>
      </w:r>
    </w:p>
    <w:p w14:paraId="6528AEEE" w14:textId="77777777" w:rsidR="00DF0E15" w:rsidRPr="009B0335" w:rsidRDefault="00DF0E15" w:rsidP="009B0335">
      <w:pPr>
        <w:ind w:left="1134"/>
        <w:rPr>
          <w:i/>
        </w:rPr>
      </w:pPr>
      <w:r w:rsidRPr="009B0335">
        <w:rPr>
          <w:i/>
        </w:rPr>
        <w:t>(i) having a GP Management Plan or review which was created in the last 12 months; and</w:t>
      </w:r>
    </w:p>
    <w:p w14:paraId="64CBC098" w14:textId="77777777" w:rsidR="00DF0E15" w:rsidRPr="009B0335" w:rsidRDefault="00DF0E15" w:rsidP="009B0335">
      <w:pPr>
        <w:ind w:left="1134"/>
        <w:rPr>
          <w:i/>
        </w:rPr>
      </w:pPr>
      <w:r w:rsidRPr="009B0335">
        <w:rPr>
          <w:i/>
        </w:rPr>
        <w:t>(ii) being at risk of medication misadventure due to unstable health status, use of high risk medicines, or issues surrounding adherence; and</w:t>
      </w:r>
    </w:p>
    <w:p w14:paraId="77A862C7" w14:textId="77777777" w:rsidR="00DF0E15" w:rsidRPr="009B0335" w:rsidRDefault="00DF0E15" w:rsidP="009B0335">
      <w:pPr>
        <w:ind w:left="1134"/>
        <w:rPr>
          <w:i/>
        </w:rPr>
      </w:pPr>
      <w:r w:rsidRPr="009B0335">
        <w:rPr>
          <w:i/>
        </w:rPr>
        <w:t>(iii) not having their therapeutic goals met; and</w:t>
      </w:r>
    </w:p>
    <w:p w14:paraId="11E26B26" w14:textId="77777777" w:rsidR="00DF0E15" w:rsidRPr="009B0335" w:rsidRDefault="00DF0E15" w:rsidP="009B0335">
      <w:pPr>
        <w:ind w:left="567"/>
        <w:rPr>
          <w:i/>
        </w:rPr>
      </w:pPr>
      <w:r w:rsidRPr="009B0335">
        <w:rPr>
          <w:i/>
        </w:rPr>
        <w:t>(b) following that assessment:</w:t>
      </w:r>
    </w:p>
    <w:p w14:paraId="36355836" w14:textId="77777777" w:rsidR="00DF0E15" w:rsidRPr="009B0335" w:rsidRDefault="00DF0E15" w:rsidP="009B0335">
      <w:pPr>
        <w:ind w:left="1134"/>
        <w:rPr>
          <w:i/>
        </w:rPr>
      </w:pPr>
      <w:r w:rsidRPr="009B0335">
        <w:rPr>
          <w:i/>
        </w:rPr>
        <w:t>(i) refers the patient to a community pharmacy or an accredited pharmacist for the DMMR; and</w:t>
      </w:r>
    </w:p>
    <w:p w14:paraId="3785ED6E" w14:textId="77777777" w:rsidR="00DF0E15" w:rsidRPr="009B0335" w:rsidRDefault="00DF0E15" w:rsidP="009B0335">
      <w:pPr>
        <w:ind w:left="1134"/>
        <w:rPr>
          <w:i/>
        </w:rPr>
      </w:pPr>
      <w:r w:rsidRPr="009B0335">
        <w:rPr>
          <w:i/>
        </w:rPr>
        <w:t>(ii) provides relevant clinical information required for the DMMR; and</w:t>
      </w:r>
    </w:p>
    <w:p w14:paraId="27F25853" w14:textId="77777777" w:rsidR="00DF0E15" w:rsidRPr="009B0335" w:rsidRDefault="00DF0E15" w:rsidP="009B0335">
      <w:pPr>
        <w:ind w:left="567"/>
        <w:rPr>
          <w:i/>
        </w:rPr>
      </w:pPr>
      <w:r w:rsidRPr="009B0335">
        <w:rPr>
          <w:i/>
        </w:rPr>
        <w:t>(c) reviews the pharmacists report from the DMMR including suggested medication management strategies; and</w:t>
      </w:r>
    </w:p>
    <w:p w14:paraId="173326F2" w14:textId="77777777" w:rsidR="00DF0E15" w:rsidRPr="009B0335" w:rsidRDefault="00DF0E15" w:rsidP="009B0335">
      <w:pPr>
        <w:ind w:left="567"/>
        <w:rPr>
          <w:i/>
        </w:rPr>
      </w:pPr>
      <w:r w:rsidRPr="009B0335">
        <w:rPr>
          <w:i/>
        </w:rPr>
        <w:t>(d) updates the medication management section of the GPMP following discussion with the patient; and</w:t>
      </w:r>
    </w:p>
    <w:p w14:paraId="2069CDA2" w14:textId="77777777" w:rsidR="00DF0E15" w:rsidRPr="009B0335" w:rsidRDefault="00DF0E15" w:rsidP="009B0335">
      <w:pPr>
        <w:ind w:left="567"/>
        <w:rPr>
          <w:i/>
        </w:rPr>
      </w:pPr>
      <w:r w:rsidRPr="009B0335">
        <w:rPr>
          <w:i/>
        </w:rPr>
        <w:t>(e) uploads the current medication management plan to My Health Record, unless patient consent is withdrawn and where reasonably achievable.</w:t>
      </w:r>
    </w:p>
    <w:p w14:paraId="160290C7" w14:textId="77777777" w:rsidR="00DF0E15" w:rsidRPr="009B0335" w:rsidRDefault="00DF0E15" w:rsidP="00F44F16">
      <w:pPr>
        <w:pStyle w:val="Bullet-green"/>
        <w:numPr>
          <w:ilvl w:val="0"/>
          <w:numId w:val="0"/>
        </w:numPr>
        <w:ind w:left="431"/>
        <w:rPr>
          <w:i/>
        </w:rPr>
      </w:pPr>
      <w:r w:rsidRPr="009B0335">
        <w:rPr>
          <w:i/>
        </w:rPr>
        <w:t>For any particular patient—applicable not more than once in each 12 month period, except if there has been a significant change in the patient’s condition or medication regimen requiring a new DMMR.</w:t>
      </w:r>
    </w:p>
    <w:p w14:paraId="7B78DC5C" w14:textId="77777777" w:rsidR="00DF0E15" w:rsidRPr="009B0335" w:rsidRDefault="00DF0E15" w:rsidP="00F44F16">
      <w:pPr>
        <w:pStyle w:val="Bullet-green"/>
        <w:numPr>
          <w:ilvl w:val="0"/>
          <w:numId w:val="0"/>
        </w:numPr>
        <w:ind w:left="431"/>
        <w:rPr>
          <w:i/>
        </w:rPr>
      </w:pPr>
      <w:r w:rsidRPr="009B0335">
        <w:rPr>
          <w:i/>
        </w:rPr>
        <w:t>A proxy can request a medication review only if they:</w:t>
      </w:r>
    </w:p>
    <w:p w14:paraId="66AAACDB" w14:textId="77777777" w:rsidR="00DF0E15" w:rsidRPr="009B0335" w:rsidRDefault="00DF0E15" w:rsidP="009B0335">
      <w:pPr>
        <w:pStyle w:val="Bullet-green"/>
        <w:numPr>
          <w:ilvl w:val="0"/>
          <w:numId w:val="0"/>
        </w:numPr>
        <w:ind w:left="567"/>
        <w:rPr>
          <w:i/>
        </w:rPr>
      </w:pPr>
      <w:r w:rsidRPr="009B0335">
        <w:rPr>
          <w:i/>
        </w:rPr>
        <w:t>1) Seek and receive consent from the patient’s usual general practitioner who will complete the MMR; and</w:t>
      </w:r>
    </w:p>
    <w:p w14:paraId="3CB63C14" w14:textId="4DF16EA8" w:rsidR="00DF0E15" w:rsidRDefault="00DF0E15" w:rsidP="009B0335">
      <w:pPr>
        <w:pStyle w:val="Bullet-green"/>
        <w:numPr>
          <w:ilvl w:val="0"/>
          <w:numId w:val="0"/>
        </w:numPr>
        <w:ind w:left="567"/>
        <w:rPr>
          <w:i/>
        </w:rPr>
      </w:pPr>
      <w:r w:rsidRPr="009B0335">
        <w:rPr>
          <w:i/>
        </w:rPr>
        <w:t>2) are a hospital doctor or senior hospital staff member caring for patient being discharged, or are a remote area nurse or aboriginal health practitioner where the patient is located in MMM5, 6 or 7</w:t>
      </w:r>
      <w:r w:rsidR="006656F7">
        <w:rPr>
          <w:i/>
        </w:rPr>
        <w:t>.</w:t>
      </w:r>
    </w:p>
    <w:p w14:paraId="362BA209" w14:textId="77777777" w:rsidR="00DF0E15" w:rsidRPr="006656F7" w:rsidRDefault="00DF0E15" w:rsidP="00DF0E15">
      <w:pPr>
        <w:pStyle w:val="Bullet-green"/>
      </w:pPr>
      <w:r w:rsidRPr="006656F7">
        <w:t>The proposed new explanatory note for item 900 is as follows:</w:t>
      </w:r>
    </w:p>
    <w:p w14:paraId="42F3F3C8" w14:textId="77777777" w:rsidR="00DF0E15" w:rsidRPr="009B0335" w:rsidRDefault="00DF0E15" w:rsidP="00F44F16">
      <w:pPr>
        <w:ind w:left="431"/>
        <w:rPr>
          <w:i/>
        </w:rPr>
      </w:pPr>
      <w:r w:rsidRPr="009B0335">
        <w:rPr>
          <w:i/>
        </w:rPr>
        <w:t>A Domiciliary Medication Management Review (DMMR) (Item 900), also known as Home Medicines Review, is intended to maximise an individual patient's benefit from their medication regimen, and prevent medication-related problems through a team approach, involving the patient's GP and preferred community pharmacy or accredited pharmacist.</w:t>
      </w:r>
    </w:p>
    <w:p w14:paraId="23DC288F" w14:textId="77777777" w:rsidR="00DF0E15" w:rsidRPr="009B0335" w:rsidRDefault="00DF0E15" w:rsidP="00F44F16">
      <w:pPr>
        <w:ind w:left="431"/>
        <w:rPr>
          <w:i/>
        </w:rPr>
      </w:pPr>
      <w:r w:rsidRPr="009B0335">
        <w:rPr>
          <w:i/>
        </w:rPr>
        <w:t>Patient eligibility</w:t>
      </w:r>
    </w:p>
    <w:p w14:paraId="500CB4D0" w14:textId="77777777" w:rsidR="00DF0E15" w:rsidRPr="009B0335" w:rsidRDefault="00DF0E15" w:rsidP="00F44F16">
      <w:pPr>
        <w:ind w:left="431"/>
        <w:rPr>
          <w:i/>
        </w:rPr>
      </w:pPr>
      <w:r w:rsidRPr="009B0335">
        <w:rPr>
          <w:i/>
        </w:rPr>
        <w:t>The item is available to people living in the community who meet the criteria for a DMMR.</w:t>
      </w:r>
    </w:p>
    <w:p w14:paraId="1281789D" w14:textId="77777777" w:rsidR="00DF0E15" w:rsidRPr="009B0335" w:rsidRDefault="00DF0E15" w:rsidP="00F44F16">
      <w:pPr>
        <w:ind w:left="431"/>
        <w:rPr>
          <w:i/>
        </w:rPr>
      </w:pPr>
      <w:r w:rsidRPr="009B0335">
        <w:rPr>
          <w:i/>
        </w:rPr>
        <w:t>The item is not available for in-patients of a hospital, or care recipients in residential aged care facilities.</w:t>
      </w:r>
    </w:p>
    <w:p w14:paraId="0BFCEBD7" w14:textId="77777777" w:rsidR="00DF0E15" w:rsidRPr="009B0335" w:rsidRDefault="00DF0E15" w:rsidP="00F44F16">
      <w:pPr>
        <w:ind w:left="431"/>
        <w:rPr>
          <w:i/>
        </w:rPr>
      </w:pPr>
      <w:r w:rsidRPr="009B0335">
        <w:rPr>
          <w:i/>
        </w:rPr>
        <w:t>DMMRs are targeted at patients who are likely to benefit from such a review: patients for whom quality use of medicines may be an issue or; patients who are at risk of medication misadventure because of factors such as their co-morbidities, age or social circumstances, the characteristics of their medicines, the complexity of their medication treatment regimen, or a lack of knowledge and skills to use medicines to their best effect.</w:t>
      </w:r>
    </w:p>
    <w:p w14:paraId="00F0518E" w14:textId="77777777" w:rsidR="00DF0E15" w:rsidRPr="009B0335" w:rsidRDefault="00DF0E15" w:rsidP="00F44F16">
      <w:pPr>
        <w:ind w:left="431"/>
        <w:rPr>
          <w:i/>
        </w:rPr>
      </w:pPr>
      <w:r w:rsidRPr="009B0335">
        <w:rPr>
          <w:i/>
        </w:rPr>
        <w:t>DMMR’s are targeted at patients who are:</w:t>
      </w:r>
    </w:p>
    <w:p w14:paraId="1E755BC7" w14:textId="500D6A83" w:rsidR="00DF0E15" w:rsidRPr="009B0335" w:rsidRDefault="00DF0E15" w:rsidP="001C0BC7">
      <w:pPr>
        <w:pStyle w:val="ListParagraph"/>
        <w:numPr>
          <w:ilvl w:val="0"/>
          <w:numId w:val="60"/>
        </w:numPr>
        <w:ind w:left="993"/>
        <w:rPr>
          <w:i/>
        </w:rPr>
      </w:pPr>
      <w:r w:rsidRPr="009B0335">
        <w:rPr>
          <w:i/>
        </w:rPr>
        <w:t>currently taking five or more regular medications or taking more than 12 doses of medication per day; and</w:t>
      </w:r>
    </w:p>
    <w:p w14:paraId="174E94B3" w14:textId="2DBC14BC" w:rsidR="00DF0E15" w:rsidRPr="009B0335" w:rsidRDefault="00DF0E15" w:rsidP="001C0BC7">
      <w:pPr>
        <w:pStyle w:val="ListParagraph"/>
        <w:numPr>
          <w:ilvl w:val="0"/>
          <w:numId w:val="60"/>
        </w:numPr>
        <w:ind w:left="993"/>
        <w:rPr>
          <w:i/>
        </w:rPr>
      </w:pPr>
      <w:r w:rsidRPr="009B0335">
        <w:rPr>
          <w:i/>
        </w:rPr>
        <w:t>have had significant changes made to medication treatment regimen in the last three months; or</w:t>
      </w:r>
    </w:p>
    <w:p w14:paraId="3CAB46DF" w14:textId="23742E6A" w:rsidR="00DF0E15" w:rsidRPr="009B0335" w:rsidRDefault="00DF0E15" w:rsidP="001C0BC7">
      <w:pPr>
        <w:pStyle w:val="ListParagraph"/>
        <w:numPr>
          <w:ilvl w:val="0"/>
          <w:numId w:val="60"/>
        </w:numPr>
        <w:ind w:left="993"/>
        <w:rPr>
          <w:i/>
        </w:rPr>
      </w:pPr>
      <w:r w:rsidRPr="009B0335">
        <w:rPr>
          <w:i/>
        </w:rPr>
        <w:t>taking medication with a narrow therapeutic index or medications requiring therapeutic monitoring; or</w:t>
      </w:r>
    </w:p>
    <w:p w14:paraId="11CA9ED0" w14:textId="3B25623D" w:rsidR="00DF0E15" w:rsidRPr="009B0335" w:rsidRDefault="00DF0E15" w:rsidP="001C0BC7">
      <w:pPr>
        <w:pStyle w:val="ListParagraph"/>
        <w:numPr>
          <w:ilvl w:val="0"/>
          <w:numId w:val="60"/>
        </w:numPr>
        <w:ind w:left="993"/>
        <w:rPr>
          <w:i/>
        </w:rPr>
      </w:pPr>
      <w:r w:rsidRPr="009B0335">
        <w:rPr>
          <w:i/>
        </w:rPr>
        <w:t>experiencing symptoms suggestive of an adverse drug reaction; or</w:t>
      </w:r>
    </w:p>
    <w:p w14:paraId="253B396D" w14:textId="24368DD0" w:rsidR="00DF0E15" w:rsidRPr="009B0335" w:rsidRDefault="00DF0E15" w:rsidP="001C0BC7">
      <w:pPr>
        <w:pStyle w:val="ListParagraph"/>
        <w:numPr>
          <w:ilvl w:val="0"/>
          <w:numId w:val="60"/>
        </w:numPr>
        <w:ind w:left="993"/>
        <w:rPr>
          <w:i/>
        </w:rPr>
      </w:pPr>
      <w:r w:rsidRPr="009B0335">
        <w:rPr>
          <w:i/>
        </w:rPr>
        <w:t>displaying sub-optimal response to treatment with medicines; or</w:t>
      </w:r>
    </w:p>
    <w:p w14:paraId="6C16D659" w14:textId="5BEB1B42" w:rsidR="00DF0E15" w:rsidRPr="009B0335" w:rsidRDefault="00DF0E15" w:rsidP="001C0BC7">
      <w:pPr>
        <w:pStyle w:val="ListParagraph"/>
        <w:numPr>
          <w:ilvl w:val="0"/>
          <w:numId w:val="60"/>
        </w:numPr>
        <w:ind w:left="993"/>
        <w:rPr>
          <w:i/>
        </w:rPr>
      </w:pPr>
      <w:r w:rsidRPr="009B0335">
        <w:rPr>
          <w:i/>
        </w:rPr>
        <w:t>suspected of non-compliance or inability to manage medication related therapeutic devices; or</w:t>
      </w:r>
    </w:p>
    <w:p w14:paraId="432A06AC" w14:textId="6581A3BE" w:rsidR="00DF0E15" w:rsidRPr="009B0335" w:rsidRDefault="00DF0E15" w:rsidP="001C0BC7">
      <w:pPr>
        <w:pStyle w:val="ListParagraph"/>
        <w:numPr>
          <w:ilvl w:val="0"/>
          <w:numId w:val="60"/>
        </w:numPr>
        <w:ind w:left="993"/>
        <w:rPr>
          <w:i/>
        </w:rPr>
      </w:pPr>
      <w:r w:rsidRPr="009B0335">
        <w:rPr>
          <w:i/>
        </w:rPr>
        <w:t>having difficulty managing their own medicines because of literacy or language difficulties, dexterity problems or impaired sight, confusion/dementia or other cognitive difficulties; or</w:t>
      </w:r>
    </w:p>
    <w:p w14:paraId="3E4ED584" w14:textId="39739806" w:rsidR="00DF0E15" w:rsidRPr="009B0335" w:rsidRDefault="00DF0E15" w:rsidP="001C0BC7">
      <w:pPr>
        <w:pStyle w:val="ListParagraph"/>
        <w:numPr>
          <w:ilvl w:val="0"/>
          <w:numId w:val="60"/>
        </w:numPr>
        <w:ind w:left="993"/>
        <w:rPr>
          <w:i/>
        </w:rPr>
      </w:pPr>
      <w:r w:rsidRPr="009B0335">
        <w:rPr>
          <w:i/>
        </w:rPr>
        <w:t>attending a number of different doctors, both general practitioners and specialists; or</w:t>
      </w:r>
    </w:p>
    <w:p w14:paraId="71620B68" w14:textId="229BFC84" w:rsidR="00DF0E15" w:rsidRPr="009B0335" w:rsidRDefault="00DF0E15" w:rsidP="001C0BC7">
      <w:pPr>
        <w:pStyle w:val="ListParagraph"/>
        <w:numPr>
          <w:ilvl w:val="0"/>
          <w:numId w:val="60"/>
        </w:numPr>
        <w:ind w:left="993"/>
        <w:rPr>
          <w:i/>
        </w:rPr>
      </w:pPr>
      <w:r w:rsidRPr="009B0335">
        <w:rPr>
          <w:i/>
        </w:rPr>
        <w:t>recently discharged from a facility / hospital (in the last four weeks).</w:t>
      </w:r>
    </w:p>
    <w:p w14:paraId="595C888B" w14:textId="77777777" w:rsidR="00DF0E15" w:rsidRPr="009B0335" w:rsidRDefault="00DF0E15" w:rsidP="00F44F16">
      <w:pPr>
        <w:ind w:left="431"/>
        <w:rPr>
          <w:i/>
        </w:rPr>
      </w:pPr>
      <w:r w:rsidRPr="009B0335">
        <w:rPr>
          <w:i/>
        </w:rPr>
        <w:t>In referring a patient for a DMMR, general practitioners should note that only patients meeting the following criteria will have the pharmacist portion funded through a Community Pharmacy Agreement program:</w:t>
      </w:r>
    </w:p>
    <w:p w14:paraId="4DEF2EC3" w14:textId="553321BA" w:rsidR="00DF0E15" w:rsidRPr="009B0335" w:rsidRDefault="00DF0E15" w:rsidP="00F44F16">
      <w:pPr>
        <w:pStyle w:val="ListParagraph"/>
        <w:numPr>
          <w:ilvl w:val="0"/>
          <w:numId w:val="60"/>
        </w:numPr>
        <w:ind w:left="993"/>
        <w:rPr>
          <w:i/>
        </w:rPr>
      </w:pPr>
      <w:r w:rsidRPr="009B0335">
        <w:rPr>
          <w:i/>
        </w:rPr>
        <w:t>Is a Medicare and/or Department of Veterans’ Affairs (DVA) cardholder or a person who is eligible for a Medicare card;</w:t>
      </w:r>
    </w:p>
    <w:p w14:paraId="6BE1C8C0" w14:textId="25A1CB3E" w:rsidR="00DF0E15" w:rsidRPr="009B0335" w:rsidRDefault="00DF0E15" w:rsidP="00F44F16">
      <w:pPr>
        <w:pStyle w:val="ListParagraph"/>
        <w:numPr>
          <w:ilvl w:val="0"/>
          <w:numId w:val="60"/>
        </w:numPr>
        <w:ind w:left="993"/>
        <w:rPr>
          <w:i/>
        </w:rPr>
      </w:pPr>
      <w:r w:rsidRPr="009B0335">
        <w:rPr>
          <w:i/>
        </w:rPr>
        <w:t>Is subject to a chronic condition and/or complex medication regimen; and</w:t>
      </w:r>
    </w:p>
    <w:p w14:paraId="4FDF6CC1" w14:textId="4AFEC7DD" w:rsidR="00DF0E15" w:rsidRPr="009B0335" w:rsidRDefault="00DF0E15" w:rsidP="00F44F16">
      <w:pPr>
        <w:pStyle w:val="ListParagraph"/>
        <w:numPr>
          <w:ilvl w:val="0"/>
          <w:numId w:val="60"/>
        </w:numPr>
        <w:ind w:left="993"/>
        <w:rPr>
          <w:i/>
        </w:rPr>
      </w:pPr>
      <w:r w:rsidRPr="009B0335">
        <w:rPr>
          <w:i/>
        </w:rPr>
        <w:t>Is failing to respond to treatment in the expected manner.</w:t>
      </w:r>
    </w:p>
    <w:p w14:paraId="495BFD75" w14:textId="77777777" w:rsidR="00DF0E15" w:rsidRPr="009B0335" w:rsidRDefault="00DF0E15" w:rsidP="00F44F16">
      <w:pPr>
        <w:ind w:left="431"/>
        <w:rPr>
          <w:i/>
        </w:rPr>
      </w:pPr>
      <w:r w:rsidRPr="009B0335">
        <w:rPr>
          <w:i/>
        </w:rPr>
        <w:t>If the patient does not meet these criteria, the general practitioner can still issue a referral under this item.  However, the remainder of the service will be on a “user pays” basis as determined by the accredited pharmacist.</w:t>
      </w:r>
    </w:p>
    <w:p w14:paraId="69174712" w14:textId="77777777" w:rsidR="00DF0E15" w:rsidRPr="009B0335" w:rsidRDefault="00DF0E15" w:rsidP="00F44F16">
      <w:pPr>
        <w:ind w:left="431"/>
        <w:rPr>
          <w:i/>
        </w:rPr>
      </w:pPr>
      <w:r w:rsidRPr="009B0335">
        <w:rPr>
          <w:i/>
        </w:rPr>
        <w:t>REGULATORY REQUIREMENTS</w:t>
      </w:r>
    </w:p>
    <w:p w14:paraId="3D0E6803" w14:textId="77777777" w:rsidR="00DF0E15" w:rsidRPr="009B0335" w:rsidRDefault="00DF0E15" w:rsidP="00F44F16">
      <w:pPr>
        <w:ind w:left="431"/>
        <w:rPr>
          <w:i/>
        </w:rPr>
      </w:pPr>
      <w:r w:rsidRPr="009B0335">
        <w:rPr>
          <w:i/>
        </w:rPr>
        <w:t>In conducting a DMMR, a general practitioner must, with the patient’s consent:</w:t>
      </w:r>
    </w:p>
    <w:p w14:paraId="6CB91933" w14:textId="77777777" w:rsidR="00DF0E15" w:rsidRPr="009B0335" w:rsidRDefault="00DF0E15" w:rsidP="009B0335">
      <w:pPr>
        <w:ind w:left="567"/>
        <w:rPr>
          <w:i/>
        </w:rPr>
      </w:pPr>
      <w:r w:rsidRPr="009B0335">
        <w:rPr>
          <w:i/>
        </w:rPr>
        <w:t>(a) assess a patient is subject to a chronic medical condition and/or complex medication regimen but their therapeutic goals are not being met; and</w:t>
      </w:r>
    </w:p>
    <w:p w14:paraId="140898C4" w14:textId="77777777" w:rsidR="00DF0E15" w:rsidRPr="009B0335" w:rsidRDefault="00DF0E15" w:rsidP="009B0335">
      <w:pPr>
        <w:ind w:left="567"/>
        <w:rPr>
          <w:i/>
        </w:rPr>
      </w:pPr>
      <w:r w:rsidRPr="009B0335">
        <w:rPr>
          <w:i/>
        </w:rPr>
        <w:t>(b) following that assessment, refer the patient to a community pharmacy or an accredited pharmacist for a DMMR and provide the relevant clinical information required for the review; and</w:t>
      </w:r>
    </w:p>
    <w:p w14:paraId="28D94596" w14:textId="77777777" w:rsidR="00DF0E15" w:rsidRPr="009B0335" w:rsidRDefault="00DF0E15" w:rsidP="009B0335">
      <w:pPr>
        <w:ind w:left="567"/>
        <w:rPr>
          <w:i/>
        </w:rPr>
      </w:pPr>
      <w:r w:rsidRPr="009B0335">
        <w:rPr>
          <w:i/>
        </w:rPr>
        <w:t>(c) discuss with the reviewing pharmacist the result of that review including suggested medication management strategies; and</w:t>
      </w:r>
    </w:p>
    <w:p w14:paraId="324F4FAE" w14:textId="77777777" w:rsidR="00DF0E15" w:rsidRPr="009B0335" w:rsidRDefault="00DF0E15" w:rsidP="009B0335">
      <w:pPr>
        <w:ind w:left="567"/>
        <w:rPr>
          <w:i/>
        </w:rPr>
      </w:pPr>
      <w:r w:rsidRPr="009B0335">
        <w:rPr>
          <w:i/>
        </w:rPr>
        <w:t>(d) develop a written medication management plan following discussion with the patient; and</w:t>
      </w:r>
    </w:p>
    <w:p w14:paraId="27B084ED" w14:textId="77777777" w:rsidR="00DF0E15" w:rsidRPr="009B0335" w:rsidRDefault="00DF0E15" w:rsidP="009B0335">
      <w:pPr>
        <w:ind w:left="567"/>
        <w:rPr>
          <w:i/>
        </w:rPr>
      </w:pPr>
      <w:r w:rsidRPr="009B0335">
        <w:rPr>
          <w:i/>
        </w:rPr>
        <w:t>(e) provide the written medication management plan to a community pharmacy chosen by the patient.</w:t>
      </w:r>
    </w:p>
    <w:p w14:paraId="39E85336" w14:textId="77777777" w:rsidR="00DF0E15" w:rsidRPr="009B0335" w:rsidRDefault="00DF0E15" w:rsidP="00F44F16">
      <w:pPr>
        <w:ind w:left="431"/>
        <w:rPr>
          <w:i/>
        </w:rPr>
      </w:pPr>
      <w:r w:rsidRPr="009B0335">
        <w:rPr>
          <w:i/>
        </w:rPr>
        <w:t>For any particular patient - applicable not more than once in each 12 month period, except if there has been a significant change in the patient's condition or medication regimen requiring a new DMMR.</w:t>
      </w:r>
    </w:p>
    <w:p w14:paraId="20CD13AA" w14:textId="77777777" w:rsidR="00DF0E15" w:rsidRPr="009B0335" w:rsidRDefault="00DF0E15" w:rsidP="00F44F16">
      <w:pPr>
        <w:ind w:left="431"/>
        <w:rPr>
          <w:i/>
        </w:rPr>
      </w:pPr>
      <w:r w:rsidRPr="009B0335">
        <w:rPr>
          <w:i/>
        </w:rPr>
        <w:t>In the case of very remote communities where a visit from an accredited pharmacist is unlikely, the home visit may be conducted by a suitably trained remote area nurse or aboriginal health practitioner who will act on behalf of the centrally located accredited pharmacist completing the MMR.</w:t>
      </w:r>
    </w:p>
    <w:p w14:paraId="76781A73" w14:textId="77777777" w:rsidR="00DF0E15" w:rsidRPr="009B0335" w:rsidRDefault="00DF0E15" w:rsidP="00F44F16">
      <w:pPr>
        <w:ind w:left="431"/>
        <w:rPr>
          <w:i/>
        </w:rPr>
      </w:pPr>
      <w:r w:rsidRPr="009B0335">
        <w:rPr>
          <w:i/>
        </w:rPr>
        <w:t>Claiming</w:t>
      </w:r>
    </w:p>
    <w:p w14:paraId="789BA8BB" w14:textId="77777777" w:rsidR="00DF0E15" w:rsidRPr="009B0335" w:rsidRDefault="00DF0E15" w:rsidP="00F44F16">
      <w:pPr>
        <w:ind w:left="431"/>
        <w:rPr>
          <w:i/>
        </w:rPr>
      </w:pPr>
      <w:r w:rsidRPr="009B0335">
        <w:rPr>
          <w:i/>
        </w:rPr>
        <w:t>A DMMR includes all DMMR-related services provided by the general practitioner from the time the patient is identified as potentially needing a medication management review to the preparation of a draft medication management plan, and discussion and agreement with the patient.</w:t>
      </w:r>
    </w:p>
    <w:p w14:paraId="06A510FD" w14:textId="77777777" w:rsidR="00DF0E15" w:rsidRPr="009B0335" w:rsidRDefault="00DF0E15" w:rsidP="00F44F16">
      <w:pPr>
        <w:ind w:left="431"/>
        <w:rPr>
          <w:i/>
        </w:rPr>
      </w:pPr>
      <w:r w:rsidRPr="009B0335">
        <w:rPr>
          <w:i/>
        </w:rPr>
        <w:t>The benefit is not claimable until all the components of the item have been rendered.</w:t>
      </w:r>
    </w:p>
    <w:p w14:paraId="0589618D" w14:textId="77777777" w:rsidR="00DF0E15" w:rsidRPr="009B0335" w:rsidRDefault="00DF0E15" w:rsidP="00F44F16">
      <w:pPr>
        <w:ind w:left="431"/>
        <w:rPr>
          <w:i/>
        </w:rPr>
      </w:pPr>
      <w:r w:rsidRPr="009B0335">
        <w:rPr>
          <w:i/>
        </w:rPr>
        <w:t>Benefits for a DMMR service under item 900 are payable only once in each 12 month period, except where there has been a significant change in the patient's condition or medication regimen requiring a new DMMR (e.g. diagnosis of a new condition or recent discharge from hospital involving significant changes in medication).  In such cases the patient's invoice or Medicare voucher should be annotated to indicate that the DMMR service was required to be provided within 12 months of another DMMR service.</w:t>
      </w:r>
    </w:p>
    <w:p w14:paraId="02701513" w14:textId="77777777" w:rsidR="00DF0E15" w:rsidRPr="009B0335" w:rsidRDefault="00DF0E15" w:rsidP="00F44F16">
      <w:pPr>
        <w:ind w:left="431"/>
        <w:rPr>
          <w:i/>
        </w:rPr>
      </w:pPr>
      <w:r w:rsidRPr="009B0335">
        <w:rPr>
          <w:i/>
        </w:rPr>
        <w:t>Provision of a subsequent DMMR must not be made solely by reaching an anniversary date, and the service is not intended to be undertaken on an ongoing review cycle.</w:t>
      </w:r>
    </w:p>
    <w:p w14:paraId="20E52BE2" w14:textId="77777777" w:rsidR="00DF0E15" w:rsidRPr="009B0335" w:rsidRDefault="00DF0E15" w:rsidP="00F44F16">
      <w:pPr>
        <w:ind w:left="431"/>
        <w:rPr>
          <w:i/>
        </w:rPr>
      </w:pPr>
      <w:r w:rsidRPr="009B0335">
        <w:rPr>
          <w:i/>
        </w:rPr>
        <w:t>If the DMMR is initiated during the course of a consultation undertaken for another purpose, this consultation may also be claimed separately.</w:t>
      </w:r>
    </w:p>
    <w:p w14:paraId="12D13681" w14:textId="77777777" w:rsidR="00DF0E15" w:rsidRPr="009B0335" w:rsidRDefault="00DF0E15" w:rsidP="00F44F16">
      <w:pPr>
        <w:ind w:left="431"/>
        <w:rPr>
          <w:i/>
        </w:rPr>
      </w:pPr>
      <w:r w:rsidRPr="009B0335">
        <w:rPr>
          <w:i/>
        </w:rPr>
        <w:t>If the consultation at which the medication management review is initiated is only for the purposes of initiating the review, only item 900 may be claimed.</w:t>
      </w:r>
    </w:p>
    <w:p w14:paraId="7F249C38" w14:textId="77777777" w:rsidR="00DF0E15" w:rsidRPr="009B0335" w:rsidRDefault="00DF0E15" w:rsidP="00F44F16">
      <w:pPr>
        <w:ind w:left="431"/>
        <w:rPr>
          <w:i/>
        </w:rPr>
      </w:pPr>
      <w:r w:rsidRPr="009B0335">
        <w:rPr>
          <w:i/>
        </w:rPr>
        <w:t>If the general practitioner determines that a DMMR is not necessary, item 900 does not apply.  In this case, normal consultation items should be used.</w:t>
      </w:r>
    </w:p>
    <w:p w14:paraId="3A8A1ABD" w14:textId="77777777" w:rsidR="00DF0E15" w:rsidRPr="009B0335" w:rsidRDefault="00DF0E15" w:rsidP="00F44F16">
      <w:pPr>
        <w:ind w:left="431"/>
        <w:rPr>
          <w:i/>
        </w:rPr>
      </w:pPr>
      <w:r w:rsidRPr="009B0335">
        <w:rPr>
          <w:i/>
        </w:rPr>
        <w:t>Where a DMMR cannot be completed due to circumstances beyond the control of the general practitioner (e.g. because the patient decides to not proceed further with the DMMR, or because of a change in the circumstances of the patient), the relevant MBS attendance items should be used.</w:t>
      </w:r>
    </w:p>
    <w:p w14:paraId="5F308B04" w14:textId="77777777" w:rsidR="00DF0E15" w:rsidRPr="009B0335" w:rsidRDefault="00DF0E15" w:rsidP="00F44F16">
      <w:pPr>
        <w:ind w:left="431"/>
        <w:rPr>
          <w:i/>
        </w:rPr>
      </w:pPr>
      <w:r w:rsidRPr="009B0335">
        <w:rPr>
          <w:i/>
        </w:rPr>
        <w:t>FURTHER GUIDANCE</w:t>
      </w:r>
    </w:p>
    <w:p w14:paraId="645207CB" w14:textId="77777777" w:rsidR="00DF0E15" w:rsidRPr="009B0335" w:rsidRDefault="00DF0E15" w:rsidP="00F44F16">
      <w:pPr>
        <w:ind w:left="431"/>
        <w:rPr>
          <w:i/>
        </w:rPr>
      </w:pPr>
      <w:r w:rsidRPr="009B0335">
        <w:rPr>
          <w:i/>
        </w:rPr>
        <w:t>A DMMR should generally be undertaken by the patient's usual general practitioner. For a patient who is enrolled, this is a general practitioner in the practice where a patient is enrolled. For a patient who is not enrolled, this is the general practitioner, or a general practitioner working in the medical practice, that has provided the majority of services to the patient over the previous 12 months and/or will be providing the majority of services to the patient over the coming 12 months.</w:t>
      </w:r>
    </w:p>
    <w:p w14:paraId="3A01F3CD" w14:textId="77777777" w:rsidR="00DF0E15" w:rsidRPr="009B0335" w:rsidRDefault="00DF0E15" w:rsidP="00F44F16">
      <w:pPr>
        <w:ind w:left="431"/>
        <w:rPr>
          <w:i/>
        </w:rPr>
      </w:pPr>
      <w:r w:rsidRPr="009B0335">
        <w:rPr>
          <w:i/>
        </w:rPr>
        <w:t>The potential need for a DMMR may be identified either by the general practitioner in the process of a consultation or by receipt of advice from the patient, a carer or another health professional including a pharmacist.</w:t>
      </w:r>
    </w:p>
    <w:p w14:paraId="77F2DF61" w14:textId="77777777" w:rsidR="00DF0E15" w:rsidRPr="009B0335" w:rsidRDefault="00DF0E15" w:rsidP="00F44F16">
      <w:pPr>
        <w:ind w:left="431"/>
        <w:rPr>
          <w:i/>
        </w:rPr>
      </w:pPr>
      <w:r w:rsidRPr="009B0335">
        <w:rPr>
          <w:i/>
        </w:rPr>
        <w:t>The process of referral to a community pharmacy or an accredited pharmacist  includes:</w:t>
      </w:r>
    </w:p>
    <w:p w14:paraId="3B707942" w14:textId="2B4647EC" w:rsidR="00DF0E15" w:rsidRPr="009B0335" w:rsidRDefault="00DF0E15" w:rsidP="00777FA3">
      <w:pPr>
        <w:pStyle w:val="ListParagraph"/>
        <w:numPr>
          <w:ilvl w:val="0"/>
          <w:numId w:val="60"/>
        </w:numPr>
        <w:ind w:left="993"/>
        <w:rPr>
          <w:i/>
        </w:rPr>
      </w:pPr>
      <w:r w:rsidRPr="009B0335">
        <w:rPr>
          <w:i/>
        </w:rPr>
        <w:t>Obtaining consent from the patient, consistent with normal clinical practice, for a pharmacist to undertake the medication management review and for a charge to be incurred for the service for which a Medicare rebate is payable.  The patient must be clearly informed of the purpose and possible outcomes of the DMMR, the process involved (including that the pharmacist will visit the patient at home, unless exceptional circumstances apply or they are an Aboriginal or Torres Strait Islander patient), what information will be provided to the pharmacist as part of the DMMR, and any additional costs that may be incurred; and</w:t>
      </w:r>
    </w:p>
    <w:p w14:paraId="64E8BDE7" w14:textId="4241EC05" w:rsidR="00DF0E15" w:rsidRPr="009B0335" w:rsidRDefault="00DF0E15" w:rsidP="00777FA3">
      <w:pPr>
        <w:pStyle w:val="ListParagraph"/>
        <w:numPr>
          <w:ilvl w:val="0"/>
          <w:numId w:val="60"/>
        </w:numPr>
        <w:ind w:left="993"/>
        <w:rPr>
          <w:i/>
        </w:rPr>
      </w:pPr>
      <w:r w:rsidRPr="009B0335">
        <w:rPr>
          <w:i/>
        </w:rPr>
        <w:t>Provision to the patient's preferred community pharmacy or accredited pharmacist, of relevant clinical information, by the general practitioner for each individual patient, covering the patient's diagnosis, relevant test results and medication history, and current prescribed medications.</w:t>
      </w:r>
    </w:p>
    <w:p w14:paraId="4FCA3A75" w14:textId="76085A00" w:rsidR="00DF0E15" w:rsidRPr="009B0335" w:rsidRDefault="00DF0E15" w:rsidP="00777FA3">
      <w:pPr>
        <w:pStyle w:val="ListParagraph"/>
        <w:numPr>
          <w:ilvl w:val="0"/>
          <w:numId w:val="60"/>
        </w:numPr>
        <w:ind w:left="993"/>
        <w:rPr>
          <w:i/>
        </w:rPr>
      </w:pPr>
      <w:r w:rsidRPr="009B0335">
        <w:rPr>
          <w:i/>
        </w:rPr>
        <w:t>A DMMR referral form is available for this purpose.  If this form is not used, the general practitioner must provide patient details and relevant clinical information to the patient's preferred community pharmacy or accredited pharmacist.</w:t>
      </w:r>
    </w:p>
    <w:p w14:paraId="1C3177CB" w14:textId="77777777" w:rsidR="00DF0E15" w:rsidRPr="009B0335" w:rsidRDefault="00DF0E15" w:rsidP="00777FA3">
      <w:pPr>
        <w:ind w:left="431"/>
        <w:rPr>
          <w:i/>
        </w:rPr>
      </w:pPr>
      <w:r w:rsidRPr="009B0335">
        <w:rPr>
          <w:i/>
        </w:rPr>
        <w:t>The discussion of the review findings and report including suggested medication management strategies with the reviewing pharmacist includes:</w:t>
      </w:r>
    </w:p>
    <w:p w14:paraId="30CD5FB1" w14:textId="39719834" w:rsidR="00DF0E15" w:rsidRPr="009B0335" w:rsidRDefault="00DF0E15" w:rsidP="00777FA3">
      <w:pPr>
        <w:pStyle w:val="ListParagraph"/>
        <w:numPr>
          <w:ilvl w:val="0"/>
          <w:numId w:val="60"/>
        </w:numPr>
        <w:ind w:left="993"/>
        <w:rPr>
          <w:i/>
        </w:rPr>
      </w:pPr>
      <w:r w:rsidRPr="009B0335">
        <w:rPr>
          <w:i/>
        </w:rPr>
        <w:t>Receiving a written report from the reviewing pharmacist; and</w:t>
      </w:r>
    </w:p>
    <w:p w14:paraId="51DCE4F0" w14:textId="55E8D370" w:rsidR="00DF0E15" w:rsidRPr="009B0335" w:rsidRDefault="00DF0E15" w:rsidP="00777FA3">
      <w:pPr>
        <w:pStyle w:val="ListParagraph"/>
        <w:numPr>
          <w:ilvl w:val="0"/>
          <w:numId w:val="60"/>
        </w:numPr>
        <w:ind w:left="993"/>
        <w:rPr>
          <w:i/>
        </w:rPr>
      </w:pPr>
      <w:r w:rsidRPr="009B0335">
        <w:rPr>
          <w:i/>
        </w:rPr>
        <w:t>Discussing the relevant findings and suggested management strategies with the pharmacist (either by phone or face to face); and</w:t>
      </w:r>
    </w:p>
    <w:p w14:paraId="2247AAA6" w14:textId="600453A4" w:rsidR="00DF0E15" w:rsidRPr="009B0335" w:rsidRDefault="00DF0E15" w:rsidP="00777FA3">
      <w:pPr>
        <w:pStyle w:val="ListParagraph"/>
        <w:numPr>
          <w:ilvl w:val="0"/>
          <w:numId w:val="60"/>
        </w:numPr>
        <w:ind w:left="993"/>
        <w:rPr>
          <w:i/>
        </w:rPr>
      </w:pPr>
      <w:r w:rsidRPr="009B0335">
        <w:rPr>
          <w:i/>
        </w:rPr>
        <w:t>Developing a summary of the relevant review findings as part of the draft medication management plan.</w:t>
      </w:r>
    </w:p>
    <w:p w14:paraId="326A6584" w14:textId="77777777" w:rsidR="00DF0E15" w:rsidRPr="009B0335" w:rsidRDefault="00DF0E15" w:rsidP="00777FA3">
      <w:pPr>
        <w:pStyle w:val="ListParagraph"/>
        <w:numPr>
          <w:ilvl w:val="0"/>
          <w:numId w:val="60"/>
        </w:numPr>
        <w:ind w:left="993"/>
        <w:rPr>
          <w:i/>
        </w:rPr>
      </w:pPr>
      <w:r w:rsidRPr="009B0335">
        <w:rPr>
          <w:i/>
        </w:rPr>
        <w:t>Development of a written medication management plan following discussion with the patient includes:</w:t>
      </w:r>
    </w:p>
    <w:p w14:paraId="36C5502C" w14:textId="2109A042" w:rsidR="00DF0E15" w:rsidRPr="009B0335" w:rsidRDefault="00DF0E15" w:rsidP="00777FA3">
      <w:pPr>
        <w:pStyle w:val="ListParagraph"/>
        <w:numPr>
          <w:ilvl w:val="0"/>
          <w:numId w:val="60"/>
        </w:numPr>
        <w:ind w:left="993"/>
        <w:rPr>
          <w:i/>
        </w:rPr>
      </w:pPr>
      <w:r w:rsidRPr="009B0335">
        <w:rPr>
          <w:i/>
        </w:rPr>
        <w:t>Developing a draft medication management plan to be incorporated into patient’s GPMP and discussing this with the patient; and</w:t>
      </w:r>
    </w:p>
    <w:p w14:paraId="4AA16BF2" w14:textId="0955CA1D" w:rsidR="00DF0E15" w:rsidRPr="009B0335" w:rsidRDefault="00DF0E15" w:rsidP="00777FA3">
      <w:pPr>
        <w:pStyle w:val="ListParagraph"/>
        <w:numPr>
          <w:ilvl w:val="0"/>
          <w:numId w:val="60"/>
        </w:numPr>
        <w:ind w:left="993"/>
        <w:rPr>
          <w:i/>
        </w:rPr>
      </w:pPr>
      <w:r w:rsidRPr="009B0335">
        <w:rPr>
          <w:i/>
        </w:rPr>
        <w:t>Once agreed, offering a copy of the written medication management plan to the patient and providing a copy to the community pharmacy or accredited pharmacist and uploaded to My Health Record</w:t>
      </w:r>
    </w:p>
    <w:p w14:paraId="2B60DE8A" w14:textId="3B712EF5" w:rsidR="006656F7" w:rsidRDefault="00DF0E15" w:rsidP="00777FA3">
      <w:pPr>
        <w:ind w:left="431"/>
        <w:rPr>
          <w:i/>
        </w:rPr>
      </w:pPr>
      <w:r w:rsidRPr="009B0335">
        <w:rPr>
          <w:i/>
        </w:rPr>
        <w:t>The agreed plan should identify the medication management goals and the proposed medication regimen for the patient.</w:t>
      </w:r>
    </w:p>
    <w:p w14:paraId="5E987A77" w14:textId="77777777" w:rsidR="00DF0E15" w:rsidRPr="006656F7" w:rsidRDefault="00DF0E15" w:rsidP="00DF0E15">
      <w:pPr>
        <w:pStyle w:val="Bullet-green"/>
      </w:pPr>
      <w:r w:rsidRPr="006656F7">
        <w:t>The proposed new descriptor for item 903 is as follows:</w:t>
      </w:r>
    </w:p>
    <w:p w14:paraId="1A9F2184" w14:textId="77777777" w:rsidR="00DF0E15" w:rsidRPr="009B0335" w:rsidRDefault="00DF0E15" w:rsidP="00777FA3">
      <w:pPr>
        <w:ind w:left="431"/>
        <w:rPr>
          <w:i/>
        </w:rPr>
      </w:pPr>
      <w:r w:rsidRPr="009B0335">
        <w:rPr>
          <w:i/>
        </w:rPr>
        <w:t>Participation by a patient's usual general practitioner in the practice where a patient is enrolled (or the usual practice for a patient who is not enrolled) in a residential medication management review (RMMR) for a patient who is a permanent resident of a residential aged care facility-other than an RMMR for a resident in relation to whom, in the preceding 12 months, this item has applied, unless there has been a significant change in the resident's medical condition or medication management plan requiring a new RMMR</w:t>
      </w:r>
    </w:p>
    <w:p w14:paraId="65D58936" w14:textId="1FF142AE" w:rsidR="00DF0E15" w:rsidRDefault="00DF0E15" w:rsidP="00777FA3">
      <w:pPr>
        <w:ind w:left="431"/>
        <w:rPr>
          <w:i/>
        </w:rPr>
      </w:pPr>
      <w:r w:rsidRPr="009B0335">
        <w:rPr>
          <w:i/>
        </w:rPr>
        <w:t>The RMMR should result in an update to the resident's medication management plan and the current medication management plan should be uploaded to My Health Record, unless patient consent is withdrawn and where reasonably achievable.</w:t>
      </w:r>
    </w:p>
    <w:p w14:paraId="4BFDC8AA" w14:textId="3B376E9C" w:rsidR="00DF0E15" w:rsidRPr="00706C75" w:rsidRDefault="00DF0E15" w:rsidP="00777FA3">
      <w:pPr>
        <w:pStyle w:val="Heading3Numbered"/>
        <w:numPr>
          <w:ilvl w:val="0"/>
          <w:numId w:val="0"/>
        </w:numPr>
      </w:pPr>
      <w:bookmarkStart w:id="132" w:name="_Toc15644882"/>
      <w:r>
        <w:t xml:space="preserve">Rationale </w:t>
      </w:r>
      <w:r w:rsidR="00A824AB">
        <w:t>4.7</w:t>
      </w:r>
      <w:bookmarkEnd w:id="132"/>
    </w:p>
    <w:p w14:paraId="6207F8BF" w14:textId="77777777" w:rsidR="00DF0E15" w:rsidRPr="00706C75" w:rsidRDefault="00DF0E15" w:rsidP="00DF0E15">
      <w:r w:rsidRPr="00706C75">
        <w:t xml:space="preserve">This recommendation focuses on </w:t>
      </w:r>
      <w:r>
        <w:t>better targeted MMRs and ensuring that the rebate accurately reflects the practitioner's effort</w:t>
      </w:r>
      <w:r w:rsidRPr="00706C75">
        <w:t>.</w:t>
      </w:r>
    </w:p>
    <w:p w14:paraId="66DEB32B" w14:textId="77777777" w:rsidR="00DF0E15" w:rsidRPr="00706C75" w:rsidRDefault="00DF0E15" w:rsidP="00DF0E15">
      <w:pPr>
        <w:pStyle w:val="Bullet-green"/>
      </w:pPr>
      <w:r>
        <w:t>The Committee agreed that item 900 should be limited to those patients who have had a GP Management Plan or review performed in the last 12 months.</w:t>
      </w:r>
    </w:p>
    <w:p w14:paraId="088C5529" w14:textId="62859F15" w:rsidR="00DF0E15" w:rsidRPr="00CB7AAA" w:rsidRDefault="00DF0E15" w:rsidP="00DF0E15">
      <w:pPr>
        <w:pStyle w:val="Bullet2"/>
      </w:pPr>
      <w:r w:rsidRPr="00CB7AAA">
        <w:rPr>
          <w:rFonts w:eastAsiaTheme="minorEastAsia"/>
        </w:rPr>
        <w:t>MMRs have the greatest benefit for patients with chronic diseases o</w:t>
      </w:r>
      <w:r>
        <w:rPr>
          <w:rFonts w:eastAsiaTheme="minorEastAsia"/>
        </w:rPr>
        <w:t>r on complex medication regimes(</w:t>
      </w:r>
      <w:r>
        <w:rPr>
          <w:rFonts w:eastAsiaTheme="minorEastAsia"/>
        </w:rPr>
        <w:endnoteReference w:id="58"/>
      </w:r>
      <w:r>
        <w:rPr>
          <w:rFonts w:eastAsiaTheme="minorEastAsia"/>
        </w:rPr>
        <w:t>)(</w:t>
      </w:r>
      <w:r>
        <w:rPr>
          <w:rFonts w:eastAsiaTheme="minorEastAsia"/>
        </w:rPr>
        <w:endnoteReference w:id="59"/>
      </w:r>
      <w:r>
        <w:rPr>
          <w:rFonts w:eastAsiaTheme="minorEastAsia"/>
        </w:rPr>
        <w:t>)</w:t>
      </w:r>
      <w:r w:rsidR="00CD6B7E">
        <w:rPr>
          <w:rFonts w:eastAsiaTheme="minorEastAsia"/>
        </w:rPr>
        <w:t>.</w:t>
      </w:r>
    </w:p>
    <w:p w14:paraId="0AABC5E3" w14:textId="3C402DF3" w:rsidR="00DF0E15" w:rsidRPr="00CB7AAA" w:rsidRDefault="00DF0E15" w:rsidP="00DF0E15">
      <w:pPr>
        <w:pStyle w:val="Bullet2"/>
      </w:pPr>
      <w:r w:rsidRPr="00CB7AAA">
        <w:rPr>
          <w:rFonts w:eastAsiaTheme="minorEastAsia"/>
        </w:rPr>
        <w:t>72% of patients with a DMMR have a GPMP initiated within a year of their medication review</w:t>
      </w:r>
      <w:r w:rsidR="00CD6B7E">
        <w:rPr>
          <w:rFonts w:eastAsiaTheme="minorEastAsia"/>
        </w:rPr>
        <w:t>.</w:t>
      </w:r>
    </w:p>
    <w:p w14:paraId="7AD34D95" w14:textId="16BA35E6" w:rsidR="00DF0E15" w:rsidRPr="00CB7AAA" w:rsidRDefault="00DF0E15" w:rsidP="00DF0E15">
      <w:pPr>
        <w:pStyle w:val="Bullet2"/>
      </w:pPr>
      <w:r>
        <w:rPr>
          <w:rFonts w:eastAsiaTheme="minorEastAsia"/>
        </w:rPr>
        <w:t xml:space="preserve">The item descriptor for item 900 </w:t>
      </w:r>
      <w:r w:rsidRPr="00CB7AAA">
        <w:rPr>
          <w:rFonts w:eastAsiaTheme="minorEastAsia"/>
        </w:rPr>
        <w:t>includes significant overlap with GPMPs</w:t>
      </w:r>
      <w:r w:rsidR="00CD6B7E">
        <w:rPr>
          <w:rFonts w:eastAsiaTheme="minorEastAsia"/>
        </w:rPr>
        <w:t>.</w:t>
      </w:r>
    </w:p>
    <w:p w14:paraId="17544F35" w14:textId="77777777" w:rsidR="00DF0E15" w:rsidRPr="00CB7AAA" w:rsidRDefault="00DF0E15" w:rsidP="00DF0E15">
      <w:pPr>
        <w:pStyle w:val="Bullet-green"/>
      </w:pPr>
      <w:r>
        <w:t>The Committee agreed that the schedule fee for</w:t>
      </w:r>
      <w:r w:rsidRPr="00CB7AAA">
        <w:t xml:space="preserve"> </w:t>
      </w:r>
      <w:r>
        <w:t>items 900 and 903 should be substantially reduced.</w:t>
      </w:r>
    </w:p>
    <w:p w14:paraId="186F6452" w14:textId="1F7D30F5" w:rsidR="00DF0E15" w:rsidRPr="001865DD" w:rsidRDefault="00DF0E15" w:rsidP="00DF0E15">
      <w:pPr>
        <w:pStyle w:val="Bullet2"/>
      </w:pPr>
      <w:r>
        <w:rPr>
          <w:rFonts w:eastAsiaTheme="minorEastAsia"/>
        </w:rPr>
        <w:t>The c</w:t>
      </w:r>
      <w:r w:rsidRPr="00CB7AAA">
        <w:rPr>
          <w:rFonts w:eastAsiaTheme="minorEastAsia"/>
        </w:rPr>
        <w:t xml:space="preserve">urrent rebate for </w:t>
      </w:r>
      <w:r>
        <w:rPr>
          <w:rFonts w:eastAsiaTheme="minorEastAsia"/>
        </w:rPr>
        <w:t>item 900</w:t>
      </w:r>
      <w:r w:rsidRPr="00CB7AAA">
        <w:rPr>
          <w:rFonts w:eastAsiaTheme="minorEastAsia"/>
        </w:rPr>
        <w:t xml:space="preserve"> is $154.60 </w:t>
      </w:r>
      <w:r>
        <w:rPr>
          <w:rFonts w:eastAsiaTheme="minorEastAsia"/>
        </w:rPr>
        <w:t xml:space="preserve">and for item 903 is $106.00 </w:t>
      </w:r>
      <w:r w:rsidRPr="00CB7AAA">
        <w:rPr>
          <w:rFonts w:eastAsiaTheme="minorEastAsia"/>
        </w:rPr>
        <w:t xml:space="preserve">compared with $144.25 for </w:t>
      </w:r>
      <w:r>
        <w:rPr>
          <w:rFonts w:eastAsiaTheme="minorEastAsia"/>
        </w:rPr>
        <w:t>item 721</w:t>
      </w:r>
      <w:r w:rsidR="00CD6B7E">
        <w:rPr>
          <w:rFonts w:eastAsiaTheme="minorEastAsia"/>
        </w:rPr>
        <w:t>.</w:t>
      </w:r>
    </w:p>
    <w:p w14:paraId="04685CE2" w14:textId="77777777" w:rsidR="00DF0E15" w:rsidRPr="00CB7AAA" w:rsidRDefault="00DF0E15" w:rsidP="00DF0E15">
      <w:pPr>
        <w:pStyle w:val="Bullet2"/>
      </w:pPr>
      <w:r>
        <w:rPr>
          <w:rFonts w:eastAsiaTheme="minorEastAsia"/>
        </w:rPr>
        <w:t>Item 900 will likely be performed in conjunction with a GPMP or a review of a GPMP.</w:t>
      </w:r>
    </w:p>
    <w:p w14:paraId="32BFFB55" w14:textId="77777777" w:rsidR="00DF0E15" w:rsidRDefault="00DF0E15" w:rsidP="00DF0E15">
      <w:pPr>
        <w:pStyle w:val="Bullet-green"/>
      </w:pPr>
      <w:r w:rsidRPr="00DE3179">
        <w:t xml:space="preserve">The Committee agreed </w:t>
      </w:r>
      <w:r>
        <w:t>that the descriptor should reflect risk of medication misadventure</w:t>
      </w:r>
    </w:p>
    <w:p w14:paraId="0A19AC52" w14:textId="77777777" w:rsidR="00DF0E15" w:rsidRDefault="00DF0E15" w:rsidP="00DF0E15">
      <w:pPr>
        <w:pStyle w:val="Bullet2"/>
      </w:pPr>
      <w:r>
        <w:t>The descriptor previously required the patient to have</w:t>
      </w:r>
      <w:r w:rsidRPr="00F237DC">
        <w:t xml:space="preserve"> a chronic medical condition or a complex medication regimen</w:t>
      </w:r>
    </w:p>
    <w:p w14:paraId="15F4815C" w14:textId="77777777" w:rsidR="00DF0E15" w:rsidRDefault="00DF0E15" w:rsidP="00DF0E15">
      <w:pPr>
        <w:pStyle w:val="Bullet2"/>
      </w:pPr>
      <w:r>
        <w:t>Linking item 900 to GPMPs will mean that most patients have a chronic medical condition</w:t>
      </w:r>
    </w:p>
    <w:p w14:paraId="60136968" w14:textId="77777777" w:rsidR="00DF0E15" w:rsidRPr="00DE3179" w:rsidRDefault="00DF0E15" w:rsidP="00DF0E15">
      <w:pPr>
        <w:pStyle w:val="Bullet2"/>
      </w:pPr>
      <w:r>
        <w:t xml:space="preserve">There are some patients with a complex medication regimen who may not be at risk of medication misadventure </w:t>
      </w:r>
    </w:p>
    <w:p w14:paraId="63BFA374" w14:textId="77777777" w:rsidR="00DF0E15" w:rsidRDefault="00DF0E15" w:rsidP="00DF0E15">
      <w:pPr>
        <w:pStyle w:val="Bullet-green"/>
      </w:pPr>
      <w:r w:rsidRPr="009B7FB1">
        <w:t>The Committee agreed that the MMR should trigger the upload of a current medication management plan to My Health Record, unless patient consent is withdrawn</w:t>
      </w:r>
      <w:r>
        <w:t xml:space="preserve"> and where reasonably achievable</w:t>
      </w:r>
      <w:r w:rsidRPr="009B7FB1">
        <w:t xml:space="preserve">, to facilitate increased patient awareness and data sharing between health </w:t>
      </w:r>
      <w:r>
        <w:t>practitioners</w:t>
      </w:r>
    </w:p>
    <w:p w14:paraId="49EE8FD4" w14:textId="77777777" w:rsidR="00DF0E15" w:rsidRDefault="00DF0E15" w:rsidP="00DF0E15">
      <w:pPr>
        <w:pStyle w:val="Bullet-green"/>
      </w:pPr>
      <w:r>
        <w:t>The Committee agreed that access to MMRs should be improved for patients in rural and remote areas, and for patients who are being discharged from hospital</w:t>
      </w:r>
    </w:p>
    <w:p w14:paraId="60108710" w14:textId="091A8830" w:rsidR="00DF0E15" w:rsidRDefault="00DF0E15" w:rsidP="00DF0E15">
      <w:pPr>
        <w:pStyle w:val="Bullet2"/>
      </w:pPr>
      <w:r>
        <w:rPr>
          <w:rFonts w:eastAsiaTheme="minorEastAsia"/>
        </w:rPr>
        <w:t>There is s</w:t>
      </w:r>
      <w:r w:rsidRPr="006A107C">
        <w:rPr>
          <w:rFonts w:eastAsiaTheme="minorEastAsia"/>
        </w:rPr>
        <w:t>ignificant geographical variation in MMR claiming patterns</w:t>
      </w:r>
      <w:r>
        <w:t>, with o</w:t>
      </w:r>
      <w:r>
        <w:rPr>
          <w:rFonts w:eastAsiaTheme="minorEastAsia"/>
        </w:rPr>
        <w:t xml:space="preserve">verall claims 3.4 times </w:t>
      </w:r>
      <w:r w:rsidRPr="006A107C">
        <w:rPr>
          <w:rFonts w:eastAsiaTheme="minorEastAsia"/>
        </w:rPr>
        <w:t>higher in NSW compared with NT</w:t>
      </w:r>
      <w:r>
        <w:t xml:space="preserve">. </w:t>
      </w:r>
    </w:p>
    <w:p w14:paraId="59E760D8" w14:textId="77777777" w:rsidR="006656F7" w:rsidRPr="006A107C" w:rsidRDefault="006656F7" w:rsidP="00777FA3">
      <w:pPr>
        <w:pStyle w:val="Bullet2"/>
        <w:numPr>
          <w:ilvl w:val="0"/>
          <w:numId w:val="0"/>
        </w:numPr>
        <w:ind w:left="720"/>
      </w:pPr>
    </w:p>
    <w:p w14:paraId="7F915FE5" w14:textId="589B39BA" w:rsidR="00A614CE" w:rsidRPr="00580F5D" w:rsidRDefault="00A614CE"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33" w:name="_Toc15644883"/>
      <w:r>
        <w:t xml:space="preserve">Recommendation </w:t>
      </w:r>
      <w:r w:rsidR="00A824AB">
        <w:t>4.8</w:t>
      </w:r>
      <w:bookmarkEnd w:id="133"/>
    </w:p>
    <w:p w14:paraId="0C8822AC" w14:textId="37103B48" w:rsidR="00A614CE" w:rsidRDefault="001C0BC7" w:rsidP="008F13EA">
      <w:pPr>
        <w:pBdr>
          <w:top w:val="single" w:sz="4" w:space="1" w:color="auto"/>
          <w:left w:val="single" w:sz="4" w:space="1" w:color="auto"/>
          <w:bottom w:val="single" w:sz="4" w:space="1" w:color="auto"/>
          <w:right w:val="single" w:sz="4" w:space="1" w:color="auto"/>
        </w:pBdr>
        <w:shd w:val="clear" w:color="auto" w:fill="F2F2F2" w:themeFill="background1" w:themeFillShade="F2"/>
        <w:rPr>
          <w:rFonts w:eastAsiaTheme="minorEastAsia"/>
        </w:rPr>
      </w:pPr>
      <w:r>
        <w:rPr>
          <w:rFonts w:eastAsiaTheme="minorEastAsia"/>
        </w:rPr>
        <w:t>I</w:t>
      </w:r>
      <w:r w:rsidR="00A614CE">
        <w:rPr>
          <w:rFonts w:eastAsiaTheme="minorEastAsia"/>
        </w:rPr>
        <w:t>ncreas</w:t>
      </w:r>
      <w:r>
        <w:rPr>
          <w:rFonts w:eastAsiaTheme="minorEastAsia"/>
        </w:rPr>
        <w:t xml:space="preserve">e </w:t>
      </w:r>
      <w:r w:rsidR="00A614CE">
        <w:rPr>
          <w:rFonts w:eastAsiaTheme="minorEastAsia"/>
        </w:rPr>
        <w:t>the scheduled fee for home visits for enrolled patients.</w:t>
      </w:r>
    </w:p>
    <w:p w14:paraId="0718DD2A" w14:textId="77777777" w:rsidR="00A614CE" w:rsidRPr="00580F5D" w:rsidRDefault="00A614CE" w:rsidP="00A614CE">
      <w:pPr>
        <w:pStyle w:val="Bullet-green"/>
      </w:pPr>
      <w:r>
        <w:t>Items 24 37 and 47</w:t>
      </w:r>
    </w:p>
    <w:p w14:paraId="5FE9493B" w14:textId="4FABAAB1" w:rsidR="00A614CE" w:rsidRPr="00777FA3" w:rsidRDefault="00A614CE" w:rsidP="00A614CE">
      <w:pPr>
        <w:pStyle w:val="Bullet2"/>
        <w:rPr>
          <w:lang w:val="en-AU"/>
        </w:rPr>
      </w:pPr>
      <w:r w:rsidRPr="00777FA3">
        <w:rPr>
          <w:rFonts w:eastAsiaTheme="minorEastAsia"/>
        </w:rPr>
        <w:t>Increase the schedule fee for</w:t>
      </w:r>
      <w:r w:rsidR="006656F7" w:rsidRPr="00777FA3">
        <w:rPr>
          <w:rFonts w:eastAsiaTheme="minorEastAsia"/>
        </w:rPr>
        <w:t xml:space="preserve"> a home visit for </w:t>
      </w:r>
      <w:r w:rsidRPr="00777FA3">
        <w:rPr>
          <w:rFonts w:eastAsiaTheme="minorEastAsia"/>
        </w:rPr>
        <w:t>patient</w:t>
      </w:r>
      <w:r w:rsidR="006656F7" w:rsidRPr="00777FA3">
        <w:rPr>
          <w:rFonts w:eastAsiaTheme="minorEastAsia"/>
        </w:rPr>
        <w:t xml:space="preserve"> when attended by </w:t>
      </w:r>
      <w:r w:rsidR="00495F23">
        <w:rPr>
          <w:rFonts w:eastAsiaTheme="minorEastAsia"/>
        </w:rPr>
        <w:t>a</w:t>
      </w:r>
      <w:r w:rsidRPr="00777FA3">
        <w:rPr>
          <w:rFonts w:eastAsiaTheme="minorEastAsia"/>
        </w:rPr>
        <w:t xml:space="preserve"> GP from the practice where the patient is enrolled.</w:t>
      </w:r>
    </w:p>
    <w:p w14:paraId="13AB4663" w14:textId="07C037F3" w:rsidR="00A614CE" w:rsidRPr="00580F5D" w:rsidRDefault="00A614CE" w:rsidP="00777FA3">
      <w:pPr>
        <w:pStyle w:val="Heading3Numbered"/>
        <w:numPr>
          <w:ilvl w:val="0"/>
          <w:numId w:val="0"/>
        </w:numPr>
        <w:ind w:left="720" w:hanging="720"/>
      </w:pPr>
      <w:bookmarkStart w:id="134" w:name="_Toc15644884"/>
      <w:r>
        <w:t xml:space="preserve">Rationale </w:t>
      </w:r>
      <w:r w:rsidR="00A824AB">
        <w:t>4.8</w:t>
      </w:r>
      <w:bookmarkEnd w:id="134"/>
    </w:p>
    <w:p w14:paraId="2CB7F14C" w14:textId="4BCA4D52" w:rsidR="00A614CE" w:rsidRPr="00580F5D" w:rsidRDefault="00A614CE" w:rsidP="00A614CE">
      <w:r w:rsidRPr="00580F5D">
        <w:t xml:space="preserve">This recommendation focuses on </w:t>
      </w:r>
      <w:r>
        <w:t xml:space="preserve">increasing support for home visits for patients </w:t>
      </w:r>
      <w:r w:rsidR="00E54133">
        <w:t>who are enrolled within a practice</w:t>
      </w:r>
      <w:r w:rsidRPr="00580F5D">
        <w:t>.</w:t>
      </w:r>
      <w:r w:rsidR="00E54133">
        <w:t xml:space="preserve"> </w:t>
      </w:r>
      <w:r w:rsidRPr="00580F5D">
        <w:t xml:space="preserve"> It is based on the following</w:t>
      </w:r>
      <w:r w:rsidR="00E54133">
        <w:t>:</w:t>
      </w:r>
    </w:p>
    <w:p w14:paraId="27B0C654" w14:textId="6ED63729" w:rsidR="00A614CE" w:rsidRPr="00315BC0" w:rsidRDefault="00A614CE" w:rsidP="00A614CE">
      <w:pPr>
        <w:pStyle w:val="Bullet-green"/>
      </w:pPr>
      <w:r w:rsidRPr="00315BC0">
        <w:rPr>
          <w:rFonts w:eastAsiaTheme="minorEastAsia"/>
        </w:rPr>
        <w:t>With an ageing population, it is important to facilitate people who want to stay in their homes</w:t>
      </w:r>
      <w:r w:rsidR="007D787B">
        <w:rPr>
          <w:rFonts w:eastAsiaTheme="minorEastAsia"/>
        </w:rPr>
        <w:t>.</w:t>
      </w:r>
    </w:p>
    <w:p w14:paraId="1EC6A82F" w14:textId="4B2AD8EC" w:rsidR="00A614CE" w:rsidRPr="008F13EA" w:rsidRDefault="00A614CE" w:rsidP="00A614CE">
      <w:pPr>
        <w:pStyle w:val="Bullet-green"/>
      </w:pPr>
      <w:r w:rsidRPr="003F5E49">
        <w:rPr>
          <w:rFonts w:eastAsiaTheme="minorEastAsia"/>
          <w:lang w:val="en-US"/>
        </w:rPr>
        <w:t>Extension of higher rebates to all patients could have unintended consequences similar to those experienced in urgent after-hours care</w:t>
      </w:r>
      <w:r>
        <w:rPr>
          <w:rFonts w:eastAsiaTheme="minorEastAsia"/>
        </w:rPr>
        <w:t>(</w:t>
      </w:r>
      <w:r>
        <w:rPr>
          <w:rFonts w:eastAsiaTheme="minorEastAsia"/>
          <w:lang w:val="en-US"/>
        </w:rPr>
        <w:endnoteReference w:id="60"/>
      </w:r>
      <w:r>
        <w:rPr>
          <w:rFonts w:eastAsiaTheme="minorEastAsia"/>
        </w:rPr>
        <w:t>)</w:t>
      </w:r>
      <w:r w:rsidR="007D787B">
        <w:rPr>
          <w:rFonts w:eastAsiaTheme="minorEastAsia"/>
        </w:rPr>
        <w:t>.</w:t>
      </w:r>
    </w:p>
    <w:p w14:paraId="45D0A77B" w14:textId="77777777" w:rsidR="008F13EA" w:rsidRPr="006740E8" w:rsidRDefault="008F13EA" w:rsidP="008F13EA">
      <w:pPr>
        <w:pStyle w:val="Bullet-green"/>
        <w:numPr>
          <w:ilvl w:val="0"/>
          <w:numId w:val="0"/>
        </w:numPr>
        <w:rPr>
          <w:rStyle w:val="IntenseEmphasis"/>
          <w:b w:val="0"/>
          <w:bCs w:val="0"/>
          <w:i w:val="0"/>
          <w:iCs w:val="0"/>
          <w:color w:val="auto"/>
        </w:rPr>
      </w:pPr>
    </w:p>
    <w:p w14:paraId="6E86B5E3" w14:textId="4FE66ECE" w:rsidR="008470C4" w:rsidRDefault="00F348AB" w:rsidP="00A05041">
      <w:pPr>
        <w:pStyle w:val="Heading2"/>
        <w:numPr>
          <w:ilvl w:val="0"/>
          <w:numId w:val="0"/>
        </w:numPr>
        <w:ind w:left="-567"/>
        <w:rPr>
          <w:lang w:val="en-AU"/>
        </w:rPr>
      </w:pPr>
      <w:bookmarkStart w:id="135" w:name="_Toc15644885"/>
      <w:r>
        <w:t>Health Assessment</w:t>
      </w:r>
      <w:r w:rsidRPr="008470C4">
        <w:t xml:space="preserve"> Items</w:t>
      </w:r>
      <w:r>
        <w:rPr>
          <w:lang w:val="en-AU"/>
        </w:rPr>
        <w:t xml:space="preserve"> - b</w:t>
      </w:r>
      <w:r w:rsidRPr="009B0335">
        <w:rPr>
          <w:lang w:val="en-AU"/>
        </w:rPr>
        <w:t xml:space="preserve">etter </w:t>
      </w:r>
      <w:r>
        <w:rPr>
          <w:lang w:val="en-AU"/>
        </w:rPr>
        <w:t>a</w:t>
      </w:r>
      <w:r w:rsidRPr="009B0335">
        <w:rPr>
          <w:lang w:val="en-AU"/>
        </w:rPr>
        <w:t xml:space="preserve">lignment </w:t>
      </w:r>
      <w:r>
        <w:rPr>
          <w:lang w:val="en-AU"/>
        </w:rPr>
        <w:t>w</w:t>
      </w:r>
      <w:r w:rsidRPr="009B0335">
        <w:rPr>
          <w:lang w:val="en-AU"/>
        </w:rPr>
        <w:t xml:space="preserve">ith </w:t>
      </w:r>
      <w:r>
        <w:rPr>
          <w:lang w:val="en-AU"/>
        </w:rPr>
        <w:t>need a</w:t>
      </w:r>
      <w:r w:rsidRPr="009B0335">
        <w:rPr>
          <w:lang w:val="en-AU"/>
        </w:rPr>
        <w:t xml:space="preserve">nd </w:t>
      </w:r>
      <w:r>
        <w:rPr>
          <w:lang w:val="en-AU"/>
        </w:rPr>
        <w:t>e</w:t>
      </w:r>
      <w:r w:rsidRPr="009B0335">
        <w:rPr>
          <w:lang w:val="en-AU"/>
        </w:rPr>
        <w:t>vidence</w:t>
      </w:r>
      <w:bookmarkEnd w:id="135"/>
    </w:p>
    <w:p w14:paraId="52777DDE" w14:textId="74367348" w:rsidR="008470C4" w:rsidRPr="008470C4" w:rsidRDefault="008470C4"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bookmarkStart w:id="136" w:name="_Toc15644886"/>
      <w:r w:rsidRPr="008470C4">
        <w:t xml:space="preserve">Recommendation </w:t>
      </w:r>
      <w:r w:rsidR="00A824AB">
        <w:t>5</w:t>
      </w:r>
      <w:bookmarkEnd w:id="136"/>
    </w:p>
    <w:p w14:paraId="4D248251" w14:textId="6FCAE1F2" w:rsidR="00F80767" w:rsidRDefault="00E231E2"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rsidRPr="00E231E2">
        <w:rPr>
          <w:rFonts w:eastAsiaTheme="minorEastAsia"/>
        </w:rPr>
        <w:t>Build the evidence base for Health Assessments and ensure that the content of Health Assessments conforms to appropriate clinical practice guidelines</w:t>
      </w:r>
      <w:r>
        <w:rPr>
          <w:rFonts w:eastAsiaTheme="minorEastAsia"/>
        </w:rPr>
        <w:t xml:space="preserve">. </w:t>
      </w:r>
    </w:p>
    <w:p w14:paraId="6463F882" w14:textId="77777777" w:rsidR="00E231E2" w:rsidRPr="002E40FE" w:rsidRDefault="00E231E2" w:rsidP="002E40FE">
      <w:pPr>
        <w:pStyle w:val="Bullet-green"/>
      </w:pPr>
      <w:r w:rsidRPr="002E40FE">
        <w:t>The Committee recommends that a process be established to gather evidence on the effectiveness and frequency of Health Assessments with a focus on at-risk populations, including using data at a Primary Health Network (PHN) level based on existing groups eligible for Health Assessments, and commissioning studies on the evidence for Health Assessments for new at-risk groups.</w:t>
      </w:r>
    </w:p>
    <w:p w14:paraId="45745C1A" w14:textId="1AC695A3" w:rsidR="00681093" w:rsidRDefault="00495F23" w:rsidP="00777FA3">
      <w:pPr>
        <w:rPr>
          <w:lang w:val="en-US" w:eastAsia="en-US"/>
        </w:rPr>
      </w:pPr>
      <w:r w:rsidRPr="004238EC">
        <w:rPr>
          <w:lang w:val="en-US" w:eastAsia="en-US"/>
        </w:rPr>
        <w:t>Note: See Appendix A.2. for a full list of Health Assessment items and usage.</w:t>
      </w:r>
    </w:p>
    <w:p w14:paraId="0CA84102" w14:textId="554AECE2" w:rsidR="008470C4" w:rsidRPr="008470C4" w:rsidRDefault="006E563D" w:rsidP="00777FA3">
      <w:pPr>
        <w:pStyle w:val="Heading3Numbered"/>
        <w:numPr>
          <w:ilvl w:val="0"/>
          <w:numId w:val="0"/>
        </w:numPr>
        <w:ind w:left="720" w:hanging="720"/>
      </w:pPr>
      <w:bookmarkStart w:id="137" w:name="_Toc15644887"/>
      <w:r>
        <w:t xml:space="preserve">Rationale </w:t>
      </w:r>
      <w:r w:rsidR="00A824AB">
        <w:t>5</w:t>
      </w:r>
      <w:bookmarkEnd w:id="137"/>
    </w:p>
    <w:p w14:paraId="2DD2AC90" w14:textId="4198C97A" w:rsidR="008470C4" w:rsidRPr="008470C4" w:rsidRDefault="008470C4" w:rsidP="008470C4">
      <w:r w:rsidRPr="008470C4">
        <w:t xml:space="preserve">This recommendation focuses on </w:t>
      </w:r>
      <w:r w:rsidR="00586306">
        <w:t>increasing the evidence base for Health Assessments to ensure that preventative care is delivered in the most effective way</w:t>
      </w:r>
      <w:r w:rsidR="00CD6B7E">
        <w:t>. It is based on the following:</w:t>
      </w:r>
    </w:p>
    <w:p w14:paraId="0632EB0E" w14:textId="77777777" w:rsidR="008470C4" w:rsidRDefault="00586306" w:rsidP="008470C4">
      <w:pPr>
        <w:pStyle w:val="Bullet-green"/>
      </w:pPr>
      <w:r>
        <w:t>The Committee agreed that there is limited evidence around Health Assessments</w:t>
      </w:r>
    </w:p>
    <w:p w14:paraId="6A702A49" w14:textId="77777777" w:rsidR="00586306" w:rsidRDefault="00586306" w:rsidP="00586306">
      <w:pPr>
        <w:pStyle w:val="Bullet2"/>
      </w:pPr>
      <w:r>
        <w:t>The Hereco literature review commissioned by the Committee found evidence</w:t>
      </w:r>
      <w:r w:rsidR="007D02E5">
        <w:t xml:space="preserve"> for Health Assessments in certain populations:</w:t>
      </w:r>
    </w:p>
    <w:p w14:paraId="6C13272E" w14:textId="0189A6F1" w:rsidR="00352F4C" w:rsidRPr="00352F4C" w:rsidRDefault="007D02E5" w:rsidP="007D02E5">
      <w:pPr>
        <w:pStyle w:val="Dash3"/>
      </w:pPr>
      <w:r w:rsidRPr="007D02E5">
        <w:rPr>
          <w:rFonts w:eastAsiaTheme="minorEastAsia"/>
        </w:rPr>
        <w:t xml:space="preserve">Persons with intellectual disability: There is substantial evidence to suggest that health assessments lead to detection of unmet needs, which leads to increases in activities conducive to better health outcomes, can prevent disease in people with intellectual disability, and can reduce </w:t>
      </w:r>
      <w:r w:rsidR="00352F4C">
        <w:rPr>
          <w:rFonts w:eastAsiaTheme="minorEastAsia"/>
        </w:rPr>
        <w:t>preventable emergency admission</w:t>
      </w:r>
      <w:r w:rsidR="00C46CF4">
        <w:rPr>
          <w:rFonts w:eastAsiaTheme="minorEastAsia"/>
        </w:rPr>
        <w:t>(</w:t>
      </w:r>
      <w:r w:rsidR="00352F4C">
        <w:rPr>
          <w:rFonts w:eastAsiaTheme="minorEastAsia"/>
        </w:rPr>
        <w:endnoteReference w:id="61"/>
      </w:r>
      <w:r w:rsidR="00C46CF4">
        <w:rPr>
          <w:rFonts w:eastAsiaTheme="minorEastAsia"/>
        </w:rPr>
        <w:t>)(</w:t>
      </w:r>
      <w:r w:rsidR="00C8123A">
        <w:rPr>
          <w:rFonts w:eastAsiaTheme="minorEastAsia"/>
        </w:rPr>
        <w:endnoteReference w:id="62"/>
      </w:r>
      <w:r w:rsidR="00C46CF4">
        <w:rPr>
          <w:rFonts w:eastAsiaTheme="minorEastAsia"/>
        </w:rPr>
        <w:t>)(</w:t>
      </w:r>
      <w:r w:rsidR="00C8123A">
        <w:rPr>
          <w:rFonts w:eastAsiaTheme="minorEastAsia"/>
        </w:rPr>
        <w:endnoteReference w:id="63"/>
      </w:r>
      <w:r w:rsidR="00C46CF4">
        <w:rPr>
          <w:rFonts w:eastAsiaTheme="minorEastAsia"/>
        </w:rPr>
        <w:t>)</w:t>
      </w:r>
      <w:r w:rsidR="00CD6B7E">
        <w:rPr>
          <w:rFonts w:eastAsiaTheme="minorEastAsia"/>
        </w:rPr>
        <w:t>.</w:t>
      </w:r>
    </w:p>
    <w:p w14:paraId="35D308CC" w14:textId="41E6C7DC" w:rsidR="007D02E5" w:rsidRPr="007D02E5" w:rsidRDefault="007D02E5" w:rsidP="007D02E5">
      <w:pPr>
        <w:pStyle w:val="Dash3"/>
      </w:pPr>
      <w:r w:rsidRPr="007D02E5">
        <w:rPr>
          <w:rFonts w:eastAsiaTheme="minorEastAsia"/>
        </w:rPr>
        <w:t>There is evidence that annual health checking is justifiable, with a similar number of new health problems found at the repeat chec</w:t>
      </w:r>
      <w:r w:rsidR="00997A56">
        <w:rPr>
          <w:rFonts w:eastAsiaTheme="minorEastAsia"/>
        </w:rPr>
        <w:t>k compared to the initial check</w:t>
      </w:r>
      <w:r w:rsidR="00C46CF4">
        <w:rPr>
          <w:rFonts w:eastAsiaTheme="minorEastAsia"/>
        </w:rPr>
        <w:t>(</w:t>
      </w:r>
      <w:r w:rsidR="00997A56">
        <w:rPr>
          <w:rFonts w:eastAsiaTheme="minorEastAsia"/>
        </w:rPr>
        <w:endnoteReference w:id="64"/>
      </w:r>
      <w:r w:rsidR="00C46CF4">
        <w:rPr>
          <w:rFonts w:eastAsiaTheme="minorEastAsia"/>
        </w:rPr>
        <w:t>)</w:t>
      </w:r>
      <w:r w:rsidR="00CD6B7E">
        <w:rPr>
          <w:rFonts w:eastAsiaTheme="minorEastAsia"/>
        </w:rPr>
        <w:t>.</w:t>
      </w:r>
    </w:p>
    <w:p w14:paraId="7C0541F6" w14:textId="06BFB3D3" w:rsidR="007D02E5" w:rsidRDefault="007D02E5" w:rsidP="007D02E5">
      <w:pPr>
        <w:pStyle w:val="Dash3"/>
      </w:pPr>
      <w:r>
        <w:rPr>
          <w:rFonts w:eastAsiaTheme="minorEastAsia"/>
        </w:rPr>
        <w:t xml:space="preserve">Persons over the age of 75: </w:t>
      </w:r>
      <w:r w:rsidRPr="007D02E5">
        <w:rPr>
          <w:rFonts w:eastAsiaTheme="minorEastAsia"/>
        </w:rPr>
        <w:t xml:space="preserve">A systematic review found that the majority of "more methodologically sound studies" were found to report improvements in health but the review found no evidence that targeting of the </w:t>
      </w:r>
      <w:r w:rsidR="00942531">
        <w:rPr>
          <w:rFonts w:eastAsiaTheme="minorEastAsia"/>
        </w:rPr>
        <w:t>frail elderly enhanced outcomes</w:t>
      </w:r>
      <w:r w:rsidR="009B1BE3">
        <w:rPr>
          <w:rFonts w:eastAsiaTheme="minorEastAsia"/>
        </w:rPr>
        <w:t xml:space="preserve"> </w:t>
      </w:r>
      <w:r w:rsidR="00C46CF4">
        <w:rPr>
          <w:rFonts w:eastAsiaTheme="minorEastAsia"/>
        </w:rPr>
        <w:t>(</w:t>
      </w:r>
      <w:r w:rsidR="00942531">
        <w:rPr>
          <w:rFonts w:eastAsiaTheme="minorEastAsia"/>
        </w:rPr>
        <w:endnoteReference w:id="65"/>
      </w:r>
      <w:r w:rsidR="00C46CF4">
        <w:rPr>
          <w:rFonts w:eastAsiaTheme="minorEastAsia"/>
        </w:rPr>
        <w:t>)</w:t>
      </w:r>
      <w:r w:rsidR="00CD6B7E">
        <w:rPr>
          <w:rFonts w:eastAsiaTheme="minorEastAsia"/>
        </w:rPr>
        <w:t>.</w:t>
      </w:r>
    </w:p>
    <w:p w14:paraId="70C081FC" w14:textId="3D5EA4B6" w:rsidR="007D02E5" w:rsidRPr="007D02E5" w:rsidRDefault="007D02E5" w:rsidP="007D02E5">
      <w:pPr>
        <w:pStyle w:val="Dash3"/>
        <w:rPr>
          <w:lang w:val="en-AU"/>
        </w:rPr>
      </w:pPr>
      <w:r>
        <w:t xml:space="preserve">Persons over the age of 65: </w:t>
      </w:r>
      <w:r w:rsidR="00942531">
        <w:rPr>
          <w:rFonts w:eastAsiaTheme="minorEastAsia"/>
        </w:rPr>
        <w:t xml:space="preserve">One RCT </w:t>
      </w:r>
      <w:r w:rsidRPr="007D02E5">
        <w:rPr>
          <w:rFonts w:eastAsiaTheme="minorEastAsia"/>
        </w:rPr>
        <w:t xml:space="preserve">focused on people 65+ found a mean decline in health status was 2% lower in intervention group than control group, and death rate was significantly lower in intervention than control (8.3% vs 11.1%). No differences were observed </w:t>
      </w:r>
      <w:r w:rsidR="009B1BE3">
        <w:rPr>
          <w:rFonts w:eastAsiaTheme="minorEastAsia"/>
        </w:rPr>
        <w:t xml:space="preserve">in changes in health behaviours </w:t>
      </w:r>
      <w:r w:rsidR="00C46CF4">
        <w:rPr>
          <w:rFonts w:eastAsiaTheme="minorEastAsia"/>
        </w:rPr>
        <w:t>(</w:t>
      </w:r>
      <w:r w:rsidR="00942531">
        <w:rPr>
          <w:rFonts w:eastAsiaTheme="minorEastAsia"/>
        </w:rPr>
        <w:endnoteReference w:id="66"/>
      </w:r>
      <w:r w:rsidR="00C46CF4">
        <w:rPr>
          <w:rFonts w:eastAsiaTheme="minorEastAsia"/>
        </w:rPr>
        <w:t>)</w:t>
      </w:r>
      <w:r w:rsidR="00CD6B7E">
        <w:rPr>
          <w:rFonts w:eastAsiaTheme="minorEastAsia"/>
        </w:rPr>
        <w:t>.</w:t>
      </w:r>
    </w:p>
    <w:p w14:paraId="2447980F" w14:textId="77777777" w:rsidR="00505CF0" w:rsidRPr="007D02E5" w:rsidRDefault="007D02E5" w:rsidP="00C43DEC">
      <w:pPr>
        <w:pStyle w:val="Bullet2"/>
      </w:pPr>
      <w:r>
        <w:rPr>
          <w:rFonts w:eastAsiaTheme="minorEastAsia"/>
        </w:rPr>
        <w:t>However there was limited evidence found for Health Assessments in the general population</w:t>
      </w:r>
      <w:r w:rsidR="00C43DEC">
        <w:rPr>
          <w:rFonts w:eastAsiaTheme="minorEastAsia"/>
        </w:rPr>
        <w:t xml:space="preserve"> or other populations</w:t>
      </w:r>
      <w:r>
        <w:rPr>
          <w:rFonts w:eastAsiaTheme="minorEastAsia"/>
        </w:rPr>
        <w:t>:</w:t>
      </w:r>
    </w:p>
    <w:p w14:paraId="69A1467F" w14:textId="6A1C601C" w:rsidR="007D02E5" w:rsidRPr="007D02E5" w:rsidRDefault="007D02E5" w:rsidP="00C43DEC">
      <w:pPr>
        <w:pStyle w:val="Dash3"/>
      </w:pPr>
      <w:r w:rsidRPr="007D02E5">
        <w:rPr>
          <w:rFonts w:eastAsiaTheme="minorEastAsia"/>
        </w:rPr>
        <w:t>Health checks led to an overall increase in the number of new diagnoses and more treatment</w:t>
      </w:r>
      <w:bookmarkStart w:id="138" w:name="_Ref522028171"/>
      <w:r w:rsidR="0072423E">
        <w:rPr>
          <w:rFonts w:eastAsiaTheme="minorEastAsia"/>
        </w:rPr>
        <w:t>(</w:t>
      </w:r>
      <w:r w:rsidR="00A145AB">
        <w:rPr>
          <w:rFonts w:eastAsiaTheme="minorEastAsia"/>
        </w:rPr>
        <w:endnoteReference w:id="67"/>
      </w:r>
      <w:bookmarkEnd w:id="138"/>
      <w:r w:rsidR="0072423E">
        <w:rPr>
          <w:rFonts w:eastAsiaTheme="minorEastAsia"/>
        </w:rPr>
        <w:t>)</w:t>
      </w:r>
      <w:r w:rsidRPr="007D02E5">
        <w:rPr>
          <w:rFonts w:eastAsiaTheme="minorEastAsia"/>
        </w:rPr>
        <w:t>, and lessened patient worry</w:t>
      </w:r>
      <w:r w:rsidR="00C46CF4">
        <w:rPr>
          <w:rFonts w:eastAsiaTheme="minorEastAsia"/>
        </w:rPr>
        <w:t>(</w:t>
      </w:r>
      <w:r w:rsidR="00195794">
        <w:rPr>
          <w:rFonts w:eastAsiaTheme="minorEastAsia"/>
        </w:rPr>
        <w:endnoteReference w:id="68"/>
      </w:r>
      <w:r w:rsidR="00C46CF4">
        <w:rPr>
          <w:rFonts w:eastAsiaTheme="minorEastAsia"/>
        </w:rPr>
        <w:t>)</w:t>
      </w:r>
      <w:r w:rsidRPr="007D02E5">
        <w:rPr>
          <w:rFonts w:eastAsiaTheme="minorEastAsia"/>
        </w:rPr>
        <w:t>, but did not improve morbidity or mortality, leading most studies to conclude that health checks on the gener</w:t>
      </w:r>
      <w:r w:rsidR="00195794">
        <w:rPr>
          <w:rFonts w:eastAsiaTheme="minorEastAsia"/>
        </w:rPr>
        <w:t>al population are not warranted</w:t>
      </w:r>
      <w:r w:rsidR="00C46CF4">
        <w:rPr>
          <w:rFonts w:eastAsiaTheme="minorEastAsia"/>
        </w:rPr>
        <w:t>(</w:t>
      </w:r>
      <w:r w:rsidR="005942C5" w:rsidRPr="005942C5">
        <w:rPr>
          <w:rFonts w:eastAsiaTheme="minorEastAsia"/>
        </w:rPr>
        <w:fldChar w:fldCharType="begin"/>
      </w:r>
      <w:r w:rsidR="005942C5" w:rsidRPr="005942C5">
        <w:rPr>
          <w:rFonts w:eastAsiaTheme="minorEastAsia"/>
        </w:rPr>
        <w:instrText xml:space="preserve"> NOTEREF _Ref522028171 \h </w:instrText>
      </w:r>
      <w:r w:rsidR="005942C5" w:rsidRPr="005942C5">
        <w:rPr>
          <w:rFonts w:eastAsiaTheme="minorEastAsia"/>
        </w:rPr>
      </w:r>
      <w:r w:rsidR="005942C5" w:rsidRPr="005942C5">
        <w:rPr>
          <w:rFonts w:eastAsiaTheme="minorEastAsia"/>
        </w:rPr>
        <w:fldChar w:fldCharType="separate"/>
      </w:r>
      <w:r w:rsidR="0097062E">
        <w:rPr>
          <w:rFonts w:eastAsiaTheme="minorEastAsia"/>
        </w:rPr>
        <w:t>67</w:t>
      </w:r>
      <w:r w:rsidR="005942C5" w:rsidRPr="005942C5">
        <w:rPr>
          <w:rFonts w:eastAsiaTheme="minorEastAsia"/>
        </w:rPr>
        <w:fldChar w:fldCharType="end"/>
      </w:r>
      <w:r w:rsidR="00C46CF4">
        <w:rPr>
          <w:rFonts w:eastAsiaTheme="minorEastAsia"/>
        </w:rPr>
        <w:t>)(</w:t>
      </w:r>
      <w:r w:rsidR="00195794">
        <w:rPr>
          <w:rFonts w:eastAsiaTheme="minorEastAsia"/>
        </w:rPr>
        <w:endnoteReference w:id="69"/>
      </w:r>
      <w:r w:rsidR="00C46CF4">
        <w:rPr>
          <w:rFonts w:eastAsiaTheme="minorEastAsia"/>
        </w:rPr>
        <w:t>)</w:t>
      </w:r>
    </w:p>
    <w:p w14:paraId="6B1A682D" w14:textId="77777777" w:rsidR="007D02E5" w:rsidRPr="007D02E5" w:rsidRDefault="007D02E5" w:rsidP="00C43DEC">
      <w:pPr>
        <w:pStyle w:val="Dash3"/>
      </w:pPr>
      <w:r w:rsidRPr="007D02E5">
        <w:rPr>
          <w:rFonts w:eastAsiaTheme="minorEastAsia"/>
        </w:rPr>
        <w:t>There is some evidence that CVD systematic risk assessment may have favourable effects on CVD risk factors, but not enough to justify in</w:t>
      </w:r>
      <w:r w:rsidR="00195794">
        <w:rPr>
          <w:rFonts w:eastAsiaTheme="minorEastAsia"/>
        </w:rPr>
        <w:t>troduction of general screening</w:t>
      </w:r>
      <w:r w:rsidR="00C46CF4">
        <w:rPr>
          <w:rFonts w:eastAsiaTheme="minorEastAsia"/>
        </w:rPr>
        <w:t>(</w:t>
      </w:r>
      <w:r w:rsidR="00195794">
        <w:rPr>
          <w:rFonts w:eastAsiaTheme="minorEastAsia"/>
        </w:rPr>
        <w:endnoteReference w:id="70"/>
      </w:r>
      <w:r w:rsidR="00C46CF4">
        <w:rPr>
          <w:rFonts w:eastAsiaTheme="minorEastAsia"/>
        </w:rPr>
        <w:t>)(</w:t>
      </w:r>
      <w:r w:rsidR="006065CD">
        <w:rPr>
          <w:rFonts w:eastAsiaTheme="minorEastAsia"/>
        </w:rPr>
        <w:endnoteReference w:id="71"/>
      </w:r>
      <w:r w:rsidR="00C46CF4">
        <w:rPr>
          <w:rFonts w:eastAsiaTheme="minorEastAsia"/>
        </w:rPr>
        <w:t>)</w:t>
      </w:r>
    </w:p>
    <w:p w14:paraId="1F7AC67D" w14:textId="77777777" w:rsidR="00E54133" w:rsidRPr="009B0335" w:rsidRDefault="00E54133" w:rsidP="009B0335">
      <w:pPr>
        <w:pStyle w:val="Bullet-green"/>
        <w:numPr>
          <w:ilvl w:val="0"/>
          <w:numId w:val="0"/>
        </w:numPr>
        <w:ind w:left="431"/>
        <w:rPr>
          <w:highlight w:val="yellow"/>
        </w:rPr>
      </w:pPr>
    </w:p>
    <w:p w14:paraId="0AE684ED" w14:textId="66281D74" w:rsidR="0075020A" w:rsidRDefault="0075020A"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139" w:name="_Toc15644888"/>
      <w:r>
        <w:t>Recommendation</w:t>
      </w:r>
      <w:r w:rsidR="00A824AB">
        <w:t xml:space="preserve"> 6</w:t>
      </w:r>
      <w:bookmarkEnd w:id="139"/>
    </w:p>
    <w:p w14:paraId="32C80991" w14:textId="762CEB1F" w:rsidR="00A614CE" w:rsidRPr="009B0335" w:rsidRDefault="001C0BC7" w:rsidP="008F13EA">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1C0BC7">
        <w:t>Strength</w:t>
      </w:r>
      <w:r w:rsidR="00CD6B7E">
        <w:t>en</w:t>
      </w:r>
      <w:r w:rsidRPr="001C0BC7">
        <w:t xml:space="preserve"> the quality of current Health Assessments and expand at-risk groups who are eligible for Health Assessments</w:t>
      </w:r>
      <w:r w:rsidR="00A614CE" w:rsidRPr="00A614CE">
        <w:t xml:space="preserve">. </w:t>
      </w:r>
    </w:p>
    <w:p w14:paraId="77F8BC52" w14:textId="07F38AC8" w:rsidR="00635B19" w:rsidRDefault="00635B19" w:rsidP="00635B19">
      <w:pPr>
        <w:pStyle w:val="Bullet-green"/>
      </w:pPr>
      <w:r>
        <w:t xml:space="preserve">Items </w:t>
      </w:r>
      <w:r w:rsidR="007139AE">
        <w:t xml:space="preserve">701, </w:t>
      </w:r>
      <w:r>
        <w:t>703, 705 and 707</w:t>
      </w:r>
    </w:p>
    <w:p w14:paraId="1C5D9120" w14:textId="77777777" w:rsidR="00955F8B" w:rsidRDefault="00635B19" w:rsidP="00635B19">
      <w:pPr>
        <w:pStyle w:val="Bullet2"/>
      </w:pPr>
      <w:r>
        <w:t>Change</w:t>
      </w:r>
      <w:r w:rsidR="00955F8B">
        <w:t xml:space="preserve"> the</w:t>
      </w:r>
      <w:r>
        <w:t xml:space="preserve"> descriptor</w:t>
      </w:r>
      <w:r w:rsidR="00955F8B">
        <w:t>s and explanatory notes</w:t>
      </w:r>
    </w:p>
    <w:p w14:paraId="4C952B80" w14:textId="77777777" w:rsidR="00955F8B" w:rsidRDefault="00955F8B" w:rsidP="00635B19">
      <w:pPr>
        <w:pStyle w:val="Bullet2"/>
      </w:pPr>
      <w:r>
        <w:t>The descriptor</w:t>
      </w:r>
      <w:r w:rsidR="0040486C">
        <w:t>s</w:t>
      </w:r>
      <w:r>
        <w:t xml:space="preserve"> should:</w:t>
      </w:r>
    </w:p>
    <w:p w14:paraId="11B2B428" w14:textId="77777777" w:rsidR="00A25AB1" w:rsidRPr="00A25AB1" w:rsidRDefault="00A25AB1" w:rsidP="00A25AB1">
      <w:pPr>
        <w:pStyle w:val="Dash3"/>
      </w:pPr>
      <w:r w:rsidRPr="00A25AB1">
        <w:t xml:space="preserve">State that this item is available at the enrolled practice, for patients who are enrolled, or to be performed by the usual GP for patients who are not enrolled. </w:t>
      </w:r>
    </w:p>
    <w:p w14:paraId="0FB6102A" w14:textId="37973B1A" w:rsidR="00955F8B" w:rsidRDefault="00955F8B" w:rsidP="00955F8B">
      <w:pPr>
        <w:pStyle w:val="Dash3"/>
      </w:pPr>
      <w:r>
        <w:t>Include the requirement t</w:t>
      </w:r>
      <w:r w:rsidR="00DA5DDD">
        <w:t xml:space="preserve">hat the GP must </w:t>
      </w:r>
      <w:r w:rsidR="006728AE">
        <w:t>personally explain the findings and implications of the Health Assessment to the patient, and agree with the patient a plan for health promotion and disease prevention based on these findings</w:t>
      </w:r>
      <w:r w:rsidR="00E54133">
        <w:t>.</w:t>
      </w:r>
    </w:p>
    <w:p w14:paraId="5696E67C" w14:textId="77777777" w:rsidR="00635B19" w:rsidRDefault="00955F8B" w:rsidP="00955F8B">
      <w:pPr>
        <w:pStyle w:val="Dash3"/>
      </w:pPr>
      <w:r>
        <w:t xml:space="preserve">Include the requirement that </w:t>
      </w:r>
      <w:r w:rsidR="00635B19">
        <w:t xml:space="preserve">the Health Assessment be uploaded to My Health Record, </w:t>
      </w:r>
      <w:r w:rsidR="00483F48" w:rsidRPr="00483F48">
        <w:t xml:space="preserve">unless patient consent is withdrawn, </w:t>
      </w:r>
      <w:r w:rsidR="008F731F">
        <w:t>and where reasonably achievable</w:t>
      </w:r>
      <w:r w:rsidR="003F14FF">
        <w:t>.</w:t>
      </w:r>
    </w:p>
    <w:p w14:paraId="76150AF8" w14:textId="77777777" w:rsidR="0040486C" w:rsidRDefault="0040486C" w:rsidP="00635B19">
      <w:pPr>
        <w:pStyle w:val="Bullet2"/>
      </w:pPr>
      <w:r>
        <w:t>The explanatory notes should:</w:t>
      </w:r>
    </w:p>
    <w:p w14:paraId="2052C9D3" w14:textId="318DBEB5" w:rsidR="00635B19" w:rsidRDefault="0040486C" w:rsidP="0040486C">
      <w:pPr>
        <w:pStyle w:val="Dash3"/>
      </w:pPr>
      <w:r>
        <w:t>Expand eligibility of</w:t>
      </w:r>
      <w:r w:rsidR="00E87CDD">
        <w:t xml:space="preserve"> Health Assessments to new at-risk populations and modify existing populations to better align with clinical and service needs</w:t>
      </w:r>
      <w:r w:rsidR="001E7C20">
        <w:t>.</w:t>
      </w:r>
    </w:p>
    <w:p w14:paraId="231575B3" w14:textId="6663CD64" w:rsidR="00CE75AC" w:rsidRPr="00CE75AC" w:rsidRDefault="00CE75AC" w:rsidP="00CE75AC">
      <w:pPr>
        <w:pStyle w:val="Dash3"/>
      </w:pPr>
      <w:r>
        <w:t>Ensure that t</w:t>
      </w:r>
      <w:r w:rsidRPr="00CE75AC">
        <w:t>he content of Health Assessments should conform to guidelines generally acceptable to the wider body of the profession such as the Guidelines for preventive activities in general practice 9th edition (Red Book)</w:t>
      </w:r>
      <w:r w:rsidR="00E90BEB">
        <w:t xml:space="preserve"> or future editions where appropriate</w:t>
      </w:r>
      <w:r w:rsidR="001E7C20">
        <w:t>.</w:t>
      </w:r>
    </w:p>
    <w:p w14:paraId="095129E6" w14:textId="77777777" w:rsidR="00C87415" w:rsidRDefault="00C87415" w:rsidP="00C87415">
      <w:pPr>
        <w:pStyle w:val="Bullet-green"/>
      </w:pPr>
      <w:r>
        <w:t>Item 715</w:t>
      </w:r>
    </w:p>
    <w:p w14:paraId="09C1162E" w14:textId="77777777" w:rsidR="0080619F" w:rsidRDefault="0080619F" w:rsidP="0080619F">
      <w:pPr>
        <w:pStyle w:val="Bullet2"/>
      </w:pPr>
      <w:r>
        <w:t>Change the descriptor and explanatory note</w:t>
      </w:r>
    </w:p>
    <w:p w14:paraId="4F7C89F9" w14:textId="77777777" w:rsidR="0080619F" w:rsidRDefault="0080619F" w:rsidP="0080619F">
      <w:pPr>
        <w:pStyle w:val="Bullet2"/>
      </w:pPr>
      <w:r>
        <w:t>The descriptor should:</w:t>
      </w:r>
    </w:p>
    <w:p w14:paraId="77C5F630" w14:textId="77777777" w:rsidR="00A25AB1" w:rsidRPr="00A25AB1" w:rsidRDefault="00A25AB1" w:rsidP="00A25AB1">
      <w:pPr>
        <w:pStyle w:val="Dash3"/>
      </w:pPr>
      <w:r w:rsidRPr="00A25AB1">
        <w:t xml:space="preserve">State that this item is available at the enrolled practice, for patients who are enrolled, or to be performed by the usual GP for patients who are not enrolled. </w:t>
      </w:r>
    </w:p>
    <w:p w14:paraId="00827C63" w14:textId="6E559831" w:rsidR="0080619F" w:rsidRDefault="0080619F" w:rsidP="0080619F">
      <w:pPr>
        <w:pStyle w:val="Dash3"/>
      </w:pPr>
      <w:r>
        <w:t>Include the requirement that the GP must spend a reasonable time reviewing the Health Assessment with the patient</w:t>
      </w:r>
      <w:r w:rsidR="001E7C20">
        <w:t>.</w:t>
      </w:r>
    </w:p>
    <w:p w14:paraId="28EA99A3" w14:textId="77777777" w:rsidR="0080619F" w:rsidRDefault="0080619F" w:rsidP="0080619F">
      <w:pPr>
        <w:pStyle w:val="Dash3"/>
      </w:pPr>
      <w:r>
        <w:t xml:space="preserve">Include the requirement that the Health Assessment be uploaded to My Health Record, </w:t>
      </w:r>
      <w:r w:rsidR="008F731F" w:rsidRPr="008F731F">
        <w:t xml:space="preserve">unless patient consent is withdrawn, </w:t>
      </w:r>
      <w:r w:rsidR="00CA2633">
        <w:t>and where reasonably achievable</w:t>
      </w:r>
      <w:r>
        <w:t>.</w:t>
      </w:r>
    </w:p>
    <w:p w14:paraId="4B14DA7B" w14:textId="77777777" w:rsidR="006D337E" w:rsidRDefault="0080619F" w:rsidP="0046065C">
      <w:pPr>
        <w:pStyle w:val="Bullet2"/>
      </w:pPr>
      <w:r>
        <w:t>The explanatory note should</w:t>
      </w:r>
      <w:r w:rsidR="00C87415" w:rsidRPr="00FB52F6">
        <w:t xml:space="preserve"> </w:t>
      </w:r>
    </w:p>
    <w:p w14:paraId="7A0E84F9" w14:textId="77777777" w:rsidR="006D337E" w:rsidRPr="006D337E" w:rsidRDefault="006D337E" w:rsidP="006D337E">
      <w:pPr>
        <w:pStyle w:val="Dash3"/>
      </w:pPr>
      <w:r w:rsidRPr="006D337E">
        <w:t xml:space="preserve">Include the requirement that the Health Assessment be uploaded to My Health Record, </w:t>
      </w:r>
      <w:r w:rsidR="00CA2633" w:rsidRPr="00CA2633">
        <w:t>unless patient consent is withdrawn, and where reasonably achievable</w:t>
      </w:r>
      <w:r w:rsidRPr="006D337E">
        <w:t>.</w:t>
      </w:r>
    </w:p>
    <w:p w14:paraId="1A10365A" w14:textId="77777777" w:rsidR="006D337E" w:rsidRPr="006D337E" w:rsidRDefault="006D337E" w:rsidP="006D337E">
      <w:pPr>
        <w:pStyle w:val="Dash3"/>
      </w:pPr>
      <w:r w:rsidRPr="006D337E">
        <w:t xml:space="preserve">The explanatory note should refer to guidelines generally acceptable to the wider body of the profession such as the Guidelines for preventive activities in general practice 9th edition (Red Book) and the </w:t>
      </w:r>
      <w:hyperlink r:id="rId22" w:history="1">
        <w:r w:rsidRPr="006D337E">
          <w:t>National guide to a preventive health assessment for Aboriginal and Torres Strait Islander people</w:t>
        </w:r>
      </w:hyperlink>
      <w:r w:rsidR="00AB6790">
        <w:t xml:space="preserve">, or </w:t>
      </w:r>
      <w:r w:rsidR="00AB6790" w:rsidRPr="00AB6790">
        <w:t>future editions where appropriate</w:t>
      </w:r>
    </w:p>
    <w:p w14:paraId="7B01D1C4" w14:textId="77777777" w:rsidR="00BE2373" w:rsidRDefault="0075020A" w:rsidP="0046065C">
      <w:pPr>
        <w:pStyle w:val="Bullet2"/>
      </w:pPr>
      <w:r w:rsidRPr="0075020A">
        <w:t>The proposed new descriptor</w:t>
      </w:r>
      <w:r w:rsidR="00BE2373">
        <w:t xml:space="preserve"> for item 703</w:t>
      </w:r>
      <w:r w:rsidRPr="0075020A">
        <w:t xml:space="preserve"> is as follows:</w:t>
      </w:r>
    </w:p>
    <w:p w14:paraId="0FD93974" w14:textId="77777777" w:rsidR="00BE2373" w:rsidRPr="009B0335" w:rsidRDefault="00BE2373" w:rsidP="00777FA3">
      <w:pPr>
        <w:ind w:left="360"/>
        <w:rPr>
          <w:i/>
        </w:rPr>
      </w:pPr>
      <w:r w:rsidRPr="009B0335">
        <w:rPr>
          <w:i/>
        </w:rPr>
        <w:t>Professional attendance by a</w:t>
      </w:r>
      <w:r w:rsidR="0032631D" w:rsidRPr="009B0335">
        <w:rPr>
          <w:i/>
        </w:rPr>
        <w:t xml:space="preserve"> patient's usual</w:t>
      </w:r>
      <w:r w:rsidRPr="009B0335">
        <w:rPr>
          <w:i/>
        </w:rPr>
        <w:t xml:space="preserve"> </w:t>
      </w:r>
      <w:r w:rsidR="00E942BE" w:rsidRPr="009B0335">
        <w:rPr>
          <w:i/>
        </w:rPr>
        <w:t>gener</w:t>
      </w:r>
      <w:r w:rsidRPr="009B0335">
        <w:rPr>
          <w:i/>
        </w:rPr>
        <w:t>al practitioner</w:t>
      </w:r>
      <w:r w:rsidR="00322E13" w:rsidRPr="009B0335">
        <w:rPr>
          <w:i/>
        </w:rPr>
        <w:t xml:space="preserve"> at the practice where the patient </w:t>
      </w:r>
      <w:r w:rsidR="00E015A6" w:rsidRPr="009B0335">
        <w:rPr>
          <w:i/>
        </w:rPr>
        <w:t xml:space="preserve">is enrolled </w:t>
      </w:r>
      <w:r w:rsidR="0071076E" w:rsidRPr="009B0335">
        <w:rPr>
          <w:i/>
        </w:rPr>
        <w:t xml:space="preserve">(or the usual practice, where the patient is not enrolled) </w:t>
      </w:r>
      <w:r w:rsidRPr="009B0335">
        <w:rPr>
          <w:i/>
        </w:rPr>
        <w:t>to perform a standard health assessment, lasting more than 30 minutes but less than 45 minutes, including:</w:t>
      </w:r>
    </w:p>
    <w:p w14:paraId="1B7DC453" w14:textId="77777777" w:rsidR="00BE2373" w:rsidRPr="009B0335" w:rsidRDefault="00BE2373" w:rsidP="009B0335">
      <w:pPr>
        <w:ind w:left="567"/>
        <w:rPr>
          <w:i/>
        </w:rPr>
      </w:pPr>
      <w:r w:rsidRPr="009B0335">
        <w:rPr>
          <w:i/>
        </w:rPr>
        <w:t>(a) detailed information collection, including taking a patient history; and</w:t>
      </w:r>
    </w:p>
    <w:p w14:paraId="42E16BEF" w14:textId="77777777" w:rsidR="00BE2373" w:rsidRPr="009B0335" w:rsidRDefault="00BE2373" w:rsidP="009B0335">
      <w:pPr>
        <w:ind w:left="567"/>
        <w:rPr>
          <w:i/>
        </w:rPr>
      </w:pPr>
      <w:r w:rsidRPr="009B0335">
        <w:rPr>
          <w:i/>
        </w:rPr>
        <w:t>(b) an extensive physical examination; and</w:t>
      </w:r>
    </w:p>
    <w:p w14:paraId="5CF68A1D" w14:textId="77777777" w:rsidR="00BE2373" w:rsidRPr="009B0335" w:rsidRDefault="00BE2373" w:rsidP="009B0335">
      <w:pPr>
        <w:ind w:left="567"/>
        <w:rPr>
          <w:i/>
        </w:rPr>
      </w:pPr>
      <w:r w:rsidRPr="009B0335">
        <w:rPr>
          <w:i/>
        </w:rPr>
        <w:t>(c) initiating interventions and referrals as indicated; and</w:t>
      </w:r>
    </w:p>
    <w:p w14:paraId="791D4FA7" w14:textId="77777777" w:rsidR="00BE2373" w:rsidRPr="009B0335" w:rsidRDefault="00BE2373" w:rsidP="009B0335">
      <w:pPr>
        <w:ind w:left="567"/>
        <w:rPr>
          <w:i/>
        </w:rPr>
      </w:pPr>
      <w:r w:rsidRPr="009B0335">
        <w:rPr>
          <w:i/>
        </w:rPr>
        <w:t>(d) providing a preventive health care strategy for the patient</w:t>
      </w:r>
    </w:p>
    <w:p w14:paraId="7485A0B1" w14:textId="77777777" w:rsidR="006728AE" w:rsidRPr="009B0335" w:rsidRDefault="006728AE" w:rsidP="00777FA3">
      <w:pPr>
        <w:ind w:left="360"/>
        <w:rPr>
          <w:i/>
        </w:rPr>
      </w:pPr>
      <w:r w:rsidRPr="009B0335">
        <w:rPr>
          <w:i/>
        </w:rPr>
        <w:t>The GP must personally explain the findings and implications of the Health Assessment to the patient, and agree with the patient a plan for health promotion and disease prevention based on these findings.</w:t>
      </w:r>
    </w:p>
    <w:p w14:paraId="45729D36" w14:textId="77777777" w:rsidR="005910B3" w:rsidRPr="009B0335" w:rsidRDefault="005910B3" w:rsidP="00777FA3">
      <w:pPr>
        <w:ind w:left="360"/>
        <w:rPr>
          <w:i/>
        </w:rPr>
      </w:pPr>
      <w:r w:rsidRPr="009B0335">
        <w:rPr>
          <w:i/>
        </w:rPr>
        <w:t xml:space="preserve">The health care strategy must </w:t>
      </w:r>
      <w:r w:rsidR="006728AE" w:rsidRPr="009B0335">
        <w:rPr>
          <w:i/>
        </w:rPr>
        <w:t>be</w:t>
      </w:r>
      <w:r w:rsidRPr="009B0335">
        <w:rPr>
          <w:i/>
        </w:rPr>
        <w:t xml:space="preserve"> uploaded to My Health Record, </w:t>
      </w:r>
      <w:r w:rsidR="00CA2633" w:rsidRPr="009B0335">
        <w:rPr>
          <w:i/>
        </w:rPr>
        <w:t>unless patient consent is withdrawn, and where reasonably achievable</w:t>
      </w:r>
      <w:r w:rsidRPr="009B0335">
        <w:rPr>
          <w:i/>
        </w:rPr>
        <w:t>.</w:t>
      </w:r>
    </w:p>
    <w:p w14:paraId="590604A5" w14:textId="77777777" w:rsidR="001B7726" w:rsidRDefault="001B7726" w:rsidP="001B7726">
      <w:pPr>
        <w:pStyle w:val="Bullet-green"/>
      </w:pPr>
      <w:r>
        <w:t xml:space="preserve">The </w:t>
      </w:r>
      <w:r w:rsidRPr="0075020A">
        <w:t>proposed new descriptor</w:t>
      </w:r>
      <w:r>
        <w:t xml:space="preserve"> for item 705</w:t>
      </w:r>
      <w:r w:rsidRPr="0075020A">
        <w:t xml:space="preserve"> is as follows:</w:t>
      </w:r>
    </w:p>
    <w:p w14:paraId="56ED1A96" w14:textId="77777777" w:rsidR="001B7726" w:rsidRPr="009B0335" w:rsidRDefault="001B7726" w:rsidP="00777FA3">
      <w:pPr>
        <w:ind w:left="360"/>
        <w:rPr>
          <w:i/>
        </w:rPr>
      </w:pPr>
      <w:r w:rsidRPr="009B0335">
        <w:rPr>
          <w:i/>
        </w:rPr>
        <w:t xml:space="preserve">Professional attendance by a patient's usual </w:t>
      </w:r>
      <w:r w:rsidR="00E942BE" w:rsidRPr="009B0335">
        <w:rPr>
          <w:i/>
        </w:rPr>
        <w:t>gener</w:t>
      </w:r>
      <w:r w:rsidRPr="009B0335">
        <w:rPr>
          <w:i/>
        </w:rPr>
        <w:t xml:space="preserve">al practitioner </w:t>
      </w:r>
      <w:r w:rsidR="00322E13" w:rsidRPr="009B0335">
        <w:rPr>
          <w:i/>
        </w:rPr>
        <w:t>at the practice where the patient is enrolled</w:t>
      </w:r>
      <w:r w:rsidR="00E015A6" w:rsidRPr="009B0335">
        <w:rPr>
          <w:i/>
        </w:rPr>
        <w:t xml:space="preserve"> (or the usual practice, where the patient is not enrolled)</w:t>
      </w:r>
      <w:r w:rsidR="00322E13" w:rsidRPr="009B0335">
        <w:rPr>
          <w:i/>
        </w:rPr>
        <w:t xml:space="preserve"> </w:t>
      </w:r>
      <w:r w:rsidRPr="009B0335">
        <w:rPr>
          <w:i/>
        </w:rPr>
        <w:t xml:space="preserve">to perform a </w:t>
      </w:r>
      <w:r w:rsidR="00EE2823" w:rsidRPr="009B0335">
        <w:rPr>
          <w:i/>
        </w:rPr>
        <w:t>long</w:t>
      </w:r>
      <w:r w:rsidRPr="009B0335">
        <w:rPr>
          <w:i/>
        </w:rPr>
        <w:t xml:space="preserve"> health assessment, lasting </w:t>
      </w:r>
      <w:r w:rsidR="0069448B" w:rsidRPr="009B0335">
        <w:rPr>
          <w:i/>
        </w:rPr>
        <w:t>at least 45</w:t>
      </w:r>
      <w:r w:rsidRPr="009B0335">
        <w:rPr>
          <w:i/>
        </w:rPr>
        <w:t xml:space="preserve"> minutes but less than </w:t>
      </w:r>
      <w:r w:rsidR="0069448B" w:rsidRPr="009B0335">
        <w:rPr>
          <w:i/>
        </w:rPr>
        <w:t>60</w:t>
      </w:r>
      <w:r w:rsidRPr="009B0335">
        <w:rPr>
          <w:i/>
        </w:rPr>
        <w:t xml:space="preserve"> minutes, including:</w:t>
      </w:r>
    </w:p>
    <w:p w14:paraId="6121D4DE" w14:textId="77777777" w:rsidR="0069448B" w:rsidRPr="009B0335" w:rsidRDefault="0069448B" w:rsidP="009B0335">
      <w:pPr>
        <w:ind w:left="567"/>
        <w:rPr>
          <w:i/>
        </w:rPr>
      </w:pPr>
      <w:r w:rsidRPr="009B0335">
        <w:rPr>
          <w:i/>
        </w:rPr>
        <w:t>(a) comprehensive information collection, including taking a patient history; and</w:t>
      </w:r>
    </w:p>
    <w:p w14:paraId="69F02376" w14:textId="77777777" w:rsidR="0069448B" w:rsidRPr="009B0335" w:rsidRDefault="0069448B" w:rsidP="009B0335">
      <w:pPr>
        <w:ind w:left="567"/>
        <w:rPr>
          <w:i/>
        </w:rPr>
      </w:pPr>
      <w:r w:rsidRPr="009B0335">
        <w:rPr>
          <w:i/>
        </w:rPr>
        <w:t>(b) an extensive examination of the patient's medical condition and physical function; and</w:t>
      </w:r>
    </w:p>
    <w:p w14:paraId="3C8D4567" w14:textId="77777777" w:rsidR="0069448B" w:rsidRPr="009B0335" w:rsidRDefault="0069448B" w:rsidP="009B0335">
      <w:pPr>
        <w:ind w:left="567"/>
        <w:rPr>
          <w:i/>
        </w:rPr>
      </w:pPr>
      <w:r w:rsidRPr="009B0335">
        <w:rPr>
          <w:i/>
        </w:rPr>
        <w:t>(c) initiating interventions and referrals as indicated; and</w:t>
      </w:r>
    </w:p>
    <w:p w14:paraId="12AC4A9A" w14:textId="77777777" w:rsidR="0069448B" w:rsidRPr="009B0335" w:rsidRDefault="0069448B" w:rsidP="009B0335">
      <w:pPr>
        <w:ind w:left="567"/>
        <w:rPr>
          <w:i/>
        </w:rPr>
      </w:pPr>
      <w:r w:rsidRPr="009B0335">
        <w:rPr>
          <w:i/>
        </w:rPr>
        <w:t>(d) providing a basic preventive health care management plan for the patient</w:t>
      </w:r>
    </w:p>
    <w:p w14:paraId="76B6A2AD" w14:textId="77777777" w:rsidR="006728AE" w:rsidRPr="009B0335" w:rsidRDefault="006728AE" w:rsidP="00F44F16">
      <w:pPr>
        <w:ind w:left="360"/>
        <w:rPr>
          <w:i/>
        </w:rPr>
      </w:pPr>
      <w:r w:rsidRPr="009B0335">
        <w:rPr>
          <w:i/>
        </w:rPr>
        <w:t>The GP must personally explain the findings and implications of the Health Assessment to the patient, and agree with the patient a plan for health promotion and disease prevention based on these findings.</w:t>
      </w:r>
    </w:p>
    <w:p w14:paraId="578BB18B" w14:textId="77777777" w:rsidR="001B7726" w:rsidRPr="009B0335" w:rsidRDefault="001B7726" w:rsidP="00F44F16">
      <w:pPr>
        <w:ind w:left="360"/>
        <w:rPr>
          <w:i/>
        </w:rPr>
      </w:pPr>
      <w:r w:rsidRPr="009B0335">
        <w:rPr>
          <w:i/>
        </w:rPr>
        <w:t xml:space="preserve">The </w:t>
      </w:r>
      <w:r w:rsidR="0069448B" w:rsidRPr="009B0335">
        <w:rPr>
          <w:i/>
        </w:rPr>
        <w:t>health care management plan</w:t>
      </w:r>
      <w:r w:rsidRPr="009B0335">
        <w:rPr>
          <w:i/>
        </w:rPr>
        <w:t xml:space="preserve"> must be uploaded to My Health Record, </w:t>
      </w:r>
      <w:r w:rsidR="00CA2633" w:rsidRPr="009B0335">
        <w:rPr>
          <w:i/>
        </w:rPr>
        <w:t>unless patient consent is withdrawn, and where reasonably achievable</w:t>
      </w:r>
      <w:r w:rsidRPr="009B0335">
        <w:rPr>
          <w:i/>
        </w:rPr>
        <w:t>.</w:t>
      </w:r>
    </w:p>
    <w:p w14:paraId="25271483" w14:textId="77777777" w:rsidR="00EE2823" w:rsidRDefault="00EE2823" w:rsidP="00BE2373">
      <w:pPr>
        <w:pStyle w:val="Bullet-green"/>
      </w:pPr>
      <w:r w:rsidRPr="00EE2823">
        <w:t xml:space="preserve">The proposed new descriptor for item </w:t>
      </w:r>
      <w:r>
        <w:t>707</w:t>
      </w:r>
      <w:r w:rsidRPr="00EE2823">
        <w:t xml:space="preserve"> is as follows:</w:t>
      </w:r>
    </w:p>
    <w:p w14:paraId="674AB875" w14:textId="77777777" w:rsidR="00EE2823" w:rsidRPr="009B0335" w:rsidRDefault="00EE2823" w:rsidP="00F44F16">
      <w:pPr>
        <w:ind w:left="360"/>
        <w:rPr>
          <w:i/>
        </w:rPr>
      </w:pPr>
      <w:r w:rsidRPr="009B0335">
        <w:rPr>
          <w:i/>
        </w:rPr>
        <w:t xml:space="preserve">Professional attendance by a patient's usual </w:t>
      </w:r>
      <w:r w:rsidR="00E942BE" w:rsidRPr="009B0335">
        <w:rPr>
          <w:i/>
        </w:rPr>
        <w:t>gener</w:t>
      </w:r>
      <w:r w:rsidRPr="009B0335">
        <w:rPr>
          <w:i/>
        </w:rPr>
        <w:t>al practitioner</w:t>
      </w:r>
      <w:r w:rsidR="00322E13" w:rsidRPr="009B0335">
        <w:rPr>
          <w:i/>
        </w:rPr>
        <w:t xml:space="preserve"> at the practice where the patient is enrolled</w:t>
      </w:r>
      <w:r w:rsidR="00E015A6" w:rsidRPr="009B0335">
        <w:rPr>
          <w:i/>
        </w:rPr>
        <w:t xml:space="preserve"> (or the usual practice, where the patient is not enrolled)</w:t>
      </w:r>
      <w:r w:rsidRPr="009B0335">
        <w:rPr>
          <w:i/>
        </w:rPr>
        <w:t xml:space="preserve"> to perform a prolonged health assessment (lasting at least 60 minutes) including:</w:t>
      </w:r>
    </w:p>
    <w:p w14:paraId="38935CA9" w14:textId="77777777" w:rsidR="00EE2823" w:rsidRPr="009B0335" w:rsidRDefault="00EE2823" w:rsidP="009B0335">
      <w:pPr>
        <w:ind w:left="567"/>
        <w:rPr>
          <w:i/>
        </w:rPr>
      </w:pPr>
      <w:r w:rsidRPr="009B0335">
        <w:rPr>
          <w:i/>
        </w:rPr>
        <w:t>(a) comprehensive information collection, including taking a patient history; and</w:t>
      </w:r>
    </w:p>
    <w:p w14:paraId="0856986A" w14:textId="77777777" w:rsidR="00EE2823" w:rsidRPr="009B0335" w:rsidRDefault="00EE2823" w:rsidP="009B0335">
      <w:pPr>
        <w:ind w:left="567"/>
        <w:rPr>
          <w:i/>
        </w:rPr>
      </w:pPr>
      <w:r w:rsidRPr="009B0335">
        <w:rPr>
          <w:i/>
        </w:rPr>
        <w:t>(b) an extensive examination of the patient's medical condition, and physical, psychological and social function; and</w:t>
      </w:r>
    </w:p>
    <w:p w14:paraId="7D21C5E3" w14:textId="77777777" w:rsidR="00EE2823" w:rsidRPr="009B0335" w:rsidRDefault="00EE2823" w:rsidP="009B0335">
      <w:pPr>
        <w:ind w:left="567"/>
        <w:rPr>
          <w:i/>
        </w:rPr>
      </w:pPr>
      <w:r w:rsidRPr="009B0335">
        <w:rPr>
          <w:i/>
        </w:rPr>
        <w:t>(c) initiating interventions or referrals as indicated; and</w:t>
      </w:r>
    </w:p>
    <w:p w14:paraId="13B19C30" w14:textId="77777777" w:rsidR="00EE2823" w:rsidRPr="009B0335" w:rsidRDefault="00EE2823" w:rsidP="009B0335">
      <w:pPr>
        <w:ind w:left="567"/>
        <w:rPr>
          <w:i/>
        </w:rPr>
      </w:pPr>
      <w:r w:rsidRPr="009B0335">
        <w:rPr>
          <w:i/>
        </w:rPr>
        <w:t>(d) providing a comprehensive preventive health care management plan for the patient</w:t>
      </w:r>
    </w:p>
    <w:p w14:paraId="1FC1A7B2" w14:textId="77777777" w:rsidR="00C43D1E" w:rsidRPr="009B0335" w:rsidRDefault="00C43D1E" w:rsidP="00F44F16">
      <w:pPr>
        <w:ind w:left="360"/>
        <w:rPr>
          <w:i/>
        </w:rPr>
      </w:pPr>
      <w:r w:rsidRPr="009B0335">
        <w:rPr>
          <w:i/>
        </w:rPr>
        <w:t>The GP must personally explain the findings and implications of the Health Assessment to the patient, and agree with the patient a plan for health promotion and disease prevention based on these findings.</w:t>
      </w:r>
    </w:p>
    <w:p w14:paraId="634B0B5D" w14:textId="77777777" w:rsidR="00A6671B" w:rsidRPr="009B0335" w:rsidRDefault="00EE2823" w:rsidP="00F44F16">
      <w:pPr>
        <w:ind w:left="360"/>
        <w:rPr>
          <w:i/>
        </w:rPr>
      </w:pPr>
      <w:r w:rsidRPr="009B0335">
        <w:rPr>
          <w:i/>
        </w:rPr>
        <w:t xml:space="preserve">The comprehensive health care management plan must be uploaded to My Health Record, </w:t>
      </w:r>
      <w:r w:rsidR="00CA2633" w:rsidRPr="009B0335">
        <w:rPr>
          <w:i/>
        </w:rPr>
        <w:t>unless patient consent is withdrawn, and where reasonably achievable</w:t>
      </w:r>
      <w:r w:rsidRPr="009B0335">
        <w:rPr>
          <w:i/>
        </w:rPr>
        <w:t>.</w:t>
      </w:r>
    </w:p>
    <w:p w14:paraId="50FFD55C" w14:textId="77777777" w:rsidR="00A6671B" w:rsidRDefault="00A6671B" w:rsidP="00A6671B">
      <w:pPr>
        <w:pStyle w:val="Bullet-green"/>
      </w:pPr>
      <w:r w:rsidRPr="00A6671B">
        <w:t xml:space="preserve">The proposed new descriptor for item </w:t>
      </w:r>
      <w:r w:rsidR="009520DA">
        <w:t>715</w:t>
      </w:r>
      <w:r w:rsidRPr="00A6671B">
        <w:t xml:space="preserve"> is as follows:</w:t>
      </w:r>
    </w:p>
    <w:p w14:paraId="01A91DD1" w14:textId="77777777" w:rsidR="009520DA" w:rsidRPr="009B0335" w:rsidRDefault="009520DA" w:rsidP="00F44F16">
      <w:pPr>
        <w:ind w:left="360"/>
        <w:rPr>
          <w:i/>
        </w:rPr>
      </w:pPr>
      <w:r w:rsidRPr="009B0335">
        <w:rPr>
          <w:i/>
        </w:rPr>
        <w:t xml:space="preserve">Professional attendance by a patient's usual </w:t>
      </w:r>
      <w:r w:rsidR="00E942BE" w:rsidRPr="009B0335">
        <w:rPr>
          <w:i/>
        </w:rPr>
        <w:t>gener</w:t>
      </w:r>
      <w:r w:rsidRPr="009B0335">
        <w:rPr>
          <w:i/>
        </w:rPr>
        <w:t>al practitioner</w:t>
      </w:r>
      <w:r w:rsidR="00322E13" w:rsidRPr="009B0335">
        <w:rPr>
          <w:i/>
        </w:rPr>
        <w:t xml:space="preserve"> at the practice where the patient is enrolled</w:t>
      </w:r>
      <w:r w:rsidRPr="009B0335">
        <w:rPr>
          <w:i/>
        </w:rPr>
        <w:t xml:space="preserve"> </w:t>
      </w:r>
      <w:r w:rsidR="00E015A6" w:rsidRPr="009B0335">
        <w:rPr>
          <w:i/>
        </w:rPr>
        <w:t xml:space="preserve">(or the usual practice, where the patient is not enrolled) </w:t>
      </w:r>
      <w:r w:rsidRPr="009B0335">
        <w:rPr>
          <w:i/>
        </w:rPr>
        <w:t>at consulting rooms or in another place other than a hospital or residential aged care facility, for a health assessment of a patient who is of Aboriginal or Torres Strait Islander descent-not more than once in a 9 month period</w:t>
      </w:r>
      <w:r w:rsidR="006C7531" w:rsidRPr="009B0335">
        <w:rPr>
          <w:i/>
        </w:rPr>
        <w:t>.</w:t>
      </w:r>
    </w:p>
    <w:p w14:paraId="4FE983E9" w14:textId="77777777" w:rsidR="00C43D1E" w:rsidRPr="009B0335" w:rsidRDefault="00C43D1E" w:rsidP="00F44F16">
      <w:pPr>
        <w:ind w:left="360"/>
        <w:rPr>
          <w:i/>
        </w:rPr>
      </w:pPr>
      <w:r w:rsidRPr="009B0335">
        <w:rPr>
          <w:i/>
        </w:rPr>
        <w:t>The GP must personally explain the findings and implications of the Health Assessment to the patient, and agree with the patient a plan for health promotion and disease prevention based on these findings.</w:t>
      </w:r>
    </w:p>
    <w:p w14:paraId="4C766932" w14:textId="77777777" w:rsidR="00A6671B" w:rsidRPr="009B0335" w:rsidRDefault="006C7531" w:rsidP="00F44F16">
      <w:pPr>
        <w:ind w:left="360"/>
        <w:rPr>
          <w:i/>
        </w:rPr>
      </w:pPr>
      <w:r w:rsidRPr="009B0335">
        <w:rPr>
          <w:i/>
        </w:rPr>
        <w:t xml:space="preserve">The health assessment must be uploaded to My Health Record, </w:t>
      </w:r>
      <w:r w:rsidR="00CA2633" w:rsidRPr="009B0335">
        <w:rPr>
          <w:i/>
        </w:rPr>
        <w:t>unless patient consent is withdrawn, and where reasonably achievable</w:t>
      </w:r>
      <w:r w:rsidR="003F14FF" w:rsidRPr="009B0335">
        <w:rPr>
          <w:i/>
        </w:rPr>
        <w:t>.</w:t>
      </w:r>
    </w:p>
    <w:p w14:paraId="75AE8983" w14:textId="77777777" w:rsidR="00BE2373" w:rsidRDefault="0075020A" w:rsidP="0075020A">
      <w:pPr>
        <w:pStyle w:val="Bullet-green"/>
      </w:pPr>
      <w:r w:rsidRPr="0075020A">
        <w:t>The proposed new explanatory note</w:t>
      </w:r>
      <w:r w:rsidR="00831AA9">
        <w:t xml:space="preserve"> for items 703, 705 and 707</w:t>
      </w:r>
      <w:r w:rsidRPr="0075020A">
        <w:t xml:space="preserve"> is as follows:</w:t>
      </w:r>
    </w:p>
    <w:p w14:paraId="43DE6B70" w14:textId="77777777" w:rsidR="00567D0B" w:rsidRPr="009B0335" w:rsidRDefault="00567D0B" w:rsidP="00F44F16">
      <w:pPr>
        <w:ind w:left="360"/>
        <w:rPr>
          <w:i/>
        </w:rPr>
      </w:pPr>
      <w:r w:rsidRPr="009B0335">
        <w:rPr>
          <w:i/>
        </w:rPr>
        <w:t xml:space="preserve">There are </w:t>
      </w:r>
      <w:r w:rsidR="00E8635B" w:rsidRPr="009B0335">
        <w:rPr>
          <w:i/>
        </w:rPr>
        <w:t>three</w:t>
      </w:r>
      <w:r w:rsidRPr="009B0335">
        <w:rPr>
          <w:i/>
        </w:rPr>
        <w:t xml:space="preserve"> time-based health assessment items, consisting of standard, long and prolonged consultations.</w:t>
      </w:r>
    </w:p>
    <w:p w14:paraId="46CC8379" w14:textId="77777777" w:rsidR="00567D0B" w:rsidRPr="009B0335" w:rsidRDefault="00567D0B" w:rsidP="00F44F16">
      <w:pPr>
        <w:ind w:left="360"/>
        <w:rPr>
          <w:i/>
        </w:rPr>
      </w:pPr>
      <w:r w:rsidRPr="009B0335">
        <w:rPr>
          <w:i/>
        </w:rPr>
        <w:t>Standard Health Assessment (MBS Item 703)</w:t>
      </w:r>
    </w:p>
    <w:p w14:paraId="2EDCA65B" w14:textId="77777777" w:rsidR="00567D0B" w:rsidRPr="009B0335" w:rsidRDefault="00567D0B" w:rsidP="00F44F16">
      <w:pPr>
        <w:ind w:left="360"/>
        <w:rPr>
          <w:i/>
        </w:rPr>
      </w:pPr>
      <w:r w:rsidRPr="009B0335">
        <w:rPr>
          <w:i/>
        </w:rPr>
        <w:t xml:space="preserve">A standard health assessment is used for straightforward assessments </w:t>
      </w:r>
      <w:r w:rsidR="00BA24F4" w:rsidRPr="009B0335">
        <w:rPr>
          <w:i/>
        </w:rPr>
        <w:t>lasting 30-</w:t>
      </w:r>
      <w:r w:rsidRPr="009B0335">
        <w:rPr>
          <w:i/>
        </w:rPr>
        <w:t>45 minutes.</w:t>
      </w:r>
    </w:p>
    <w:p w14:paraId="61E6AC07" w14:textId="77777777" w:rsidR="00567D0B" w:rsidRPr="009B0335" w:rsidRDefault="00567D0B" w:rsidP="00F44F16">
      <w:pPr>
        <w:ind w:left="360"/>
        <w:rPr>
          <w:i/>
        </w:rPr>
      </w:pPr>
      <w:r w:rsidRPr="009B0335">
        <w:rPr>
          <w:i/>
        </w:rPr>
        <w:t>Long Health Assessment (MBS Item 705)</w:t>
      </w:r>
    </w:p>
    <w:p w14:paraId="69626082" w14:textId="77777777" w:rsidR="00567D0B" w:rsidRPr="009B0335" w:rsidRDefault="00567D0B" w:rsidP="00F44F16">
      <w:pPr>
        <w:ind w:left="360"/>
        <w:rPr>
          <w:i/>
        </w:rPr>
      </w:pPr>
      <w:r w:rsidRPr="009B0335">
        <w:rPr>
          <w:i/>
        </w:rPr>
        <w:t>A long health assessment is used for an extensive assessment, where the patient has a range of health issues that require more in-depth consideration, and longer-term strategies for managing the patient's health may be necessary. The assessment lasts at least 45 minutes but less than 60 minutes.</w:t>
      </w:r>
    </w:p>
    <w:p w14:paraId="7E1D3E81" w14:textId="77777777" w:rsidR="00567D0B" w:rsidRPr="009B0335" w:rsidRDefault="00567D0B" w:rsidP="00F44F16">
      <w:pPr>
        <w:ind w:left="360"/>
        <w:rPr>
          <w:i/>
        </w:rPr>
      </w:pPr>
      <w:r w:rsidRPr="009B0335">
        <w:rPr>
          <w:i/>
        </w:rPr>
        <w:t>Prolonged Health Assessment (MBS Item 707)</w:t>
      </w:r>
    </w:p>
    <w:p w14:paraId="42F3CE8D" w14:textId="77777777" w:rsidR="00567D0B" w:rsidRPr="009B0335" w:rsidRDefault="00567D0B" w:rsidP="00F44F16">
      <w:pPr>
        <w:ind w:left="360"/>
        <w:rPr>
          <w:i/>
        </w:rPr>
      </w:pPr>
      <w:r w:rsidRPr="009B0335">
        <w:rPr>
          <w:i/>
        </w:rPr>
        <w:t>A prolonged health assessment is used for a complex assessment of a patient with significant, long-term health needs that need to be managed through a comprehensive preventive health care plan. The assessment takes 60 minutes or more to complete.</w:t>
      </w:r>
    </w:p>
    <w:p w14:paraId="1E47E273" w14:textId="77777777" w:rsidR="00567D0B" w:rsidRPr="009B0335" w:rsidRDefault="00675D05" w:rsidP="00F44F16">
      <w:pPr>
        <w:ind w:left="360"/>
        <w:rPr>
          <w:i/>
        </w:rPr>
      </w:pPr>
      <w:r w:rsidRPr="009B0335">
        <w:rPr>
          <w:i/>
        </w:rPr>
        <w:t>Gener</w:t>
      </w:r>
      <w:r w:rsidR="00567D0B" w:rsidRPr="009B0335">
        <w:rPr>
          <w:i/>
        </w:rPr>
        <w:t>al practitioners may select one of the MBS health assessment items to provide a health assessment service to a member of any of the target groups listed in the table below. The health assessment item that is selected will depend on the time taken to complete the health assessment service. This is determined by the complexity of the patient's presentation and the specific requirements that have been established for each target group eligible for health assessments.</w:t>
      </w:r>
    </w:p>
    <w:p w14:paraId="46C7067B" w14:textId="77777777" w:rsidR="00567D0B" w:rsidRPr="009B0335" w:rsidRDefault="00567D0B" w:rsidP="00F44F16">
      <w:pPr>
        <w:ind w:left="360"/>
        <w:rPr>
          <w:i/>
        </w:rPr>
      </w:pPr>
      <w:r w:rsidRPr="009B0335">
        <w:rPr>
          <w:i/>
        </w:rPr>
        <w:t>MBS Items 703, 705 and 707 may be used to undertake a health assessment for the following target groups:</w:t>
      </w:r>
    </w:p>
    <w:tbl>
      <w:tblPr>
        <w:tblW w:w="4834" w:type="pct"/>
        <w:tblInd w:w="276"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Caption w:val="MBS Items 703, 705 and 707 may be used to undertake a health assessment for the following target groups:"/>
        <w:tblDescription w:val="MBS Items 703, 705 and 707 may be used to undertake a health assessment for the following target groups: Consists of 2 columns.  Column 1: Target group and Column 2. Frequency of Service."/>
      </w:tblPr>
      <w:tblGrid>
        <w:gridCol w:w="5544"/>
        <w:gridCol w:w="2477"/>
      </w:tblGrid>
      <w:tr w:rsidR="00567D0B" w:rsidRPr="001E7C20" w14:paraId="69D69A5D"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507912" w14:textId="77777777" w:rsidR="00567D0B" w:rsidRPr="009B0335" w:rsidRDefault="00567D0B" w:rsidP="00567D0B">
            <w:pPr>
              <w:rPr>
                <w:i/>
              </w:rPr>
            </w:pPr>
            <w:r w:rsidRPr="009B0335">
              <w:rPr>
                <w:i/>
              </w:rPr>
              <w:t>Target Group</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6417FF5" w14:textId="77777777" w:rsidR="00567D0B" w:rsidRPr="009B0335" w:rsidRDefault="00567D0B" w:rsidP="00567D0B">
            <w:pPr>
              <w:rPr>
                <w:i/>
              </w:rPr>
            </w:pPr>
            <w:r w:rsidRPr="009B0335">
              <w:rPr>
                <w:i/>
              </w:rPr>
              <w:t>Frequency of Service</w:t>
            </w:r>
          </w:p>
        </w:tc>
      </w:tr>
      <w:tr w:rsidR="00567D0B" w:rsidRPr="001E7C20" w14:paraId="1D8CF9E1"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8ECE31C" w14:textId="77777777" w:rsidR="00567D0B" w:rsidRPr="009B0335" w:rsidRDefault="00567D0B" w:rsidP="00567D0B">
            <w:pPr>
              <w:rPr>
                <w:i/>
              </w:rPr>
            </w:pPr>
            <w:r w:rsidRPr="009B0335">
              <w:rPr>
                <w:i/>
              </w:rPr>
              <w:t>A health assessment for people aged 4</w:t>
            </w:r>
            <w:r w:rsidR="00D17921" w:rsidRPr="009B0335">
              <w:rPr>
                <w:i/>
              </w:rPr>
              <w:t>0</w:t>
            </w:r>
            <w:r w:rsidRPr="009B0335">
              <w:rPr>
                <w:i/>
              </w:rPr>
              <w:t>-49 years (inclusive) who are at risk of developing chronic disease</w:t>
            </w:r>
            <w:r w:rsidR="00D17921" w:rsidRPr="009B0335">
              <w:rPr>
                <w:i/>
              </w:rPr>
              <w:t xml:space="preserve"> including type 2 diabetes</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2D196A4" w14:textId="77777777" w:rsidR="00567D0B" w:rsidRPr="009B0335" w:rsidRDefault="00567D0B" w:rsidP="00567D0B">
            <w:pPr>
              <w:rPr>
                <w:i/>
              </w:rPr>
            </w:pPr>
            <w:r w:rsidRPr="009B0335">
              <w:rPr>
                <w:i/>
              </w:rPr>
              <w:t>Once only to an eligible patient</w:t>
            </w:r>
          </w:p>
        </w:tc>
      </w:tr>
      <w:tr w:rsidR="00567D0B" w:rsidRPr="001E7C20" w14:paraId="0B92E3D4"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45B0095" w14:textId="77777777" w:rsidR="00567D0B" w:rsidRPr="009B0335" w:rsidRDefault="00567D0B" w:rsidP="00567D0B">
            <w:pPr>
              <w:rPr>
                <w:i/>
              </w:rPr>
            </w:pPr>
            <w:r w:rsidRPr="009B0335">
              <w:rPr>
                <w:i/>
              </w:rPr>
              <w:t>A health assessment for people aged 75 years and older</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3237C8" w14:textId="77777777" w:rsidR="00567D0B" w:rsidRPr="009B0335" w:rsidRDefault="00567D0B" w:rsidP="00567D0B">
            <w:pPr>
              <w:rPr>
                <w:i/>
              </w:rPr>
            </w:pPr>
            <w:r w:rsidRPr="009B0335">
              <w:rPr>
                <w:i/>
              </w:rPr>
              <w:t>Provided annually to an eligible patient</w:t>
            </w:r>
          </w:p>
        </w:tc>
      </w:tr>
      <w:tr w:rsidR="008D3EB6" w:rsidRPr="001E7C20" w14:paraId="595F3D65"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D3AEC59" w14:textId="77777777" w:rsidR="008D3EB6" w:rsidRPr="009B0335" w:rsidRDefault="008D3EB6" w:rsidP="00567D0B">
            <w:pPr>
              <w:rPr>
                <w:i/>
              </w:rPr>
            </w:pPr>
            <w:r w:rsidRPr="009B0335">
              <w:rPr>
                <w:i/>
              </w:rPr>
              <w:t>A health assessment for people aged 75 years and older where the medical practitioner judges there is a safety risk in the home</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7889CBE0" w14:textId="77777777" w:rsidR="008D3EB6" w:rsidRPr="009B0335" w:rsidRDefault="008D3EB6" w:rsidP="00567D0B">
            <w:pPr>
              <w:rPr>
                <w:i/>
              </w:rPr>
            </w:pPr>
            <w:r w:rsidRPr="009B0335">
              <w:rPr>
                <w:i/>
              </w:rPr>
              <w:t>Provided annually to eligible patients in the home</w:t>
            </w:r>
            <w:r w:rsidR="00401BF7" w:rsidRPr="009B0335">
              <w:rPr>
                <w:i/>
              </w:rPr>
              <w:t>,</w:t>
            </w:r>
            <w:r w:rsidR="004C3BE2" w:rsidRPr="009B0335">
              <w:rPr>
                <w:i/>
              </w:rPr>
              <w:t xml:space="preserve"> including an additional loading</w:t>
            </w:r>
          </w:p>
        </w:tc>
      </w:tr>
      <w:tr w:rsidR="00567D0B" w:rsidRPr="001E7C20" w14:paraId="07EFA47A"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5C3309F" w14:textId="77777777" w:rsidR="00567D0B" w:rsidRPr="009B0335" w:rsidRDefault="00567D0B" w:rsidP="00567D0B">
            <w:pPr>
              <w:rPr>
                <w:i/>
              </w:rPr>
            </w:pPr>
            <w:r w:rsidRPr="009B0335">
              <w:rPr>
                <w:i/>
              </w:rPr>
              <w:t>A comprehensive medical assessment for permanent residents of residential aged care facilities</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C2D10F1" w14:textId="77777777" w:rsidR="00567D0B" w:rsidRPr="009B0335" w:rsidRDefault="00567D0B" w:rsidP="00567D0B">
            <w:pPr>
              <w:rPr>
                <w:i/>
              </w:rPr>
            </w:pPr>
            <w:r w:rsidRPr="009B0335">
              <w:rPr>
                <w:i/>
              </w:rPr>
              <w:t xml:space="preserve">Provided </w:t>
            </w:r>
            <w:r w:rsidR="002932E7" w:rsidRPr="009B0335">
              <w:rPr>
                <w:i/>
              </w:rPr>
              <w:t xml:space="preserve">on admission and </w:t>
            </w:r>
            <w:r w:rsidRPr="009B0335">
              <w:rPr>
                <w:i/>
              </w:rPr>
              <w:t>annually to an eligible patient</w:t>
            </w:r>
          </w:p>
        </w:tc>
      </w:tr>
      <w:tr w:rsidR="00567D0B" w:rsidRPr="001E7C20" w14:paraId="58244210"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F859545" w14:textId="77777777" w:rsidR="00567D0B" w:rsidRPr="009B0335" w:rsidRDefault="00567D0B" w:rsidP="00567D0B">
            <w:pPr>
              <w:rPr>
                <w:i/>
              </w:rPr>
            </w:pPr>
            <w:r w:rsidRPr="009B0335">
              <w:rPr>
                <w:i/>
              </w:rPr>
              <w:t>A heal</w:t>
            </w:r>
            <w:r w:rsidR="004D4053" w:rsidRPr="009B0335">
              <w:rPr>
                <w:i/>
              </w:rPr>
              <w:t>th assessment for people with a severe</w:t>
            </w:r>
            <w:r w:rsidRPr="009B0335">
              <w:rPr>
                <w:i/>
              </w:rPr>
              <w:t xml:space="preserve"> intellectual disability</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2BC2D58" w14:textId="77777777" w:rsidR="00567D0B" w:rsidRPr="009B0335" w:rsidRDefault="00567D0B" w:rsidP="00567D0B">
            <w:pPr>
              <w:rPr>
                <w:i/>
              </w:rPr>
            </w:pPr>
            <w:r w:rsidRPr="009B0335">
              <w:rPr>
                <w:i/>
              </w:rPr>
              <w:t>Provided annually to an eligible patient</w:t>
            </w:r>
          </w:p>
        </w:tc>
      </w:tr>
      <w:tr w:rsidR="00567D0B" w:rsidRPr="001E7C20" w14:paraId="7F6CF908"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2074964" w14:textId="77777777" w:rsidR="00567D0B" w:rsidRPr="009B0335" w:rsidRDefault="00567D0B" w:rsidP="00567D0B">
            <w:pPr>
              <w:rPr>
                <w:i/>
              </w:rPr>
            </w:pPr>
            <w:r w:rsidRPr="009B0335">
              <w:rPr>
                <w:i/>
              </w:rPr>
              <w:t>A health assessment for refugees and other humanitarian entrants</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C97322E" w14:textId="77777777" w:rsidR="00567D0B" w:rsidRPr="009B0335" w:rsidRDefault="00567D0B" w:rsidP="00567D0B">
            <w:pPr>
              <w:rPr>
                <w:i/>
              </w:rPr>
            </w:pPr>
            <w:r w:rsidRPr="009B0335">
              <w:rPr>
                <w:i/>
              </w:rPr>
              <w:t>Once only to an eligible patient</w:t>
            </w:r>
          </w:p>
        </w:tc>
      </w:tr>
      <w:tr w:rsidR="00567D0B" w:rsidRPr="001E7C20" w14:paraId="453BB744"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29AB573" w14:textId="77777777" w:rsidR="00567D0B" w:rsidRPr="009B0335" w:rsidRDefault="00567D0B" w:rsidP="00567D0B">
            <w:pPr>
              <w:rPr>
                <w:i/>
              </w:rPr>
            </w:pPr>
            <w:r w:rsidRPr="009B0335">
              <w:rPr>
                <w:i/>
              </w:rPr>
              <w:t>A health assessment for former serving members of the Australian Defence Force</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42FB4E6" w14:textId="77777777" w:rsidR="00567D0B" w:rsidRPr="009B0335" w:rsidRDefault="00567D0B" w:rsidP="00567D0B">
            <w:pPr>
              <w:rPr>
                <w:i/>
              </w:rPr>
            </w:pPr>
            <w:r w:rsidRPr="009B0335">
              <w:rPr>
                <w:i/>
              </w:rPr>
              <w:t>Once only to an eligible patient</w:t>
            </w:r>
          </w:p>
        </w:tc>
      </w:tr>
      <w:tr w:rsidR="006302D8" w:rsidRPr="001E7C20" w14:paraId="66C183A4"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1EF29222" w14:textId="77777777" w:rsidR="006302D8" w:rsidRPr="009B0335" w:rsidRDefault="006302D8" w:rsidP="00567D0B">
            <w:pPr>
              <w:rPr>
                <w:i/>
              </w:rPr>
            </w:pPr>
            <w:r w:rsidRPr="009B0335">
              <w:rPr>
                <w:i/>
              </w:rPr>
              <w:t>A health assessment for children in out-of-home care</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ADCE171" w14:textId="77777777" w:rsidR="006302D8" w:rsidRPr="009B0335" w:rsidRDefault="006302D8" w:rsidP="00567D0B">
            <w:pPr>
              <w:rPr>
                <w:i/>
              </w:rPr>
            </w:pPr>
            <w:r w:rsidRPr="009B0335">
              <w:rPr>
                <w:i/>
              </w:rPr>
              <w:t>Provided annually to an eligible patient</w:t>
            </w:r>
          </w:p>
        </w:tc>
      </w:tr>
      <w:tr w:rsidR="006302D8" w:rsidRPr="001E7C20" w14:paraId="308992F9" w14:textId="77777777" w:rsidTr="00F44F16">
        <w:tc>
          <w:tcPr>
            <w:tcW w:w="3456"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28E41162" w14:textId="77777777" w:rsidR="006302D8" w:rsidRPr="009B0335" w:rsidRDefault="006302D8" w:rsidP="00B11EBB">
            <w:pPr>
              <w:rPr>
                <w:i/>
              </w:rPr>
            </w:pPr>
            <w:r w:rsidRPr="009B0335">
              <w:rPr>
                <w:i/>
              </w:rPr>
              <w:t xml:space="preserve">A health assessment for prisoners </w:t>
            </w:r>
            <w:r w:rsidR="006E3397" w:rsidRPr="009B0335">
              <w:rPr>
                <w:i/>
              </w:rPr>
              <w:t xml:space="preserve">within </w:t>
            </w:r>
            <w:r w:rsidR="00B11EBB" w:rsidRPr="009B0335">
              <w:rPr>
                <w:i/>
              </w:rPr>
              <w:t>three</w:t>
            </w:r>
            <w:r w:rsidR="006E3397" w:rsidRPr="009B0335">
              <w:rPr>
                <w:i/>
              </w:rPr>
              <w:t xml:space="preserve"> months of </w:t>
            </w:r>
            <w:r w:rsidRPr="009B0335">
              <w:rPr>
                <w:i/>
              </w:rPr>
              <w:t>discharge from prison</w:t>
            </w:r>
            <w:r w:rsidR="006E3397" w:rsidRPr="009B0335">
              <w:rPr>
                <w:i/>
              </w:rPr>
              <w:t xml:space="preserve"> following a sentence of at least six months.</w:t>
            </w:r>
          </w:p>
        </w:tc>
        <w:tc>
          <w:tcPr>
            <w:tcW w:w="1544" w:type="pct"/>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tcPr>
          <w:p w14:paraId="507B982B" w14:textId="77777777" w:rsidR="006302D8" w:rsidRPr="009B0335" w:rsidRDefault="006302D8" w:rsidP="006E3397">
            <w:pPr>
              <w:rPr>
                <w:i/>
              </w:rPr>
            </w:pPr>
            <w:r w:rsidRPr="009B0335">
              <w:rPr>
                <w:i/>
              </w:rPr>
              <w:t xml:space="preserve">Once only </w:t>
            </w:r>
            <w:r w:rsidR="006E3397" w:rsidRPr="009B0335">
              <w:rPr>
                <w:i/>
              </w:rPr>
              <w:t>following each period of imprisonment</w:t>
            </w:r>
          </w:p>
        </w:tc>
      </w:tr>
    </w:tbl>
    <w:p w14:paraId="28D81CC5" w14:textId="77777777" w:rsidR="00567D0B" w:rsidRPr="009B0335" w:rsidRDefault="00567D0B" w:rsidP="00F44F16">
      <w:pPr>
        <w:ind w:left="360"/>
        <w:rPr>
          <w:i/>
        </w:rPr>
      </w:pPr>
      <w:r w:rsidRPr="009B0335">
        <w:rPr>
          <w:i/>
        </w:rPr>
        <w:t>A health assessment means the assessment of a patient's health and physical, psychological and social function and consideration of whether preventive health care and education should be offered to the patient, to improve that patient's health and physical, psychological and social function.</w:t>
      </w:r>
    </w:p>
    <w:p w14:paraId="05D481E5" w14:textId="77777777" w:rsidR="00567D0B" w:rsidRPr="009B0335" w:rsidRDefault="00567D0B" w:rsidP="00F44F16">
      <w:pPr>
        <w:ind w:left="360"/>
        <w:rPr>
          <w:i/>
        </w:rPr>
      </w:pPr>
      <w:r w:rsidRPr="009B0335">
        <w:rPr>
          <w:i/>
        </w:rPr>
        <w:t>Health assessments are not available to people who are in-patients of a hospital or care recipients in a residential aged care facility (with the exception of a comprehensive medical assessment provided to a permanent resident of a residential aged care facility).</w:t>
      </w:r>
    </w:p>
    <w:p w14:paraId="4487D6E1" w14:textId="77777777" w:rsidR="00567D0B" w:rsidRPr="009B0335" w:rsidRDefault="00567D0B" w:rsidP="00F44F16">
      <w:pPr>
        <w:ind w:left="360"/>
        <w:rPr>
          <w:i/>
        </w:rPr>
      </w:pPr>
      <w:r w:rsidRPr="009B0335">
        <w:rPr>
          <w:i/>
        </w:rPr>
        <w:t>Before a health assessment is commenced, the patient (and/or his or her parent(s), carer or representative, as appropriate) must be given an explanation of the health assessment process and its likely benefits. The patient must be asked whether he or she consents to the health assessment being performed. In cases where the patient is not capable of giving consent, consent must be given by his or her parent(s), carer or representative. Consent to the health assessment must be noted in the patient's records.</w:t>
      </w:r>
    </w:p>
    <w:p w14:paraId="2A4B416B" w14:textId="77777777" w:rsidR="00567D0B" w:rsidRPr="009B0335" w:rsidRDefault="00567D0B" w:rsidP="00F44F16">
      <w:pPr>
        <w:ind w:left="360"/>
        <w:rPr>
          <w:i/>
        </w:rPr>
      </w:pPr>
      <w:r w:rsidRPr="009B0335">
        <w:rPr>
          <w:i/>
        </w:rPr>
        <w:t>A health assessment must include the following elements:</w:t>
      </w:r>
    </w:p>
    <w:p w14:paraId="24196AE2" w14:textId="77777777" w:rsidR="00567D0B" w:rsidRPr="009B0335" w:rsidRDefault="00567D0B" w:rsidP="00D05CE6">
      <w:pPr>
        <w:pStyle w:val="Bullet2"/>
        <w:rPr>
          <w:i/>
        </w:rPr>
      </w:pPr>
      <w:r w:rsidRPr="009B0335">
        <w:rPr>
          <w:i/>
        </w:rPr>
        <w:t>information collection, including taking a patient history and undertaking or arranging examinations and investigations as required;</w:t>
      </w:r>
    </w:p>
    <w:p w14:paraId="7E261EBD" w14:textId="77777777" w:rsidR="00567D0B" w:rsidRPr="009B0335" w:rsidRDefault="00567D0B" w:rsidP="00D05CE6">
      <w:pPr>
        <w:pStyle w:val="Bullet2"/>
        <w:rPr>
          <w:i/>
        </w:rPr>
      </w:pPr>
      <w:r w:rsidRPr="009B0335">
        <w:rPr>
          <w:i/>
        </w:rPr>
        <w:t>making an overall assessment of the patient;</w:t>
      </w:r>
    </w:p>
    <w:p w14:paraId="1776332C" w14:textId="77777777" w:rsidR="00567D0B" w:rsidRPr="009B0335" w:rsidRDefault="00567D0B" w:rsidP="00D05CE6">
      <w:pPr>
        <w:pStyle w:val="Bullet2"/>
        <w:rPr>
          <w:i/>
        </w:rPr>
      </w:pPr>
      <w:r w:rsidRPr="009B0335">
        <w:rPr>
          <w:i/>
        </w:rPr>
        <w:t>recommending appropriate interventions;</w:t>
      </w:r>
    </w:p>
    <w:p w14:paraId="2C95D1DD" w14:textId="77777777" w:rsidR="00567D0B" w:rsidRPr="009B0335" w:rsidRDefault="00567D0B" w:rsidP="00D05CE6">
      <w:pPr>
        <w:pStyle w:val="Bullet2"/>
        <w:rPr>
          <w:i/>
        </w:rPr>
      </w:pPr>
      <w:r w:rsidRPr="009B0335">
        <w:rPr>
          <w:i/>
        </w:rPr>
        <w:t>providing advice and information to the patient;</w:t>
      </w:r>
    </w:p>
    <w:p w14:paraId="0AA0CB94" w14:textId="77777777" w:rsidR="00567D0B" w:rsidRPr="009B0335" w:rsidRDefault="00567D0B" w:rsidP="00D05CE6">
      <w:pPr>
        <w:pStyle w:val="Bullet2"/>
        <w:rPr>
          <w:i/>
        </w:rPr>
      </w:pPr>
      <w:r w:rsidRPr="009B0335">
        <w:rPr>
          <w:i/>
        </w:rPr>
        <w:t>keeping a record of the health assessment, and offering the patient a written report about the health assessment, with recommendations about matters covered by the health assessment; and</w:t>
      </w:r>
    </w:p>
    <w:p w14:paraId="55AE9A65" w14:textId="77777777" w:rsidR="00567D0B" w:rsidRPr="009B0335" w:rsidRDefault="00567D0B" w:rsidP="00D05CE6">
      <w:pPr>
        <w:pStyle w:val="Bullet2"/>
        <w:rPr>
          <w:i/>
        </w:rPr>
      </w:pPr>
      <w:r w:rsidRPr="009B0335">
        <w:rPr>
          <w:i/>
        </w:rPr>
        <w:t>offering the patient's carer (if any, and if the medical practitioner considers it appropriate and the patient agrees) a copy of the report or extracts of the report relevant to the carer.</w:t>
      </w:r>
    </w:p>
    <w:p w14:paraId="26660649" w14:textId="77777777" w:rsidR="00567D0B" w:rsidRPr="009B0335" w:rsidRDefault="00567D0B" w:rsidP="00F44F16">
      <w:pPr>
        <w:ind w:left="360"/>
        <w:rPr>
          <w:i/>
        </w:rPr>
      </w:pPr>
      <w:r w:rsidRPr="009B0335">
        <w:rPr>
          <w:i/>
        </w:rPr>
        <w:t xml:space="preserve">A health assessment may only be claimed </w:t>
      </w:r>
      <w:r w:rsidR="00720502" w:rsidRPr="009B0335">
        <w:rPr>
          <w:i/>
        </w:rPr>
        <w:t xml:space="preserve">for services provided </w:t>
      </w:r>
      <w:r w:rsidRPr="009B0335">
        <w:rPr>
          <w:i/>
        </w:rPr>
        <w:t>by a medical practitioner (including a general practitioner but not including a specialist or consultant physician).</w:t>
      </w:r>
    </w:p>
    <w:p w14:paraId="330BE015" w14:textId="77777777" w:rsidR="00567D0B" w:rsidRPr="009B0335" w:rsidRDefault="00567D0B" w:rsidP="00F44F16">
      <w:pPr>
        <w:ind w:left="360"/>
        <w:rPr>
          <w:i/>
        </w:rPr>
      </w:pPr>
      <w:r w:rsidRPr="009B0335">
        <w:rPr>
          <w:i/>
        </w:rPr>
        <w:t xml:space="preserve">A health assessment should generally be undertaken by the patient's 'usual doctor'. For the purpose of the health assessment items, 'usual doctor' means the </w:t>
      </w:r>
      <w:r w:rsidR="004D3AEC" w:rsidRPr="009B0335">
        <w:rPr>
          <w:i/>
        </w:rPr>
        <w:t xml:space="preserve">patient's nominated </w:t>
      </w:r>
      <w:r w:rsidRPr="009B0335">
        <w:rPr>
          <w:i/>
        </w:rPr>
        <w:t xml:space="preserve">medical practitioner, or a medical practitioner working in the </w:t>
      </w:r>
      <w:r w:rsidR="004D3AEC" w:rsidRPr="009B0335">
        <w:rPr>
          <w:i/>
        </w:rPr>
        <w:t>practice where the patient is enrolled.</w:t>
      </w:r>
      <w:r w:rsidR="00E015A6" w:rsidRPr="009B0335">
        <w:rPr>
          <w:i/>
        </w:rPr>
        <w:t xml:space="preserve"> Where a patient is not enrolled, 'usual doctor' means the GP, or a GP working in the medical practice, who has provided the majority of care to the patient over the previous twelve months and/or will be providing the majority of GP services to the patient over the next twelve months.</w:t>
      </w:r>
    </w:p>
    <w:p w14:paraId="69A05CFE" w14:textId="77777777" w:rsidR="00567D0B" w:rsidRPr="009B0335" w:rsidRDefault="00567D0B" w:rsidP="00F44F16">
      <w:pPr>
        <w:ind w:left="360"/>
        <w:rPr>
          <w:i/>
        </w:rPr>
      </w:pPr>
      <w:r w:rsidRPr="009B0335">
        <w:rPr>
          <w:i/>
        </w:rPr>
        <w:t xml:space="preserve">MBS health assessment items, 703, 705, 707 must be provided by a medical practitioner personally attending upon a patient. Suitably qualified health professionals, such as </w:t>
      </w:r>
      <w:r w:rsidR="003376DA" w:rsidRPr="009B0335">
        <w:rPr>
          <w:i/>
        </w:rPr>
        <w:t>registered or enrolled nurses</w:t>
      </w:r>
      <w:r w:rsidRPr="009B0335">
        <w:rPr>
          <w:i/>
        </w:rPr>
        <w:t xml:space="preserve"> or Aboriginal and Torres Strait Islander health practitioners, employed and/or otherwise engaged by a general practice or health service, may assist medical practitioners in performing health assessments. Such assistance must be provided in accordance with accepted medical practice and under the supervision of the medical practitioner. This may include activities associated with:</w:t>
      </w:r>
    </w:p>
    <w:p w14:paraId="481C7488" w14:textId="6BC45425" w:rsidR="00567D0B" w:rsidRPr="00F44F16" w:rsidRDefault="00567D0B" w:rsidP="009B0335">
      <w:pPr>
        <w:pStyle w:val="Dash3"/>
        <w:rPr>
          <w:i/>
        </w:rPr>
      </w:pPr>
      <w:r w:rsidRPr="00F44F16">
        <w:rPr>
          <w:i/>
        </w:rPr>
        <w:t>information collection; and</w:t>
      </w:r>
    </w:p>
    <w:p w14:paraId="06AF73B4" w14:textId="65DCFB30" w:rsidR="00567D0B" w:rsidRPr="00F44F16" w:rsidRDefault="00567D0B" w:rsidP="009B0335">
      <w:pPr>
        <w:pStyle w:val="Dash3"/>
        <w:rPr>
          <w:i/>
        </w:rPr>
      </w:pPr>
      <w:r w:rsidRPr="00F44F16">
        <w:rPr>
          <w:i/>
        </w:rPr>
        <w:t>providing patients with information about recommended interventions at the direction of the medical practitioner.</w:t>
      </w:r>
    </w:p>
    <w:p w14:paraId="13F68241" w14:textId="77777777" w:rsidR="00567D0B" w:rsidRPr="009B0335" w:rsidRDefault="00567D0B" w:rsidP="00F44F16">
      <w:pPr>
        <w:ind w:left="360"/>
        <w:rPr>
          <w:i/>
        </w:rPr>
      </w:pPr>
      <w:r w:rsidRPr="009B0335">
        <w:rPr>
          <w:i/>
        </w:rPr>
        <w:t>The medical practitioner should be satisfied that the assisting health professional has the necessary skills, expertise and training to collect the information required for the health assessment.</w:t>
      </w:r>
    </w:p>
    <w:p w14:paraId="72EFC47D" w14:textId="77777777" w:rsidR="00567D0B" w:rsidRPr="009B0335" w:rsidRDefault="00567D0B" w:rsidP="00F44F16">
      <w:pPr>
        <w:ind w:left="360"/>
        <w:rPr>
          <w:i/>
        </w:rPr>
      </w:pPr>
      <w:r w:rsidRPr="009B0335">
        <w:rPr>
          <w:i/>
        </w:rPr>
        <w:t>Medical practitioners should not conduct a separate consultation for another health-related issue in conjunction with a health assessment unless it is clinically necessary (i</w:t>
      </w:r>
      <w:r w:rsidR="00C46CF4" w:rsidRPr="009B0335">
        <w:rPr>
          <w:i/>
        </w:rPr>
        <w:t>.</w:t>
      </w:r>
      <w:r w:rsidRPr="009B0335">
        <w:rPr>
          <w:i/>
        </w:rPr>
        <w:t>e. the patient has an acute problem that needs to be managed separately from the assessment). The only exception is the comprehensive medical assessment, where, if this health assessment is undertaken during the course of a consultation for another purpose, the health assessment item and the relevant item for the other consultation may both be claimed.</w:t>
      </w:r>
    </w:p>
    <w:p w14:paraId="7351D72F" w14:textId="77777777" w:rsidR="00567D0B" w:rsidRPr="009B0335" w:rsidRDefault="00567D0B" w:rsidP="00F44F16">
      <w:pPr>
        <w:ind w:left="360"/>
        <w:rPr>
          <w:i/>
        </w:rPr>
      </w:pPr>
      <w:r w:rsidRPr="009B0335">
        <w:rPr>
          <w:i/>
        </w:rPr>
        <w:t>Items, 703, 705 and 707 do not apply for services that are provided by any other Commonwealth or State funded services. However, where an exemption under subsection 19(2) of the Health Insurance Act 1973 has been granted to an Aboriginal Community Controlled Health Service or State/Territory Government health clinic, items 703, 705 and 707 can be claimed for services provided by medical practitioners salaried by or contracted to, the Service or health clinic. All other requirements of the items must be met.</w:t>
      </w:r>
    </w:p>
    <w:p w14:paraId="25B915F2" w14:textId="77777777" w:rsidR="003F6F14" w:rsidRPr="009B0335" w:rsidRDefault="00567D0B" w:rsidP="00F44F16">
      <w:pPr>
        <w:ind w:left="360"/>
        <w:rPr>
          <w:i/>
        </w:rPr>
      </w:pPr>
      <w:r w:rsidRPr="009B0335">
        <w:rPr>
          <w:i/>
        </w:rPr>
        <w:t>Item 10990 or 10991 (bulk billing incentives) can be claimed in conjunction with any health assessment, provided the conditions of item</w:t>
      </w:r>
      <w:r w:rsidR="00CD1CFE" w:rsidRPr="009B0335">
        <w:rPr>
          <w:i/>
        </w:rPr>
        <w:t xml:space="preserve"> 10990 and 10991 are satisfied.</w:t>
      </w:r>
    </w:p>
    <w:p w14:paraId="488B9FBC" w14:textId="699D4211" w:rsidR="0075020A" w:rsidRPr="0075020A" w:rsidRDefault="0075020A" w:rsidP="00F44F16">
      <w:pPr>
        <w:pStyle w:val="Heading3Numbered"/>
        <w:numPr>
          <w:ilvl w:val="0"/>
          <w:numId w:val="0"/>
        </w:numPr>
        <w:ind w:left="720" w:hanging="720"/>
      </w:pPr>
      <w:bookmarkStart w:id="140" w:name="_Toc15644889"/>
      <w:r>
        <w:t xml:space="preserve">Rationale </w:t>
      </w:r>
      <w:r w:rsidR="00A824AB">
        <w:t>6</w:t>
      </w:r>
      <w:bookmarkEnd w:id="140"/>
    </w:p>
    <w:p w14:paraId="2F7BB954" w14:textId="77777777" w:rsidR="0075020A" w:rsidRPr="0075020A" w:rsidRDefault="0075020A" w:rsidP="0075020A">
      <w:r w:rsidRPr="0075020A">
        <w:t xml:space="preserve">This recommendation focuses on improving </w:t>
      </w:r>
      <w:r w:rsidR="00FD4FDD">
        <w:t>the quality of Health Assessments</w:t>
      </w:r>
      <w:r w:rsidRPr="0075020A">
        <w:t xml:space="preserve"> and </w:t>
      </w:r>
      <w:r w:rsidR="00FD4FDD">
        <w:t>expanding eligibility to at-risk populations</w:t>
      </w:r>
      <w:r w:rsidRPr="0075020A">
        <w:t>. It is based on the following.</w:t>
      </w:r>
    </w:p>
    <w:p w14:paraId="399F166A" w14:textId="64FA3407" w:rsidR="004129FD" w:rsidRPr="004129FD" w:rsidRDefault="004129FD" w:rsidP="004129FD">
      <w:pPr>
        <w:pStyle w:val="Bullet-green"/>
      </w:pPr>
      <w:r w:rsidRPr="004129FD">
        <w:t xml:space="preserve">The Committee agreed that </w:t>
      </w:r>
      <w:r w:rsidR="00CD6B7E">
        <w:t>H</w:t>
      </w:r>
      <w:r w:rsidRPr="004129FD">
        <w:t xml:space="preserve">ealth </w:t>
      </w:r>
      <w:r w:rsidR="00CD6B7E">
        <w:t>A</w:t>
      </w:r>
      <w:r w:rsidRPr="004129FD">
        <w:t xml:space="preserve">ssessment </w:t>
      </w:r>
      <w:r w:rsidR="00CD6B7E">
        <w:t>requirement</w:t>
      </w:r>
      <w:r w:rsidRPr="004129FD">
        <w:t xml:space="preserve"> should reflect Guidelines for preventive activities in general practice 9th edition (Red Book) and the </w:t>
      </w:r>
      <w:hyperlink r:id="rId23" w:history="1">
        <w:r w:rsidRPr="004129FD">
          <w:t>National guide to a preventive health assessment for Aboriginal and Torres Strait Islander people</w:t>
        </w:r>
      </w:hyperlink>
      <w:r w:rsidR="00CD6B7E">
        <w:t>.</w:t>
      </w:r>
    </w:p>
    <w:p w14:paraId="272BB926" w14:textId="4D55A456" w:rsidR="004129FD" w:rsidRPr="004129FD" w:rsidRDefault="004129FD" w:rsidP="004129FD">
      <w:pPr>
        <w:pStyle w:val="Bullet2"/>
      </w:pPr>
      <w:r w:rsidRPr="004129FD">
        <w:t xml:space="preserve">The Guidelines for preventive activities in general practice 9th edition (Red Book) and the </w:t>
      </w:r>
      <w:hyperlink r:id="rId24" w:history="1">
        <w:r w:rsidRPr="004129FD">
          <w:t>National guide to a preventive health assessment for Aboriginal and Torres Strait Islander people</w:t>
        </w:r>
      </w:hyperlink>
      <w:r w:rsidRPr="004129FD">
        <w:rPr>
          <w:rFonts w:eastAsiaTheme="minorEastAsia"/>
        </w:rPr>
        <w:t xml:space="preserve"> provide the most up to data summation of evidence for preventative activities at each stage of a person’s life</w:t>
      </w:r>
      <w:r w:rsidR="00CD6B7E">
        <w:rPr>
          <w:rFonts w:eastAsiaTheme="minorEastAsia"/>
        </w:rPr>
        <w:t>.</w:t>
      </w:r>
    </w:p>
    <w:p w14:paraId="536ABC12" w14:textId="7D518EE1" w:rsidR="00ED7FE5" w:rsidRPr="00ED7FE5" w:rsidRDefault="00ED7FE5" w:rsidP="00ED7FE5">
      <w:pPr>
        <w:pStyle w:val="Bullet-green"/>
      </w:pPr>
      <w:r w:rsidRPr="00ED7FE5">
        <w:t>The Committee agreed that health assessment</w:t>
      </w:r>
      <w:r w:rsidR="00AA254F">
        <w:t xml:space="preserve"> eligibility</w:t>
      </w:r>
      <w:r>
        <w:t xml:space="preserve"> should be expanded to certain at-risk populations</w:t>
      </w:r>
      <w:r w:rsidR="00EF72E5">
        <w:t>:</w:t>
      </w:r>
    </w:p>
    <w:p w14:paraId="40BDF381" w14:textId="5ED163BB" w:rsidR="00ED7FE5" w:rsidRPr="006A1236" w:rsidRDefault="0068298D" w:rsidP="00ED7FE5">
      <w:pPr>
        <w:pStyle w:val="Bullet2"/>
      </w:pPr>
      <w:r>
        <w:rPr>
          <w:rFonts w:eastAsiaTheme="minorEastAsia"/>
        </w:rPr>
        <w:t>Children in out-of-home care</w:t>
      </w:r>
      <w:r w:rsidR="008F280F">
        <w:rPr>
          <w:rFonts w:eastAsiaTheme="minorEastAsia"/>
        </w:rPr>
        <w:t xml:space="preserve"> (annually)</w:t>
      </w:r>
      <w:r w:rsidR="00CD6B7E">
        <w:rPr>
          <w:rFonts w:eastAsiaTheme="minorEastAsia"/>
        </w:rPr>
        <w:t>:</w:t>
      </w:r>
    </w:p>
    <w:p w14:paraId="52336418" w14:textId="77777777" w:rsidR="006A1236" w:rsidRPr="00973683" w:rsidRDefault="006A1236" w:rsidP="00973683">
      <w:pPr>
        <w:pStyle w:val="Dash3"/>
      </w:pPr>
      <w:r w:rsidRPr="00973683">
        <w:t>A Health Assessment for children in out-of-home-care is in line with a number of strategies in place to improve the quality of care provided for children and young people in out-of-home care. As part of the National Framework for Protecting Australia’s Children 2009-2020, the National Standards for Out-of-Home Care</w:t>
      </w:r>
      <w:r w:rsidR="00C319F8">
        <w:rPr>
          <w:rStyle w:val="FootnoteReference"/>
        </w:rPr>
        <w:footnoteReference w:id="4"/>
      </w:r>
      <w:r w:rsidRPr="00973683">
        <w:t xml:space="preserve"> (2011) were developed and endorsed by all States and Territories. These standards aim to drive greater consistency and improve the quality of care provided to children and young people.  </w:t>
      </w:r>
      <w:r w:rsidR="00973683" w:rsidRPr="00973683">
        <w:t>Standard five requires that c</w:t>
      </w:r>
      <w:r w:rsidRPr="00973683">
        <w:t>hildren and young people have their physical, developmental, psychosocial and mental health needs assessed and attended in a timely way.</w:t>
      </w:r>
    </w:p>
    <w:p w14:paraId="1893CA75" w14:textId="77777777" w:rsidR="006A1236" w:rsidRPr="006A1236" w:rsidRDefault="006A1236" w:rsidP="006A1236">
      <w:pPr>
        <w:pStyle w:val="Dash3"/>
      </w:pPr>
      <w:r w:rsidRPr="006A1236">
        <w:t>To support achievement of standard five and to streamline services available, the National Clinical Assessment Framework - Children and Young People in Out-of-Home Care</w:t>
      </w:r>
      <w:r w:rsidR="00C319F8">
        <w:rPr>
          <w:rStyle w:val="FootnoteReference"/>
        </w:rPr>
        <w:footnoteReference w:id="5"/>
      </w:r>
      <w:r w:rsidRPr="006A1236">
        <w:t xml:space="preserve"> was established by the Commonwealth Department of Health in 2011. The Framework outlines a best practice approach, highlighting general practitioner participation as primary to establishing continuity of care for children and young people in out-of-home care. It has been endorsed by the Commonwealth; however</w:t>
      </w:r>
      <w:r w:rsidR="0072423E">
        <w:t>,</w:t>
      </w:r>
      <w:r w:rsidRPr="006A1236">
        <w:t xml:space="preserve"> it has not yet been fully adopted in any of the States or Territories. The introduction of a dedicated MBS item would directly support clinical assessments of children and young people in out-of-home care and is in line with the Framework. This includes supporting Child Protection agencies and other stakeholders to have a common framework to contribute to the assessment.</w:t>
      </w:r>
    </w:p>
    <w:p w14:paraId="78CAA6E5" w14:textId="77777777" w:rsidR="006A1236" w:rsidRPr="0068298D" w:rsidRDefault="006A1236" w:rsidP="006A1236">
      <w:pPr>
        <w:pStyle w:val="Dash3"/>
      </w:pPr>
      <w:r w:rsidRPr="006A1236">
        <w:t>The 2013 ACIL Allen Consulting report, Health Assessments and Interventions for Children and Young people in the Child Protection System, shows that this group also have poorer historical engagement with the health system and poorer health records</w:t>
      </w:r>
      <w:r w:rsidR="00C319F8">
        <w:rPr>
          <w:rStyle w:val="FootnoteReference"/>
        </w:rPr>
        <w:footnoteReference w:id="6"/>
      </w:r>
    </w:p>
    <w:p w14:paraId="11718878" w14:textId="77777777" w:rsidR="0068298D" w:rsidRPr="006B608B" w:rsidRDefault="0068298D" w:rsidP="00ED7FE5">
      <w:pPr>
        <w:pStyle w:val="Bullet2"/>
      </w:pPr>
      <w:r>
        <w:rPr>
          <w:rFonts w:eastAsiaTheme="minorEastAsia"/>
        </w:rPr>
        <w:t>Prisoners on discharge from prison</w:t>
      </w:r>
      <w:r w:rsidR="008F280F">
        <w:rPr>
          <w:rFonts w:eastAsiaTheme="minorEastAsia"/>
        </w:rPr>
        <w:t xml:space="preserve"> (once</w:t>
      </w:r>
      <w:r w:rsidR="00CF5622">
        <w:rPr>
          <w:rFonts w:eastAsiaTheme="minorEastAsia"/>
        </w:rPr>
        <w:t xml:space="preserve"> following each episode of imprisonment for six or more months</w:t>
      </w:r>
      <w:r w:rsidR="008F280F">
        <w:rPr>
          <w:rFonts w:eastAsiaTheme="minorEastAsia"/>
        </w:rPr>
        <w:t>)</w:t>
      </w:r>
    </w:p>
    <w:p w14:paraId="4B8D1F03" w14:textId="77777777" w:rsidR="005A4A3A" w:rsidRPr="005A4A3A" w:rsidRDefault="000C185A" w:rsidP="005A4A3A">
      <w:pPr>
        <w:pStyle w:val="Dash3"/>
      </w:pPr>
      <w:r w:rsidRPr="005A4A3A">
        <w:t>Availability of a structured, funded health assessment item would support former prisoners’ access to primary care, and the assessment and management of their healthcare needs, with likely benefits for their own health, for population health (through the detection and management of infectious diseases), and possibly reducing re-offending.</w:t>
      </w:r>
    </w:p>
    <w:p w14:paraId="7FEB9180" w14:textId="77777777" w:rsidR="00EF635E" w:rsidRPr="005A4A3A" w:rsidRDefault="00EF635E" w:rsidP="005A4A3A">
      <w:pPr>
        <w:pStyle w:val="Dash3"/>
      </w:pPr>
      <w:r w:rsidRPr="005A4A3A">
        <w:t>1) Many people in prison and youth detention suffer poor health, often wi</w:t>
      </w:r>
      <w:r w:rsidR="005A4A3A" w:rsidRPr="005A4A3A">
        <w:t xml:space="preserve">th their needs incompletely met. </w:t>
      </w:r>
      <w:r w:rsidRPr="005A4A3A">
        <w:t>Mental disorders and infectious diseases are more common in prisoners than in the general population. High rates of suicide within prison and increased mortality from all causes on release have been documented in many countries.</w:t>
      </w:r>
      <w:r w:rsidR="00BE7D0B">
        <w:t xml:space="preserve"> (</w:t>
      </w:r>
      <w:r w:rsidR="00BE7D0B">
        <w:endnoteReference w:id="72"/>
      </w:r>
      <w:r w:rsidR="00BE7D0B">
        <w:t>)</w:t>
      </w:r>
      <w:r w:rsidR="005A4A3A" w:rsidRPr="005A4A3A">
        <w:t xml:space="preserve"> </w:t>
      </w:r>
      <w:r w:rsidRPr="005A4A3A">
        <w:t>Amongst women released from prison in NSW, 49% were on psychotropic medication and most required ongoing management for: mental health (71%), substance misuse (65%) and physical health (61%) problems.</w:t>
      </w:r>
      <w:r w:rsidR="00BE7D0B">
        <w:t xml:space="preserve"> (</w:t>
      </w:r>
      <w:r w:rsidR="00BE7D0B">
        <w:endnoteReference w:id="73"/>
      </w:r>
      <w:r w:rsidR="00BE7D0B">
        <w:t>)</w:t>
      </w:r>
    </w:p>
    <w:p w14:paraId="0B39CC6C" w14:textId="77777777" w:rsidR="00EF635E" w:rsidRPr="005A4A3A" w:rsidRDefault="00EF635E" w:rsidP="005A4A3A">
      <w:pPr>
        <w:pStyle w:val="Dash3"/>
      </w:pPr>
      <w:r w:rsidRPr="005A4A3A">
        <w:t>2) Former prisoners are at high risk of preventable morbidity and mortality following discharge</w:t>
      </w:r>
      <w:r w:rsidR="005A4A3A" w:rsidRPr="005A4A3A">
        <w:t xml:space="preserve">. </w:t>
      </w:r>
      <w:r w:rsidRPr="005A4A3A">
        <w:t>In a NSW study, in the first 12 months following discharge, all-cause SMR was 3.7 in men and 7.8 in women. The excess mortality was due to all major causes, and was even high</w:t>
      </w:r>
      <w:r w:rsidR="009775A3" w:rsidRPr="005A4A3A">
        <w:t>er in Aboriginal men and women.</w:t>
      </w:r>
      <w:r w:rsidR="00BE7D0B">
        <w:t>(</w:t>
      </w:r>
      <w:r w:rsidR="00BE7D0B">
        <w:endnoteReference w:id="74"/>
      </w:r>
      <w:r w:rsidR="00BE7D0B">
        <w:t>)</w:t>
      </w:r>
      <w:r w:rsidR="005A4A3A" w:rsidRPr="005A4A3A">
        <w:t xml:space="preserve"> </w:t>
      </w:r>
      <w:r w:rsidRPr="005A4A3A">
        <w:t>A Queensland data-linkage study concluded that “Young people are at markedly increased risk of death after release from prison and the majority of deaths are preventable”</w:t>
      </w:r>
      <w:r w:rsidR="0072423E">
        <w:t>.</w:t>
      </w:r>
      <w:r w:rsidR="00BE7D0B">
        <w:t>(</w:t>
      </w:r>
      <w:r w:rsidR="00BE7D0B">
        <w:endnoteReference w:id="75"/>
      </w:r>
      <w:r w:rsidR="00BE7D0B">
        <w:t>)</w:t>
      </w:r>
    </w:p>
    <w:p w14:paraId="4363F485" w14:textId="77777777" w:rsidR="00EF635E" w:rsidRPr="00EF635E" w:rsidRDefault="00EF635E" w:rsidP="009775A3">
      <w:pPr>
        <w:pStyle w:val="Dash3"/>
      </w:pPr>
      <w:r w:rsidRPr="00EF635E">
        <w:t>3) However, there is poor transfer of care from prison to c</w:t>
      </w:r>
      <w:r w:rsidR="00C46CF4">
        <w:t>ommunity</w:t>
      </w:r>
      <w:r w:rsidR="0072423E">
        <w:t>.</w:t>
      </w:r>
      <w:r w:rsidR="00BE7D0B">
        <w:t>(</w:t>
      </w:r>
      <w:r w:rsidR="00BE7D0B">
        <w:endnoteReference w:id="76"/>
      </w:r>
      <w:r w:rsidR="00BE7D0B">
        <w:t>)</w:t>
      </w:r>
    </w:p>
    <w:p w14:paraId="6CA86F60" w14:textId="77777777" w:rsidR="00EF635E" w:rsidRPr="00EF635E" w:rsidRDefault="00EF635E" w:rsidP="009775A3">
      <w:pPr>
        <w:pStyle w:val="Dash3"/>
      </w:pPr>
      <w:r w:rsidRPr="00EF635E">
        <w:t>4) Barriers include both structural problems, and former prisoners’ perception of GPs’ unwillingness to care for prisoners. Consequently, former prisoners may not seek care, or their needs ma</w:t>
      </w:r>
      <w:r w:rsidR="00C46CF4">
        <w:t>y not be fully assessed and met</w:t>
      </w:r>
      <w:r w:rsidR="0072423E">
        <w:t>.</w:t>
      </w:r>
      <w:r w:rsidR="00BE7D0B">
        <w:t>(</w:t>
      </w:r>
      <w:r w:rsidR="00BE7D0B">
        <w:endnoteReference w:id="77"/>
      </w:r>
      <w:r w:rsidR="00BE7D0B">
        <w:t>)(</w:t>
      </w:r>
      <w:r w:rsidR="00BE7D0B">
        <w:endnoteReference w:id="78"/>
      </w:r>
      <w:r w:rsidR="00BE7D0B">
        <w:t>)(</w:t>
      </w:r>
      <w:r w:rsidR="00BE7D0B">
        <w:endnoteReference w:id="79"/>
      </w:r>
      <w:r w:rsidR="00BE7D0B">
        <w:t>)</w:t>
      </w:r>
    </w:p>
    <w:p w14:paraId="14C5A6A5" w14:textId="77777777" w:rsidR="00EF635E" w:rsidRPr="00ED7FE5" w:rsidRDefault="00EF635E" w:rsidP="005A4A3A">
      <w:pPr>
        <w:pStyle w:val="Dash3"/>
      </w:pPr>
      <w:r w:rsidRPr="00EF635E">
        <w:t>5) Engagement with general practice after release increases health service utilization, enabling health promotion and disease manage</w:t>
      </w:r>
      <w:r w:rsidR="005A4A3A">
        <w:t>ment, and may reduce recidivism. A</w:t>
      </w:r>
      <w:r w:rsidRPr="00EF635E">
        <w:t>n observational study in Queensland showed that early primary care physician contact was positively associated with mental health, alcohol and other drug treatment, and with subsequent primary care physician service utilisation over 6 months of follow-up.</w:t>
      </w:r>
      <w:r w:rsidR="00BE7D0B">
        <w:t>(</w:t>
      </w:r>
      <w:r w:rsidR="00BE7D0B">
        <w:endnoteReference w:id="80"/>
      </w:r>
      <w:r w:rsidR="00B975F5">
        <w:t>)</w:t>
      </w:r>
      <w:r w:rsidR="005A4A3A">
        <w:t xml:space="preserve"> </w:t>
      </w:r>
      <w:r w:rsidRPr="00EF635E">
        <w:t>Another study showed that re-offending was reduced in former prisoners who had a family doctor, had good general health, were not depressed, had good nutritional health, and were not using cannabis or cocaine.</w:t>
      </w:r>
      <w:r w:rsidR="00B975F5">
        <w:t>(</w:t>
      </w:r>
      <w:r w:rsidR="00B975F5">
        <w:endnoteReference w:id="81"/>
      </w:r>
      <w:r w:rsidR="00B975F5">
        <w:t>)</w:t>
      </w:r>
    </w:p>
    <w:p w14:paraId="7D96C9A6" w14:textId="77777777" w:rsidR="00ED7FE5" w:rsidRDefault="00ED7FE5" w:rsidP="00ED7FE5">
      <w:pPr>
        <w:pStyle w:val="Bullet-green"/>
      </w:pPr>
      <w:r w:rsidRPr="00ED7FE5">
        <w:t>The Committee agreed that h</w:t>
      </w:r>
      <w:r w:rsidR="00AA254F">
        <w:t>ealth assessment eligibility should be modified to better align with clinical and service needs</w:t>
      </w:r>
    </w:p>
    <w:p w14:paraId="1CC2F0F9" w14:textId="77777777" w:rsidR="00AA254F" w:rsidRDefault="00AA254F" w:rsidP="00AA254F">
      <w:pPr>
        <w:pStyle w:val="Bullet2"/>
      </w:pPr>
      <w:r>
        <w:t>Home visits for over 75 with a safety risk</w:t>
      </w:r>
      <w:r w:rsidR="008F280F">
        <w:t xml:space="preserve"> (annually)</w:t>
      </w:r>
    </w:p>
    <w:p w14:paraId="7DA34A1C" w14:textId="77777777" w:rsidR="00AA254F" w:rsidRDefault="00AA254F" w:rsidP="00AA254F">
      <w:pPr>
        <w:pStyle w:val="Bullet2"/>
      </w:pPr>
      <w:r>
        <w:t>40-49 at risk of chronic disease</w:t>
      </w:r>
      <w:r w:rsidR="008F280F">
        <w:t xml:space="preserve"> (once)</w:t>
      </w:r>
    </w:p>
    <w:p w14:paraId="7C5F0336" w14:textId="77777777" w:rsidR="00AA254F" w:rsidRPr="00ED7FE5" w:rsidRDefault="00AA254F" w:rsidP="00AA254F">
      <w:pPr>
        <w:pStyle w:val="Bullet2"/>
      </w:pPr>
      <w:r>
        <w:t>RACF on admission and annually</w:t>
      </w:r>
    </w:p>
    <w:p w14:paraId="16DAD2D4" w14:textId="77777777" w:rsidR="006A107C" w:rsidRPr="00070252" w:rsidRDefault="006A107C" w:rsidP="006A107C">
      <w:pPr>
        <w:pStyle w:val="Bullet-green"/>
        <w:numPr>
          <w:ilvl w:val="0"/>
          <w:numId w:val="0"/>
        </w:numPr>
        <w:ind w:left="431"/>
      </w:pPr>
    </w:p>
    <w:p w14:paraId="63D6D6F2" w14:textId="3E4ECD95" w:rsidR="00BC48C5" w:rsidRDefault="00BC48C5" w:rsidP="00A05041">
      <w:pPr>
        <w:pStyle w:val="Heading2"/>
        <w:numPr>
          <w:ilvl w:val="0"/>
          <w:numId w:val="0"/>
        </w:numPr>
        <w:ind w:left="-417"/>
      </w:pPr>
      <w:bookmarkStart w:id="141" w:name="_Toc15644890"/>
      <w:r>
        <w:t>Consultation Items</w:t>
      </w:r>
      <w:r w:rsidR="00FA1E0D">
        <w:t xml:space="preserve"> - a</w:t>
      </w:r>
      <w:r w:rsidR="00FA1E0D" w:rsidRPr="00FA1E0D">
        <w:t>lign</w:t>
      </w:r>
      <w:r w:rsidR="00FA1E0D">
        <w:t>ing</w:t>
      </w:r>
      <w:r w:rsidR="00FA1E0D" w:rsidRPr="00FA1E0D">
        <w:t xml:space="preserve"> consult</w:t>
      </w:r>
      <w:r w:rsidR="00FA1E0D">
        <w:t xml:space="preserve">ation </w:t>
      </w:r>
      <w:r w:rsidR="00FA1E0D" w:rsidRPr="00FA1E0D">
        <w:t>items with contemporary healthcare</w:t>
      </w:r>
      <w:bookmarkEnd w:id="141"/>
    </w:p>
    <w:p w14:paraId="4390CACA" w14:textId="56AE6C1A" w:rsidR="001E7C20" w:rsidRDefault="001E7C20" w:rsidP="008F13EA">
      <w:pPr>
        <w:pStyle w:val="Heading3Numbered"/>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720" w:hanging="720"/>
      </w:pPr>
      <w:bookmarkStart w:id="142" w:name="_Toc15644891"/>
      <w:r w:rsidRPr="007F61CB">
        <w:t xml:space="preserve">Recommendation </w:t>
      </w:r>
      <w:r w:rsidR="00A824AB">
        <w:t>7</w:t>
      </w:r>
      <w:bookmarkEnd w:id="142"/>
    </w:p>
    <w:p w14:paraId="528153C5" w14:textId="33B644E9" w:rsidR="001E7C20" w:rsidRPr="007F61CB" w:rsidRDefault="00E46AF7" w:rsidP="008F13EA">
      <w:pPr>
        <w:pStyle w:val="Bullet-green"/>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pPr>
      <w:r>
        <w:t>U</w:t>
      </w:r>
      <w:r w:rsidRPr="004238EC">
        <w:t xml:space="preserve">ndertake additional research regarding the appropriateness of the current length, content and minimum quality metrics for GP MBS consultation items (Levels A-D). </w:t>
      </w:r>
    </w:p>
    <w:p w14:paraId="2D6DD105" w14:textId="72A7A057" w:rsidR="001E7C20" w:rsidRPr="007F61CB" w:rsidRDefault="001E7C20" w:rsidP="00A05041">
      <w:pPr>
        <w:pStyle w:val="Heading3Numbered"/>
        <w:numPr>
          <w:ilvl w:val="0"/>
          <w:numId w:val="0"/>
        </w:numPr>
        <w:ind w:left="720" w:hanging="720"/>
      </w:pPr>
      <w:bookmarkStart w:id="143" w:name="_Toc15050521"/>
      <w:bookmarkStart w:id="144" w:name="_Toc15051164"/>
      <w:bookmarkStart w:id="145" w:name="_Toc15051807"/>
      <w:bookmarkStart w:id="146" w:name="_Toc15052449"/>
      <w:bookmarkStart w:id="147" w:name="_Toc15053092"/>
      <w:bookmarkStart w:id="148" w:name="_Toc15053735"/>
      <w:bookmarkStart w:id="149" w:name="_Toc15050522"/>
      <w:bookmarkStart w:id="150" w:name="_Toc15051165"/>
      <w:bookmarkStart w:id="151" w:name="_Toc15051808"/>
      <w:bookmarkStart w:id="152" w:name="_Toc15052450"/>
      <w:bookmarkStart w:id="153" w:name="_Toc15053093"/>
      <w:bookmarkStart w:id="154" w:name="_Toc15053736"/>
      <w:bookmarkStart w:id="155" w:name="_Toc15050523"/>
      <w:bookmarkStart w:id="156" w:name="_Toc15051166"/>
      <w:bookmarkStart w:id="157" w:name="_Toc15051809"/>
      <w:bookmarkStart w:id="158" w:name="_Toc15052451"/>
      <w:bookmarkStart w:id="159" w:name="_Toc15053094"/>
      <w:bookmarkStart w:id="160" w:name="_Toc15053737"/>
      <w:bookmarkStart w:id="161" w:name="_Toc15050524"/>
      <w:bookmarkStart w:id="162" w:name="_Toc15051167"/>
      <w:bookmarkStart w:id="163" w:name="_Toc15051810"/>
      <w:bookmarkStart w:id="164" w:name="_Toc15052452"/>
      <w:bookmarkStart w:id="165" w:name="_Toc15053095"/>
      <w:bookmarkStart w:id="166" w:name="_Toc15053738"/>
      <w:bookmarkStart w:id="167" w:name="_Toc15050525"/>
      <w:bookmarkStart w:id="168" w:name="_Toc15051168"/>
      <w:bookmarkStart w:id="169" w:name="_Toc15051811"/>
      <w:bookmarkStart w:id="170" w:name="_Toc15052453"/>
      <w:bookmarkStart w:id="171" w:name="_Toc15053096"/>
      <w:bookmarkStart w:id="172" w:name="_Toc15053739"/>
      <w:bookmarkStart w:id="173" w:name="_Toc15050526"/>
      <w:bookmarkStart w:id="174" w:name="_Toc15051169"/>
      <w:bookmarkStart w:id="175" w:name="_Toc15051812"/>
      <w:bookmarkStart w:id="176" w:name="_Toc15052454"/>
      <w:bookmarkStart w:id="177" w:name="_Toc15053097"/>
      <w:bookmarkStart w:id="178" w:name="_Toc15053740"/>
      <w:bookmarkStart w:id="179" w:name="_Toc15050527"/>
      <w:bookmarkStart w:id="180" w:name="_Toc15051170"/>
      <w:bookmarkStart w:id="181" w:name="_Toc15051813"/>
      <w:bookmarkStart w:id="182" w:name="_Toc15052455"/>
      <w:bookmarkStart w:id="183" w:name="_Toc15053098"/>
      <w:bookmarkStart w:id="184" w:name="_Toc15053741"/>
      <w:bookmarkStart w:id="185" w:name="_Toc15050528"/>
      <w:bookmarkStart w:id="186" w:name="_Toc15051171"/>
      <w:bookmarkStart w:id="187" w:name="_Toc15051814"/>
      <w:bookmarkStart w:id="188" w:name="_Toc15052456"/>
      <w:bookmarkStart w:id="189" w:name="_Toc15053099"/>
      <w:bookmarkStart w:id="190" w:name="_Toc15053742"/>
      <w:bookmarkStart w:id="191" w:name="_Toc15050529"/>
      <w:bookmarkStart w:id="192" w:name="_Toc15051172"/>
      <w:bookmarkStart w:id="193" w:name="_Toc15051815"/>
      <w:bookmarkStart w:id="194" w:name="_Toc15052457"/>
      <w:bookmarkStart w:id="195" w:name="_Toc15053100"/>
      <w:bookmarkStart w:id="196" w:name="_Toc15053743"/>
      <w:bookmarkStart w:id="197" w:name="_Toc15050530"/>
      <w:bookmarkStart w:id="198" w:name="_Toc15051173"/>
      <w:bookmarkStart w:id="199" w:name="_Toc15051816"/>
      <w:bookmarkStart w:id="200" w:name="_Toc15052458"/>
      <w:bookmarkStart w:id="201" w:name="_Toc15053101"/>
      <w:bookmarkStart w:id="202" w:name="_Toc15053744"/>
      <w:bookmarkStart w:id="203" w:name="_Toc15050531"/>
      <w:bookmarkStart w:id="204" w:name="_Toc15051174"/>
      <w:bookmarkStart w:id="205" w:name="_Toc15051817"/>
      <w:bookmarkStart w:id="206" w:name="_Toc15052459"/>
      <w:bookmarkStart w:id="207" w:name="_Toc15053102"/>
      <w:bookmarkStart w:id="208" w:name="_Toc15053745"/>
      <w:bookmarkStart w:id="209" w:name="_Toc15050532"/>
      <w:bookmarkStart w:id="210" w:name="_Toc15051175"/>
      <w:bookmarkStart w:id="211" w:name="_Toc15051818"/>
      <w:bookmarkStart w:id="212" w:name="_Toc15052460"/>
      <w:bookmarkStart w:id="213" w:name="_Toc15053103"/>
      <w:bookmarkStart w:id="214" w:name="_Toc15053746"/>
      <w:bookmarkStart w:id="215" w:name="_Toc1564489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7F61CB">
        <w:t xml:space="preserve">Rationale </w:t>
      </w:r>
      <w:r w:rsidR="00A824AB">
        <w:t>7</w:t>
      </w:r>
      <w:bookmarkEnd w:id="215"/>
    </w:p>
    <w:p w14:paraId="617D8F05" w14:textId="77777777" w:rsidR="00E46AF7" w:rsidRPr="007F61CB" w:rsidRDefault="00E46AF7" w:rsidP="00E46AF7">
      <w:r>
        <w:t>T</w:t>
      </w:r>
      <w:r w:rsidRPr="007F61CB">
        <w:t xml:space="preserve">his recommendation focuses on </w:t>
      </w:r>
      <w:r>
        <w:t>increasing high value care</w:t>
      </w:r>
      <w:r w:rsidRPr="007F61CB">
        <w:t>. It is based on the following.</w:t>
      </w:r>
    </w:p>
    <w:p w14:paraId="28E4A2C3" w14:textId="77777777" w:rsidR="00E46AF7" w:rsidRDefault="00E46AF7" w:rsidP="00E46AF7">
      <w:pPr>
        <w:pStyle w:val="Bullet-green"/>
      </w:pPr>
      <w:r>
        <w:t>The system should create incentives for GPs to provide higher value care and the development of a sophisticated set of metrics could be used to gauge the quality of consultation.</w:t>
      </w:r>
    </w:p>
    <w:p w14:paraId="6644D48D" w14:textId="77777777" w:rsidR="00E46AF7" w:rsidRDefault="00E46AF7" w:rsidP="00E46AF7">
      <w:pPr>
        <w:pStyle w:val="Bullet-green"/>
      </w:pPr>
      <w:r>
        <w:t>Short consultations may not always constitute high value care but may be sufficient for issues including repeat scripts and referrals, vaccinations, etc (especially within the context of an ongoing relationship between the GP and patient). Additional research, including the time intersect between consultation items can be used to guide appropriate changes to the Level A-D consultation rebate or in voluntary patient enrolment.</w:t>
      </w:r>
    </w:p>
    <w:p w14:paraId="09CF2493" w14:textId="50B94A15" w:rsidR="00CD6B7E" w:rsidRDefault="00CD6B7E" w:rsidP="00CD6B7E">
      <w:pPr>
        <w:pStyle w:val="Bullet-green"/>
        <w:numPr>
          <w:ilvl w:val="0"/>
          <w:numId w:val="0"/>
        </w:numPr>
        <w:rPr>
          <w:i/>
          <w:lang w:val="en-US" w:eastAsia="en-US"/>
        </w:rPr>
      </w:pPr>
      <w:r w:rsidRPr="00CD6B7E">
        <w:rPr>
          <w:i/>
          <w:lang w:val="en-US" w:eastAsia="en-US"/>
        </w:rPr>
        <w:t>Note: See Appendix A.3. for a full list of Consultation items and usage.</w:t>
      </w:r>
    </w:p>
    <w:p w14:paraId="6F5BF459" w14:textId="77777777" w:rsidR="00F348AB" w:rsidRPr="00CD6B7E" w:rsidRDefault="00F348AB" w:rsidP="00CD6B7E">
      <w:pPr>
        <w:pStyle w:val="Bullet-green"/>
        <w:numPr>
          <w:ilvl w:val="0"/>
          <w:numId w:val="0"/>
        </w:numPr>
        <w:rPr>
          <w:i/>
          <w:lang w:val="en-US" w:eastAsia="en-US"/>
        </w:rPr>
      </w:pPr>
    </w:p>
    <w:p w14:paraId="59F3FBC5" w14:textId="263D2FA1" w:rsidR="007F61CB" w:rsidRPr="007F61CB" w:rsidRDefault="007F61CB"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216" w:name="_Toc15053748"/>
      <w:bookmarkStart w:id="217" w:name="_Toc15053749"/>
      <w:bookmarkStart w:id="218" w:name="_Toc15053750"/>
      <w:bookmarkStart w:id="219" w:name="_Toc15050534"/>
      <w:bookmarkStart w:id="220" w:name="_Toc15051177"/>
      <w:bookmarkStart w:id="221" w:name="_Toc15051820"/>
      <w:bookmarkStart w:id="222" w:name="_Toc15052462"/>
      <w:bookmarkStart w:id="223" w:name="_Toc15053105"/>
      <w:bookmarkStart w:id="224" w:name="_Toc15053751"/>
      <w:bookmarkStart w:id="225" w:name="_Toc15051056"/>
      <w:bookmarkStart w:id="226" w:name="_Toc15051699"/>
      <w:bookmarkStart w:id="227" w:name="_Toc15052342"/>
      <w:bookmarkStart w:id="228" w:name="_Toc15052984"/>
      <w:bookmarkStart w:id="229" w:name="_Toc15053627"/>
      <w:bookmarkStart w:id="230" w:name="_Toc15054273"/>
      <w:bookmarkStart w:id="231" w:name="_Toc15051065"/>
      <w:bookmarkStart w:id="232" w:name="_Toc15051708"/>
      <w:bookmarkStart w:id="233" w:name="_Toc15052351"/>
      <w:bookmarkStart w:id="234" w:name="_Toc15052993"/>
      <w:bookmarkStart w:id="235" w:name="_Toc15053636"/>
      <w:bookmarkStart w:id="236" w:name="_Toc15054282"/>
      <w:bookmarkStart w:id="237" w:name="_Toc15051066"/>
      <w:bookmarkStart w:id="238" w:name="_Toc15051709"/>
      <w:bookmarkStart w:id="239" w:name="_Toc15052352"/>
      <w:bookmarkStart w:id="240" w:name="_Toc15052994"/>
      <w:bookmarkStart w:id="241" w:name="_Toc15053637"/>
      <w:bookmarkStart w:id="242" w:name="_Toc15054283"/>
      <w:bookmarkStart w:id="243" w:name="_Toc15051067"/>
      <w:bookmarkStart w:id="244" w:name="_Toc15051710"/>
      <w:bookmarkStart w:id="245" w:name="_Toc15052353"/>
      <w:bookmarkStart w:id="246" w:name="_Toc15052995"/>
      <w:bookmarkStart w:id="247" w:name="_Toc15053638"/>
      <w:bookmarkStart w:id="248" w:name="_Toc15054284"/>
      <w:bookmarkStart w:id="249" w:name="_Toc15051068"/>
      <w:bookmarkStart w:id="250" w:name="_Toc15051711"/>
      <w:bookmarkStart w:id="251" w:name="_Toc15052354"/>
      <w:bookmarkStart w:id="252" w:name="_Toc15052996"/>
      <w:bookmarkStart w:id="253" w:name="_Toc15053639"/>
      <w:bookmarkStart w:id="254" w:name="_Toc15054285"/>
      <w:bookmarkStart w:id="255" w:name="_Toc15051069"/>
      <w:bookmarkStart w:id="256" w:name="_Toc15051712"/>
      <w:bookmarkStart w:id="257" w:name="_Toc15052355"/>
      <w:bookmarkStart w:id="258" w:name="_Toc15052997"/>
      <w:bookmarkStart w:id="259" w:name="_Toc15053640"/>
      <w:bookmarkStart w:id="260" w:name="_Toc15054286"/>
      <w:bookmarkStart w:id="261" w:name="_Toc15051070"/>
      <w:bookmarkStart w:id="262" w:name="_Toc15051713"/>
      <w:bookmarkStart w:id="263" w:name="_Toc15052356"/>
      <w:bookmarkStart w:id="264" w:name="_Toc15052998"/>
      <w:bookmarkStart w:id="265" w:name="_Toc15053641"/>
      <w:bookmarkStart w:id="266" w:name="_Toc15054287"/>
      <w:bookmarkStart w:id="267" w:name="_Toc15051071"/>
      <w:bookmarkStart w:id="268" w:name="_Toc15051714"/>
      <w:bookmarkStart w:id="269" w:name="_Toc15052357"/>
      <w:bookmarkStart w:id="270" w:name="_Toc15052999"/>
      <w:bookmarkStart w:id="271" w:name="_Toc15053642"/>
      <w:bookmarkStart w:id="272" w:name="_Toc15054288"/>
      <w:bookmarkStart w:id="273" w:name="_Toc15051072"/>
      <w:bookmarkStart w:id="274" w:name="_Toc15051715"/>
      <w:bookmarkStart w:id="275" w:name="_Toc15052358"/>
      <w:bookmarkStart w:id="276" w:name="_Toc15053000"/>
      <w:bookmarkStart w:id="277" w:name="_Toc15053643"/>
      <w:bookmarkStart w:id="278" w:name="_Toc15054289"/>
      <w:bookmarkStart w:id="279" w:name="_Toc15051073"/>
      <w:bookmarkStart w:id="280" w:name="_Toc15051716"/>
      <w:bookmarkStart w:id="281" w:name="_Toc15052359"/>
      <w:bookmarkStart w:id="282" w:name="_Toc15053001"/>
      <w:bookmarkStart w:id="283" w:name="_Toc15053644"/>
      <w:bookmarkStart w:id="284" w:name="_Toc15054290"/>
      <w:bookmarkStart w:id="285" w:name="_Toc15051074"/>
      <w:bookmarkStart w:id="286" w:name="_Toc15051717"/>
      <w:bookmarkStart w:id="287" w:name="_Toc15052360"/>
      <w:bookmarkStart w:id="288" w:name="_Toc15053002"/>
      <w:bookmarkStart w:id="289" w:name="_Toc15053645"/>
      <w:bookmarkStart w:id="290" w:name="_Toc15054291"/>
      <w:bookmarkStart w:id="291" w:name="_Toc15051075"/>
      <w:bookmarkStart w:id="292" w:name="_Toc15051718"/>
      <w:bookmarkStart w:id="293" w:name="_Toc15052361"/>
      <w:bookmarkStart w:id="294" w:name="_Toc15053003"/>
      <w:bookmarkStart w:id="295" w:name="_Toc15053646"/>
      <w:bookmarkStart w:id="296" w:name="_Toc15054292"/>
      <w:bookmarkStart w:id="297" w:name="_Toc15051076"/>
      <w:bookmarkStart w:id="298" w:name="_Toc15051719"/>
      <w:bookmarkStart w:id="299" w:name="_Toc15052362"/>
      <w:bookmarkStart w:id="300" w:name="_Toc15053004"/>
      <w:bookmarkStart w:id="301" w:name="_Toc15053647"/>
      <w:bookmarkStart w:id="302" w:name="_Toc15054293"/>
      <w:bookmarkStart w:id="303" w:name="_Toc15051077"/>
      <w:bookmarkStart w:id="304" w:name="_Toc15051720"/>
      <w:bookmarkStart w:id="305" w:name="_Toc15052363"/>
      <w:bookmarkStart w:id="306" w:name="_Toc15053005"/>
      <w:bookmarkStart w:id="307" w:name="_Toc15053648"/>
      <w:bookmarkStart w:id="308" w:name="_Toc15054294"/>
      <w:bookmarkStart w:id="309" w:name="_Toc15051078"/>
      <w:bookmarkStart w:id="310" w:name="_Toc15051721"/>
      <w:bookmarkStart w:id="311" w:name="_Toc15052364"/>
      <w:bookmarkStart w:id="312" w:name="_Toc15053006"/>
      <w:bookmarkStart w:id="313" w:name="_Toc15053649"/>
      <w:bookmarkStart w:id="314" w:name="_Toc15054295"/>
      <w:bookmarkStart w:id="315" w:name="_Toc15051079"/>
      <w:bookmarkStart w:id="316" w:name="_Toc15051722"/>
      <w:bookmarkStart w:id="317" w:name="_Toc15052365"/>
      <w:bookmarkStart w:id="318" w:name="_Toc15053007"/>
      <w:bookmarkStart w:id="319" w:name="_Toc15053650"/>
      <w:bookmarkStart w:id="320" w:name="_Toc15054296"/>
      <w:bookmarkStart w:id="321" w:name="_Toc15051080"/>
      <w:bookmarkStart w:id="322" w:name="_Toc15051723"/>
      <w:bookmarkStart w:id="323" w:name="_Toc15052366"/>
      <w:bookmarkStart w:id="324" w:name="_Toc15053008"/>
      <w:bookmarkStart w:id="325" w:name="_Toc15053651"/>
      <w:bookmarkStart w:id="326" w:name="_Toc15054297"/>
      <w:bookmarkStart w:id="327" w:name="_Toc15051081"/>
      <w:bookmarkStart w:id="328" w:name="_Toc15051724"/>
      <w:bookmarkStart w:id="329" w:name="_Toc15052367"/>
      <w:bookmarkStart w:id="330" w:name="_Toc15053009"/>
      <w:bookmarkStart w:id="331" w:name="_Toc15053652"/>
      <w:bookmarkStart w:id="332" w:name="_Toc15054298"/>
      <w:bookmarkStart w:id="333" w:name="_Toc15051082"/>
      <w:bookmarkStart w:id="334" w:name="_Toc15051725"/>
      <w:bookmarkStart w:id="335" w:name="_Toc15052368"/>
      <w:bookmarkStart w:id="336" w:name="_Toc15053010"/>
      <w:bookmarkStart w:id="337" w:name="_Toc15053653"/>
      <w:bookmarkStart w:id="338" w:name="_Toc15054299"/>
      <w:bookmarkStart w:id="339" w:name="_Toc1564489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7F61CB">
        <w:t xml:space="preserve">Recommendation </w:t>
      </w:r>
      <w:r w:rsidR="00A824AB">
        <w:t>8</w:t>
      </w:r>
      <w:bookmarkEnd w:id="339"/>
    </w:p>
    <w:p w14:paraId="3C80FD95" w14:textId="640A446F" w:rsidR="007139AE" w:rsidRDefault="00E46AF7"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t>I</w:t>
      </w:r>
      <w:r w:rsidR="007139AE">
        <w:t>ntroduc</w:t>
      </w:r>
      <w:r>
        <w:t>e</w:t>
      </w:r>
      <w:r w:rsidR="007139AE">
        <w:t xml:space="preserve"> a new Level E consultation item</w:t>
      </w:r>
      <w:r w:rsidR="00FE680C">
        <w:t xml:space="preserve"> </w:t>
      </w:r>
      <w:r w:rsidR="00FE680C">
        <w:rPr>
          <w:rFonts w:eastAsiaTheme="minorEastAsia"/>
        </w:rPr>
        <w:t>for consultations of 60 minutes or more by a GP</w:t>
      </w:r>
      <w:r w:rsidR="007139AE">
        <w:t>.</w:t>
      </w:r>
    </w:p>
    <w:p w14:paraId="1B04C896" w14:textId="77777777" w:rsidR="004500BA" w:rsidRPr="00FC5BD5" w:rsidRDefault="00FC5BD5" w:rsidP="00FC5BD5">
      <w:pPr>
        <w:pStyle w:val="Bullet-green"/>
      </w:pPr>
      <w:r>
        <w:t xml:space="preserve">The new descriptor </w:t>
      </w:r>
      <w:r w:rsidR="00D173A4">
        <w:t>should be</w:t>
      </w:r>
      <w:r>
        <w:t xml:space="preserve"> as follows:</w:t>
      </w:r>
    </w:p>
    <w:p w14:paraId="218FD3B9" w14:textId="77777777" w:rsidR="004500BA" w:rsidRPr="00F44F16" w:rsidRDefault="004500BA" w:rsidP="00F44F16">
      <w:pPr>
        <w:ind w:left="431"/>
        <w:rPr>
          <w:i/>
        </w:rPr>
      </w:pPr>
      <w:r w:rsidRPr="00F44F16">
        <w:rPr>
          <w:i/>
        </w:rPr>
        <w:t xml:space="preserve">Professional attendance by a general practitioner at consulting rooms (other than a service to which another item in the table applies), lasting at least </w:t>
      </w:r>
      <w:r w:rsidR="00FC5BD5" w:rsidRPr="00F44F16">
        <w:rPr>
          <w:i/>
        </w:rPr>
        <w:t>6</w:t>
      </w:r>
      <w:r w:rsidRPr="00F44F16">
        <w:rPr>
          <w:i/>
        </w:rPr>
        <w:t>0 minutes and including any of the following that are clinically relevant:</w:t>
      </w:r>
    </w:p>
    <w:p w14:paraId="25BA20A6" w14:textId="77777777" w:rsidR="004500BA" w:rsidRPr="00F44F16" w:rsidRDefault="004500BA" w:rsidP="00F44F16">
      <w:pPr>
        <w:ind w:left="567"/>
        <w:rPr>
          <w:i/>
        </w:rPr>
      </w:pPr>
      <w:r w:rsidRPr="00F44F16">
        <w:rPr>
          <w:i/>
        </w:rPr>
        <w:t>(a) taking an extensive patient history;</w:t>
      </w:r>
    </w:p>
    <w:p w14:paraId="70833BDF" w14:textId="77777777" w:rsidR="004500BA" w:rsidRPr="00F44F16" w:rsidRDefault="004500BA" w:rsidP="00F44F16">
      <w:pPr>
        <w:ind w:left="567"/>
        <w:rPr>
          <w:i/>
        </w:rPr>
      </w:pPr>
      <w:r w:rsidRPr="00F44F16">
        <w:rPr>
          <w:i/>
        </w:rPr>
        <w:t>(b) performing a clinical examination;</w:t>
      </w:r>
    </w:p>
    <w:p w14:paraId="759CC35C" w14:textId="77777777" w:rsidR="004500BA" w:rsidRPr="00F44F16" w:rsidRDefault="004500BA" w:rsidP="00F44F16">
      <w:pPr>
        <w:ind w:left="567"/>
        <w:rPr>
          <w:i/>
        </w:rPr>
      </w:pPr>
      <w:r w:rsidRPr="00F44F16">
        <w:rPr>
          <w:i/>
        </w:rPr>
        <w:t>(c) arranging any necessary investigation;</w:t>
      </w:r>
    </w:p>
    <w:p w14:paraId="19FF8940" w14:textId="77777777" w:rsidR="00FC5BD5" w:rsidRPr="00F44F16" w:rsidRDefault="004500BA" w:rsidP="00F44F16">
      <w:pPr>
        <w:ind w:left="567"/>
        <w:rPr>
          <w:i/>
        </w:rPr>
      </w:pPr>
      <w:r w:rsidRPr="00F44F16">
        <w:rPr>
          <w:i/>
        </w:rPr>
        <w:t>(d) implementing a management plan;</w:t>
      </w:r>
    </w:p>
    <w:p w14:paraId="7B411438" w14:textId="77777777" w:rsidR="004500BA" w:rsidRPr="00F44F16" w:rsidRDefault="004500BA" w:rsidP="00F44F16">
      <w:pPr>
        <w:ind w:left="567"/>
        <w:rPr>
          <w:i/>
        </w:rPr>
      </w:pPr>
      <w:r w:rsidRPr="00F44F16">
        <w:rPr>
          <w:i/>
        </w:rPr>
        <w:t>(e) providing appropriate preventive health care;</w:t>
      </w:r>
    </w:p>
    <w:p w14:paraId="0AB19C7C" w14:textId="64C7CACE" w:rsidR="004500BA" w:rsidRDefault="004500BA" w:rsidP="00F44F16">
      <w:pPr>
        <w:ind w:left="431"/>
        <w:rPr>
          <w:i/>
        </w:rPr>
      </w:pPr>
      <w:r w:rsidRPr="00F44F16">
        <w:rPr>
          <w:i/>
        </w:rPr>
        <w:t>for one or more health-related issues, with appropriate documentation-each attendance</w:t>
      </w:r>
      <w:r w:rsidR="001E7C20">
        <w:rPr>
          <w:i/>
        </w:rPr>
        <w:t>.</w:t>
      </w:r>
    </w:p>
    <w:p w14:paraId="5ACD0980" w14:textId="77777777" w:rsidR="00FC5BD5" w:rsidRPr="00FC5BD5" w:rsidRDefault="00FC5BD5" w:rsidP="00FC5BD5">
      <w:pPr>
        <w:pStyle w:val="Bullet-green"/>
        <w:rPr>
          <w:rFonts w:eastAsiaTheme="minorEastAsia"/>
        </w:rPr>
      </w:pPr>
      <w:r>
        <w:t>The new schedule fee should have the same per-minute rate as a Level D consultation</w:t>
      </w:r>
    </w:p>
    <w:p w14:paraId="06F26625" w14:textId="6BA6028F" w:rsidR="007F61CB" w:rsidRPr="007F61CB" w:rsidRDefault="007F61CB" w:rsidP="00A05041">
      <w:pPr>
        <w:pStyle w:val="Heading3Numbered"/>
        <w:numPr>
          <w:ilvl w:val="0"/>
          <w:numId w:val="0"/>
        </w:numPr>
        <w:ind w:left="720" w:hanging="720"/>
      </w:pPr>
      <w:bookmarkStart w:id="340" w:name="_Toc15644894"/>
      <w:r w:rsidRPr="007F61CB">
        <w:t xml:space="preserve">Rationale </w:t>
      </w:r>
      <w:r w:rsidR="00A824AB">
        <w:t>8</w:t>
      </w:r>
      <w:bookmarkEnd w:id="340"/>
    </w:p>
    <w:p w14:paraId="1C454979" w14:textId="2495EC44" w:rsidR="007F61CB" w:rsidRPr="007F61CB" w:rsidRDefault="007F61CB" w:rsidP="007F61CB">
      <w:r w:rsidRPr="007F61CB">
        <w:t xml:space="preserve">This recommendation focuses on increasing support for </w:t>
      </w:r>
      <w:r w:rsidR="00FC5BD5">
        <w:t>long consultation where they are required</w:t>
      </w:r>
      <w:r w:rsidR="00CD6B7E">
        <w:t>. It is based on the following:</w:t>
      </w:r>
    </w:p>
    <w:p w14:paraId="29206AFE" w14:textId="7CA46BE8" w:rsidR="007F61CB" w:rsidRPr="00FC5BD5" w:rsidRDefault="00FC5BD5" w:rsidP="007F61CB">
      <w:pPr>
        <w:pStyle w:val="Bullet-green"/>
      </w:pPr>
      <w:r>
        <w:rPr>
          <w:rFonts w:eastAsiaTheme="minorEastAsia"/>
        </w:rPr>
        <w:t>There are some limited circumstances where a consultation of 60 minutes or more may be appropriate</w:t>
      </w:r>
      <w:r w:rsidR="00CD6B7E">
        <w:rPr>
          <w:rFonts w:eastAsiaTheme="minorEastAsia"/>
        </w:rPr>
        <w:t>.</w:t>
      </w:r>
    </w:p>
    <w:p w14:paraId="5BB5696A" w14:textId="6E39B4E5" w:rsidR="00FC5BD5" w:rsidRPr="00F44F16" w:rsidRDefault="00FC5BD5" w:rsidP="007F61CB">
      <w:pPr>
        <w:pStyle w:val="Bullet-green"/>
      </w:pPr>
      <w:r>
        <w:rPr>
          <w:rFonts w:eastAsiaTheme="minorEastAsia"/>
        </w:rPr>
        <w:t>GPs should be appropriately compensated for the time spent with patients</w:t>
      </w:r>
      <w:r w:rsidR="00CD6B7E">
        <w:rPr>
          <w:rFonts w:eastAsiaTheme="minorEastAsia"/>
        </w:rPr>
        <w:t>.</w:t>
      </w:r>
    </w:p>
    <w:p w14:paraId="6B90AB69" w14:textId="77777777" w:rsidR="001E7C20" w:rsidRPr="00690D77" w:rsidRDefault="001E7C20" w:rsidP="00F44F16">
      <w:pPr>
        <w:pStyle w:val="Bullet-green"/>
        <w:numPr>
          <w:ilvl w:val="0"/>
          <w:numId w:val="0"/>
        </w:numPr>
        <w:ind w:left="431"/>
      </w:pPr>
    </w:p>
    <w:p w14:paraId="5999EADD" w14:textId="2372AC18" w:rsidR="007F61CB" w:rsidRPr="007F61CB" w:rsidRDefault="007F61CB"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341" w:name="_Toc15644895"/>
      <w:r w:rsidRPr="007F61CB">
        <w:t>Recommendation</w:t>
      </w:r>
      <w:r w:rsidR="00A824AB">
        <w:t xml:space="preserve"> 9</w:t>
      </w:r>
      <w:bookmarkEnd w:id="341"/>
    </w:p>
    <w:p w14:paraId="219C2D59" w14:textId="16DA33BF" w:rsidR="00A7422D" w:rsidRDefault="00E46AF7"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t>Change the s</w:t>
      </w:r>
      <w:r w:rsidRPr="00A7422D">
        <w:t xml:space="preserve">chedule fee </w:t>
      </w:r>
      <w:r>
        <w:t xml:space="preserve">for attendances at Residential Aged Care Facilities (RACF) </w:t>
      </w:r>
      <w:r w:rsidRPr="00A7422D">
        <w:t>to reflect an initial flag fall rebate with a stable fee for each consultation completed at the RACF</w:t>
      </w:r>
      <w:r>
        <w:t>.</w:t>
      </w:r>
    </w:p>
    <w:p w14:paraId="00D3F495" w14:textId="2F9927E4" w:rsidR="007F61CB" w:rsidRPr="007F61CB" w:rsidRDefault="007F61CB" w:rsidP="007F61CB">
      <w:pPr>
        <w:pStyle w:val="Bullet-green"/>
      </w:pPr>
      <w:r w:rsidRPr="007F61CB">
        <w:t xml:space="preserve">Items </w:t>
      </w:r>
      <w:r w:rsidR="00C32AEA">
        <w:t xml:space="preserve">20, 35,43, 51, </w:t>
      </w:r>
      <w:r w:rsidR="00780EBF">
        <w:t>92, 93, 95 and 96</w:t>
      </w:r>
    </w:p>
    <w:p w14:paraId="5E5AB8DE" w14:textId="4BFFEE9E" w:rsidR="007F61CB" w:rsidRPr="00F13935" w:rsidRDefault="00780EBF" w:rsidP="007F61CB">
      <w:pPr>
        <w:pStyle w:val="Bullet2"/>
      </w:pPr>
      <w:r>
        <w:rPr>
          <w:rFonts w:eastAsiaTheme="minorEastAsia"/>
        </w:rPr>
        <w:t xml:space="preserve">Change the schedule fee to </w:t>
      </w:r>
      <w:r w:rsidR="00F13935">
        <w:rPr>
          <w:rFonts w:eastAsiaTheme="minorEastAsia"/>
        </w:rPr>
        <w:t xml:space="preserve">reflect an initial flag fall rebate for attendance at a RACF, with a stable fee for each consultation </w:t>
      </w:r>
      <w:r w:rsidR="00211CCA">
        <w:rPr>
          <w:rFonts w:eastAsiaTheme="minorEastAsia"/>
        </w:rPr>
        <w:t>completed</w:t>
      </w:r>
      <w:r w:rsidR="00F13935">
        <w:rPr>
          <w:rFonts w:eastAsiaTheme="minorEastAsia"/>
        </w:rPr>
        <w:t xml:space="preserve"> at the RACF</w:t>
      </w:r>
      <w:r w:rsidR="00211CCA">
        <w:rPr>
          <w:rFonts w:eastAsiaTheme="minorEastAsia"/>
        </w:rPr>
        <w:t xml:space="preserve"> (irrespective of the number of consultation</w:t>
      </w:r>
      <w:r w:rsidR="00CD6B7E">
        <w:rPr>
          <w:rFonts w:eastAsiaTheme="minorEastAsia"/>
        </w:rPr>
        <w:t>s).</w:t>
      </w:r>
    </w:p>
    <w:p w14:paraId="2A0AFAB0" w14:textId="7217C99C" w:rsidR="007F61CB" w:rsidRPr="007F61CB" w:rsidRDefault="007F61CB" w:rsidP="00A05041">
      <w:pPr>
        <w:pStyle w:val="Heading3Numbered"/>
        <w:numPr>
          <w:ilvl w:val="0"/>
          <w:numId w:val="0"/>
        </w:numPr>
        <w:ind w:left="720" w:hanging="720"/>
      </w:pPr>
      <w:bookmarkStart w:id="342" w:name="_Toc15051086"/>
      <w:bookmarkStart w:id="343" w:name="_Toc15051729"/>
      <w:bookmarkStart w:id="344" w:name="_Toc15052372"/>
      <w:bookmarkStart w:id="345" w:name="_Toc15053014"/>
      <w:bookmarkStart w:id="346" w:name="_Toc15053657"/>
      <w:bookmarkStart w:id="347" w:name="_Toc15054303"/>
      <w:bookmarkStart w:id="348" w:name="_Toc15644896"/>
      <w:bookmarkEnd w:id="342"/>
      <w:bookmarkEnd w:id="343"/>
      <w:bookmarkEnd w:id="344"/>
      <w:bookmarkEnd w:id="345"/>
      <w:bookmarkEnd w:id="346"/>
      <w:bookmarkEnd w:id="347"/>
      <w:r w:rsidRPr="007F61CB">
        <w:t xml:space="preserve">Rationale </w:t>
      </w:r>
      <w:r w:rsidR="00A824AB">
        <w:t>9</w:t>
      </w:r>
      <w:bookmarkEnd w:id="348"/>
    </w:p>
    <w:p w14:paraId="023FEDBC" w14:textId="77777777" w:rsidR="007F61CB" w:rsidRPr="007F61CB" w:rsidRDefault="007F61CB" w:rsidP="007F61CB">
      <w:r w:rsidRPr="007F61CB">
        <w:t xml:space="preserve">This recommendation focuses on </w:t>
      </w:r>
      <w:r w:rsidR="008F0725">
        <w:t>increasing access to RACFs and addressing stakeholder concerns</w:t>
      </w:r>
      <w:r w:rsidRPr="007F61CB">
        <w:t>. It is based on the following.</w:t>
      </w:r>
    </w:p>
    <w:p w14:paraId="698FF6D3" w14:textId="77777777" w:rsidR="008476B1" w:rsidRPr="008476B1" w:rsidRDefault="008476B1" w:rsidP="00C56D51">
      <w:pPr>
        <w:pStyle w:val="Bullet-green"/>
      </w:pPr>
      <w:r>
        <w:t xml:space="preserve">There </w:t>
      </w:r>
      <w:r w:rsidR="007D495A">
        <w:t>does not appear to be an access issue for patients in RACFs</w:t>
      </w:r>
    </w:p>
    <w:p w14:paraId="52FCD8F7" w14:textId="77777777" w:rsidR="00E65E04" w:rsidRPr="00C60DF4" w:rsidRDefault="00C56D51" w:rsidP="007D495A">
      <w:pPr>
        <w:pStyle w:val="Bullet2"/>
      </w:pPr>
      <w:r w:rsidRPr="00C56D51">
        <w:rPr>
          <w:rFonts w:eastAsiaTheme="minorEastAsia"/>
        </w:rPr>
        <w:t>All consultations (including after hours) in RACFs increased from 15 per resident in 2009/10 to 23 per resident in 2016/17</w:t>
      </w:r>
      <w:r w:rsidR="00B975F5">
        <w:rPr>
          <w:rFonts w:eastAsiaTheme="minorEastAsia"/>
        </w:rPr>
        <w:t>(</w:t>
      </w:r>
      <w:r w:rsidR="00B975F5">
        <w:rPr>
          <w:rFonts w:eastAsiaTheme="minorEastAsia"/>
        </w:rPr>
        <w:endnoteReference w:id="82"/>
      </w:r>
      <w:r w:rsidR="00B975F5">
        <w:rPr>
          <w:rFonts w:eastAsiaTheme="minorEastAsia"/>
        </w:rPr>
        <w:t>)</w:t>
      </w:r>
    </w:p>
    <w:p w14:paraId="491C642E" w14:textId="77777777" w:rsidR="00C60DF4" w:rsidRPr="00BE5B2F" w:rsidRDefault="00C60DF4" w:rsidP="007D495A">
      <w:pPr>
        <w:pStyle w:val="Bullet2"/>
      </w:pPr>
      <w:r w:rsidRPr="00C60DF4">
        <w:rPr>
          <w:rFonts w:eastAsiaTheme="minorEastAsia"/>
        </w:rPr>
        <w:t>2008 and 2012 AMA surveys suggest an average time of around 16 minutes per patient</w:t>
      </w:r>
      <w:r w:rsidR="00B975F5">
        <w:rPr>
          <w:rFonts w:eastAsiaTheme="minorEastAsia"/>
        </w:rPr>
        <w:t xml:space="preserve"> (</w:t>
      </w:r>
      <w:r w:rsidR="00B975F5">
        <w:rPr>
          <w:rFonts w:eastAsiaTheme="minorEastAsia"/>
        </w:rPr>
        <w:endnoteReference w:id="83"/>
      </w:r>
      <w:r w:rsidR="00B975F5">
        <w:rPr>
          <w:rFonts w:eastAsiaTheme="minorEastAsia"/>
        </w:rPr>
        <w:t>)</w:t>
      </w:r>
    </w:p>
    <w:p w14:paraId="613C1A7E" w14:textId="77777777" w:rsidR="00BE5B2F" w:rsidRPr="00990439" w:rsidRDefault="00BE5B2F" w:rsidP="007D495A">
      <w:pPr>
        <w:pStyle w:val="Bullet2"/>
      </w:pPr>
      <w:r w:rsidRPr="00BE5B2F">
        <w:rPr>
          <w:rFonts w:eastAsiaTheme="minorEastAsia"/>
        </w:rPr>
        <w:t>There is a very strong correlation between the population in regional and remote areas and t</w:t>
      </w:r>
      <w:r>
        <w:rPr>
          <w:rFonts w:eastAsiaTheme="minorEastAsia"/>
        </w:rPr>
        <w:t>he percentage of total RACF ser</w:t>
      </w:r>
      <w:r w:rsidRPr="00BE5B2F">
        <w:rPr>
          <w:rFonts w:eastAsiaTheme="minorEastAsia"/>
        </w:rPr>
        <w:t>vices in 2016-17</w:t>
      </w:r>
    </w:p>
    <w:p w14:paraId="59D12F2F" w14:textId="77777777" w:rsidR="007D495A" w:rsidRPr="007D495A" w:rsidRDefault="007D495A" w:rsidP="00085D6F">
      <w:pPr>
        <w:pStyle w:val="Bullet-green"/>
      </w:pPr>
      <w:r>
        <w:t>The number of GPs visiting RACFs has increased over the last 10 years</w:t>
      </w:r>
    </w:p>
    <w:p w14:paraId="490C0EFE" w14:textId="77777777" w:rsidR="006740E8" w:rsidRPr="007D495A" w:rsidRDefault="00990439" w:rsidP="007D495A">
      <w:pPr>
        <w:pStyle w:val="Bullet2"/>
      </w:pPr>
      <w:r w:rsidRPr="00990439">
        <w:rPr>
          <w:rFonts w:eastAsiaTheme="minorEastAsia"/>
        </w:rPr>
        <w:t>37% of GPs visited RACFs in 2016/17 – 13,379 out of a total 35,9421</w:t>
      </w:r>
      <w:r>
        <w:rPr>
          <w:rFonts w:eastAsiaTheme="minorEastAsia"/>
        </w:rPr>
        <w:t xml:space="preserve">. </w:t>
      </w:r>
      <w:r w:rsidRPr="00990439">
        <w:rPr>
          <w:rFonts w:eastAsiaTheme="minorEastAsia"/>
        </w:rPr>
        <w:t xml:space="preserve">The number of providers performing level B consults in RACFs </w:t>
      </w:r>
      <w:r>
        <w:rPr>
          <w:rFonts w:eastAsiaTheme="minorEastAsia"/>
        </w:rPr>
        <w:t>inc</w:t>
      </w:r>
      <w:r w:rsidRPr="00990439">
        <w:rPr>
          <w:rFonts w:eastAsiaTheme="minorEastAsia"/>
        </w:rPr>
        <w:t>reased annually by 1.2%</w:t>
      </w:r>
      <w:r>
        <w:rPr>
          <w:rFonts w:eastAsiaTheme="minorEastAsia"/>
        </w:rPr>
        <w:t xml:space="preserve"> between 2006-07 and 2016-17</w:t>
      </w:r>
      <w:r w:rsidR="00B975F5">
        <w:rPr>
          <w:rFonts w:eastAsiaTheme="minorEastAsia"/>
        </w:rPr>
        <w:t>(</w:t>
      </w:r>
      <w:r w:rsidR="00B975F5">
        <w:rPr>
          <w:rFonts w:eastAsiaTheme="minorEastAsia"/>
        </w:rPr>
        <w:endnoteReference w:id="84"/>
      </w:r>
      <w:r w:rsidR="00B975F5">
        <w:rPr>
          <w:rFonts w:eastAsiaTheme="minorEastAsia"/>
        </w:rPr>
        <w:t>)</w:t>
      </w:r>
    </w:p>
    <w:p w14:paraId="6EA7F5D8" w14:textId="77777777" w:rsidR="007D495A" w:rsidRDefault="007D495A" w:rsidP="007D495A">
      <w:pPr>
        <w:pStyle w:val="Bullet-green"/>
      </w:pPr>
      <w:r>
        <w:t>However, stakeholders expressed concern at the current structure of fees, noting the unpredictability and the difficulties with privately billing patients where appropriate (see stakeholder submissions to Committee).</w:t>
      </w:r>
    </w:p>
    <w:p w14:paraId="3C8F5BED" w14:textId="77777777" w:rsidR="007D495A" w:rsidRPr="00085D6F" w:rsidRDefault="007D495A" w:rsidP="007D495A">
      <w:pPr>
        <w:pStyle w:val="Bullet2"/>
      </w:pPr>
      <w:r>
        <w:t xml:space="preserve">On this basis the Committee agreed that the fee calculations should be restructured, without a significant change in the </w:t>
      </w:r>
      <w:r w:rsidR="00471BE0">
        <w:t>overall rebates.</w:t>
      </w:r>
    </w:p>
    <w:p w14:paraId="62C661B2" w14:textId="77777777" w:rsidR="00F75078" w:rsidRPr="00F75078" w:rsidRDefault="000D1693" w:rsidP="00A05041">
      <w:pPr>
        <w:pStyle w:val="Heading2"/>
        <w:numPr>
          <w:ilvl w:val="0"/>
          <w:numId w:val="0"/>
        </w:numPr>
        <w:ind w:left="-417"/>
      </w:pPr>
      <w:bookmarkStart w:id="349" w:name="_Toc15644897"/>
      <w:r>
        <w:t>Other recommendations</w:t>
      </w:r>
      <w:bookmarkEnd w:id="349"/>
    </w:p>
    <w:p w14:paraId="6F9ED841" w14:textId="159E5B3D" w:rsidR="00F75078" w:rsidRPr="00F75078" w:rsidRDefault="001B1197" w:rsidP="008F13EA">
      <w:pPr>
        <w:pStyle w:val="Heading3Numbered"/>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ind w:left="720" w:hanging="720"/>
      </w:pPr>
      <w:bookmarkStart w:id="350" w:name="_Toc15644898"/>
      <w:r>
        <w:t xml:space="preserve">Recommendation </w:t>
      </w:r>
      <w:r w:rsidR="00A824AB">
        <w:t>10</w:t>
      </w:r>
      <w:bookmarkEnd w:id="350"/>
    </w:p>
    <w:p w14:paraId="3BDB39B6" w14:textId="136E2613" w:rsidR="00F75078" w:rsidRPr="00F75078" w:rsidRDefault="00E46AF7" w:rsidP="008F13EA">
      <w:pPr>
        <w:pStyle w:val="Bullet-green"/>
        <w:numPr>
          <w:ilvl w:val="0"/>
          <w:numId w:val="0"/>
        </w:numPr>
        <w:pBdr>
          <w:top w:val="single" w:sz="4" w:space="1" w:color="auto"/>
          <w:left w:val="single" w:sz="4" w:space="1" w:color="auto"/>
          <w:bottom w:val="single" w:sz="4" w:space="1" w:color="auto"/>
          <w:right w:val="single" w:sz="4" w:space="1" w:color="auto"/>
        </w:pBdr>
        <w:shd w:val="clear" w:color="auto" w:fill="F2F2F2" w:themeFill="background1" w:themeFillShade="F2"/>
      </w:pPr>
      <w:r>
        <w:t xml:space="preserve">Modernise the </w:t>
      </w:r>
      <w:r w:rsidR="00EA672C">
        <w:t xml:space="preserve">terminology </w:t>
      </w:r>
      <w:r w:rsidR="00984EAC">
        <w:t xml:space="preserve">currently used in the MBS to describe </w:t>
      </w:r>
      <w:r w:rsidR="00952FAB">
        <w:t>registered and enrolled</w:t>
      </w:r>
      <w:r w:rsidR="00984EAC">
        <w:t xml:space="preserve"> nurses and their role to reflect the important role these </w:t>
      </w:r>
      <w:r w:rsidR="00D81E93">
        <w:t xml:space="preserve">health professionals </w:t>
      </w:r>
      <w:r w:rsidR="00984EAC">
        <w:t xml:space="preserve">play </w:t>
      </w:r>
      <w:r w:rsidR="004A6740">
        <w:t>as member</w:t>
      </w:r>
      <w:r w:rsidR="00D81E93">
        <w:t>s</w:t>
      </w:r>
      <w:r w:rsidR="004A6740">
        <w:t xml:space="preserve"> of the practice</w:t>
      </w:r>
      <w:r w:rsidR="00D81E93">
        <w:t xml:space="preserve"> team</w:t>
      </w:r>
      <w:r w:rsidR="004A6740">
        <w:t>.</w:t>
      </w:r>
    </w:p>
    <w:p w14:paraId="6441DDF2" w14:textId="03B77475" w:rsidR="00F75078" w:rsidRPr="00F75078" w:rsidRDefault="00F75078" w:rsidP="00A05041">
      <w:pPr>
        <w:pStyle w:val="Heading3Numbered"/>
        <w:numPr>
          <w:ilvl w:val="0"/>
          <w:numId w:val="0"/>
        </w:numPr>
        <w:ind w:left="720" w:hanging="720"/>
      </w:pPr>
      <w:bookmarkStart w:id="351" w:name="_Toc15644899"/>
      <w:r w:rsidRPr="00F75078">
        <w:t xml:space="preserve">Rationale </w:t>
      </w:r>
      <w:r w:rsidR="00A824AB">
        <w:t>10</w:t>
      </w:r>
      <w:bookmarkEnd w:id="351"/>
    </w:p>
    <w:p w14:paraId="4DEC7D28" w14:textId="77777777" w:rsidR="00984EAC" w:rsidRDefault="00984EAC" w:rsidP="00F75078">
      <w:pPr>
        <w:pStyle w:val="Bullet-green"/>
      </w:pPr>
      <w:r>
        <w:t>The term 'practice nurse' conflates the distinct groups of registered nurses and enrolled nurses.</w:t>
      </w:r>
    </w:p>
    <w:p w14:paraId="048A451F" w14:textId="4244D632" w:rsidR="00F75078" w:rsidRDefault="00984EAC" w:rsidP="004A6740">
      <w:pPr>
        <w:pStyle w:val="Bullet-green"/>
      </w:pPr>
      <w:r>
        <w:t>The language of</w:t>
      </w:r>
      <w:r w:rsidR="00F75078" w:rsidRPr="00F75078">
        <w:t xml:space="preserve"> ‘for and on behalf of’ </w:t>
      </w:r>
      <w:r>
        <w:t>does not appropriately reflect the role played by registered and enrolled nurses</w:t>
      </w:r>
      <w:r w:rsidR="004A6740">
        <w:t>.</w:t>
      </w:r>
    </w:p>
    <w:p w14:paraId="65DA0511" w14:textId="77777777" w:rsidR="00F348AB" w:rsidRDefault="00F348AB" w:rsidP="00F348AB">
      <w:pPr>
        <w:pStyle w:val="Bullet-green"/>
        <w:numPr>
          <w:ilvl w:val="0"/>
          <w:numId w:val="0"/>
        </w:numPr>
        <w:ind w:left="431"/>
      </w:pPr>
    </w:p>
    <w:p w14:paraId="478A64B8" w14:textId="2FFB5FE8" w:rsidR="000D1693" w:rsidRPr="000D1693" w:rsidRDefault="000D1693" w:rsidP="008F13EA">
      <w:pPr>
        <w:pStyle w:val="Heading3Numbered"/>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ind w:left="720" w:hanging="720"/>
      </w:pPr>
      <w:bookmarkStart w:id="352" w:name="_Toc15644900"/>
      <w:r>
        <w:t xml:space="preserve">Recommendation </w:t>
      </w:r>
      <w:r w:rsidR="00A824AB">
        <w:t>11</w:t>
      </w:r>
      <w:bookmarkEnd w:id="352"/>
    </w:p>
    <w:p w14:paraId="3F336322" w14:textId="599B11FC" w:rsidR="00E46AF7" w:rsidRPr="004238EC" w:rsidRDefault="00E46AF7" w:rsidP="008F13EA">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4F16">
        <w:t>E</w:t>
      </w:r>
      <w:r w:rsidRPr="004238EC">
        <w:t>nable GP telehealth consultations</w:t>
      </w:r>
      <w:r w:rsidR="00CD6B7E">
        <w:t xml:space="preserve"> </w:t>
      </w:r>
      <w:r>
        <w:t xml:space="preserve">and expand GP telehealth eligibility to patients with mobility concerns who cannot </w:t>
      </w:r>
      <w:r w:rsidR="00CD6B7E">
        <w:t xml:space="preserve">easily </w:t>
      </w:r>
      <w:r>
        <w:t>be seen face-to-face.</w:t>
      </w:r>
    </w:p>
    <w:p w14:paraId="2346B200" w14:textId="1C51E899" w:rsidR="000D1693" w:rsidRDefault="000D1693" w:rsidP="00E46AF7">
      <w:pPr>
        <w:pStyle w:val="Bullet-green"/>
      </w:pPr>
      <w:r w:rsidRPr="000D1693">
        <w:t xml:space="preserve">The Committee </w:t>
      </w:r>
      <w:r>
        <w:t xml:space="preserve">recommends that </w:t>
      </w:r>
      <w:r w:rsidRPr="000D1693">
        <w:t>the descriptors of items</w:t>
      </w:r>
      <w:r w:rsidR="00C60518">
        <w:t xml:space="preserve"> 99 and</w:t>
      </w:r>
      <w:r w:rsidRPr="000D1693">
        <w:t xml:space="preserve"> 82220-82222</w:t>
      </w:r>
      <w:r>
        <w:t xml:space="preserve"> be expanded</w:t>
      </w:r>
      <w:r w:rsidRPr="000D1693">
        <w:t xml:space="preserve"> to make GPs eligible to provide a telehealth consultation, in addition to </w:t>
      </w:r>
      <w:r w:rsidR="00C60518">
        <w:t xml:space="preserve">other </w:t>
      </w:r>
      <w:r w:rsidRPr="000D1693">
        <w:t>specialists and consultants.</w:t>
      </w:r>
      <w:r w:rsidR="00E46AF7">
        <w:t xml:space="preserve">  </w:t>
      </w:r>
      <w:r w:rsidR="00E46AF7" w:rsidRPr="00E46AF7">
        <w:t>Provision of these GP telehealth services should be restricted to a patient’s usual provider</w:t>
      </w:r>
      <w:r w:rsidR="001B43CA">
        <w:t>.</w:t>
      </w:r>
    </w:p>
    <w:p w14:paraId="6A276497" w14:textId="77777777" w:rsidR="00D5765A" w:rsidRPr="007C212E" w:rsidRDefault="00D5765A" w:rsidP="008A43F9">
      <w:pPr>
        <w:pStyle w:val="Bullet-green"/>
        <w:rPr>
          <w:rStyle w:val="IntenseEmphasis"/>
          <w:b w:val="0"/>
          <w:bCs w:val="0"/>
          <w:i w:val="0"/>
          <w:iCs w:val="0"/>
          <w:color w:val="auto"/>
        </w:rPr>
      </w:pPr>
      <w:r w:rsidRPr="007C212E">
        <w:rPr>
          <w:rStyle w:val="IntenseEmphasis"/>
          <w:b w:val="0"/>
          <w:bCs w:val="0"/>
          <w:i w:val="0"/>
          <w:iCs w:val="0"/>
          <w:color w:val="auto"/>
        </w:rPr>
        <w:t xml:space="preserve">The </w:t>
      </w:r>
      <w:r w:rsidRPr="008D59A0">
        <w:rPr>
          <w:rStyle w:val="IntenseEmphasis"/>
          <w:b w:val="0"/>
          <w:bCs w:val="0"/>
          <w:i w:val="0"/>
          <w:iCs w:val="0"/>
          <w:color w:val="auto"/>
        </w:rPr>
        <w:t xml:space="preserve">Committee recommends that new items be </w:t>
      </w:r>
      <w:r w:rsidR="00525BB3" w:rsidRPr="008D59A0">
        <w:rPr>
          <w:rStyle w:val="IntenseEmphasis"/>
          <w:b w:val="0"/>
          <w:bCs w:val="0"/>
          <w:i w:val="0"/>
          <w:iCs w:val="0"/>
          <w:color w:val="auto"/>
        </w:rPr>
        <w:t xml:space="preserve">created </w:t>
      </w:r>
      <w:r w:rsidR="004421E7" w:rsidRPr="008D59A0">
        <w:rPr>
          <w:rStyle w:val="IntenseEmphasis"/>
          <w:b w:val="0"/>
          <w:bCs w:val="0"/>
          <w:i w:val="0"/>
          <w:iCs w:val="0"/>
          <w:color w:val="auto"/>
        </w:rPr>
        <w:t>to reimburse GPs for their time for telehealth consultations (</w:t>
      </w:r>
      <w:r w:rsidR="00525BB3" w:rsidRPr="008A43F9">
        <w:rPr>
          <w:rStyle w:val="IntenseEmphasis"/>
          <w:b w:val="0"/>
          <w:bCs w:val="0"/>
          <w:i w:val="0"/>
          <w:iCs w:val="0"/>
          <w:color w:val="auto"/>
        </w:rPr>
        <w:t xml:space="preserve">similar to items </w:t>
      </w:r>
      <w:r w:rsidR="008D59A0" w:rsidRPr="008A43F9">
        <w:rPr>
          <w:rStyle w:val="IntenseEmphasis"/>
          <w:b w:val="0"/>
          <w:bCs w:val="0"/>
          <w:i w:val="0"/>
          <w:iCs w:val="0"/>
          <w:color w:val="auto"/>
        </w:rPr>
        <w:t xml:space="preserve">which currently exist to reimburse </w:t>
      </w:r>
      <w:r w:rsidR="00C60518" w:rsidRPr="008A43F9">
        <w:rPr>
          <w:rStyle w:val="IntenseEmphasis"/>
          <w:b w:val="0"/>
          <w:bCs w:val="0"/>
          <w:i w:val="0"/>
          <w:iCs w:val="0"/>
          <w:color w:val="auto"/>
        </w:rPr>
        <w:t xml:space="preserve">other </w:t>
      </w:r>
      <w:r w:rsidR="008D59A0" w:rsidRPr="008A43F9">
        <w:rPr>
          <w:rStyle w:val="IntenseEmphasis"/>
          <w:b w:val="0"/>
          <w:bCs w:val="0"/>
          <w:i w:val="0"/>
          <w:iCs w:val="0"/>
          <w:color w:val="auto"/>
        </w:rPr>
        <w:t>specialists</w:t>
      </w:r>
      <w:r w:rsidR="004421E7" w:rsidRPr="008A43F9">
        <w:rPr>
          <w:rStyle w:val="IntenseEmphasis"/>
          <w:b w:val="0"/>
          <w:bCs w:val="0"/>
          <w:i w:val="0"/>
          <w:iCs w:val="0"/>
          <w:color w:val="auto"/>
        </w:rPr>
        <w:t>)</w:t>
      </w:r>
      <w:r w:rsidR="00D81E93" w:rsidRPr="008A43F9">
        <w:rPr>
          <w:rStyle w:val="IntenseEmphasis"/>
          <w:b w:val="0"/>
          <w:bCs w:val="0"/>
          <w:i w:val="0"/>
          <w:iCs w:val="0"/>
          <w:color w:val="auto"/>
        </w:rPr>
        <w:t xml:space="preserve"> </w:t>
      </w:r>
      <w:r w:rsidR="00C60518" w:rsidRPr="008A43F9">
        <w:rPr>
          <w:rStyle w:val="IntenseEmphasis"/>
          <w:b w:val="0"/>
          <w:bCs w:val="0"/>
          <w:i w:val="0"/>
          <w:iCs w:val="0"/>
          <w:color w:val="auto"/>
        </w:rPr>
        <w:t>to support Nurse Pra</w:t>
      </w:r>
      <w:r w:rsidR="006C3A90" w:rsidRPr="008A43F9">
        <w:rPr>
          <w:rStyle w:val="IntenseEmphasis"/>
          <w:b w:val="0"/>
          <w:bCs w:val="0"/>
          <w:i w:val="0"/>
          <w:iCs w:val="0"/>
          <w:color w:val="auto"/>
        </w:rPr>
        <w:t>ctitioners and Aboriginal and Torres Strait Islander Health Practitioners consulting with patients in remote and rural settings.</w:t>
      </w:r>
    </w:p>
    <w:p w14:paraId="044AF6B6" w14:textId="05A6E34E" w:rsidR="000D1693" w:rsidRPr="000D1693" w:rsidRDefault="000D1693" w:rsidP="00A05041">
      <w:pPr>
        <w:pStyle w:val="Heading3Numbered"/>
        <w:numPr>
          <w:ilvl w:val="0"/>
          <w:numId w:val="0"/>
        </w:numPr>
        <w:ind w:left="720" w:hanging="720"/>
      </w:pPr>
      <w:bookmarkStart w:id="353" w:name="_Toc15644901"/>
      <w:r w:rsidRPr="000D1693">
        <w:t>Rationale 1</w:t>
      </w:r>
      <w:r w:rsidR="00A824AB">
        <w:t>1</w:t>
      </w:r>
      <w:bookmarkEnd w:id="353"/>
    </w:p>
    <w:p w14:paraId="4AE74F47" w14:textId="77777777" w:rsidR="00C307F7" w:rsidRPr="00C307F7" w:rsidRDefault="00023A16" w:rsidP="00C307F7">
      <w:r>
        <w:t>This recommendation focus</w:t>
      </w:r>
      <w:r w:rsidR="00C307F7" w:rsidRPr="00C307F7">
        <w:t>es on increasing patient access to, and usage of, telehealth services. It is based on the following observations:</w:t>
      </w:r>
    </w:p>
    <w:p w14:paraId="26D9223F" w14:textId="77777777" w:rsidR="00C307F7" w:rsidRPr="000A0588" w:rsidRDefault="00C307F7" w:rsidP="000A0588">
      <w:pPr>
        <w:pStyle w:val="Bullet-green"/>
      </w:pPr>
      <w:r w:rsidRPr="000A0588">
        <w:t>The requirement for telehealth services to take place with specialists/consultations limits patient access to telehealth items</w:t>
      </w:r>
      <w:r w:rsidR="000A0588" w:rsidRPr="000A0588">
        <w:t xml:space="preserve">. </w:t>
      </w:r>
      <w:r w:rsidRPr="000A0588">
        <w:t xml:space="preserve">A survey of 73 </w:t>
      </w:r>
      <w:r w:rsidR="00023A16" w:rsidRPr="000A0588">
        <w:t>Nurse Practitioners</w:t>
      </w:r>
      <w:r w:rsidR="004421E7" w:rsidRPr="000A0588">
        <w:t xml:space="preserve"> (NPs)</w:t>
      </w:r>
      <w:r w:rsidRPr="000A0588">
        <w:t xml:space="preserve"> working in primary care and accessing MBS indicated that only 12% used telehealth items, and identified that the main reason for non-use of the telehealth items was the stipulation of having a sp</w:t>
      </w:r>
      <w:r w:rsidR="000A0588">
        <w:t>ecialist or consultant present</w:t>
      </w:r>
      <w:r w:rsidRPr="000A0588">
        <w:t xml:space="preserve">. </w:t>
      </w:r>
      <w:r w:rsidR="00E854A0">
        <w:t>(</w:t>
      </w:r>
      <w:r w:rsidR="00E854A0">
        <w:endnoteReference w:id="85"/>
      </w:r>
      <w:r w:rsidR="00E854A0">
        <w:t>)</w:t>
      </w:r>
    </w:p>
    <w:p w14:paraId="4879D214" w14:textId="77777777" w:rsidR="00E46AF7" w:rsidRDefault="00C307F7" w:rsidP="00E46AF7">
      <w:pPr>
        <w:pStyle w:val="Bullet-green"/>
      </w:pPr>
      <w:r w:rsidRPr="00C307F7">
        <w:t>The addition of GPs as eligible telehealth providers will increase patient access to GPs, particularly in remote areas where GP access is more limited.</w:t>
      </w:r>
      <w:r w:rsidR="00E46AF7">
        <w:t xml:space="preserve"> The restriction to a patient’s usual provider will ensure rural and remote practice sustainability. Rigorous consultation should be undertaken with rural and remote providers in the implementation of this recommendation.</w:t>
      </w:r>
    </w:p>
    <w:p w14:paraId="7303A15A" w14:textId="06B10BFE" w:rsidR="00C307F7" w:rsidRPr="00C307F7" w:rsidRDefault="00E46AF7" w:rsidP="00777FA3">
      <w:pPr>
        <w:pStyle w:val="Bullet-green"/>
      </w:pPr>
      <w:r>
        <w:t>Expanding GP telehealth eligibility criteria to include patients with mobility concerns, such as patients who are elderly and frail, will increase patient access to essential services.</w:t>
      </w:r>
    </w:p>
    <w:p w14:paraId="6D51EB0F" w14:textId="77777777" w:rsidR="00B40823" w:rsidRPr="00B40823" w:rsidRDefault="00B40823" w:rsidP="00B40823">
      <w:pPr>
        <w:pStyle w:val="Bullet-green"/>
      </w:pPr>
      <w:r w:rsidRPr="00B40823">
        <w:t>The GPPCCC notes that the Nurse Practitioner Reference Group supports this recommendation.</w:t>
      </w:r>
    </w:p>
    <w:p w14:paraId="7AB397E8" w14:textId="77777777" w:rsidR="00FA0146" w:rsidRDefault="00311CC1" w:rsidP="005C7FB0">
      <w:pPr>
        <w:pStyle w:val="Heading1"/>
      </w:pPr>
      <w:bookmarkStart w:id="354" w:name="_Toc15644902"/>
      <w:r>
        <w:t xml:space="preserve">Stakeholder </w:t>
      </w:r>
      <w:r w:rsidR="00067C58">
        <w:t>I</w:t>
      </w:r>
      <w:r w:rsidR="00FA0146">
        <w:t>mpact statement</w:t>
      </w:r>
      <w:bookmarkEnd w:id="354"/>
    </w:p>
    <w:p w14:paraId="56D78A0E" w14:textId="1627A858" w:rsidR="00311CC1" w:rsidRDefault="00311CC1" w:rsidP="00311CC1">
      <w:bookmarkStart w:id="355" w:name="_Toc485295764"/>
      <w:r>
        <w:t>The Committee expect</w:t>
      </w:r>
      <w:r w:rsidR="004978AC">
        <w:t>s</w:t>
      </w:r>
      <w:r>
        <w:t xml:space="preserve"> that b</w:t>
      </w:r>
      <w:r w:rsidRPr="00FD6810">
        <w:t xml:space="preserve">oth patients and providers </w:t>
      </w:r>
      <w:r>
        <w:t>will</w:t>
      </w:r>
      <w:r w:rsidRPr="00FD6810">
        <w:t xml:space="preserve"> benefit from these recommendations, as they address concerns regarding </w:t>
      </w:r>
      <w:r>
        <w:t>quality of care</w:t>
      </w:r>
      <w:r w:rsidRPr="00FD6810">
        <w:t xml:space="preserve"> and take steps to simplify the MBS</w:t>
      </w:r>
      <w:r>
        <w:t>, making</w:t>
      </w:r>
      <w:r w:rsidRPr="00FD6810">
        <w:t xml:space="preserve"> it easier to use and understand. Patient access to services was considered for each recommendation</w:t>
      </w:r>
      <w:r w:rsidR="00992B1B">
        <w:t>. Some recommendations</w:t>
      </w:r>
      <w:r w:rsidRPr="00FD6810">
        <w:t xml:space="preserve"> were intended to reduce inappropriate access without significantly affecting appropriate access. </w:t>
      </w:r>
    </w:p>
    <w:p w14:paraId="25D80EC8" w14:textId="77777777" w:rsidR="00311CC1" w:rsidRPr="00FD6810" w:rsidRDefault="00311CC1" w:rsidP="00311CC1">
      <w:r w:rsidRPr="00FD6810">
        <w:t xml:space="preserve">When considering various recommendations, the Committee considered what impacts they may have </w:t>
      </w:r>
      <w:r>
        <w:t>on several specific groups, for example health assessments for</w:t>
      </w:r>
      <w:r w:rsidRPr="00FD6810">
        <w:t xml:space="preserve"> </w:t>
      </w:r>
      <w:r>
        <w:t xml:space="preserve">patients with chronic disease/s. </w:t>
      </w:r>
    </w:p>
    <w:p w14:paraId="6CBBE45F" w14:textId="4D7B512B" w:rsidR="00311CC1" w:rsidRPr="00FD6810" w:rsidRDefault="00311CC1" w:rsidP="00311CC1">
      <w:r w:rsidRPr="00FD6810">
        <w:t>Where items have been recommended for deletion, alternative items have been proposed or created when ne</w:t>
      </w:r>
      <w:r>
        <w:t>cessary</w:t>
      </w:r>
      <w:r w:rsidRPr="00FD6810">
        <w:t>. Items that are obsolete have been recommended f</w:t>
      </w:r>
      <w:r w:rsidR="004978AC">
        <w:t xml:space="preserve">or deletion without replacement with the intent that any associated funding will be reinvested into primary care GP services.    </w:t>
      </w:r>
      <w:r w:rsidRPr="00FD6810">
        <w:t xml:space="preserve"> </w:t>
      </w:r>
    </w:p>
    <w:p w14:paraId="7F3508EB" w14:textId="77777777" w:rsidR="00146D46" w:rsidRDefault="00311CC1" w:rsidP="00AF11CA">
      <w:r w:rsidRPr="00FD6810">
        <w:t xml:space="preserve">The Committee also considered each recommendation’s impact on provider groups to ensure that the changes are reasonable and unbiased. Where the Committee identified evidence of potential item misuse or safety concerns, recommendations were made to encourage best practice, in line with the overarching purpose of the MBS Review. Reductions in inappropriate use and low-value care are expected to deliver savings for the health system; </w:t>
      </w:r>
      <w:r>
        <w:t>with the expectation that reinvest</w:t>
      </w:r>
      <w:r w:rsidR="00A46F21">
        <w:t>ment</w:t>
      </w:r>
      <w:r>
        <w:t xml:space="preserve"> would occur along with</w:t>
      </w:r>
      <w:r w:rsidRPr="00FD6810">
        <w:t xml:space="preserve"> a number of cost-neutral changes</w:t>
      </w:r>
      <w:r>
        <w:t xml:space="preserve">. The Committee considered potential </w:t>
      </w:r>
      <w:r w:rsidRPr="00FD6810">
        <w:t xml:space="preserve">implications for provider groups and took </w:t>
      </w:r>
      <w:r>
        <w:t>steps to ensure that recommendations</w:t>
      </w:r>
      <w:r w:rsidRPr="00FD6810">
        <w:t xml:space="preserve"> are as fair and reasonable as possible. Some business models</w:t>
      </w:r>
      <w:r>
        <w:t xml:space="preserve"> </w:t>
      </w:r>
      <w:r w:rsidRPr="00FD6810">
        <w:t>may need to change o</w:t>
      </w:r>
      <w:r>
        <w:t>r adapt to the proposed changes moving forward.</w:t>
      </w:r>
      <w:bookmarkEnd w:id="355"/>
    </w:p>
    <w:p w14:paraId="30A41BAE" w14:textId="77777777" w:rsidR="00EF59A1" w:rsidRPr="0060697D" w:rsidRDefault="00DE588D" w:rsidP="005C7FB0">
      <w:pPr>
        <w:pStyle w:val="Heading1"/>
      </w:pPr>
      <w:bookmarkStart w:id="356" w:name="_Toc485295765"/>
      <w:bookmarkStart w:id="357" w:name="_Toc15644903"/>
      <w:r w:rsidRPr="0060697D">
        <w:t>Glossary</w:t>
      </w:r>
      <w:bookmarkEnd w:id="356"/>
      <w:bookmarkEnd w:id="35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C2212A" w14:paraId="2EFBD0D2" w14:textId="77777777" w:rsidTr="00B00B71">
        <w:trPr>
          <w:tblHeader/>
        </w:trPr>
        <w:tc>
          <w:tcPr>
            <w:tcW w:w="2122" w:type="dxa"/>
            <w:shd w:val="clear" w:color="auto" w:fill="01653F"/>
            <w:vAlign w:val="bottom"/>
          </w:tcPr>
          <w:p w14:paraId="22C6A2E0" w14:textId="77777777" w:rsidR="00CB3EB0" w:rsidRPr="00B00B71" w:rsidRDefault="00CB3EB0" w:rsidP="00684AA4">
            <w:pPr>
              <w:pStyle w:val="Tableheading-white"/>
            </w:pPr>
            <w:r w:rsidRPr="00B00B71">
              <w:t>Term</w:t>
            </w:r>
          </w:p>
        </w:tc>
        <w:tc>
          <w:tcPr>
            <w:tcW w:w="6180" w:type="dxa"/>
            <w:shd w:val="clear" w:color="auto" w:fill="01653F"/>
            <w:vAlign w:val="bottom"/>
          </w:tcPr>
          <w:p w14:paraId="39633BD9" w14:textId="77777777" w:rsidR="00CB3EB0" w:rsidRPr="00B00B71" w:rsidRDefault="00CB3EB0" w:rsidP="00684AA4">
            <w:pPr>
              <w:pStyle w:val="Tableheading-white"/>
            </w:pPr>
            <w:r w:rsidRPr="00B00B71">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CB3EB0" w:rsidRPr="00C2212A" w14:paraId="190FC87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86CBBA" w14:textId="77777777" w:rsidR="00CB3EB0" w:rsidRPr="00684AA4" w:rsidRDefault="00CB3EB0" w:rsidP="00684AA4">
            <w:pPr>
              <w:pStyle w:val="Tabletext"/>
            </w:pPr>
            <w:r w:rsidRPr="00684AA4">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7426455" w14:textId="77777777" w:rsidR="00CB3EB0" w:rsidRPr="00684AA4" w:rsidRDefault="00CB3EB0" w:rsidP="00684AA4">
            <w:pPr>
              <w:pStyle w:val="Tabletext"/>
            </w:pPr>
            <w:r w:rsidRPr="00684AA4">
              <w:t xml:space="preserve">Compound annual growth rate or the average annual growth rate over a specified time period. </w:t>
            </w:r>
          </w:p>
        </w:tc>
      </w:tr>
      <w:tr w:rsidR="00CB3EB0" w:rsidRPr="00C2212A" w14:paraId="7549648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8AC19F" w14:textId="77777777" w:rsidR="00CB3EB0" w:rsidRPr="00684AA4" w:rsidRDefault="00CB3EB0" w:rsidP="00684AA4">
            <w:pPr>
              <w:pStyle w:val="Tabletext"/>
            </w:pPr>
            <w:r w:rsidRPr="00684AA4">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F32A750" w14:textId="77777777" w:rsidR="00CB3EB0" w:rsidRPr="00684AA4" w:rsidRDefault="00CB3EB0" w:rsidP="00684AA4">
            <w:pPr>
              <w:pStyle w:val="Tabletext"/>
            </w:pPr>
            <w:r w:rsidRPr="00684AA4">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B3EB0" w:rsidRPr="00C2212A" w14:paraId="66A92D5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BA27F4A" w14:textId="77777777" w:rsidR="00CB3EB0" w:rsidRPr="00684AA4" w:rsidRDefault="00CB3EB0" w:rsidP="00684AA4">
            <w:pPr>
              <w:pStyle w:val="Tabletext"/>
            </w:pPr>
            <w:r w:rsidRPr="00684AA4">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3F9F141" w14:textId="77777777" w:rsidR="00CB3EB0" w:rsidRPr="00684AA4" w:rsidRDefault="00CB3EB0" w:rsidP="00684AA4">
            <w:pPr>
              <w:pStyle w:val="Tabletext"/>
            </w:pPr>
            <w:r w:rsidRPr="00684AA4">
              <w:t>Describes when an item is recommended for removal from the MBS and its services will no longer be provided under the MBS.</w:t>
            </w:r>
          </w:p>
        </w:tc>
      </w:tr>
      <w:tr w:rsidR="00CB3EB0" w:rsidRPr="00C2212A" w14:paraId="000ADA00"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3E586D" w14:textId="77777777" w:rsidR="00CB3EB0" w:rsidRPr="00684AA4" w:rsidRDefault="00CB3EB0" w:rsidP="00684AA4">
            <w:pPr>
              <w:pStyle w:val="Tabletext"/>
            </w:pPr>
            <w:r w:rsidRPr="00684AA4">
              <w:t>Department, The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9D308F2" w14:textId="77777777" w:rsidR="00CB3EB0" w:rsidRPr="00684AA4" w:rsidRDefault="00CB3EB0" w:rsidP="00684AA4">
            <w:pPr>
              <w:pStyle w:val="Tabletext"/>
            </w:pPr>
            <w:r w:rsidRPr="00684AA4">
              <w:t>Australian Government Department of Health</w:t>
            </w:r>
          </w:p>
        </w:tc>
      </w:tr>
      <w:tr w:rsidR="00CB3EB0" w:rsidRPr="00C2212A" w14:paraId="678766C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B59F14E" w14:textId="77777777" w:rsidR="00CB3EB0" w:rsidRPr="00684AA4" w:rsidRDefault="00CB3EB0" w:rsidP="00684AA4">
            <w:pPr>
              <w:pStyle w:val="Tabletext"/>
            </w:pPr>
            <w:r w:rsidRPr="00684AA4">
              <w:t>DHS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48B1A95" w14:textId="77777777" w:rsidR="00CB3EB0" w:rsidRPr="00684AA4" w:rsidRDefault="00CB3EB0" w:rsidP="00684AA4">
            <w:pPr>
              <w:pStyle w:val="Tabletext"/>
            </w:pPr>
            <w:r w:rsidRPr="00684AA4">
              <w:t>Australian Government Department of Human Services</w:t>
            </w:r>
          </w:p>
        </w:tc>
      </w:tr>
      <w:tr w:rsidR="00CB3EB0" w:rsidRPr="00C2212A" w14:paraId="75C210BB"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07F8171" w14:textId="77777777" w:rsidR="00CB3EB0" w:rsidRPr="00684AA4" w:rsidRDefault="00CB3EB0" w:rsidP="00684AA4">
            <w:pPr>
              <w:pStyle w:val="Tabletext"/>
            </w:pPr>
            <w:r w:rsidRPr="00684AA4">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695A404" w14:textId="77777777" w:rsidR="00CB3EB0" w:rsidRPr="00684AA4" w:rsidRDefault="00CB3EB0" w:rsidP="00684AA4">
            <w:pPr>
              <w:pStyle w:val="Tabletext"/>
            </w:pPr>
            <w:r w:rsidRPr="00684AA4">
              <w:t>Financial year</w:t>
            </w:r>
          </w:p>
        </w:tc>
      </w:tr>
      <w:tr w:rsidR="00CB3EB0" w:rsidRPr="00C2212A" w14:paraId="5F0A719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108C9A0" w14:textId="77777777" w:rsidR="00CB3EB0" w:rsidRPr="00684AA4" w:rsidRDefault="00CB3EB0" w:rsidP="00684AA4">
            <w:pPr>
              <w:pStyle w:val="Tabletext"/>
            </w:pPr>
            <w:r w:rsidRPr="00684AA4">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92BC3FC" w14:textId="77777777" w:rsidR="00CB3EB0" w:rsidRPr="00684AA4" w:rsidRDefault="00CB3EB0" w:rsidP="00684AA4">
            <w:pPr>
              <w:pStyle w:val="Tabletext"/>
            </w:pPr>
            <w:r w:rsidRPr="00684AA4">
              <w:t>Services of proven efficacy reflecting current best medical practice, or for which the potential benefit to consumers exceeds the risk and costs.</w:t>
            </w:r>
          </w:p>
        </w:tc>
      </w:tr>
      <w:tr w:rsidR="00CB3EB0" w:rsidRPr="00C2212A" w14:paraId="73E04207"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EB5706C" w14:textId="77777777" w:rsidR="00CB3EB0" w:rsidRPr="00684AA4" w:rsidRDefault="00CB3EB0" w:rsidP="00684AA4">
            <w:pPr>
              <w:pStyle w:val="Tabletext"/>
            </w:pPr>
            <w:r w:rsidRPr="00684AA4">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1A6B7A7"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CB3EB0" w:rsidRPr="00C2212A" w14:paraId="0592BC5C"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D5207DE" w14:textId="77777777" w:rsidR="00CB3EB0" w:rsidRPr="00684AA4" w:rsidRDefault="00CB3EB0" w:rsidP="00684AA4">
            <w:pPr>
              <w:pStyle w:val="Tabletext"/>
            </w:pPr>
            <w:r w:rsidRPr="00684AA4">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4F04C8A8" w14:textId="77777777" w:rsidR="00CB3EB0" w:rsidRPr="00684AA4" w:rsidRDefault="00CB3EB0" w:rsidP="00684AA4">
            <w:pPr>
              <w:pStyle w:val="Tabletext"/>
            </w:pPr>
            <w:r w:rsidRPr="00684AA4">
              <w:t>Services that evidence suggests confer no or very little benefit to consumers; or for which the risk of harm exceeds the likely benefit; or, more broadly, where the added costs of services do not provide proportional added benefits.</w:t>
            </w:r>
          </w:p>
        </w:tc>
      </w:tr>
      <w:tr w:rsidR="00CB3EB0" w:rsidRPr="00C2212A" w14:paraId="721E427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950DB67" w14:textId="77777777" w:rsidR="00CB3EB0" w:rsidRPr="00684AA4" w:rsidRDefault="00CB3EB0" w:rsidP="00684AA4">
            <w:pPr>
              <w:pStyle w:val="Tabletext"/>
            </w:pPr>
            <w:r w:rsidRPr="00684AA4">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DFDF148" w14:textId="77777777" w:rsidR="00CB3EB0" w:rsidRPr="00684AA4" w:rsidRDefault="00CB3EB0" w:rsidP="00684AA4">
            <w:pPr>
              <w:pStyle w:val="Tabletext"/>
            </w:pPr>
            <w:r w:rsidRPr="00684AA4">
              <w:t xml:space="preserve">Medicare Benefits Schedule </w:t>
            </w:r>
          </w:p>
        </w:tc>
      </w:tr>
      <w:tr w:rsidR="00CB3EB0" w:rsidRPr="00C2212A" w14:paraId="7DB047B1"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DE83A2E" w14:textId="77777777" w:rsidR="00CB3EB0" w:rsidRPr="00684AA4" w:rsidRDefault="00CB3EB0" w:rsidP="00684AA4">
            <w:pPr>
              <w:pStyle w:val="Tabletext"/>
            </w:pPr>
            <w:r w:rsidRPr="00684AA4">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10CA8B1" w14:textId="77777777" w:rsidR="00CB3EB0" w:rsidRPr="00684AA4" w:rsidRDefault="00CB3EB0" w:rsidP="00684AA4">
            <w:pPr>
              <w:pStyle w:val="Tabletext"/>
            </w:pPr>
            <w:r w:rsidRPr="00684AA4">
              <w:t>An administrative object listed in the MBS and used for the purposes of claiming and paying Medicare benefits, consisting of an item number, service descriptor and supporting information, schedule fee and Medicare benefits.</w:t>
            </w:r>
          </w:p>
        </w:tc>
      </w:tr>
      <w:tr w:rsidR="00CB3EB0" w:rsidRPr="00C2212A" w14:paraId="0D969C74"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BB56BF" w14:textId="77777777" w:rsidR="00CB3EB0" w:rsidRPr="00684AA4" w:rsidRDefault="00CB3EB0" w:rsidP="00684AA4">
            <w:pPr>
              <w:pStyle w:val="Tabletext"/>
            </w:pPr>
            <w:r w:rsidRPr="00684AA4">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3FBCA8F" w14:textId="77777777" w:rsidR="00CB3EB0" w:rsidRPr="00684AA4" w:rsidRDefault="00CB3EB0" w:rsidP="00684AA4">
            <w:pPr>
              <w:pStyle w:val="Tabletext"/>
            </w:pPr>
            <w:r w:rsidRPr="00684AA4">
              <w:t>The actual medical consultation, procedure or test to which the relevant MBS item refers.</w:t>
            </w:r>
          </w:p>
        </w:tc>
      </w:tr>
      <w:tr w:rsidR="00CB3EB0" w:rsidRPr="00C2212A" w14:paraId="6D32987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5FCD313" w14:textId="77777777" w:rsidR="00CB3EB0" w:rsidRPr="00684AA4" w:rsidRDefault="00CB3EB0" w:rsidP="00684AA4">
            <w:pPr>
              <w:pStyle w:val="Tabletext"/>
            </w:pPr>
            <w:r w:rsidRPr="00684AA4">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F3A5DF0"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CB3EB0" w:rsidRPr="00C2212A" w14:paraId="0305015A"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90F72EE" w14:textId="77777777" w:rsidR="00CB3EB0" w:rsidRPr="00684AA4" w:rsidRDefault="00CB3EB0" w:rsidP="00684AA4">
            <w:pPr>
              <w:pStyle w:val="Tabletext"/>
            </w:pPr>
            <w:r w:rsidRPr="00684AA4">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0B8F7BD" w14:textId="77777777" w:rsidR="00CB3EB0" w:rsidRPr="00684AA4" w:rsidRDefault="00CB3EB0" w:rsidP="00684AA4">
            <w:pPr>
              <w:pStyle w:val="Tabletext"/>
            </w:pPr>
            <w:r w:rsidRPr="00684AA4">
              <w:t>Medical Services Advisory Committee</w:t>
            </w:r>
          </w:p>
        </w:tc>
      </w:tr>
      <w:tr w:rsidR="00CB3EB0" w:rsidRPr="00C2212A" w14:paraId="7A79EE21"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2119E8D" w14:textId="77777777" w:rsidR="00CB3EB0" w:rsidRPr="00684AA4" w:rsidRDefault="00CB3EB0" w:rsidP="00684AA4">
            <w:pPr>
              <w:pStyle w:val="Tabletext"/>
            </w:pPr>
            <w:r w:rsidRPr="00684AA4">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8FC84A8" w14:textId="77777777" w:rsidR="00CB3EB0" w:rsidRPr="00684AA4" w:rsidRDefault="00CB3EB0" w:rsidP="00684AA4">
            <w:pPr>
              <w:pStyle w:val="Tabletext"/>
            </w:pPr>
            <w:r w:rsidRPr="00684AA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B3EB0" w:rsidRPr="00C2212A" w14:paraId="0FAD177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2B164AC" w14:textId="77777777" w:rsidR="00CB3EB0" w:rsidRPr="00684AA4" w:rsidRDefault="00CB3EB0" w:rsidP="00684AA4">
            <w:pPr>
              <w:pStyle w:val="Tabletext"/>
            </w:pPr>
            <w:r w:rsidRPr="00684AA4">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A6FD78D" w14:textId="77777777" w:rsidR="00CB3EB0" w:rsidRPr="00684AA4" w:rsidRDefault="00CB3EB0" w:rsidP="00684AA4">
            <w:pPr>
              <w:pStyle w:val="Tabletext"/>
            </w:pPr>
            <w:r w:rsidRPr="00684AA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C2212A" w14:paraId="0BA51DC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E6AD306" w14:textId="77777777" w:rsidR="00CB3EB0" w:rsidRPr="00684AA4" w:rsidRDefault="00CB3EB0" w:rsidP="00684AA4">
            <w:pPr>
              <w:pStyle w:val="Tabletext"/>
            </w:pPr>
            <w:r w:rsidRPr="00684AA4">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32E8B5B" w14:textId="77777777" w:rsidR="00CB3EB0" w:rsidRPr="00684AA4" w:rsidRDefault="00CB3EB0" w:rsidP="00684AA4">
            <w:pPr>
              <w:pStyle w:val="Tabletext"/>
            </w:pPr>
            <w:r w:rsidRPr="00684AA4">
              <w:t>Services that should no longer be performed as they do not represent current clinical best practice and have been superseded by superior tests or procedures.</w:t>
            </w:r>
          </w:p>
        </w:tc>
      </w:tr>
      <w:tr w:rsidR="00CB3EB0" w:rsidRPr="00C2212A" w14:paraId="2E8172B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873BDC5" w14:textId="77777777" w:rsidR="00CB3EB0" w:rsidRPr="00684AA4" w:rsidRDefault="00CB3EB0" w:rsidP="00684AA4">
            <w:pPr>
              <w:pStyle w:val="Tabletext"/>
            </w:pPr>
            <w:r w:rsidRPr="00684AA4">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B44190A" w14:textId="77777777" w:rsidR="00CB3EB0" w:rsidRPr="00684AA4" w:rsidRDefault="00CB3EB0" w:rsidP="00684AA4">
            <w:pPr>
              <w:pStyle w:val="Tabletext"/>
            </w:pPr>
            <w:r w:rsidRPr="00684AA4">
              <w:t>Pharmaceutical Benefits Scheme</w:t>
            </w:r>
          </w:p>
        </w:tc>
      </w:tr>
      <w:tr w:rsidR="00CB3EB0" w:rsidRPr="00C2212A" w14:paraId="52BBC785"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71BC242" w14:textId="77777777" w:rsidR="00CB3EB0" w:rsidRPr="00684AA4" w:rsidRDefault="00CB3EB0" w:rsidP="00684AA4">
            <w:pPr>
              <w:pStyle w:val="Tabletext"/>
            </w:pPr>
            <w:r w:rsidRPr="00684AA4">
              <w:t>Services average annual growth</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EF832A5" w14:textId="77777777" w:rsidR="00CB3EB0" w:rsidRPr="00684AA4" w:rsidRDefault="00CB3EB0" w:rsidP="00684AA4">
            <w:pPr>
              <w:pStyle w:val="Tabletext"/>
            </w:pPr>
            <w:r w:rsidRPr="00684AA4">
              <w:t>The average growth per year, over five years to 2014/15, in utilisation of services. Also known as the compound annual growth rate (CAGR).</w:t>
            </w:r>
          </w:p>
        </w:tc>
      </w:tr>
      <w:tr w:rsidR="00CB3EB0" w:rsidRPr="00C2212A" w14:paraId="18B4EADE"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8E22285" w14:textId="77777777" w:rsidR="00CB3EB0" w:rsidRPr="00684AA4" w:rsidRDefault="00CB3EB0" w:rsidP="00684AA4">
            <w:pPr>
              <w:pStyle w:val="Tabletext"/>
            </w:pPr>
            <w:r w:rsidRPr="00684AA4">
              <w:t>SSU</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652FCB0" w14:textId="77777777" w:rsidR="00CB3EB0" w:rsidRPr="00684AA4" w:rsidRDefault="00CB3EB0" w:rsidP="00684AA4">
            <w:pPr>
              <w:pStyle w:val="Tabletext"/>
            </w:pPr>
            <w:r w:rsidRPr="00684AA4">
              <w:t>Short Stay Unit</w:t>
            </w:r>
          </w:p>
        </w:tc>
      </w:tr>
      <w:tr w:rsidR="00CB3EB0" w:rsidRPr="00C2212A" w14:paraId="43CCA4DB"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FA314F2" w14:textId="77777777" w:rsidR="00CB3EB0" w:rsidRPr="00684AA4" w:rsidRDefault="00CB3EB0" w:rsidP="00684AA4">
            <w:pPr>
              <w:pStyle w:val="Tabletext"/>
            </w:pPr>
            <w:r w:rsidRPr="00684AA4">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E6780FF" w14:textId="77777777" w:rsidR="00CB3EB0" w:rsidRPr="00684AA4" w:rsidRDefault="00CB3EB0" w:rsidP="00684AA4">
            <w:pPr>
              <w:pStyle w:val="Tabletext"/>
            </w:pPr>
            <w:r w:rsidRPr="00684AA4">
              <w:t xml:space="preserve">The </w:t>
            </w:r>
            <w:r w:rsidR="00D51D3E">
              <w:t>General Practice and Primary Care</w:t>
            </w:r>
            <w:r w:rsidRPr="00684AA4">
              <w:t xml:space="preserve"> Clinical Committee of the MBS Review</w:t>
            </w:r>
          </w:p>
        </w:tc>
      </w:tr>
      <w:tr w:rsidR="00CB3EB0" w:rsidRPr="00C2212A" w14:paraId="47AE9523"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CDD46D1" w14:textId="77777777" w:rsidR="00CB3EB0" w:rsidRPr="00684AA4" w:rsidRDefault="00CB3EB0" w:rsidP="00684AA4">
            <w:pPr>
              <w:pStyle w:val="Tabletext"/>
            </w:pPr>
            <w:r w:rsidRPr="00684AA4">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FF290EC" w14:textId="77777777" w:rsidR="00CB3EB0" w:rsidRPr="00684AA4" w:rsidRDefault="00CB3EB0" w:rsidP="00684AA4">
            <w:pPr>
              <w:pStyle w:val="Tabletext"/>
            </w:pPr>
            <w:r w:rsidRPr="00684AA4">
              <w:t xml:space="preserve">The MBS Review Taskforce </w:t>
            </w:r>
          </w:p>
        </w:tc>
      </w:tr>
      <w:tr w:rsidR="00CB3EB0" w:rsidRPr="00C2212A" w14:paraId="0D9E6E2D" w14:textId="77777777" w:rsidTr="00756A5C">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F9C2CAB" w14:textId="77777777" w:rsidR="00CB3EB0" w:rsidRPr="00684AA4" w:rsidRDefault="00CB3EB0" w:rsidP="00684AA4">
            <w:pPr>
              <w:pStyle w:val="Tabletext"/>
            </w:pPr>
            <w:r w:rsidRPr="00684AA4">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56A6480" w14:textId="77777777" w:rsidR="00CB3EB0" w:rsidRPr="00684AA4" w:rsidRDefault="00CB3EB0" w:rsidP="00684AA4">
            <w:pPr>
              <w:pStyle w:val="Tabletext"/>
            </w:pPr>
            <w:r w:rsidRPr="00684AA4">
              <w:t>Total benefits paid in 2014/15 unless otherwise specified.</w:t>
            </w:r>
          </w:p>
        </w:tc>
      </w:tr>
    </w:tbl>
    <w:p w14:paraId="11F56893" w14:textId="77777777" w:rsidR="00327C01" w:rsidRPr="00AC5FDC" w:rsidRDefault="00327C01" w:rsidP="00CB3EB0">
      <w:pPr>
        <w:spacing w:before="0" w:after="0" w:line="240" w:lineRule="auto"/>
        <w:sectPr w:rsidR="00327C01" w:rsidRPr="00AC5FDC" w:rsidSect="009A7BA2">
          <w:footerReference w:type="default" r:id="rId25"/>
          <w:endnotePr>
            <w:numFmt w:val="decimal"/>
          </w:endnotePr>
          <w:pgSz w:w="11906" w:h="16838" w:code="9"/>
          <w:pgMar w:top="1440" w:right="1797" w:bottom="1440" w:left="1797" w:header="720" w:footer="720" w:gutter="0"/>
          <w:cols w:space="720"/>
          <w:docGrid w:linePitch="326"/>
        </w:sectPr>
      </w:pPr>
    </w:p>
    <w:p w14:paraId="0EB99A09" w14:textId="77777777" w:rsidR="00002222" w:rsidRDefault="00002222" w:rsidP="009A721A"/>
    <w:p w14:paraId="481D6AAA" w14:textId="74409446" w:rsidR="00C924AE" w:rsidRDefault="00C924AE" w:rsidP="00C924AE">
      <w:pPr>
        <w:pStyle w:val="AppendixStyle1"/>
      </w:pPr>
      <w:bookmarkStart w:id="358" w:name="_Toc15644904"/>
      <w:r w:rsidRPr="00C924AE">
        <w:t>Chronic Disease Management Items</w:t>
      </w:r>
      <w:bookmarkEnd w:id="358"/>
    </w:p>
    <w:p w14:paraId="783F9FA3" w14:textId="77777777" w:rsidR="00C924AE" w:rsidRPr="000C0BD8" w:rsidRDefault="00C924AE" w:rsidP="00C924AE">
      <w:pPr>
        <w:pStyle w:val="TableCaption"/>
      </w:pPr>
      <w:r w:rsidRPr="000C0BD8">
        <w:t>Table 7: Item introduction table for items 721, 723, 729, 731, 732, 735, 739, 743, 747, 750, 758</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721, 723, 729, 731, 732, 735, 739, 743, 747, 750, 758"/>
        <w:tblDescription w:val="Table 7: Item introduction table for items 721, 723, 729, 731, 732, 735, 739, 743, 747, 750, 758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1048"/>
        <w:gridCol w:w="5594"/>
        <w:gridCol w:w="1430"/>
        <w:gridCol w:w="1720"/>
        <w:gridCol w:w="1701"/>
        <w:gridCol w:w="1741"/>
      </w:tblGrid>
      <w:tr w:rsidR="00C924AE" w:rsidRPr="008C3D67" w14:paraId="2001DC11" w14:textId="77777777" w:rsidTr="00C924AE">
        <w:trPr>
          <w:tblHeader/>
        </w:trPr>
        <w:tc>
          <w:tcPr>
            <w:tcW w:w="658" w:type="dxa"/>
            <w:shd w:val="clear" w:color="auto" w:fill="01653F"/>
            <w:vAlign w:val="bottom"/>
          </w:tcPr>
          <w:p w14:paraId="3BDC2D58" w14:textId="77777777" w:rsidR="00C924AE" w:rsidRPr="008C3D67" w:rsidRDefault="00C924AE" w:rsidP="00C924AE">
            <w:pPr>
              <w:pStyle w:val="Tableheading-white"/>
            </w:pPr>
            <w:r w:rsidRPr="008C3D67">
              <w:t>Item</w:t>
            </w:r>
          </w:p>
        </w:tc>
        <w:tc>
          <w:tcPr>
            <w:tcW w:w="3509" w:type="dxa"/>
            <w:shd w:val="clear" w:color="auto" w:fill="01653F"/>
            <w:vAlign w:val="bottom"/>
          </w:tcPr>
          <w:p w14:paraId="08C47000" w14:textId="77777777" w:rsidR="00C924AE" w:rsidRPr="008C3D67" w:rsidRDefault="00C924AE" w:rsidP="00C924AE">
            <w:pPr>
              <w:pStyle w:val="Tableheading-white"/>
            </w:pPr>
            <w:r w:rsidRPr="008C3D67">
              <w:t>Descriptor</w:t>
            </w:r>
          </w:p>
        </w:tc>
        <w:tc>
          <w:tcPr>
            <w:tcW w:w="897" w:type="dxa"/>
            <w:shd w:val="clear" w:color="auto" w:fill="01653F"/>
            <w:vAlign w:val="bottom"/>
          </w:tcPr>
          <w:p w14:paraId="73095A1B" w14:textId="77777777" w:rsidR="00C924AE" w:rsidRPr="008C3D67" w:rsidRDefault="00C924AE" w:rsidP="00C924AE">
            <w:pPr>
              <w:pStyle w:val="Tableheading-white"/>
            </w:pPr>
            <w:r w:rsidRPr="008C3D67">
              <w:t>Schedule fee</w:t>
            </w:r>
          </w:p>
        </w:tc>
        <w:tc>
          <w:tcPr>
            <w:tcW w:w="1079" w:type="dxa"/>
            <w:shd w:val="clear" w:color="auto" w:fill="01653F"/>
            <w:vAlign w:val="bottom"/>
          </w:tcPr>
          <w:p w14:paraId="48D2C128" w14:textId="77777777" w:rsidR="00C924AE" w:rsidRPr="008C3D67" w:rsidRDefault="00C924AE" w:rsidP="00C924AE">
            <w:pPr>
              <w:pStyle w:val="Tableheading-white"/>
            </w:pPr>
            <w:r w:rsidRPr="008C3D67">
              <w:t>Services FY201</w:t>
            </w:r>
            <w:r>
              <w:t>6/17</w:t>
            </w:r>
          </w:p>
        </w:tc>
        <w:tc>
          <w:tcPr>
            <w:tcW w:w="1067" w:type="dxa"/>
            <w:shd w:val="clear" w:color="auto" w:fill="01653F"/>
            <w:vAlign w:val="bottom"/>
          </w:tcPr>
          <w:p w14:paraId="58490567" w14:textId="77777777" w:rsidR="00C924AE" w:rsidRPr="008C3D67" w:rsidRDefault="00C924AE" w:rsidP="00C924AE">
            <w:pPr>
              <w:pStyle w:val="Tableheading-white"/>
            </w:pPr>
            <w:r w:rsidRPr="008C3D67">
              <w:t>Benefits FY201</w:t>
            </w:r>
            <w:r>
              <w:t>6/17</w:t>
            </w:r>
          </w:p>
        </w:tc>
        <w:tc>
          <w:tcPr>
            <w:tcW w:w="1092" w:type="dxa"/>
            <w:shd w:val="clear" w:color="auto" w:fill="01653F"/>
            <w:vAlign w:val="bottom"/>
          </w:tcPr>
          <w:p w14:paraId="04613383" w14:textId="77777777" w:rsidR="00C924AE" w:rsidRPr="008C3D67" w:rsidRDefault="00C924AE" w:rsidP="00C924AE">
            <w:pPr>
              <w:pStyle w:val="Tableheading-white"/>
            </w:pPr>
            <w:r w:rsidRPr="008C3D67">
              <w:t>Services 5-year annual avg. growth</w:t>
            </w:r>
          </w:p>
        </w:tc>
      </w:tr>
      <w:tr w:rsidR="00C924AE" w:rsidRPr="008C3D67" w14:paraId="4304A80D" w14:textId="77777777" w:rsidTr="00C924AE">
        <w:tc>
          <w:tcPr>
            <w:tcW w:w="658" w:type="dxa"/>
          </w:tcPr>
          <w:p w14:paraId="026449DA" w14:textId="77777777" w:rsidR="00C924AE" w:rsidRPr="003E2FE2" w:rsidRDefault="00C924AE" w:rsidP="00C924AE">
            <w:pPr>
              <w:pStyle w:val="Tabletext"/>
            </w:pPr>
            <w:r w:rsidRPr="003E2FE2">
              <w:t>721</w:t>
            </w:r>
          </w:p>
        </w:tc>
        <w:tc>
          <w:tcPr>
            <w:tcW w:w="3509" w:type="dxa"/>
          </w:tcPr>
          <w:p w14:paraId="5C71E338" w14:textId="77777777" w:rsidR="00C924AE" w:rsidRPr="003E2FE2" w:rsidRDefault="00C924AE" w:rsidP="00C924AE">
            <w:pPr>
              <w:pStyle w:val="Tabletext"/>
            </w:pPr>
            <w:r w:rsidRPr="003E2FE2">
              <w:t>Attendance by a general practitioner for preparation of a GP management plan for a patient (other than a service associated with a service to which any of items 735 to 758 apply)</w:t>
            </w:r>
          </w:p>
        </w:tc>
        <w:tc>
          <w:tcPr>
            <w:tcW w:w="897" w:type="dxa"/>
          </w:tcPr>
          <w:p w14:paraId="1826CFF0" w14:textId="77777777" w:rsidR="00C924AE" w:rsidRPr="003E2FE2" w:rsidRDefault="00C924AE" w:rsidP="00C924AE">
            <w:pPr>
              <w:pStyle w:val="Tabletext"/>
            </w:pPr>
            <w:r w:rsidRPr="003E2FE2">
              <w:t>$144.25</w:t>
            </w:r>
          </w:p>
        </w:tc>
        <w:tc>
          <w:tcPr>
            <w:tcW w:w="1079" w:type="dxa"/>
          </w:tcPr>
          <w:p w14:paraId="2403E695" w14:textId="77777777" w:rsidR="00C924AE" w:rsidRPr="003E2FE2" w:rsidRDefault="00C924AE" w:rsidP="00C924AE">
            <w:pPr>
              <w:pStyle w:val="Tabletext"/>
            </w:pPr>
            <w:r w:rsidRPr="003E2FE2">
              <w:t>2,525,291</w:t>
            </w:r>
          </w:p>
        </w:tc>
        <w:tc>
          <w:tcPr>
            <w:tcW w:w="1067" w:type="dxa"/>
          </w:tcPr>
          <w:p w14:paraId="44B1A50A" w14:textId="77777777" w:rsidR="00C924AE" w:rsidRPr="003E2FE2" w:rsidRDefault="00C924AE" w:rsidP="00C924AE">
            <w:pPr>
              <w:pStyle w:val="Tabletext"/>
            </w:pPr>
            <w:r w:rsidRPr="003E2FE2">
              <w:t>$364,277,509</w:t>
            </w:r>
          </w:p>
        </w:tc>
        <w:tc>
          <w:tcPr>
            <w:tcW w:w="1092" w:type="dxa"/>
          </w:tcPr>
          <w:p w14:paraId="6E155256" w14:textId="77777777" w:rsidR="00C924AE" w:rsidRPr="003E2FE2" w:rsidRDefault="00C924AE" w:rsidP="00C924AE">
            <w:pPr>
              <w:pStyle w:val="Tabletext"/>
            </w:pPr>
            <w:r w:rsidRPr="003E2FE2">
              <w:t>11%</w:t>
            </w:r>
          </w:p>
        </w:tc>
      </w:tr>
      <w:tr w:rsidR="00C924AE" w:rsidRPr="008C3D67" w14:paraId="002B7E7E" w14:textId="77777777" w:rsidTr="00C924AE">
        <w:tc>
          <w:tcPr>
            <w:tcW w:w="658" w:type="dxa"/>
          </w:tcPr>
          <w:p w14:paraId="24AFC979" w14:textId="77777777" w:rsidR="00C924AE" w:rsidRPr="003E2FE2" w:rsidRDefault="00C924AE" w:rsidP="00C924AE">
            <w:pPr>
              <w:pStyle w:val="Tabletext"/>
            </w:pPr>
            <w:r w:rsidRPr="003E2FE2">
              <w:t>723</w:t>
            </w:r>
          </w:p>
        </w:tc>
        <w:tc>
          <w:tcPr>
            <w:tcW w:w="3509" w:type="dxa"/>
          </w:tcPr>
          <w:p w14:paraId="06D0FD21" w14:textId="77777777" w:rsidR="00C924AE" w:rsidRPr="003E2FE2" w:rsidRDefault="00C924AE" w:rsidP="00C924AE">
            <w:pPr>
              <w:pStyle w:val="Tabletext"/>
            </w:pPr>
            <w:r w:rsidRPr="003E2FE2">
              <w:t>Attendance by a general practitioner to coordinate the development of team care arrangements for a patient (other than a service associated with a service to which any of items 735 to 758 apply)</w:t>
            </w:r>
          </w:p>
        </w:tc>
        <w:tc>
          <w:tcPr>
            <w:tcW w:w="897" w:type="dxa"/>
          </w:tcPr>
          <w:p w14:paraId="1A8B8A1F" w14:textId="77777777" w:rsidR="00C924AE" w:rsidRPr="003E2FE2" w:rsidRDefault="00C924AE" w:rsidP="00C924AE">
            <w:pPr>
              <w:pStyle w:val="Tabletext"/>
            </w:pPr>
            <w:r w:rsidRPr="003E2FE2">
              <w:t>$114.30</w:t>
            </w:r>
          </w:p>
        </w:tc>
        <w:tc>
          <w:tcPr>
            <w:tcW w:w="1079" w:type="dxa"/>
          </w:tcPr>
          <w:p w14:paraId="763E8466" w14:textId="77777777" w:rsidR="00C924AE" w:rsidRPr="003E2FE2" w:rsidRDefault="00C924AE" w:rsidP="00C924AE">
            <w:pPr>
              <w:pStyle w:val="Tabletext"/>
            </w:pPr>
            <w:r w:rsidRPr="003E2FE2">
              <w:t>2,123,085</w:t>
            </w:r>
          </w:p>
        </w:tc>
        <w:tc>
          <w:tcPr>
            <w:tcW w:w="1067" w:type="dxa"/>
          </w:tcPr>
          <w:p w14:paraId="576A45A6" w14:textId="77777777" w:rsidR="00C924AE" w:rsidRPr="003E2FE2" w:rsidRDefault="00C924AE" w:rsidP="00C924AE">
            <w:pPr>
              <w:pStyle w:val="Tabletext"/>
            </w:pPr>
            <w:r w:rsidRPr="003E2FE2">
              <w:t xml:space="preserve">$242,668,167 </w:t>
            </w:r>
          </w:p>
          <w:p w14:paraId="22FED03E" w14:textId="77777777" w:rsidR="00C924AE" w:rsidRPr="003E2FE2" w:rsidRDefault="00C924AE" w:rsidP="00C924AE">
            <w:pPr>
              <w:pStyle w:val="Tabletext"/>
            </w:pPr>
          </w:p>
        </w:tc>
        <w:tc>
          <w:tcPr>
            <w:tcW w:w="1092" w:type="dxa"/>
          </w:tcPr>
          <w:p w14:paraId="24879352" w14:textId="77777777" w:rsidR="00C924AE" w:rsidRPr="003E2FE2" w:rsidRDefault="00C924AE" w:rsidP="00C924AE">
            <w:pPr>
              <w:pStyle w:val="Tabletext"/>
            </w:pPr>
            <w:r w:rsidRPr="003E2FE2">
              <w:t>11.2%</w:t>
            </w:r>
          </w:p>
        </w:tc>
      </w:tr>
      <w:tr w:rsidR="00C924AE" w:rsidRPr="008C3D67" w14:paraId="711D9FB0" w14:textId="77777777" w:rsidTr="00C924AE">
        <w:tc>
          <w:tcPr>
            <w:tcW w:w="658" w:type="dxa"/>
          </w:tcPr>
          <w:p w14:paraId="1FA0691D" w14:textId="77777777" w:rsidR="00C924AE" w:rsidRPr="003E2FE2" w:rsidRDefault="00C924AE" w:rsidP="00C924AE">
            <w:pPr>
              <w:pStyle w:val="Tabletext"/>
            </w:pPr>
            <w:r w:rsidRPr="003E2FE2">
              <w:t>729</w:t>
            </w:r>
          </w:p>
        </w:tc>
        <w:tc>
          <w:tcPr>
            <w:tcW w:w="3509" w:type="dxa"/>
          </w:tcPr>
          <w:p w14:paraId="67ED3FFF" w14:textId="77777777" w:rsidR="00C924AE" w:rsidRPr="003E2FE2" w:rsidRDefault="00C924AE" w:rsidP="00C924AE">
            <w:pPr>
              <w:pStyle w:val="Tabletext"/>
            </w:pPr>
            <w:r w:rsidRPr="003E2FE2">
              <w:t>Contribution by a general practitioner to a multidisciplinary care plan prepared by another provider or a review of a multidisciplinary care plan prepared by another provider (other than a service associated with a service to which any of items 735 to 758 apply)</w:t>
            </w:r>
          </w:p>
        </w:tc>
        <w:tc>
          <w:tcPr>
            <w:tcW w:w="897" w:type="dxa"/>
          </w:tcPr>
          <w:p w14:paraId="13BD0649" w14:textId="77777777" w:rsidR="00C924AE" w:rsidRPr="003E2FE2" w:rsidRDefault="00C924AE" w:rsidP="00C924AE">
            <w:pPr>
              <w:pStyle w:val="Tabletext"/>
            </w:pPr>
            <w:r w:rsidRPr="003E2FE2">
              <w:t>$70.40</w:t>
            </w:r>
          </w:p>
        </w:tc>
        <w:tc>
          <w:tcPr>
            <w:tcW w:w="1079" w:type="dxa"/>
          </w:tcPr>
          <w:p w14:paraId="55A6E088" w14:textId="77777777" w:rsidR="00C924AE" w:rsidRPr="003E2FE2" w:rsidRDefault="00C924AE" w:rsidP="00C924AE">
            <w:pPr>
              <w:pStyle w:val="Tabletext"/>
            </w:pPr>
            <w:r w:rsidRPr="003E2FE2">
              <w:t xml:space="preserve">2,574 </w:t>
            </w:r>
          </w:p>
          <w:p w14:paraId="7E009C37" w14:textId="77777777" w:rsidR="00C924AE" w:rsidRPr="003E2FE2" w:rsidRDefault="00C924AE" w:rsidP="00C924AE">
            <w:pPr>
              <w:pStyle w:val="Tabletext"/>
            </w:pPr>
          </w:p>
        </w:tc>
        <w:tc>
          <w:tcPr>
            <w:tcW w:w="1067" w:type="dxa"/>
          </w:tcPr>
          <w:p w14:paraId="7875EFE0" w14:textId="77777777" w:rsidR="00C924AE" w:rsidRPr="003E2FE2" w:rsidRDefault="00C924AE" w:rsidP="00C924AE">
            <w:pPr>
              <w:pStyle w:val="Tabletext"/>
            </w:pPr>
            <w:r w:rsidRPr="003E2FE2">
              <w:t xml:space="preserve">$181,241 </w:t>
            </w:r>
          </w:p>
          <w:p w14:paraId="5F8054FE" w14:textId="77777777" w:rsidR="00C924AE" w:rsidRPr="003E2FE2" w:rsidRDefault="00C924AE" w:rsidP="00C924AE">
            <w:pPr>
              <w:pStyle w:val="Tabletext"/>
            </w:pPr>
          </w:p>
        </w:tc>
        <w:tc>
          <w:tcPr>
            <w:tcW w:w="1092" w:type="dxa"/>
          </w:tcPr>
          <w:p w14:paraId="59496E69" w14:textId="77777777" w:rsidR="00C924AE" w:rsidRPr="003E2FE2" w:rsidRDefault="00C924AE" w:rsidP="00C924AE">
            <w:pPr>
              <w:pStyle w:val="Tabletext"/>
            </w:pPr>
            <w:r w:rsidRPr="003E2FE2">
              <w:t>3.3%</w:t>
            </w:r>
          </w:p>
        </w:tc>
      </w:tr>
      <w:tr w:rsidR="00C924AE" w:rsidRPr="008C3D67" w14:paraId="0CEAB323" w14:textId="77777777" w:rsidTr="00C924AE">
        <w:tc>
          <w:tcPr>
            <w:tcW w:w="658" w:type="dxa"/>
          </w:tcPr>
          <w:p w14:paraId="18841235" w14:textId="77777777" w:rsidR="00C924AE" w:rsidRPr="003E2FE2" w:rsidRDefault="00C924AE" w:rsidP="00C924AE">
            <w:pPr>
              <w:pStyle w:val="Tabletext"/>
            </w:pPr>
            <w:r w:rsidRPr="003E2FE2">
              <w:t>731</w:t>
            </w:r>
          </w:p>
        </w:tc>
        <w:tc>
          <w:tcPr>
            <w:tcW w:w="3509" w:type="dxa"/>
          </w:tcPr>
          <w:p w14:paraId="1DBB4B0E" w14:textId="77777777" w:rsidR="00C924AE" w:rsidRPr="003E2FE2" w:rsidRDefault="00C924AE" w:rsidP="00C924AE">
            <w:pPr>
              <w:pStyle w:val="Tabletext"/>
            </w:pPr>
            <w:r w:rsidRPr="003E2FE2">
              <w:t>Contribution by a general practitioner to:</w:t>
            </w:r>
          </w:p>
          <w:p w14:paraId="353B1CB9" w14:textId="77777777" w:rsidR="00C924AE" w:rsidRPr="003E2FE2" w:rsidRDefault="00C924AE" w:rsidP="00C924AE">
            <w:pPr>
              <w:pStyle w:val="Tabletext"/>
            </w:pPr>
            <w:r w:rsidRPr="003E2FE2">
              <w:t>(a) a multidisciplinary care plan for a patient in a residential aged care facility, prepared by that facility, or to a review of such a plan prepared by such a facility; or</w:t>
            </w:r>
          </w:p>
          <w:p w14:paraId="37C9A75F" w14:textId="77777777" w:rsidR="00C924AE" w:rsidRPr="003E2FE2" w:rsidRDefault="00C924AE" w:rsidP="00C924AE">
            <w:pPr>
              <w:pStyle w:val="Tabletext"/>
            </w:pPr>
            <w:r w:rsidRPr="003E2FE2">
              <w:t>(b) a multidisciplinary care plan prepared for a patient by another provider before the patient is discharged from a hospital, or to a review of such a plan prepared by another provider</w:t>
            </w:r>
          </w:p>
          <w:p w14:paraId="4E26A9E6" w14:textId="77777777" w:rsidR="00C924AE" w:rsidRPr="003E2FE2" w:rsidRDefault="00C924AE" w:rsidP="00C924AE">
            <w:pPr>
              <w:pStyle w:val="Tabletext"/>
            </w:pPr>
            <w:r w:rsidRPr="003E2FE2">
              <w:t>(other than a service associated with a service to which items 735 to 758 apply)</w:t>
            </w:r>
          </w:p>
        </w:tc>
        <w:tc>
          <w:tcPr>
            <w:tcW w:w="897" w:type="dxa"/>
          </w:tcPr>
          <w:p w14:paraId="3C50B3D9" w14:textId="77777777" w:rsidR="00C924AE" w:rsidRPr="003E2FE2" w:rsidRDefault="00C924AE" w:rsidP="00C924AE">
            <w:pPr>
              <w:pStyle w:val="Tabletext"/>
            </w:pPr>
            <w:r w:rsidRPr="003E2FE2">
              <w:t>$70.40</w:t>
            </w:r>
          </w:p>
        </w:tc>
        <w:tc>
          <w:tcPr>
            <w:tcW w:w="1079" w:type="dxa"/>
          </w:tcPr>
          <w:p w14:paraId="7F1056C2" w14:textId="77777777" w:rsidR="00C924AE" w:rsidRPr="003E2FE2" w:rsidRDefault="00C924AE" w:rsidP="00C924AE">
            <w:pPr>
              <w:pStyle w:val="Tabletext"/>
            </w:pPr>
            <w:r w:rsidRPr="003E2FE2">
              <w:t xml:space="preserve">131,935 </w:t>
            </w:r>
          </w:p>
          <w:p w14:paraId="30DD42E5" w14:textId="77777777" w:rsidR="00C924AE" w:rsidRPr="003E2FE2" w:rsidRDefault="00C924AE" w:rsidP="00C924AE">
            <w:pPr>
              <w:pStyle w:val="Tabletext"/>
            </w:pPr>
          </w:p>
        </w:tc>
        <w:tc>
          <w:tcPr>
            <w:tcW w:w="1067" w:type="dxa"/>
          </w:tcPr>
          <w:p w14:paraId="335C0CC1" w14:textId="77777777" w:rsidR="00C924AE" w:rsidRPr="003E2FE2" w:rsidRDefault="00C924AE" w:rsidP="00C924AE">
            <w:pPr>
              <w:pStyle w:val="Tabletext"/>
            </w:pPr>
            <w:r w:rsidRPr="003E2FE2">
              <w:t xml:space="preserve">$9,288,299 </w:t>
            </w:r>
          </w:p>
          <w:p w14:paraId="6D621F7A" w14:textId="77777777" w:rsidR="00C924AE" w:rsidRPr="003E2FE2" w:rsidRDefault="00C924AE" w:rsidP="00C924AE">
            <w:pPr>
              <w:pStyle w:val="Tabletext"/>
            </w:pPr>
          </w:p>
        </w:tc>
        <w:tc>
          <w:tcPr>
            <w:tcW w:w="1092" w:type="dxa"/>
          </w:tcPr>
          <w:p w14:paraId="685E8394" w14:textId="77777777" w:rsidR="00C924AE" w:rsidRPr="003E2FE2" w:rsidRDefault="00C924AE" w:rsidP="00C924AE">
            <w:pPr>
              <w:pStyle w:val="Tabletext"/>
            </w:pPr>
            <w:r w:rsidRPr="003E2FE2">
              <w:t>13.4%</w:t>
            </w:r>
          </w:p>
        </w:tc>
      </w:tr>
      <w:tr w:rsidR="00C924AE" w:rsidRPr="008C3D67" w14:paraId="0C2B19C3" w14:textId="77777777" w:rsidTr="00C924AE">
        <w:tc>
          <w:tcPr>
            <w:tcW w:w="658" w:type="dxa"/>
          </w:tcPr>
          <w:p w14:paraId="22E70E8C" w14:textId="77777777" w:rsidR="00C924AE" w:rsidRPr="003E2FE2" w:rsidRDefault="00C924AE" w:rsidP="00C924AE">
            <w:pPr>
              <w:pStyle w:val="Tabletext"/>
            </w:pPr>
            <w:r w:rsidRPr="003E2FE2">
              <w:t>732</w:t>
            </w:r>
          </w:p>
        </w:tc>
        <w:tc>
          <w:tcPr>
            <w:tcW w:w="3509" w:type="dxa"/>
          </w:tcPr>
          <w:p w14:paraId="1525D99E" w14:textId="77777777" w:rsidR="00C924AE" w:rsidRPr="003E2FE2" w:rsidRDefault="00C924AE" w:rsidP="00C924AE">
            <w:pPr>
              <w:pStyle w:val="Tabletext"/>
            </w:pPr>
            <w:r w:rsidRPr="003E2FE2">
              <w:t>Attendance by a general practitioner to review or coordinate a review of:</w:t>
            </w:r>
          </w:p>
          <w:p w14:paraId="681A442F" w14:textId="77777777" w:rsidR="00C924AE" w:rsidRPr="003E2FE2" w:rsidRDefault="00C924AE" w:rsidP="00C924AE">
            <w:pPr>
              <w:pStyle w:val="Tabletext"/>
            </w:pPr>
            <w:r w:rsidRPr="003E2FE2">
              <w:t>(a) a GP management plan prepared by a general practitioner (or an associated general practitioner) to which item 721 applies; or</w:t>
            </w:r>
          </w:p>
          <w:p w14:paraId="52B6AB58" w14:textId="77777777" w:rsidR="00C924AE" w:rsidRPr="003E2FE2" w:rsidRDefault="00C924AE" w:rsidP="00C924AE">
            <w:pPr>
              <w:pStyle w:val="Tabletext"/>
            </w:pPr>
            <w:r w:rsidRPr="003E2FE2">
              <w:t>(b) team care arrangements which have been coordinated by the general practitioner (or an associated general practitioner) to which item 723 applies</w:t>
            </w:r>
          </w:p>
        </w:tc>
        <w:tc>
          <w:tcPr>
            <w:tcW w:w="897" w:type="dxa"/>
          </w:tcPr>
          <w:p w14:paraId="44D83ADE" w14:textId="77777777" w:rsidR="00C924AE" w:rsidRPr="003E2FE2" w:rsidRDefault="00C924AE" w:rsidP="00C924AE">
            <w:pPr>
              <w:pStyle w:val="Tabletext"/>
            </w:pPr>
            <w:r w:rsidRPr="003E2FE2">
              <w:t>$72.05</w:t>
            </w:r>
          </w:p>
        </w:tc>
        <w:tc>
          <w:tcPr>
            <w:tcW w:w="1079" w:type="dxa"/>
          </w:tcPr>
          <w:p w14:paraId="36571FB4" w14:textId="77777777" w:rsidR="00C924AE" w:rsidRPr="003E2FE2" w:rsidRDefault="00C924AE" w:rsidP="00C924AE">
            <w:pPr>
              <w:pStyle w:val="Tabletext"/>
            </w:pPr>
            <w:r w:rsidRPr="003E2FE2">
              <w:t xml:space="preserve">3,290,643 </w:t>
            </w:r>
          </w:p>
          <w:p w14:paraId="47681A0D" w14:textId="77777777" w:rsidR="00C924AE" w:rsidRPr="003E2FE2" w:rsidRDefault="00C924AE" w:rsidP="00C924AE">
            <w:pPr>
              <w:pStyle w:val="Tabletext"/>
            </w:pPr>
          </w:p>
        </w:tc>
        <w:tc>
          <w:tcPr>
            <w:tcW w:w="1067" w:type="dxa"/>
          </w:tcPr>
          <w:p w14:paraId="7FBC4082" w14:textId="77777777" w:rsidR="00C924AE" w:rsidRPr="003E2FE2" w:rsidRDefault="00C924AE" w:rsidP="00C924AE">
            <w:pPr>
              <w:pStyle w:val="Tabletext"/>
            </w:pPr>
            <w:r w:rsidRPr="003E2FE2">
              <w:t xml:space="preserve">$237,100,794 </w:t>
            </w:r>
          </w:p>
          <w:p w14:paraId="7403A89E" w14:textId="77777777" w:rsidR="00C924AE" w:rsidRPr="003E2FE2" w:rsidRDefault="00C924AE" w:rsidP="00C924AE">
            <w:pPr>
              <w:pStyle w:val="Tabletext"/>
            </w:pPr>
          </w:p>
        </w:tc>
        <w:tc>
          <w:tcPr>
            <w:tcW w:w="1092" w:type="dxa"/>
          </w:tcPr>
          <w:p w14:paraId="4B68BD18" w14:textId="77777777" w:rsidR="00C924AE" w:rsidRPr="003E2FE2" w:rsidRDefault="00C924AE" w:rsidP="00C924AE">
            <w:pPr>
              <w:pStyle w:val="Tabletext"/>
            </w:pPr>
            <w:r w:rsidRPr="003E2FE2">
              <w:t>16.2%</w:t>
            </w:r>
          </w:p>
        </w:tc>
      </w:tr>
      <w:tr w:rsidR="00C924AE" w:rsidRPr="008C3D67" w14:paraId="7BF3D758" w14:textId="77777777" w:rsidTr="00C924AE">
        <w:tc>
          <w:tcPr>
            <w:tcW w:w="658" w:type="dxa"/>
          </w:tcPr>
          <w:p w14:paraId="6C8811B9" w14:textId="77777777" w:rsidR="00C924AE" w:rsidRPr="003E2FE2" w:rsidRDefault="00C924AE" w:rsidP="00C924AE">
            <w:pPr>
              <w:pStyle w:val="Tabletext"/>
            </w:pPr>
            <w:r w:rsidRPr="003E2FE2">
              <w:t>735</w:t>
            </w:r>
          </w:p>
        </w:tc>
        <w:tc>
          <w:tcPr>
            <w:tcW w:w="3509" w:type="dxa"/>
          </w:tcPr>
          <w:p w14:paraId="3B1CD5C7" w14:textId="77777777" w:rsidR="00C924AE" w:rsidRPr="003E2FE2" w:rsidRDefault="00C924AE" w:rsidP="00C924AE">
            <w:pPr>
              <w:pStyle w:val="Tabletext"/>
            </w:pPr>
            <w:r w:rsidRPr="003E2FE2">
              <w:t>Attendance by a general practitioner, as a member of a multidisciplinary case conference team, to organise and coordinate:</w:t>
            </w:r>
          </w:p>
          <w:p w14:paraId="5C41F89A" w14:textId="77777777" w:rsidR="00C924AE" w:rsidRPr="003E2FE2" w:rsidRDefault="00C924AE" w:rsidP="00C924AE">
            <w:pPr>
              <w:pStyle w:val="Tabletext"/>
            </w:pPr>
            <w:r w:rsidRPr="003E2FE2">
              <w:t>(a) a community case conference; or</w:t>
            </w:r>
          </w:p>
          <w:p w14:paraId="69EB0675" w14:textId="77777777" w:rsidR="00C924AE" w:rsidRPr="003E2FE2" w:rsidRDefault="00C924AE" w:rsidP="00C924AE">
            <w:pPr>
              <w:pStyle w:val="Tabletext"/>
            </w:pPr>
            <w:r w:rsidRPr="003E2FE2">
              <w:t>(b) a multidisciplinary case conference in a residential aged care facility; or</w:t>
            </w:r>
          </w:p>
          <w:p w14:paraId="7863A086" w14:textId="77777777" w:rsidR="00C924AE" w:rsidRPr="003E2FE2" w:rsidRDefault="00C924AE" w:rsidP="00C924AE">
            <w:pPr>
              <w:pStyle w:val="Tabletext"/>
            </w:pPr>
            <w:r w:rsidRPr="003E2FE2">
              <w:t>(c) a multidisciplinary discharge case conference;</w:t>
            </w:r>
          </w:p>
          <w:p w14:paraId="211235B5" w14:textId="77777777" w:rsidR="00C924AE" w:rsidRPr="003E2FE2" w:rsidRDefault="00C924AE" w:rsidP="00C924AE">
            <w:pPr>
              <w:pStyle w:val="Tabletext"/>
            </w:pPr>
            <w:r w:rsidRPr="003E2FE2">
              <w:t>if the conference lasts for at least 15 minutes, but for less than 20 minutes (other than a service associated with a service to which items 721 to 732 apply)</w:t>
            </w:r>
          </w:p>
        </w:tc>
        <w:tc>
          <w:tcPr>
            <w:tcW w:w="897" w:type="dxa"/>
          </w:tcPr>
          <w:p w14:paraId="52A33280" w14:textId="77777777" w:rsidR="00C924AE" w:rsidRPr="003E2FE2" w:rsidRDefault="00C924AE" w:rsidP="00C924AE">
            <w:pPr>
              <w:pStyle w:val="Tabletext"/>
            </w:pPr>
            <w:r w:rsidRPr="003E2FE2">
              <w:t>$70.65</w:t>
            </w:r>
          </w:p>
        </w:tc>
        <w:tc>
          <w:tcPr>
            <w:tcW w:w="1079" w:type="dxa"/>
          </w:tcPr>
          <w:p w14:paraId="59D538DB" w14:textId="77777777" w:rsidR="00C924AE" w:rsidRPr="003E2FE2" w:rsidRDefault="00C924AE" w:rsidP="00C924AE">
            <w:pPr>
              <w:pStyle w:val="Tabletext"/>
            </w:pPr>
            <w:r w:rsidRPr="003E2FE2">
              <w:t xml:space="preserve">29,866 </w:t>
            </w:r>
          </w:p>
          <w:p w14:paraId="63F31A06" w14:textId="77777777" w:rsidR="00C924AE" w:rsidRPr="003E2FE2" w:rsidRDefault="00C924AE" w:rsidP="00C924AE">
            <w:pPr>
              <w:pStyle w:val="Tabletext"/>
            </w:pPr>
          </w:p>
        </w:tc>
        <w:tc>
          <w:tcPr>
            <w:tcW w:w="1067" w:type="dxa"/>
          </w:tcPr>
          <w:p w14:paraId="003A4AAD" w14:textId="77777777" w:rsidR="00C924AE" w:rsidRPr="003E2FE2" w:rsidRDefault="00C924AE" w:rsidP="00C924AE">
            <w:pPr>
              <w:pStyle w:val="Tabletext"/>
            </w:pPr>
            <w:r w:rsidRPr="003E2FE2">
              <w:t xml:space="preserve">$2,097,235 </w:t>
            </w:r>
          </w:p>
          <w:p w14:paraId="574F70F0" w14:textId="77777777" w:rsidR="00C924AE" w:rsidRPr="003E2FE2" w:rsidRDefault="00C924AE" w:rsidP="00C924AE">
            <w:pPr>
              <w:pStyle w:val="Tabletext"/>
            </w:pPr>
          </w:p>
        </w:tc>
        <w:tc>
          <w:tcPr>
            <w:tcW w:w="1092" w:type="dxa"/>
          </w:tcPr>
          <w:p w14:paraId="1DAC99D5" w14:textId="77777777" w:rsidR="00C924AE" w:rsidRPr="003E2FE2" w:rsidRDefault="00C924AE" w:rsidP="00C924AE">
            <w:pPr>
              <w:pStyle w:val="Tabletext"/>
            </w:pPr>
            <w:r w:rsidRPr="003E2FE2">
              <w:t xml:space="preserve">19.7% </w:t>
            </w:r>
          </w:p>
          <w:p w14:paraId="01963ECC" w14:textId="77777777" w:rsidR="00C924AE" w:rsidRPr="003E2FE2" w:rsidRDefault="00C924AE" w:rsidP="00C924AE">
            <w:pPr>
              <w:pStyle w:val="Tabletext"/>
            </w:pPr>
          </w:p>
        </w:tc>
      </w:tr>
      <w:tr w:rsidR="00C924AE" w:rsidRPr="008C3D67" w14:paraId="33BD1CCC" w14:textId="77777777" w:rsidTr="00C924AE">
        <w:tc>
          <w:tcPr>
            <w:tcW w:w="658" w:type="dxa"/>
          </w:tcPr>
          <w:p w14:paraId="549956DC" w14:textId="77777777" w:rsidR="00C924AE" w:rsidRPr="003E2FE2" w:rsidRDefault="00C924AE" w:rsidP="00C924AE">
            <w:pPr>
              <w:pStyle w:val="Tabletext"/>
            </w:pPr>
            <w:r w:rsidRPr="003E2FE2">
              <w:t>739</w:t>
            </w:r>
          </w:p>
        </w:tc>
        <w:tc>
          <w:tcPr>
            <w:tcW w:w="3509" w:type="dxa"/>
          </w:tcPr>
          <w:p w14:paraId="19A62019" w14:textId="77777777" w:rsidR="00C924AE" w:rsidRPr="003E2FE2" w:rsidRDefault="00C924AE" w:rsidP="00C924AE">
            <w:pPr>
              <w:pStyle w:val="Tabletext"/>
            </w:pPr>
            <w:r w:rsidRPr="003E2FE2">
              <w:t>Attendance by a general practitioner, as a member of a multidisciplinary case conference team, to organise and coordinate:</w:t>
            </w:r>
          </w:p>
          <w:p w14:paraId="152A2152" w14:textId="77777777" w:rsidR="00C924AE" w:rsidRPr="003E2FE2" w:rsidRDefault="00C924AE" w:rsidP="00C924AE">
            <w:pPr>
              <w:pStyle w:val="Tabletext"/>
            </w:pPr>
            <w:r w:rsidRPr="003E2FE2">
              <w:t>(a) a community case conference; or</w:t>
            </w:r>
          </w:p>
          <w:p w14:paraId="0C4D1026" w14:textId="77777777" w:rsidR="00C924AE" w:rsidRPr="003E2FE2" w:rsidRDefault="00C924AE" w:rsidP="00C924AE">
            <w:pPr>
              <w:pStyle w:val="Tabletext"/>
            </w:pPr>
            <w:r w:rsidRPr="003E2FE2">
              <w:t>(b) a multidisciplinary case conference in a residential aged care facility; or</w:t>
            </w:r>
          </w:p>
          <w:p w14:paraId="03712E9E" w14:textId="77777777" w:rsidR="00C924AE" w:rsidRPr="003E2FE2" w:rsidRDefault="00C924AE" w:rsidP="00C924AE">
            <w:pPr>
              <w:pStyle w:val="Tabletext"/>
            </w:pPr>
            <w:r w:rsidRPr="003E2FE2">
              <w:t>(c) a multidisciplinary discharge case conference;</w:t>
            </w:r>
          </w:p>
          <w:p w14:paraId="28160857" w14:textId="77777777" w:rsidR="00C924AE" w:rsidRPr="003E2FE2" w:rsidRDefault="00C924AE" w:rsidP="00C924AE">
            <w:pPr>
              <w:pStyle w:val="Tabletext"/>
            </w:pPr>
            <w:r w:rsidRPr="003E2FE2">
              <w:t>if the conference lasts for at least 20 minutes, but for less than 40 minutes (other than a service associated with a service to which items 721 to 732 apply)</w:t>
            </w:r>
          </w:p>
        </w:tc>
        <w:tc>
          <w:tcPr>
            <w:tcW w:w="897" w:type="dxa"/>
          </w:tcPr>
          <w:p w14:paraId="704ABA22" w14:textId="77777777" w:rsidR="00C924AE" w:rsidRPr="003E2FE2" w:rsidRDefault="00C924AE" w:rsidP="00C924AE">
            <w:pPr>
              <w:pStyle w:val="Tabletext"/>
            </w:pPr>
            <w:r w:rsidRPr="003E2FE2">
              <w:t>$120.95</w:t>
            </w:r>
          </w:p>
        </w:tc>
        <w:tc>
          <w:tcPr>
            <w:tcW w:w="1079" w:type="dxa"/>
          </w:tcPr>
          <w:p w14:paraId="7DD3A3F5" w14:textId="77777777" w:rsidR="00C924AE" w:rsidRPr="003E2FE2" w:rsidRDefault="00C924AE" w:rsidP="00C924AE">
            <w:pPr>
              <w:pStyle w:val="Tabletext"/>
            </w:pPr>
            <w:r w:rsidRPr="003E2FE2">
              <w:t xml:space="preserve">18,382 </w:t>
            </w:r>
          </w:p>
          <w:p w14:paraId="3B45E6B7" w14:textId="77777777" w:rsidR="00C924AE" w:rsidRPr="003E2FE2" w:rsidRDefault="00C924AE" w:rsidP="00C924AE">
            <w:pPr>
              <w:pStyle w:val="Tabletext"/>
            </w:pPr>
          </w:p>
        </w:tc>
        <w:tc>
          <w:tcPr>
            <w:tcW w:w="1067" w:type="dxa"/>
          </w:tcPr>
          <w:p w14:paraId="03B0C5F0" w14:textId="77777777" w:rsidR="00C924AE" w:rsidRPr="003E2FE2" w:rsidRDefault="00C924AE" w:rsidP="00C924AE">
            <w:pPr>
              <w:pStyle w:val="Tabletext"/>
            </w:pPr>
            <w:r w:rsidRPr="003E2FE2">
              <w:t xml:space="preserve">$2,219,344 </w:t>
            </w:r>
          </w:p>
          <w:p w14:paraId="2FA6384B" w14:textId="77777777" w:rsidR="00C924AE" w:rsidRPr="003E2FE2" w:rsidRDefault="00C924AE" w:rsidP="00C924AE">
            <w:pPr>
              <w:pStyle w:val="Tabletext"/>
            </w:pPr>
          </w:p>
        </w:tc>
        <w:tc>
          <w:tcPr>
            <w:tcW w:w="1092" w:type="dxa"/>
          </w:tcPr>
          <w:p w14:paraId="16CA6041" w14:textId="77777777" w:rsidR="00C924AE" w:rsidRPr="003E2FE2" w:rsidRDefault="00C924AE" w:rsidP="00C924AE">
            <w:pPr>
              <w:pStyle w:val="Tabletext"/>
            </w:pPr>
            <w:r w:rsidRPr="003E2FE2">
              <w:t xml:space="preserve">13.8% </w:t>
            </w:r>
          </w:p>
          <w:p w14:paraId="6CDB4A45" w14:textId="77777777" w:rsidR="00C924AE" w:rsidRPr="003E2FE2" w:rsidRDefault="00C924AE" w:rsidP="00C924AE">
            <w:pPr>
              <w:pStyle w:val="Tabletext"/>
            </w:pPr>
          </w:p>
        </w:tc>
      </w:tr>
      <w:tr w:rsidR="00C924AE" w:rsidRPr="008C3D67" w14:paraId="33E09628" w14:textId="77777777" w:rsidTr="00C924AE">
        <w:tc>
          <w:tcPr>
            <w:tcW w:w="658" w:type="dxa"/>
          </w:tcPr>
          <w:p w14:paraId="79068EF4" w14:textId="77777777" w:rsidR="00C924AE" w:rsidRPr="003E2FE2" w:rsidRDefault="00C924AE" w:rsidP="00C924AE">
            <w:pPr>
              <w:pStyle w:val="Tabletext"/>
            </w:pPr>
            <w:r w:rsidRPr="003E2FE2">
              <w:t>743</w:t>
            </w:r>
          </w:p>
        </w:tc>
        <w:tc>
          <w:tcPr>
            <w:tcW w:w="3509" w:type="dxa"/>
          </w:tcPr>
          <w:p w14:paraId="0BA72679" w14:textId="77777777" w:rsidR="00C924AE" w:rsidRPr="003E2FE2" w:rsidRDefault="00C924AE" w:rsidP="00C924AE">
            <w:pPr>
              <w:pStyle w:val="Tabletext"/>
            </w:pPr>
            <w:r w:rsidRPr="003E2FE2">
              <w:t>Attendance by a general practitioner, as a member of a multidisciplinary case conference team, to organise and coordinate:</w:t>
            </w:r>
          </w:p>
          <w:p w14:paraId="267B9EF0" w14:textId="77777777" w:rsidR="00C924AE" w:rsidRPr="003E2FE2" w:rsidRDefault="00C924AE" w:rsidP="00C924AE">
            <w:pPr>
              <w:pStyle w:val="Tabletext"/>
            </w:pPr>
            <w:r w:rsidRPr="003E2FE2">
              <w:t>(a) a community case conference; or</w:t>
            </w:r>
          </w:p>
          <w:p w14:paraId="6F8D32C1" w14:textId="77777777" w:rsidR="00C924AE" w:rsidRPr="003E2FE2" w:rsidRDefault="00C924AE" w:rsidP="00C924AE">
            <w:pPr>
              <w:pStyle w:val="Tabletext"/>
            </w:pPr>
            <w:r w:rsidRPr="003E2FE2">
              <w:t>(b) a multidisciplinary case conference in a residential aged care facility; or</w:t>
            </w:r>
          </w:p>
          <w:p w14:paraId="16E10097" w14:textId="77777777" w:rsidR="00C924AE" w:rsidRPr="003E2FE2" w:rsidRDefault="00C924AE" w:rsidP="00C924AE">
            <w:pPr>
              <w:pStyle w:val="Tabletext"/>
            </w:pPr>
            <w:r w:rsidRPr="003E2FE2">
              <w:t>(c) a multidisciplinary discharge case conference;</w:t>
            </w:r>
          </w:p>
          <w:p w14:paraId="50E058AD" w14:textId="77777777" w:rsidR="00C924AE" w:rsidRPr="003E2FE2" w:rsidRDefault="00C924AE" w:rsidP="00C924AE">
            <w:pPr>
              <w:pStyle w:val="Tabletext"/>
            </w:pPr>
            <w:r w:rsidRPr="003E2FE2">
              <w:t>if the conference lasts for at least 40 minutes (other than a service associated with a service to which items 721 to 732 apply)</w:t>
            </w:r>
          </w:p>
        </w:tc>
        <w:tc>
          <w:tcPr>
            <w:tcW w:w="897" w:type="dxa"/>
          </w:tcPr>
          <w:p w14:paraId="49B6CB0D" w14:textId="77777777" w:rsidR="00C924AE" w:rsidRPr="003E2FE2" w:rsidRDefault="00C924AE" w:rsidP="00C924AE">
            <w:pPr>
              <w:pStyle w:val="Tabletext"/>
            </w:pPr>
            <w:r w:rsidRPr="003E2FE2">
              <w:t>$201.65</w:t>
            </w:r>
          </w:p>
        </w:tc>
        <w:tc>
          <w:tcPr>
            <w:tcW w:w="1079" w:type="dxa"/>
          </w:tcPr>
          <w:p w14:paraId="04988246" w14:textId="77777777" w:rsidR="00C924AE" w:rsidRPr="003E2FE2" w:rsidRDefault="00C924AE" w:rsidP="00C924AE">
            <w:pPr>
              <w:pStyle w:val="Tabletext"/>
            </w:pPr>
            <w:r w:rsidRPr="003E2FE2">
              <w:t xml:space="preserve">11,051 </w:t>
            </w:r>
          </w:p>
          <w:p w14:paraId="69CA7505" w14:textId="77777777" w:rsidR="00C924AE" w:rsidRPr="003E2FE2" w:rsidRDefault="00C924AE" w:rsidP="00C924AE">
            <w:pPr>
              <w:pStyle w:val="Tabletext"/>
            </w:pPr>
          </w:p>
        </w:tc>
        <w:tc>
          <w:tcPr>
            <w:tcW w:w="1067" w:type="dxa"/>
          </w:tcPr>
          <w:p w14:paraId="16F8267F" w14:textId="77777777" w:rsidR="00C924AE" w:rsidRPr="003E2FE2" w:rsidRDefault="00C924AE" w:rsidP="00C924AE">
            <w:pPr>
              <w:pStyle w:val="Tabletext"/>
            </w:pPr>
            <w:r w:rsidRPr="003E2FE2">
              <w:t xml:space="preserve">$2,225,937 </w:t>
            </w:r>
          </w:p>
          <w:p w14:paraId="48E99C45" w14:textId="77777777" w:rsidR="00C924AE" w:rsidRPr="003E2FE2" w:rsidRDefault="00C924AE" w:rsidP="00C924AE">
            <w:pPr>
              <w:pStyle w:val="Tabletext"/>
            </w:pPr>
          </w:p>
        </w:tc>
        <w:tc>
          <w:tcPr>
            <w:tcW w:w="1092" w:type="dxa"/>
          </w:tcPr>
          <w:p w14:paraId="451CDD81" w14:textId="77777777" w:rsidR="00C924AE" w:rsidRPr="003E2FE2" w:rsidRDefault="00C924AE" w:rsidP="00C924AE">
            <w:pPr>
              <w:pStyle w:val="Tabletext"/>
            </w:pPr>
            <w:r w:rsidRPr="003E2FE2">
              <w:t xml:space="preserve">18.8% </w:t>
            </w:r>
          </w:p>
          <w:p w14:paraId="7F6A80EA" w14:textId="77777777" w:rsidR="00C924AE" w:rsidRPr="003E2FE2" w:rsidRDefault="00C924AE" w:rsidP="00C924AE">
            <w:pPr>
              <w:pStyle w:val="Tabletext"/>
            </w:pPr>
          </w:p>
        </w:tc>
      </w:tr>
      <w:tr w:rsidR="00C924AE" w:rsidRPr="008C3D67" w14:paraId="7631D4EC" w14:textId="77777777" w:rsidTr="00C924AE">
        <w:tc>
          <w:tcPr>
            <w:tcW w:w="658" w:type="dxa"/>
          </w:tcPr>
          <w:p w14:paraId="49ED4DD4" w14:textId="77777777" w:rsidR="00C924AE" w:rsidRPr="003E2FE2" w:rsidRDefault="00C924AE" w:rsidP="00C924AE">
            <w:pPr>
              <w:pStyle w:val="Tabletext"/>
            </w:pPr>
            <w:r w:rsidRPr="003E2FE2">
              <w:t>747</w:t>
            </w:r>
          </w:p>
        </w:tc>
        <w:tc>
          <w:tcPr>
            <w:tcW w:w="3509" w:type="dxa"/>
          </w:tcPr>
          <w:p w14:paraId="2FCF9AEE" w14:textId="77777777" w:rsidR="00C924AE" w:rsidRPr="003E2FE2" w:rsidRDefault="00C924AE" w:rsidP="00C924AE">
            <w:pPr>
              <w:pStyle w:val="Tabletext"/>
            </w:pPr>
            <w:r w:rsidRPr="003E2FE2">
              <w:t>Attendance by a general practitioner, as a member of a multidisciplinary case conference team, to participate in:</w:t>
            </w:r>
          </w:p>
          <w:p w14:paraId="4A7758EE" w14:textId="77777777" w:rsidR="00C924AE" w:rsidRPr="003E2FE2" w:rsidRDefault="00C924AE" w:rsidP="00C924AE">
            <w:pPr>
              <w:pStyle w:val="Tabletext"/>
            </w:pPr>
            <w:r w:rsidRPr="003E2FE2">
              <w:t>(a) a community case conference; or</w:t>
            </w:r>
          </w:p>
          <w:p w14:paraId="5F9B6C57" w14:textId="77777777" w:rsidR="00C924AE" w:rsidRPr="003E2FE2" w:rsidRDefault="00C924AE" w:rsidP="00C924AE">
            <w:pPr>
              <w:pStyle w:val="Tabletext"/>
            </w:pPr>
            <w:r w:rsidRPr="003E2FE2">
              <w:t>(b) a multidisciplinary case conference in a residential aged care facility; or</w:t>
            </w:r>
          </w:p>
          <w:p w14:paraId="68982330" w14:textId="77777777" w:rsidR="00C924AE" w:rsidRPr="003E2FE2" w:rsidRDefault="00C924AE" w:rsidP="00C924AE">
            <w:pPr>
              <w:pStyle w:val="Tabletext"/>
            </w:pPr>
            <w:r w:rsidRPr="003E2FE2">
              <w:t>(c) a multidisciplinary discharge case conference;</w:t>
            </w:r>
          </w:p>
          <w:p w14:paraId="2F8AE39F" w14:textId="77777777" w:rsidR="00C924AE" w:rsidRPr="003E2FE2" w:rsidRDefault="00C924AE" w:rsidP="00C924AE">
            <w:pPr>
              <w:pStyle w:val="Tabletext"/>
            </w:pPr>
            <w:r w:rsidRPr="003E2FE2">
              <w:t>if the conference lasts for at least 15 minutes, but for less than 20 minutes (other than a service associated with a service to which items 721 to 732 apply)</w:t>
            </w:r>
          </w:p>
        </w:tc>
        <w:tc>
          <w:tcPr>
            <w:tcW w:w="897" w:type="dxa"/>
          </w:tcPr>
          <w:p w14:paraId="7E4B15E9" w14:textId="77777777" w:rsidR="00C924AE" w:rsidRPr="003E2FE2" w:rsidRDefault="00C924AE" w:rsidP="00C924AE">
            <w:pPr>
              <w:pStyle w:val="Tabletext"/>
            </w:pPr>
            <w:r w:rsidRPr="003E2FE2">
              <w:t>$51.90</w:t>
            </w:r>
          </w:p>
        </w:tc>
        <w:tc>
          <w:tcPr>
            <w:tcW w:w="1079" w:type="dxa"/>
          </w:tcPr>
          <w:p w14:paraId="219492F8" w14:textId="77777777" w:rsidR="00C924AE" w:rsidRPr="003E2FE2" w:rsidRDefault="00C924AE" w:rsidP="00C924AE">
            <w:pPr>
              <w:pStyle w:val="Tabletext"/>
            </w:pPr>
            <w:r w:rsidRPr="003E2FE2">
              <w:t xml:space="preserve">18,008 </w:t>
            </w:r>
          </w:p>
          <w:p w14:paraId="5BD6E95E" w14:textId="77777777" w:rsidR="00C924AE" w:rsidRPr="003E2FE2" w:rsidRDefault="00C924AE" w:rsidP="00C924AE">
            <w:pPr>
              <w:pStyle w:val="Tabletext"/>
            </w:pPr>
          </w:p>
        </w:tc>
        <w:tc>
          <w:tcPr>
            <w:tcW w:w="1067" w:type="dxa"/>
          </w:tcPr>
          <w:p w14:paraId="5EC39A9B" w14:textId="77777777" w:rsidR="00C924AE" w:rsidRPr="003E2FE2" w:rsidRDefault="00C924AE" w:rsidP="00C924AE">
            <w:pPr>
              <w:pStyle w:val="Tabletext"/>
            </w:pPr>
            <w:r w:rsidRPr="003E2FE2">
              <w:t xml:space="preserve">$914,563 </w:t>
            </w:r>
          </w:p>
          <w:p w14:paraId="110F15E3" w14:textId="77777777" w:rsidR="00C924AE" w:rsidRPr="003E2FE2" w:rsidRDefault="00C924AE" w:rsidP="00C924AE">
            <w:pPr>
              <w:pStyle w:val="Tabletext"/>
            </w:pPr>
          </w:p>
        </w:tc>
        <w:tc>
          <w:tcPr>
            <w:tcW w:w="1092" w:type="dxa"/>
          </w:tcPr>
          <w:p w14:paraId="0AC75652" w14:textId="77777777" w:rsidR="00C924AE" w:rsidRPr="003E2FE2" w:rsidRDefault="00C924AE" w:rsidP="00C924AE">
            <w:pPr>
              <w:pStyle w:val="Tabletext"/>
            </w:pPr>
            <w:r w:rsidRPr="003E2FE2">
              <w:t xml:space="preserve">19.1% </w:t>
            </w:r>
          </w:p>
          <w:p w14:paraId="1C474BC0" w14:textId="77777777" w:rsidR="00C924AE" w:rsidRPr="003E2FE2" w:rsidRDefault="00C924AE" w:rsidP="00C924AE">
            <w:pPr>
              <w:pStyle w:val="Tabletext"/>
            </w:pPr>
          </w:p>
        </w:tc>
      </w:tr>
      <w:tr w:rsidR="00C924AE" w:rsidRPr="008C3D67" w14:paraId="493EB2CF" w14:textId="77777777" w:rsidTr="00C924AE">
        <w:tc>
          <w:tcPr>
            <w:tcW w:w="658" w:type="dxa"/>
          </w:tcPr>
          <w:p w14:paraId="70C24935" w14:textId="77777777" w:rsidR="00C924AE" w:rsidRPr="003E2FE2" w:rsidRDefault="00C924AE" w:rsidP="00C924AE">
            <w:pPr>
              <w:pStyle w:val="Tabletext"/>
            </w:pPr>
            <w:r w:rsidRPr="003E2FE2">
              <w:t>750</w:t>
            </w:r>
          </w:p>
        </w:tc>
        <w:tc>
          <w:tcPr>
            <w:tcW w:w="3509" w:type="dxa"/>
          </w:tcPr>
          <w:p w14:paraId="687F709C" w14:textId="77777777" w:rsidR="00C924AE" w:rsidRPr="003E2FE2" w:rsidRDefault="00C924AE" w:rsidP="00C924AE">
            <w:pPr>
              <w:pStyle w:val="Tabletext"/>
            </w:pPr>
            <w:r w:rsidRPr="003E2FE2">
              <w:t>Attendance by a general practitioner, as a member of a multidisciplinary case conference team, to participate in:</w:t>
            </w:r>
          </w:p>
          <w:p w14:paraId="7C100256" w14:textId="77777777" w:rsidR="00C924AE" w:rsidRPr="003E2FE2" w:rsidRDefault="00C924AE" w:rsidP="00C924AE">
            <w:pPr>
              <w:pStyle w:val="Tabletext"/>
            </w:pPr>
            <w:r w:rsidRPr="003E2FE2">
              <w:t>(a) a community case conference; or</w:t>
            </w:r>
          </w:p>
          <w:p w14:paraId="0D368C24" w14:textId="77777777" w:rsidR="00C924AE" w:rsidRPr="003E2FE2" w:rsidRDefault="00C924AE" w:rsidP="00C924AE">
            <w:pPr>
              <w:pStyle w:val="Tabletext"/>
            </w:pPr>
            <w:r w:rsidRPr="003E2FE2">
              <w:t>(b) a multidisciplinary case conference in a residential aged care facility; or</w:t>
            </w:r>
          </w:p>
          <w:p w14:paraId="00AAEDF7" w14:textId="77777777" w:rsidR="00C924AE" w:rsidRPr="003E2FE2" w:rsidRDefault="00C924AE" w:rsidP="00C924AE">
            <w:pPr>
              <w:pStyle w:val="Tabletext"/>
            </w:pPr>
            <w:r w:rsidRPr="003E2FE2">
              <w:t>(c) a multidisciplinary discharge case conference;</w:t>
            </w:r>
          </w:p>
          <w:p w14:paraId="3877C8A4" w14:textId="77777777" w:rsidR="00C924AE" w:rsidRPr="003E2FE2" w:rsidRDefault="00C924AE" w:rsidP="00C924AE">
            <w:pPr>
              <w:pStyle w:val="Tabletext"/>
            </w:pPr>
            <w:r w:rsidRPr="003E2FE2">
              <w:t>if the conference lasts for at least 20 minutes, but for less than 40 minutes (other than a service associated with a service to which items 721 to 732 apply)</w:t>
            </w:r>
          </w:p>
        </w:tc>
        <w:tc>
          <w:tcPr>
            <w:tcW w:w="897" w:type="dxa"/>
          </w:tcPr>
          <w:p w14:paraId="6658FFFD" w14:textId="77777777" w:rsidR="00C924AE" w:rsidRPr="003E2FE2" w:rsidRDefault="00C924AE" w:rsidP="00C924AE">
            <w:pPr>
              <w:pStyle w:val="Tabletext"/>
            </w:pPr>
            <w:r w:rsidRPr="003E2FE2">
              <w:t>$89.00</w:t>
            </w:r>
          </w:p>
        </w:tc>
        <w:tc>
          <w:tcPr>
            <w:tcW w:w="1079" w:type="dxa"/>
          </w:tcPr>
          <w:p w14:paraId="7F616BFE" w14:textId="77777777" w:rsidR="00C924AE" w:rsidRPr="003E2FE2" w:rsidRDefault="00C924AE" w:rsidP="00C924AE">
            <w:pPr>
              <w:pStyle w:val="Tabletext"/>
            </w:pPr>
            <w:r w:rsidRPr="003E2FE2">
              <w:t xml:space="preserve">5,166 </w:t>
            </w:r>
          </w:p>
          <w:p w14:paraId="5778DC5E" w14:textId="77777777" w:rsidR="00C924AE" w:rsidRPr="003E2FE2" w:rsidRDefault="00C924AE" w:rsidP="00C924AE">
            <w:pPr>
              <w:pStyle w:val="Tabletext"/>
            </w:pPr>
          </w:p>
        </w:tc>
        <w:tc>
          <w:tcPr>
            <w:tcW w:w="1067" w:type="dxa"/>
          </w:tcPr>
          <w:p w14:paraId="52AAEDF8" w14:textId="77777777" w:rsidR="00C924AE" w:rsidRPr="003E2FE2" w:rsidRDefault="00C924AE" w:rsidP="00C924AE">
            <w:pPr>
              <w:pStyle w:val="Tabletext"/>
            </w:pPr>
            <w:r w:rsidRPr="003E2FE2">
              <w:t xml:space="preserve">$457,393 </w:t>
            </w:r>
          </w:p>
          <w:p w14:paraId="02782B8C" w14:textId="77777777" w:rsidR="00C924AE" w:rsidRPr="003E2FE2" w:rsidRDefault="00C924AE" w:rsidP="00C924AE">
            <w:pPr>
              <w:pStyle w:val="Tabletext"/>
            </w:pPr>
          </w:p>
        </w:tc>
        <w:tc>
          <w:tcPr>
            <w:tcW w:w="1092" w:type="dxa"/>
          </w:tcPr>
          <w:p w14:paraId="572B5547" w14:textId="77777777" w:rsidR="00C924AE" w:rsidRPr="003E2FE2" w:rsidRDefault="00C924AE" w:rsidP="00C924AE">
            <w:pPr>
              <w:pStyle w:val="Tabletext"/>
            </w:pPr>
            <w:r w:rsidRPr="003E2FE2">
              <w:t xml:space="preserve">9.1% </w:t>
            </w:r>
          </w:p>
          <w:p w14:paraId="34736035" w14:textId="77777777" w:rsidR="00C924AE" w:rsidRPr="003E2FE2" w:rsidRDefault="00C924AE" w:rsidP="00C924AE">
            <w:pPr>
              <w:pStyle w:val="Tabletext"/>
            </w:pPr>
          </w:p>
        </w:tc>
      </w:tr>
      <w:tr w:rsidR="00C924AE" w:rsidRPr="008C3D67" w14:paraId="7A390623" w14:textId="77777777" w:rsidTr="00C924AE">
        <w:tc>
          <w:tcPr>
            <w:tcW w:w="658" w:type="dxa"/>
          </w:tcPr>
          <w:p w14:paraId="055E9C13" w14:textId="77777777" w:rsidR="00C924AE" w:rsidRPr="003E2FE2" w:rsidRDefault="00C924AE" w:rsidP="00C924AE">
            <w:pPr>
              <w:pStyle w:val="Tabletext"/>
            </w:pPr>
            <w:r w:rsidRPr="003E2FE2">
              <w:t>758</w:t>
            </w:r>
          </w:p>
        </w:tc>
        <w:tc>
          <w:tcPr>
            <w:tcW w:w="3509" w:type="dxa"/>
          </w:tcPr>
          <w:p w14:paraId="19963575" w14:textId="77777777" w:rsidR="00C924AE" w:rsidRPr="003E2FE2" w:rsidRDefault="00C924AE" w:rsidP="00C924AE">
            <w:pPr>
              <w:pStyle w:val="Tabletext"/>
            </w:pPr>
            <w:r w:rsidRPr="003E2FE2">
              <w:t>Attendance by a general practitioner, as a member of a multidisciplinary case conference team, to participate in:</w:t>
            </w:r>
          </w:p>
          <w:p w14:paraId="328D97F4" w14:textId="77777777" w:rsidR="00C924AE" w:rsidRPr="003E2FE2" w:rsidRDefault="00C924AE" w:rsidP="00C924AE">
            <w:pPr>
              <w:pStyle w:val="Tabletext"/>
            </w:pPr>
            <w:r w:rsidRPr="003E2FE2">
              <w:t>(a) a community case conference; or</w:t>
            </w:r>
          </w:p>
          <w:p w14:paraId="7D0B4C4B" w14:textId="77777777" w:rsidR="00C924AE" w:rsidRPr="003E2FE2" w:rsidRDefault="00C924AE" w:rsidP="00C924AE">
            <w:pPr>
              <w:pStyle w:val="Tabletext"/>
            </w:pPr>
            <w:r w:rsidRPr="003E2FE2">
              <w:t>(b) a multidisciplinary case conference in a residential aged care facility; or</w:t>
            </w:r>
          </w:p>
          <w:p w14:paraId="357AE596" w14:textId="77777777" w:rsidR="00C924AE" w:rsidRPr="003E2FE2" w:rsidRDefault="00C924AE" w:rsidP="00C924AE">
            <w:pPr>
              <w:pStyle w:val="Tabletext"/>
            </w:pPr>
            <w:r w:rsidRPr="003E2FE2">
              <w:t>(c) a multidisciplinary discharge case conference;</w:t>
            </w:r>
          </w:p>
          <w:p w14:paraId="46C68D93" w14:textId="77777777" w:rsidR="00C924AE" w:rsidRPr="003E2FE2" w:rsidRDefault="00C924AE" w:rsidP="00C924AE">
            <w:pPr>
              <w:pStyle w:val="Tabletext"/>
            </w:pPr>
            <w:r w:rsidRPr="003E2FE2">
              <w:t>if the conference lasts for at least 40 minutes (other than a service associated with a service to which items 721 to 732 apply)</w:t>
            </w:r>
          </w:p>
        </w:tc>
        <w:tc>
          <w:tcPr>
            <w:tcW w:w="897" w:type="dxa"/>
          </w:tcPr>
          <w:p w14:paraId="4A321153" w14:textId="77777777" w:rsidR="00C924AE" w:rsidRPr="003E2FE2" w:rsidRDefault="00C924AE" w:rsidP="00C924AE">
            <w:pPr>
              <w:pStyle w:val="Tabletext"/>
            </w:pPr>
            <w:r w:rsidRPr="003E2FE2">
              <w:t>$148.20</w:t>
            </w:r>
          </w:p>
        </w:tc>
        <w:tc>
          <w:tcPr>
            <w:tcW w:w="1079" w:type="dxa"/>
          </w:tcPr>
          <w:p w14:paraId="7DCF7D95" w14:textId="77777777" w:rsidR="00C924AE" w:rsidRPr="003E2FE2" w:rsidRDefault="00C924AE" w:rsidP="00C924AE">
            <w:pPr>
              <w:pStyle w:val="Tabletext"/>
            </w:pPr>
            <w:r w:rsidRPr="003E2FE2">
              <w:t xml:space="preserve">3,184 </w:t>
            </w:r>
          </w:p>
          <w:p w14:paraId="1C11B491" w14:textId="77777777" w:rsidR="00C924AE" w:rsidRPr="003E2FE2" w:rsidRDefault="00C924AE" w:rsidP="00C924AE">
            <w:pPr>
              <w:pStyle w:val="Tabletext"/>
            </w:pPr>
          </w:p>
        </w:tc>
        <w:tc>
          <w:tcPr>
            <w:tcW w:w="1067" w:type="dxa"/>
          </w:tcPr>
          <w:p w14:paraId="6E48E6D4" w14:textId="77777777" w:rsidR="00C924AE" w:rsidRPr="003E2FE2" w:rsidRDefault="00C924AE" w:rsidP="00C924AE">
            <w:pPr>
              <w:pStyle w:val="Tabletext"/>
            </w:pPr>
            <w:r w:rsidRPr="003E2FE2">
              <w:t xml:space="preserve">$471,218 </w:t>
            </w:r>
          </w:p>
        </w:tc>
        <w:tc>
          <w:tcPr>
            <w:tcW w:w="1092" w:type="dxa"/>
          </w:tcPr>
          <w:p w14:paraId="7DCC5024" w14:textId="77777777" w:rsidR="00C924AE" w:rsidRPr="003E2FE2" w:rsidRDefault="00C924AE" w:rsidP="00C924AE">
            <w:pPr>
              <w:pStyle w:val="Tabletext"/>
            </w:pPr>
            <w:r w:rsidRPr="003E2FE2">
              <w:t xml:space="preserve">9.1% </w:t>
            </w:r>
          </w:p>
          <w:p w14:paraId="222B8278" w14:textId="77777777" w:rsidR="00C924AE" w:rsidRPr="003E2FE2" w:rsidRDefault="00C924AE" w:rsidP="00C924AE">
            <w:pPr>
              <w:pStyle w:val="Tabletext"/>
            </w:pPr>
          </w:p>
        </w:tc>
      </w:tr>
    </w:tbl>
    <w:p w14:paraId="0188ACC4" w14:textId="13B05CB9" w:rsidR="00C924AE" w:rsidRDefault="00C924AE">
      <w:pPr>
        <w:spacing w:before="0" w:after="0" w:line="240" w:lineRule="auto"/>
        <w:rPr>
          <w:rFonts w:cs="Arial"/>
          <w:b/>
          <w:color w:val="01653F"/>
          <w:sz w:val="32"/>
          <w:lang w:val="en-US" w:eastAsia="en-US"/>
        </w:rPr>
      </w:pPr>
    </w:p>
    <w:p w14:paraId="6FE1D383" w14:textId="77777777" w:rsidR="00C924AE" w:rsidRDefault="00C924AE">
      <w:pPr>
        <w:spacing w:before="0" w:after="0" w:line="240" w:lineRule="auto"/>
        <w:rPr>
          <w:rFonts w:cs="Arial"/>
          <w:b/>
          <w:color w:val="01653F"/>
          <w:sz w:val="32"/>
          <w:lang w:val="en-US" w:eastAsia="en-US"/>
        </w:rPr>
      </w:pPr>
      <w:r>
        <w:rPr>
          <w:rFonts w:cs="Arial"/>
          <w:b/>
          <w:color w:val="01653F"/>
          <w:sz w:val="32"/>
          <w:lang w:val="en-US" w:eastAsia="en-US"/>
        </w:rPr>
        <w:br w:type="page"/>
      </w:r>
    </w:p>
    <w:p w14:paraId="15C723AD" w14:textId="77777777" w:rsidR="00C924AE" w:rsidRDefault="00C924AE">
      <w:pPr>
        <w:spacing w:before="0" w:after="0" w:line="240" w:lineRule="auto"/>
        <w:rPr>
          <w:rFonts w:cs="Arial"/>
          <w:b/>
          <w:color w:val="01653F"/>
          <w:sz w:val="32"/>
          <w:lang w:val="en-US" w:eastAsia="en-US"/>
        </w:rPr>
      </w:pPr>
    </w:p>
    <w:p w14:paraId="452BF1C2" w14:textId="5C7F81D3" w:rsidR="00C924AE" w:rsidRDefault="00C924AE" w:rsidP="00170E79">
      <w:pPr>
        <w:pStyle w:val="AppendixStyle1"/>
      </w:pPr>
      <w:bookmarkStart w:id="359" w:name="_Toc15644905"/>
      <w:r w:rsidRPr="00C924AE">
        <w:t>Medication Management Items</w:t>
      </w:r>
      <w:bookmarkEnd w:id="359"/>
    </w:p>
    <w:p w14:paraId="664740EB" w14:textId="3AC490C9" w:rsidR="00C924AE" w:rsidRPr="00876D46" w:rsidRDefault="00C924AE" w:rsidP="002E40FE">
      <w:r w:rsidRPr="00C924AE">
        <w:rPr>
          <w:lang w:val="en-US" w:eastAsia="en-US"/>
        </w:rPr>
        <w:t>Table 9: Item introduction table for items 900, 903</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900, 903"/>
        <w:tblDescription w:val="Table 9: Item introduction table for items 900, 903 consists of 6 columns. Column 1. List of items, Column 2. Descriptor, column 3. Schedule fee, column 4. Volume of services for financial year 2015-16, column 5. Total benefits for financial year 2015-16, and column 6. Percentage of the services 5-year average annual growth."/>
      </w:tblPr>
      <w:tblGrid>
        <w:gridCol w:w="1014"/>
        <w:gridCol w:w="5307"/>
        <w:gridCol w:w="1870"/>
        <w:gridCol w:w="1685"/>
        <w:gridCol w:w="1675"/>
        <w:gridCol w:w="1683"/>
      </w:tblGrid>
      <w:tr w:rsidR="00C924AE" w:rsidRPr="008C3D67" w14:paraId="17798FF2" w14:textId="77777777" w:rsidTr="00C924AE">
        <w:trPr>
          <w:tblHeader/>
        </w:trPr>
        <w:tc>
          <w:tcPr>
            <w:tcW w:w="636" w:type="dxa"/>
            <w:shd w:val="clear" w:color="auto" w:fill="01653F"/>
            <w:vAlign w:val="bottom"/>
          </w:tcPr>
          <w:p w14:paraId="41E66922" w14:textId="77777777" w:rsidR="00C924AE" w:rsidRPr="008C3D67" w:rsidRDefault="00C924AE" w:rsidP="00C924AE">
            <w:pPr>
              <w:pStyle w:val="Tableheading-white"/>
            </w:pPr>
            <w:r w:rsidRPr="008C3D67">
              <w:t>Item</w:t>
            </w:r>
          </w:p>
        </w:tc>
        <w:tc>
          <w:tcPr>
            <w:tcW w:w="3329" w:type="dxa"/>
            <w:shd w:val="clear" w:color="auto" w:fill="01653F"/>
            <w:vAlign w:val="bottom"/>
          </w:tcPr>
          <w:p w14:paraId="3F5C0608" w14:textId="77777777" w:rsidR="00C924AE" w:rsidRPr="008C3D67" w:rsidRDefault="00C924AE" w:rsidP="00C924AE">
            <w:pPr>
              <w:pStyle w:val="Tableheading-white"/>
            </w:pPr>
            <w:r w:rsidRPr="008C3D67">
              <w:t>Descriptor</w:t>
            </w:r>
          </w:p>
        </w:tc>
        <w:tc>
          <w:tcPr>
            <w:tcW w:w="1173" w:type="dxa"/>
            <w:shd w:val="clear" w:color="auto" w:fill="01653F"/>
            <w:vAlign w:val="bottom"/>
          </w:tcPr>
          <w:p w14:paraId="48604217" w14:textId="77777777" w:rsidR="00C924AE" w:rsidRPr="008C3D67" w:rsidRDefault="00C924AE" w:rsidP="00C924AE">
            <w:pPr>
              <w:pStyle w:val="Tableheading-white"/>
            </w:pPr>
            <w:r w:rsidRPr="008C3D67">
              <w:t>Schedule fee</w:t>
            </w:r>
          </w:p>
        </w:tc>
        <w:tc>
          <w:tcPr>
            <w:tcW w:w="1057" w:type="dxa"/>
            <w:shd w:val="clear" w:color="auto" w:fill="01653F"/>
            <w:vAlign w:val="bottom"/>
          </w:tcPr>
          <w:p w14:paraId="2FD43663" w14:textId="77777777" w:rsidR="00C924AE" w:rsidRPr="008C3D67" w:rsidRDefault="00C924AE" w:rsidP="00C924AE">
            <w:pPr>
              <w:pStyle w:val="Tableheading-white"/>
            </w:pPr>
            <w:r w:rsidRPr="008C3D67">
              <w:t>Services FY201</w:t>
            </w:r>
            <w:r>
              <w:t>6/17</w:t>
            </w:r>
          </w:p>
        </w:tc>
        <w:tc>
          <w:tcPr>
            <w:tcW w:w="1051" w:type="dxa"/>
            <w:shd w:val="clear" w:color="auto" w:fill="01653F"/>
            <w:vAlign w:val="bottom"/>
          </w:tcPr>
          <w:p w14:paraId="7B37391F" w14:textId="77777777" w:rsidR="00C924AE" w:rsidRPr="008C3D67" w:rsidRDefault="00C924AE" w:rsidP="00C924AE">
            <w:pPr>
              <w:pStyle w:val="Tableheading-white"/>
            </w:pPr>
            <w:r w:rsidRPr="008C3D67">
              <w:t>Benefits FY201</w:t>
            </w:r>
            <w:r>
              <w:t>6/17</w:t>
            </w:r>
          </w:p>
        </w:tc>
        <w:tc>
          <w:tcPr>
            <w:tcW w:w="1056" w:type="dxa"/>
            <w:shd w:val="clear" w:color="auto" w:fill="01653F"/>
            <w:vAlign w:val="bottom"/>
          </w:tcPr>
          <w:p w14:paraId="10974D34" w14:textId="77777777" w:rsidR="00C924AE" w:rsidRPr="008C3D67" w:rsidRDefault="00C924AE" w:rsidP="00C924AE">
            <w:pPr>
              <w:pStyle w:val="Tableheading-white"/>
            </w:pPr>
            <w:r w:rsidRPr="008C3D67">
              <w:t>Services 5-year annual avg. growth</w:t>
            </w:r>
          </w:p>
        </w:tc>
      </w:tr>
      <w:tr w:rsidR="00C924AE" w:rsidRPr="008C3D67" w14:paraId="0F6965F3" w14:textId="77777777" w:rsidTr="00C924AE">
        <w:tc>
          <w:tcPr>
            <w:tcW w:w="636" w:type="dxa"/>
          </w:tcPr>
          <w:p w14:paraId="2D93F867" w14:textId="77777777" w:rsidR="00C924AE" w:rsidRPr="0075547D" w:rsidRDefault="00C924AE" w:rsidP="00C924AE">
            <w:pPr>
              <w:pStyle w:val="Tabletext"/>
            </w:pPr>
            <w:r>
              <w:t>900</w:t>
            </w:r>
          </w:p>
        </w:tc>
        <w:tc>
          <w:tcPr>
            <w:tcW w:w="3329" w:type="dxa"/>
          </w:tcPr>
          <w:p w14:paraId="20AD57D1" w14:textId="77777777" w:rsidR="00C924AE" w:rsidRPr="00733691" w:rsidRDefault="00C924AE" w:rsidP="00C924AE">
            <w:pPr>
              <w:pStyle w:val="Tabletext"/>
            </w:pPr>
            <w:r w:rsidRPr="00733691">
              <w:t>Participation by a general practitioner in a Domiciliary Medication Management Review (DMMR) for a patient living in a community setting, in which the general practitioner, with the patient’s consent:</w:t>
            </w:r>
          </w:p>
          <w:p w14:paraId="350EC2F2" w14:textId="77777777" w:rsidR="00C924AE" w:rsidRPr="00733691" w:rsidRDefault="00C924AE" w:rsidP="00C924AE">
            <w:pPr>
              <w:pStyle w:val="Tabletext"/>
            </w:pPr>
            <w:r w:rsidRPr="00733691">
              <w:t>(a) assesses the patient as:</w:t>
            </w:r>
          </w:p>
          <w:p w14:paraId="12598579" w14:textId="77777777" w:rsidR="00C924AE" w:rsidRPr="00733691" w:rsidRDefault="00C924AE" w:rsidP="00C924AE">
            <w:pPr>
              <w:pStyle w:val="Tabletext"/>
            </w:pPr>
            <w:r w:rsidRPr="00733691">
              <w:t>(i) having a chronic medical condition or a complex medication regimen; and</w:t>
            </w:r>
          </w:p>
          <w:p w14:paraId="0F623858" w14:textId="77777777" w:rsidR="00C924AE" w:rsidRPr="00733691" w:rsidRDefault="00C924AE" w:rsidP="00C924AE">
            <w:pPr>
              <w:pStyle w:val="Tabletext"/>
            </w:pPr>
            <w:r w:rsidRPr="00733691">
              <w:t>(ii) not having their therapeutic goals met; and</w:t>
            </w:r>
          </w:p>
          <w:p w14:paraId="46184316" w14:textId="77777777" w:rsidR="00C924AE" w:rsidRPr="00733691" w:rsidRDefault="00C924AE" w:rsidP="00C924AE">
            <w:pPr>
              <w:pStyle w:val="Tabletext"/>
            </w:pPr>
            <w:r w:rsidRPr="00733691">
              <w:t>(b) following that assessment:</w:t>
            </w:r>
          </w:p>
          <w:p w14:paraId="2BD288E5" w14:textId="77777777" w:rsidR="00C924AE" w:rsidRPr="00733691" w:rsidRDefault="00C924AE" w:rsidP="00C924AE">
            <w:pPr>
              <w:pStyle w:val="Tabletext"/>
            </w:pPr>
            <w:r w:rsidRPr="00733691">
              <w:t>(i) refers the patient to a community pharmacy or an accredited pharmacist for the DMMR; and</w:t>
            </w:r>
          </w:p>
          <w:p w14:paraId="46DA943B" w14:textId="77777777" w:rsidR="00C924AE" w:rsidRPr="00733691" w:rsidRDefault="00C924AE" w:rsidP="00C924AE">
            <w:pPr>
              <w:pStyle w:val="Tabletext"/>
            </w:pPr>
            <w:r w:rsidRPr="00733691">
              <w:t>(ii) provides relevant clinical information required for the DMMR; and</w:t>
            </w:r>
          </w:p>
          <w:p w14:paraId="4A756982" w14:textId="77777777" w:rsidR="00C924AE" w:rsidRPr="00733691" w:rsidRDefault="00C924AE" w:rsidP="00C924AE">
            <w:pPr>
              <w:pStyle w:val="Tabletext"/>
            </w:pPr>
            <w:r w:rsidRPr="00733691">
              <w:t>(c) discusses with the reviewing pharmacist the results of the DMMR including suggested medication management strategies; and</w:t>
            </w:r>
          </w:p>
          <w:p w14:paraId="155D8469" w14:textId="77777777" w:rsidR="00C924AE" w:rsidRPr="00733691" w:rsidRDefault="00C924AE" w:rsidP="00C924AE">
            <w:pPr>
              <w:pStyle w:val="Tabletext"/>
            </w:pPr>
            <w:r w:rsidRPr="00733691">
              <w:t>(d) develops a written medication management plan following discussion with the patient; and</w:t>
            </w:r>
          </w:p>
          <w:p w14:paraId="3FAD5E00" w14:textId="77777777" w:rsidR="00C924AE" w:rsidRPr="00733691" w:rsidRDefault="00C924AE" w:rsidP="00C924AE">
            <w:pPr>
              <w:pStyle w:val="Tabletext"/>
            </w:pPr>
            <w:r w:rsidRPr="00733691">
              <w:t>(e) provides the written medication management plan to a community pharmacy chosen by the patient</w:t>
            </w:r>
          </w:p>
          <w:p w14:paraId="78FC0621" w14:textId="77777777" w:rsidR="00C924AE" w:rsidRPr="0075547D" w:rsidRDefault="00C924AE" w:rsidP="00C924AE">
            <w:pPr>
              <w:pStyle w:val="Tabletext"/>
            </w:pPr>
            <w:r w:rsidRPr="00733691">
              <w:t>For any particular patient—applicable not more than once in each 12 month period, except if there has been a significant change in the patient’s condition or medication regimen requiring a new DMMR</w:t>
            </w:r>
          </w:p>
        </w:tc>
        <w:tc>
          <w:tcPr>
            <w:tcW w:w="1173" w:type="dxa"/>
          </w:tcPr>
          <w:p w14:paraId="778421E9" w14:textId="77777777" w:rsidR="00C924AE" w:rsidRPr="004B39E1" w:rsidRDefault="00C924AE" w:rsidP="00C924AE">
            <w:pPr>
              <w:pStyle w:val="Tabletext"/>
            </w:pPr>
            <w:r w:rsidRPr="0075547D">
              <w:t>$</w:t>
            </w:r>
            <w:r w:rsidRPr="004B39E1">
              <w:t xml:space="preserve">154.80 </w:t>
            </w:r>
          </w:p>
          <w:p w14:paraId="2315E6A6" w14:textId="77777777" w:rsidR="00C924AE" w:rsidRPr="003F6634" w:rsidRDefault="00C924AE" w:rsidP="00C924AE">
            <w:pPr>
              <w:pStyle w:val="Tabletext"/>
            </w:pPr>
          </w:p>
          <w:p w14:paraId="1A3E43A7" w14:textId="77777777" w:rsidR="00C924AE" w:rsidRPr="0075547D" w:rsidRDefault="00C924AE" w:rsidP="00C924AE">
            <w:pPr>
              <w:pStyle w:val="Tabletext"/>
            </w:pPr>
          </w:p>
        </w:tc>
        <w:tc>
          <w:tcPr>
            <w:tcW w:w="1057" w:type="dxa"/>
          </w:tcPr>
          <w:p w14:paraId="61B60CDF" w14:textId="77777777" w:rsidR="00C924AE" w:rsidRDefault="00C924AE" w:rsidP="00C924AE">
            <w:pPr>
              <w:pStyle w:val="Tabletext"/>
            </w:pPr>
            <w:r>
              <w:t>66,748</w:t>
            </w:r>
          </w:p>
          <w:p w14:paraId="2018B17D" w14:textId="77777777" w:rsidR="00C924AE" w:rsidRPr="0075547D" w:rsidRDefault="00C924AE" w:rsidP="00C924AE">
            <w:pPr>
              <w:pStyle w:val="Tabletext"/>
            </w:pPr>
          </w:p>
        </w:tc>
        <w:tc>
          <w:tcPr>
            <w:tcW w:w="1051" w:type="dxa"/>
          </w:tcPr>
          <w:p w14:paraId="6E5DC028" w14:textId="77777777" w:rsidR="00C924AE" w:rsidRDefault="00C924AE" w:rsidP="00C924AE">
            <w:pPr>
              <w:pStyle w:val="Tabletext"/>
            </w:pPr>
            <w:r w:rsidRPr="0075547D">
              <w:t>$</w:t>
            </w:r>
            <w:r>
              <w:t>10,332,345</w:t>
            </w:r>
          </w:p>
          <w:p w14:paraId="1DA19DC4" w14:textId="77777777" w:rsidR="00C924AE" w:rsidRDefault="00C924AE" w:rsidP="00C924AE">
            <w:pPr>
              <w:pStyle w:val="Tabletext"/>
            </w:pPr>
          </w:p>
          <w:p w14:paraId="5C2E3CF2" w14:textId="77777777" w:rsidR="00C924AE" w:rsidRPr="0075547D" w:rsidRDefault="00C924AE" w:rsidP="00C924AE">
            <w:pPr>
              <w:pStyle w:val="Tabletext"/>
            </w:pPr>
          </w:p>
        </w:tc>
        <w:tc>
          <w:tcPr>
            <w:tcW w:w="1056" w:type="dxa"/>
          </w:tcPr>
          <w:p w14:paraId="74E4FA76" w14:textId="77777777" w:rsidR="00C924AE" w:rsidRPr="0075547D" w:rsidRDefault="00C924AE" w:rsidP="00C924AE">
            <w:pPr>
              <w:pStyle w:val="Tabletext"/>
            </w:pPr>
            <w:r>
              <w:t>-3.1%</w:t>
            </w:r>
          </w:p>
        </w:tc>
      </w:tr>
      <w:tr w:rsidR="00C924AE" w:rsidRPr="008C3D67" w14:paraId="55383DC4" w14:textId="77777777" w:rsidTr="00C924AE">
        <w:tc>
          <w:tcPr>
            <w:tcW w:w="636" w:type="dxa"/>
          </w:tcPr>
          <w:p w14:paraId="5978D01A" w14:textId="77777777" w:rsidR="00C924AE" w:rsidRPr="0075547D" w:rsidRDefault="00C924AE" w:rsidP="00C924AE">
            <w:pPr>
              <w:pStyle w:val="Tabletext"/>
            </w:pPr>
            <w:r>
              <w:t>903</w:t>
            </w:r>
          </w:p>
        </w:tc>
        <w:tc>
          <w:tcPr>
            <w:tcW w:w="3329" w:type="dxa"/>
          </w:tcPr>
          <w:p w14:paraId="0AD45176" w14:textId="77777777" w:rsidR="00C924AE" w:rsidRPr="0075547D" w:rsidRDefault="00C924AE" w:rsidP="00C924AE">
            <w:pPr>
              <w:pStyle w:val="Tabletext"/>
            </w:pPr>
            <w:r w:rsidRPr="005F67F4">
              <w:t>Participation by a general practitioner  in a residential medication management review (RMMR) for a patient who is a permanent resident of a residential aged care facility-other than an RMMR for a resident in relation to whom, in the preceding 12 months, this item has applied, unless there has been a significant change in the resident's medical condition or medication management plan requiring a new RMMR</w:t>
            </w:r>
          </w:p>
        </w:tc>
        <w:tc>
          <w:tcPr>
            <w:tcW w:w="1173" w:type="dxa"/>
          </w:tcPr>
          <w:p w14:paraId="0E45D172" w14:textId="77777777" w:rsidR="00C924AE" w:rsidRPr="004B39E1" w:rsidRDefault="00C924AE" w:rsidP="00C924AE">
            <w:pPr>
              <w:pStyle w:val="Tabletext"/>
            </w:pPr>
            <w:r>
              <w:t>$</w:t>
            </w:r>
            <w:r w:rsidRPr="004B39E1">
              <w:t>106.00</w:t>
            </w:r>
          </w:p>
          <w:p w14:paraId="2780B105" w14:textId="77777777" w:rsidR="00C924AE" w:rsidRPr="003F6634" w:rsidRDefault="00C924AE" w:rsidP="00C924AE">
            <w:pPr>
              <w:pStyle w:val="Tabletext"/>
            </w:pPr>
            <w:r w:rsidRPr="003F6634">
              <w:t xml:space="preserve"> </w:t>
            </w:r>
          </w:p>
          <w:p w14:paraId="0F13E5E9" w14:textId="77777777" w:rsidR="00C924AE" w:rsidRPr="0075547D" w:rsidRDefault="00C924AE" w:rsidP="00C924AE">
            <w:pPr>
              <w:pStyle w:val="Tabletext"/>
            </w:pPr>
          </w:p>
        </w:tc>
        <w:tc>
          <w:tcPr>
            <w:tcW w:w="1057" w:type="dxa"/>
          </w:tcPr>
          <w:p w14:paraId="0967CE00" w14:textId="77777777" w:rsidR="00C924AE" w:rsidRDefault="00C924AE" w:rsidP="00C924AE">
            <w:pPr>
              <w:pStyle w:val="Tabletext"/>
            </w:pPr>
            <w:r>
              <w:t>63,973</w:t>
            </w:r>
          </w:p>
          <w:p w14:paraId="6E568BDF" w14:textId="77777777" w:rsidR="00C924AE" w:rsidRDefault="00C924AE" w:rsidP="00C924AE">
            <w:pPr>
              <w:pStyle w:val="Tabletext"/>
            </w:pPr>
            <w:r>
              <w:t xml:space="preserve"> </w:t>
            </w:r>
          </w:p>
          <w:p w14:paraId="0940DADB" w14:textId="77777777" w:rsidR="00C924AE" w:rsidRPr="0075547D" w:rsidRDefault="00C924AE" w:rsidP="00C924AE">
            <w:pPr>
              <w:pStyle w:val="Tabletext"/>
            </w:pPr>
          </w:p>
        </w:tc>
        <w:tc>
          <w:tcPr>
            <w:tcW w:w="1051" w:type="dxa"/>
          </w:tcPr>
          <w:p w14:paraId="1818CC51" w14:textId="77777777" w:rsidR="00C924AE" w:rsidRDefault="00C924AE" w:rsidP="00C924AE">
            <w:pPr>
              <w:pStyle w:val="Tabletext"/>
            </w:pPr>
            <w:r w:rsidRPr="0075547D">
              <w:t>$</w:t>
            </w:r>
            <w:r>
              <w:t>6,780,681</w:t>
            </w:r>
          </w:p>
          <w:p w14:paraId="0A630137" w14:textId="77777777" w:rsidR="00C924AE" w:rsidRDefault="00C924AE" w:rsidP="00C924AE">
            <w:pPr>
              <w:pStyle w:val="Tabletext"/>
            </w:pPr>
          </w:p>
          <w:p w14:paraId="133260E4" w14:textId="77777777" w:rsidR="00C924AE" w:rsidRDefault="00C924AE" w:rsidP="00C924AE">
            <w:pPr>
              <w:pStyle w:val="Tabletext"/>
            </w:pPr>
          </w:p>
          <w:p w14:paraId="0EBBD05D" w14:textId="77777777" w:rsidR="00C924AE" w:rsidRPr="0075547D" w:rsidRDefault="00C924AE" w:rsidP="00C924AE">
            <w:pPr>
              <w:pStyle w:val="Tabletext"/>
            </w:pPr>
          </w:p>
        </w:tc>
        <w:tc>
          <w:tcPr>
            <w:tcW w:w="1056" w:type="dxa"/>
          </w:tcPr>
          <w:p w14:paraId="563548D7" w14:textId="77777777" w:rsidR="00C924AE" w:rsidRPr="0075547D" w:rsidRDefault="00C924AE" w:rsidP="00C924AE">
            <w:pPr>
              <w:pStyle w:val="Tabletext"/>
            </w:pPr>
            <w:r>
              <w:t>-0.7%</w:t>
            </w:r>
          </w:p>
        </w:tc>
      </w:tr>
    </w:tbl>
    <w:p w14:paraId="5158E740" w14:textId="7CF7F9CC" w:rsidR="00C924AE" w:rsidRDefault="00C924AE" w:rsidP="00C924AE">
      <w:pPr>
        <w:rPr>
          <w:lang w:val="en-US" w:eastAsia="en-US"/>
        </w:rPr>
      </w:pPr>
    </w:p>
    <w:p w14:paraId="503708BC" w14:textId="77777777" w:rsidR="00C924AE" w:rsidRDefault="00C924AE">
      <w:pPr>
        <w:spacing w:before="0" w:after="0" w:line="240" w:lineRule="auto"/>
        <w:rPr>
          <w:lang w:val="en-US" w:eastAsia="en-US"/>
        </w:rPr>
      </w:pPr>
      <w:r>
        <w:rPr>
          <w:lang w:val="en-US" w:eastAsia="en-US"/>
        </w:rPr>
        <w:br w:type="page"/>
      </w:r>
    </w:p>
    <w:p w14:paraId="1ECB6BEC" w14:textId="77777777" w:rsidR="00C924AE" w:rsidRPr="00876D46" w:rsidRDefault="00C924AE" w:rsidP="002E40FE"/>
    <w:p w14:paraId="11704592" w14:textId="305D6CBE" w:rsidR="00C924AE" w:rsidRPr="00B7246E" w:rsidRDefault="00B7246E" w:rsidP="00B7246E">
      <w:pPr>
        <w:pStyle w:val="AppendixStyle1"/>
      </w:pPr>
      <w:bookmarkStart w:id="360" w:name="_Toc15644906"/>
      <w:r w:rsidRPr="00B7246E">
        <w:t>Health Assessment Items</w:t>
      </w:r>
      <w:bookmarkEnd w:id="360"/>
    </w:p>
    <w:p w14:paraId="13CBEE52" w14:textId="674B368E" w:rsidR="00C924AE" w:rsidRDefault="00C924AE" w:rsidP="002E40FE"/>
    <w:p w14:paraId="059BB8EC" w14:textId="77777777" w:rsidR="00C924AE" w:rsidRPr="000C0BD8" w:rsidRDefault="00C924AE" w:rsidP="00C924AE">
      <w:pPr>
        <w:pStyle w:val="TableCaption"/>
      </w:pPr>
      <w:r w:rsidRPr="000C0BD8">
        <w:t>Table 8: Item introduction table for items 701, 703, 705, 707, 715</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701, 703, 705, 707, 715"/>
        <w:tblDescription w:val="Table 8: Item introduction table for items 701, 703, 705, 707, 715 consists of 6 columns. Column 1. List of items, Column 2. Descriptor, column 3. Schedule fee, column 4. Volume of services for financial year 2015-16, column 5. Total benefits for financial year 2015-16, and column 6. Percentage of the services 5-year average annual growth."/>
      </w:tblPr>
      <w:tblGrid>
        <w:gridCol w:w="1014"/>
        <w:gridCol w:w="5338"/>
        <w:gridCol w:w="1855"/>
        <w:gridCol w:w="1678"/>
        <w:gridCol w:w="1665"/>
        <w:gridCol w:w="1684"/>
      </w:tblGrid>
      <w:tr w:rsidR="00C924AE" w:rsidRPr="008C3D67" w14:paraId="520EF45E" w14:textId="77777777" w:rsidTr="00C924AE">
        <w:trPr>
          <w:tblHeader/>
        </w:trPr>
        <w:tc>
          <w:tcPr>
            <w:tcW w:w="641" w:type="dxa"/>
            <w:shd w:val="clear" w:color="auto" w:fill="01653F"/>
            <w:vAlign w:val="bottom"/>
          </w:tcPr>
          <w:p w14:paraId="4211F6C6" w14:textId="77777777" w:rsidR="00C924AE" w:rsidRPr="008C3D67" w:rsidRDefault="00C924AE" w:rsidP="00C924AE">
            <w:pPr>
              <w:pStyle w:val="Tableheading-white"/>
            </w:pPr>
            <w:r w:rsidRPr="008C3D67">
              <w:t>Item</w:t>
            </w:r>
          </w:p>
        </w:tc>
        <w:tc>
          <w:tcPr>
            <w:tcW w:w="3375" w:type="dxa"/>
            <w:shd w:val="clear" w:color="auto" w:fill="01653F"/>
            <w:vAlign w:val="bottom"/>
          </w:tcPr>
          <w:p w14:paraId="4634D6E2" w14:textId="77777777" w:rsidR="00C924AE" w:rsidRPr="008C3D67" w:rsidRDefault="00C924AE" w:rsidP="00C924AE">
            <w:pPr>
              <w:pStyle w:val="Tableheading-white"/>
            </w:pPr>
            <w:r w:rsidRPr="008C3D67">
              <w:t>Descriptor</w:t>
            </w:r>
          </w:p>
        </w:tc>
        <w:tc>
          <w:tcPr>
            <w:tcW w:w="1173" w:type="dxa"/>
            <w:shd w:val="clear" w:color="auto" w:fill="01653F"/>
            <w:vAlign w:val="bottom"/>
          </w:tcPr>
          <w:p w14:paraId="7424647B" w14:textId="77777777" w:rsidR="00C924AE" w:rsidRPr="008C3D67" w:rsidRDefault="00C924AE" w:rsidP="00C924AE">
            <w:pPr>
              <w:pStyle w:val="Tableheading-white"/>
            </w:pPr>
            <w:r w:rsidRPr="008C3D67">
              <w:t>Schedule fee</w:t>
            </w:r>
          </w:p>
        </w:tc>
        <w:tc>
          <w:tcPr>
            <w:tcW w:w="1061" w:type="dxa"/>
            <w:shd w:val="clear" w:color="auto" w:fill="01653F"/>
            <w:vAlign w:val="bottom"/>
          </w:tcPr>
          <w:p w14:paraId="332FAE5B" w14:textId="77777777" w:rsidR="00C924AE" w:rsidRPr="008C3D67" w:rsidRDefault="00C924AE" w:rsidP="00C924AE">
            <w:pPr>
              <w:pStyle w:val="Tableheading-white"/>
            </w:pPr>
            <w:r w:rsidRPr="008C3D67">
              <w:t>Services FY201</w:t>
            </w:r>
            <w:r>
              <w:t>6/17</w:t>
            </w:r>
          </w:p>
        </w:tc>
        <w:tc>
          <w:tcPr>
            <w:tcW w:w="1053" w:type="dxa"/>
            <w:shd w:val="clear" w:color="auto" w:fill="01653F"/>
            <w:vAlign w:val="bottom"/>
          </w:tcPr>
          <w:p w14:paraId="4740B3A6" w14:textId="77777777" w:rsidR="00C924AE" w:rsidRPr="008C3D67" w:rsidRDefault="00C924AE" w:rsidP="00C924AE">
            <w:pPr>
              <w:pStyle w:val="Tableheading-white"/>
            </w:pPr>
            <w:r w:rsidRPr="008C3D67">
              <w:t>Benefits FY201</w:t>
            </w:r>
            <w:r>
              <w:t>6/17</w:t>
            </w:r>
          </w:p>
        </w:tc>
        <w:tc>
          <w:tcPr>
            <w:tcW w:w="1065" w:type="dxa"/>
            <w:shd w:val="clear" w:color="auto" w:fill="01653F"/>
            <w:vAlign w:val="bottom"/>
          </w:tcPr>
          <w:p w14:paraId="1838B1F0" w14:textId="77777777" w:rsidR="00C924AE" w:rsidRPr="008C3D67" w:rsidRDefault="00C924AE" w:rsidP="00C924AE">
            <w:pPr>
              <w:pStyle w:val="Tableheading-white"/>
            </w:pPr>
            <w:r w:rsidRPr="008C3D67">
              <w:t>Services 5-year annual avg. growth</w:t>
            </w:r>
          </w:p>
        </w:tc>
      </w:tr>
      <w:tr w:rsidR="00C924AE" w:rsidRPr="008C3D67" w14:paraId="485D03FE" w14:textId="77777777" w:rsidTr="00C924AE">
        <w:tc>
          <w:tcPr>
            <w:tcW w:w="641" w:type="dxa"/>
          </w:tcPr>
          <w:p w14:paraId="22C18C1F" w14:textId="77777777" w:rsidR="00C924AE" w:rsidRPr="00E942BE" w:rsidRDefault="00C924AE" w:rsidP="00C924AE">
            <w:pPr>
              <w:pStyle w:val="Tabletext"/>
            </w:pPr>
            <w:r w:rsidRPr="00E942BE">
              <w:t>701</w:t>
            </w:r>
          </w:p>
        </w:tc>
        <w:tc>
          <w:tcPr>
            <w:tcW w:w="3375" w:type="dxa"/>
          </w:tcPr>
          <w:p w14:paraId="76295029" w14:textId="77777777" w:rsidR="00C924AE" w:rsidRPr="00E942BE" w:rsidRDefault="00C924AE" w:rsidP="00C924AE">
            <w:pPr>
              <w:pStyle w:val="Tabletext"/>
            </w:pPr>
            <w:r w:rsidRPr="00E942BE">
              <w:t>Professional attendance by a general practitioner  to perform a brief health assessment, lasting not more than 30 minutes and including:</w:t>
            </w:r>
          </w:p>
          <w:p w14:paraId="29F51900" w14:textId="77777777" w:rsidR="00C924AE" w:rsidRPr="00E942BE" w:rsidRDefault="00C924AE" w:rsidP="00C924AE">
            <w:pPr>
              <w:pStyle w:val="Tabletext"/>
            </w:pPr>
            <w:r w:rsidRPr="00E942BE">
              <w:t>(a) collection of relevant information, including taking a patient history; and</w:t>
            </w:r>
          </w:p>
          <w:p w14:paraId="3ACCE240" w14:textId="77777777" w:rsidR="00C924AE" w:rsidRPr="00E942BE" w:rsidRDefault="00C924AE" w:rsidP="00C924AE">
            <w:pPr>
              <w:pStyle w:val="Tabletext"/>
            </w:pPr>
            <w:r w:rsidRPr="00E942BE">
              <w:t>(b) a basic physical examination; and</w:t>
            </w:r>
          </w:p>
          <w:p w14:paraId="61109581" w14:textId="77777777" w:rsidR="00C924AE" w:rsidRPr="00E942BE" w:rsidRDefault="00C924AE" w:rsidP="00C924AE">
            <w:pPr>
              <w:pStyle w:val="Tabletext"/>
            </w:pPr>
            <w:r w:rsidRPr="00E942BE">
              <w:t>(c) initiating interventions and referrals as indicated; and</w:t>
            </w:r>
          </w:p>
          <w:p w14:paraId="5444510D" w14:textId="77777777" w:rsidR="00C924AE" w:rsidRPr="00E942BE" w:rsidRDefault="00C924AE" w:rsidP="00C924AE">
            <w:pPr>
              <w:pStyle w:val="Tabletext"/>
            </w:pPr>
            <w:r w:rsidRPr="00E942BE">
              <w:t>(d) providing the patient with preventive health care advice and information</w:t>
            </w:r>
          </w:p>
        </w:tc>
        <w:tc>
          <w:tcPr>
            <w:tcW w:w="1173" w:type="dxa"/>
          </w:tcPr>
          <w:p w14:paraId="5BE63BBC" w14:textId="77777777" w:rsidR="00C924AE" w:rsidRPr="00E942BE" w:rsidRDefault="00C924AE" w:rsidP="00C924AE">
            <w:pPr>
              <w:pStyle w:val="Tabletext"/>
            </w:pPr>
            <w:r w:rsidRPr="00E942BE">
              <w:t xml:space="preserve">$59.35 </w:t>
            </w:r>
          </w:p>
          <w:p w14:paraId="2A8E773C" w14:textId="77777777" w:rsidR="00C924AE" w:rsidRPr="00E942BE" w:rsidRDefault="00C924AE" w:rsidP="00C924AE">
            <w:pPr>
              <w:pStyle w:val="Tabletext"/>
            </w:pPr>
          </w:p>
        </w:tc>
        <w:tc>
          <w:tcPr>
            <w:tcW w:w="1061" w:type="dxa"/>
          </w:tcPr>
          <w:p w14:paraId="36810DC4" w14:textId="77777777" w:rsidR="00C924AE" w:rsidRPr="00E942BE" w:rsidRDefault="00C924AE" w:rsidP="00C924AE">
            <w:pPr>
              <w:pStyle w:val="Tabletext"/>
            </w:pPr>
            <w:r w:rsidRPr="00E942BE">
              <w:t xml:space="preserve">47,026 </w:t>
            </w:r>
          </w:p>
          <w:p w14:paraId="0FF9F14C" w14:textId="77777777" w:rsidR="00C924AE" w:rsidRPr="00E942BE" w:rsidRDefault="00C924AE" w:rsidP="00C924AE">
            <w:pPr>
              <w:pStyle w:val="Tabletext"/>
            </w:pPr>
          </w:p>
        </w:tc>
        <w:tc>
          <w:tcPr>
            <w:tcW w:w="1053" w:type="dxa"/>
          </w:tcPr>
          <w:p w14:paraId="02AAA2F7" w14:textId="77777777" w:rsidR="00C924AE" w:rsidRPr="00E942BE" w:rsidRDefault="00C924AE" w:rsidP="00C924AE">
            <w:pPr>
              <w:pStyle w:val="Tabletext"/>
            </w:pPr>
            <w:r w:rsidRPr="00E942BE">
              <w:t xml:space="preserve">$2,791,142 </w:t>
            </w:r>
          </w:p>
          <w:p w14:paraId="673A939A" w14:textId="77777777" w:rsidR="00C924AE" w:rsidRPr="00E942BE" w:rsidRDefault="00C924AE" w:rsidP="00C924AE">
            <w:pPr>
              <w:pStyle w:val="Tabletext"/>
            </w:pPr>
          </w:p>
        </w:tc>
        <w:tc>
          <w:tcPr>
            <w:tcW w:w="1065" w:type="dxa"/>
          </w:tcPr>
          <w:p w14:paraId="4D3D6BCA" w14:textId="77777777" w:rsidR="00C924AE" w:rsidRPr="00E942BE" w:rsidRDefault="00C924AE" w:rsidP="00C924AE">
            <w:pPr>
              <w:pStyle w:val="Tabletext"/>
            </w:pPr>
            <w:r w:rsidRPr="00E942BE">
              <w:t>-4.8%</w:t>
            </w:r>
          </w:p>
        </w:tc>
      </w:tr>
      <w:tr w:rsidR="00C924AE" w:rsidRPr="008C3D67" w14:paraId="288DA5A0" w14:textId="77777777" w:rsidTr="00C924AE">
        <w:tc>
          <w:tcPr>
            <w:tcW w:w="641" w:type="dxa"/>
          </w:tcPr>
          <w:p w14:paraId="336EF86C" w14:textId="77777777" w:rsidR="00C924AE" w:rsidRPr="00E942BE" w:rsidRDefault="00C924AE" w:rsidP="00C924AE">
            <w:pPr>
              <w:pStyle w:val="Tabletext"/>
            </w:pPr>
            <w:r w:rsidRPr="00E942BE">
              <w:t>703</w:t>
            </w:r>
          </w:p>
        </w:tc>
        <w:tc>
          <w:tcPr>
            <w:tcW w:w="3375" w:type="dxa"/>
          </w:tcPr>
          <w:p w14:paraId="433D1635" w14:textId="77777777" w:rsidR="00C924AE" w:rsidRPr="00E942BE" w:rsidRDefault="00C924AE" w:rsidP="00C924AE">
            <w:pPr>
              <w:pStyle w:val="Tabletext"/>
            </w:pPr>
            <w:r w:rsidRPr="00E942BE">
              <w:t>Professional attendance by a general practitioner to perform a standard health assessment, lasting more than 30 minutes but less than 45 minutes, including:</w:t>
            </w:r>
          </w:p>
          <w:p w14:paraId="1989DA54" w14:textId="77777777" w:rsidR="00C924AE" w:rsidRPr="00E942BE" w:rsidRDefault="00C924AE" w:rsidP="00C924AE">
            <w:pPr>
              <w:pStyle w:val="Tabletext"/>
            </w:pPr>
            <w:r w:rsidRPr="00E942BE">
              <w:t>(a) detailed information collection, including taking a patient history; and</w:t>
            </w:r>
          </w:p>
          <w:p w14:paraId="588991A5" w14:textId="77777777" w:rsidR="00C924AE" w:rsidRPr="00E942BE" w:rsidRDefault="00C924AE" w:rsidP="00C924AE">
            <w:pPr>
              <w:pStyle w:val="Tabletext"/>
            </w:pPr>
            <w:r w:rsidRPr="00E942BE">
              <w:t>(b) an extensive physical examination; and</w:t>
            </w:r>
          </w:p>
          <w:p w14:paraId="30A54B92" w14:textId="77777777" w:rsidR="00C924AE" w:rsidRPr="00E942BE" w:rsidRDefault="00C924AE" w:rsidP="00C924AE">
            <w:pPr>
              <w:pStyle w:val="Tabletext"/>
            </w:pPr>
            <w:r w:rsidRPr="00E942BE">
              <w:t>(c) initiating interventions and referrals as indicated; and</w:t>
            </w:r>
          </w:p>
          <w:p w14:paraId="5050F7B4" w14:textId="77777777" w:rsidR="00C924AE" w:rsidRPr="00E942BE" w:rsidRDefault="00C924AE" w:rsidP="00C924AE">
            <w:pPr>
              <w:pStyle w:val="Tabletext"/>
            </w:pPr>
            <w:r w:rsidRPr="00E942BE">
              <w:t>(d) providing a preventive health care strategy for the patient</w:t>
            </w:r>
          </w:p>
        </w:tc>
        <w:tc>
          <w:tcPr>
            <w:tcW w:w="1173" w:type="dxa"/>
          </w:tcPr>
          <w:p w14:paraId="4D3BA229" w14:textId="77777777" w:rsidR="00C924AE" w:rsidRPr="00E942BE" w:rsidRDefault="00C924AE" w:rsidP="00C924AE">
            <w:pPr>
              <w:pStyle w:val="Tabletext"/>
            </w:pPr>
            <w:r w:rsidRPr="00E942BE">
              <w:t xml:space="preserve">$137.90 </w:t>
            </w:r>
          </w:p>
          <w:p w14:paraId="03C8DCB5" w14:textId="77777777" w:rsidR="00C924AE" w:rsidRPr="00E942BE" w:rsidRDefault="00C924AE" w:rsidP="00C924AE">
            <w:pPr>
              <w:pStyle w:val="Tabletext"/>
            </w:pPr>
          </w:p>
        </w:tc>
        <w:tc>
          <w:tcPr>
            <w:tcW w:w="1061" w:type="dxa"/>
          </w:tcPr>
          <w:p w14:paraId="4BC7CF1D" w14:textId="77777777" w:rsidR="00C924AE" w:rsidRPr="00E942BE" w:rsidRDefault="00C924AE" w:rsidP="00C924AE">
            <w:pPr>
              <w:pStyle w:val="Tabletext"/>
            </w:pPr>
            <w:r w:rsidRPr="00E942BE">
              <w:t xml:space="preserve">185,481 </w:t>
            </w:r>
          </w:p>
          <w:p w14:paraId="4B6170B0" w14:textId="77777777" w:rsidR="00C924AE" w:rsidRPr="00E942BE" w:rsidRDefault="00C924AE" w:rsidP="00C924AE">
            <w:pPr>
              <w:pStyle w:val="Tabletext"/>
            </w:pPr>
          </w:p>
        </w:tc>
        <w:tc>
          <w:tcPr>
            <w:tcW w:w="1053" w:type="dxa"/>
          </w:tcPr>
          <w:p w14:paraId="742CF204" w14:textId="77777777" w:rsidR="00C924AE" w:rsidRPr="00E942BE" w:rsidRDefault="00C924AE" w:rsidP="00C924AE">
            <w:pPr>
              <w:pStyle w:val="Tabletext"/>
            </w:pPr>
            <w:r w:rsidRPr="00E942BE">
              <w:t xml:space="preserve">$25,578,394 </w:t>
            </w:r>
          </w:p>
          <w:p w14:paraId="7B4D7ABC" w14:textId="77777777" w:rsidR="00C924AE" w:rsidRPr="00E942BE" w:rsidRDefault="00C924AE" w:rsidP="00C924AE">
            <w:pPr>
              <w:pStyle w:val="Tabletext"/>
            </w:pPr>
          </w:p>
          <w:p w14:paraId="666A8517" w14:textId="77777777" w:rsidR="00C924AE" w:rsidRPr="00E942BE" w:rsidRDefault="00C924AE" w:rsidP="00C924AE">
            <w:pPr>
              <w:pStyle w:val="Tabletext"/>
            </w:pPr>
          </w:p>
        </w:tc>
        <w:tc>
          <w:tcPr>
            <w:tcW w:w="1065" w:type="dxa"/>
          </w:tcPr>
          <w:p w14:paraId="1F80BADE" w14:textId="77777777" w:rsidR="00C924AE" w:rsidRPr="00E942BE" w:rsidRDefault="00C924AE" w:rsidP="00C924AE">
            <w:pPr>
              <w:pStyle w:val="Tabletext"/>
            </w:pPr>
            <w:r w:rsidRPr="00E942BE">
              <w:t>0.1%</w:t>
            </w:r>
          </w:p>
        </w:tc>
      </w:tr>
      <w:tr w:rsidR="00C924AE" w:rsidRPr="008C3D67" w14:paraId="6293FBDD" w14:textId="77777777" w:rsidTr="00C924AE">
        <w:tc>
          <w:tcPr>
            <w:tcW w:w="641" w:type="dxa"/>
          </w:tcPr>
          <w:p w14:paraId="5D17AFD5" w14:textId="77777777" w:rsidR="00C924AE" w:rsidRPr="00E942BE" w:rsidRDefault="00C924AE" w:rsidP="00C924AE">
            <w:pPr>
              <w:pStyle w:val="Tabletext"/>
            </w:pPr>
            <w:r w:rsidRPr="00E942BE">
              <w:t>705</w:t>
            </w:r>
          </w:p>
        </w:tc>
        <w:tc>
          <w:tcPr>
            <w:tcW w:w="3375" w:type="dxa"/>
          </w:tcPr>
          <w:p w14:paraId="70C16DDF" w14:textId="77777777" w:rsidR="00C924AE" w:rsidRPr="00E942BE" w:rsidRDefault="00C924AE" w:rsidP="00C924AE">
            <w:pPr>
              <w:pStyle w:val="Tabletext"/>
            </w:pPr>
            <w:r w:rsidRPr="00E942BE">
              <w:t>Professional attendance by a general practitioner  to perform a long health assessment, lasting at least 45 minutes but less than 60 minutes, including:</w:t>
            </w:r>
          </w:p>
          <w:p w14:paraId="47A0E8A4" w14:textId="77777777" w:rsidR="00C924AE" w:rsidRPr="00E942BE" w:rsidRDefault="00C924AE" w:rsidP="00C924AE">
            <w:pPr>
              <w:pStyle w:val="Tabletext"/>
            </w:pPr>
            <w:r w:rsidRPr="00E942BE">
              <w:t>(a) comprehensive information collection, including taking a patient history; and</w:t>
            </w:r>
          </w:p>
          <w:p w14:paraId="0309B353" w14:textId="77777777" w:rsidR="00C924AE" w:rsidRPr="00E942BE" w:rsidRDefault="00C924AE" w:rsidP="00C924AE">
            <w:pPr>
              <w:pStyle w:val="Tabletext"/>
            </w:pPr>
            <w:r w:rsidRPr="00E942BE">
              <w:t>(b) an extensive examination of the patient's medical condition and physical function; and</w:t>
            </w:r>
          </w:p>
          <w:p w14:paraId="26311F2A" w14:textId="77777777" w:rsidR="00C924AE" w:rsidRPr="00E942BE" w:rsidRDefault="00C924AE" w:rsidP="00C924AE">
            <w:pPr>
              <w:pStyle w:val="Tabletext"/>
            </w:pPr>
            <w:r w:rsidRPr="00E942BE">
              <w:t>(c) initiating interventions and referrals as indicated; and</w:t>
            </w:r>
          </w:p>
          <w:p w14:paraId="458567F3" w14:textId="77777777" w:rsidR="00C924AE" w:rsidRPr="00E942BE" w:rsidRDefault="00C924AE" w:rsidP="00C924AE">
            <w:pPr>
              <w:pStyle w:val="Tabletext"/>
            </w:pPr>
            <w:r w:rsidRPr="00E942BE">
              <w:t>(d) providing a basic preventive health care management plan for the patient</w:t>
            </w:r>
          </w:p>
        </w:tc>
        <w:tc>
          <w:tcPr>
            <w:tcW w:w="1173" w:type="dxa"/>
          </w:tcPr>
          <w:p w14:paraId="29F1B004" w14:textId="77777777" w:rsidR="00C924AE" w:rsidRPr="00E942BE" w:rsidRDefault="00C924AE" w:rsidP="00C924AE">
            <w:pPr>
              <w:pStyle w:val="Tabletext"/>
            </w:pPr>
            <w:r w:rsidRPr="00E942BE">
              <w:t xml:space="preserve">$190.30 </w:t>
            </w:r>
          </w:p>
          <w:p w14:paraId="37FA6205" w14:textId="77777777" w:rsidR="00C924AE" w:rsidRPr="00E942BE" w:rsidRDefault="00C924AE" w:rsidP="00C924AE">
            <w:pPr>
              <w:pStyle w:val="Tabletext"/>
            </w:pPr>
          </w:p>
        </w:tc>
        <w:tc>
          <w:tcPr>
            <w:tcW w:w="1061" w:type="dxa"/>
          </w:tcPr>
          <w:p w14:paraId="1B8F281E" w14:textId="77777777" w:rsidR="00C924AE" w:rsidRPr="00E942BE" w:rsidRDefault="00C924AE" w:rsidP="00C924AE">
            <w:pPr>
              <w:pStyle w:val="Tabletext"/>
            </w:pPr>
            <w:r w:rsidRPr="00E942BE">
              <w:t xml:space="preserve">211,834 </w:t>
            </w:r>
          </w:p>
          <w:p w14:paraId="5E02D99E" w14:textId="77777777" w:rsidR="00C924AE" w:rsidRPr="00E942BE" w:rsidRDefault="00C924AE" w:rsidP="00C924AE">
            <w:pPr>
              <w:pStyle w:val="Tabletext"/>
            </w:pPr>
          </w:p>
        </w:tc>
        <w:tc>
          <w:tcPr>
            <w:tcW w:w="1053" w:type="dxa"/>
          </w:tcPr>
          <w:p w14:paraId="2E63709F" w14:textId="77777777" w:rsidR="00C924AE" w:rsidRPr="00E942BE" w:rsidRDefault="00C924AE" w:rsidP="00C924AE">
            <w:pPr>
              <w:pStyle w:val="Tabletext"/>
            </w:pPr>
            <w:r w:rsidRPr="00E942BE">
              <w:t xml:space="preserve">$40,312,239 </w:t>
            </w:r>
          </w:p>
          <w:p w14:paraId="37E43EA8" w14:textId="77777777" w:rsidR="00C924AE" w:rsidRPr="00E942BE" w:rsidRDefault="00C924AE" w:rsidP="00C924AE">
            <w:pPr>
              <w:pStyle w:val="Tabletext"/>
            </w:pPr>
          </w:p>
          <w:p w14:paraId="4A448407" w14:textId="77777777" w:rsidR="00C924AE" w:rsidRPr="00E942BE" w:rsidRDefault="00C924AE" w:rsidP="00C924AE">
            <w:pPr>
              <w:pStyle w:val="Tabletext"/>
            </w:pPr>
          </w:p>
        </w:tc>
        <w:tc>
          <w:tcPr>
            <w:tcW w:w="1065" w:type="dxa"/>
          </w:tcPr>
          <w:p w14:paraId="4189E7F2" w14:textId="77777777" w:rsidR="00C924AE" w:rsidRPr="00E942BE" w:rsidRDefault="00C924AE" w:rsidP="00C924AE">
            <w:pPr>
              <w:pStyle w:val="Tabletext"/>
            </w:pPr>
            <w:r w:rsidRPr="00E942BE">
              <w:t>8.3%</w:t>
            </w:r>
          </w:p>
        </w:tc>
      </w:tr>
      <w:tr w:rsidR="00C924AE" w:rsidRPr="00952FC8" w14:paraId="17FE99C9" w14:textId="77777777" w:rsidTr="00C924AE">
        <w:tc>
          <w:tcPr>
            <w:tcW w:w="641" w:type="dxa"/>
          </w:tcPr>
          <w:p w14:paraId="62323C07" w14:textId="77777777" w:rsidR="00C924AE" w:rsidRPr="00E942BE" w:rsidRDefault="00C924AE" w:rsidP="00C924AE">
            <w:pPr>
              <w:pStyle w:val="Tabletext"/>
            </w:pPr>
            <w:r w:rsidRPr="00E942BE">
              <w:t>707</w:t>
            </w:r>
          </w:p>
        </w:tc>
        <w:tc>
          <w:tcPr>
            <w:tcW w:w="3375" w:type="dxa"/>
          </w:tcPr>
          <w:p w14:paraId="3C35C437" w14:textId="77777777" w:rsidR="00C924AE" w:rsidRPr="00E942BE" w:rsidRDefault="00C924AE" w:rsidP="00C924AE">
            <w:pPr>
              <w:pStyle w:val="Tabletext"/>
            </w:pPr>
            <w:r w:rsidRPr="00E942BE">
              <w:t>Professional attendance by a general practitioner to perform a prolonged health assessment (lasting at least 60 minutes) including:</w:t>
            </w:r>
          </w:p>
          <w:p w14:paraId="75B54C7E" w14:textId="77777777" w:rsidR="00C924AE" w:rsidRPr="00E942BE" w:rsidRDefault="00C924AE" w:rsidP="00C924AE">
            <w:pPr>
              <w:pStyle w:val="Tabletext"/>
            </w:pPr>
            <w:r w:rsidRPr="00E942BE">
              <w:t>(a) comprehensive information collection, including taking a patient history; and</w:t>
            </w:r>
          </w:p>
          <w:p w14:paraId="474467CC" w14:textId="77777777" w:rsidR="00C924AE" w:rsidRPr="00E942BE" w:rsidRDefault="00C924AE" w:rsidP="00C924AE">
            <w:pPr>
              <w:pStyle w:val="Tabletext"/>
            </w:pPr>
            <w:r w:rsidRPr="00E942BE">
              <w:t>(b) an extensive examination of the patient's medical condition, and physical, psychological and social function; and</w:t>
            </w:r>
          </w:p>
          <w:p w14:paraId="264ED7D9" w14:textId="77777777" w:rsidR="00C924AE" w:rsidRPr="00E942BE" w:rsidRDefault="00C924AE" w:rsidP="00C924AE">
            <w:pPr>
              <w:pStyle w:val="Tabletext"/>
            </w:pPr>
            <w:r w:rsidRPr="00E942BE">
              <w:t>(c) initiating interventions or referrals as indicated; and</w:t>
            </w:r>
          </w:p>
          <w:p w14:paraId="39BB7866" w14:textId="77777777" w:rsidR="00C924AE" w:rsidRPr="00E942BE" w:rsidRDefault="00C924AE" w:rsidP="00C924AE">
            <w:pPr>
              <w:pStyle w:val="Tabletext"/>
            </w:pPr>
            <w:r w:rsidRPr="00E942BE">
              <w:t>(d) providing a comprehensive preventive health care management plan for the patient</w:t>
            </w:r>
          </w:p>
        </w:tc>
        <w:tc>
          <w:tcPr>
            <w:tcW w:w="1173" w:type="dxa"/>
          </w:tcPr>
          <w:p w14:paraId="6806AF5A" w14:textId="77777777" w:rsidR="00C924AE" w:rsidRPr="00E942BE" w:rsidRDefault="00C924AE" w:rsidP="00C924AE">
            <w:pPr>
              <w:pStyle w:val="Tabletext"/>
            </w:pPr>
            <w:r w:rsidRPr="00E942BE">
              <w:t xml:space="preserve">$268.80 </w:t>
            </w:r>
          </w:p>
          <w:p w14:paraId="638208C7" w14:textId="77777777" w:rsidR="00C924AE" w:rsidRPr="00E942BE" w:rsidRDefault="00C924AE" w:rsidP="00C924AE">
            <w:pPr>
              <w:pStyle w:val="Tabletext"/>
            </w:pPr>
          </w:p>
        </w:tc>
        <w:tc>
          <w:tcPr>
            <w:tcW w:w="1061" w:type="dxa"/>
          </w:tcPr>
          <w:p w14:paraId="0E97A884" w14:textId="77777777" w:rsidR="00C924AE" w:rsidRPr="00E942BE" w:rsidRDefault="00C924AE" w:rsidP="00C924AE">
            <w:pPr>
              <w:pStyle w:val="Tabletext"/>
            </w:pPr>
            <w:r w:rsidRPr="00E942BE">
              <w:t xml:space="preserve">319,899 </w:t>
            </w:r>
          </w:p>
          <w:p w14:paraId="6B288AD8" w14:textId="77777777" w:rsidR="00C924AE" w:rsidRPr="00E942BE" w:rsidRDefault="00C924AE" w:rsidP="00C924AE">
            <w:pPr>
              <w:pStyle w:val="Tabletext"/>
            </w:pPr>
          </w:p>
        </w:tc>
        <w:tc>
          <w:tcPr>
            <w:tcW w:w="1053" w:type="dxa"/>
          </w:tcPr>
          <w:p w14:paraId="0D6377D5" w14:textId="77777777" w:rsidR="00C924AE" w:rsidRPr="00E942BE" w:rsidRDefault="00C924AE" w:rsidP="00C924AE">
            <w:pPr>
              <w:pStyle w:val="Tabletext"/>
            </w:pPr>
            <w:r w:rsidRPr="00E942BE">
              <w:t xml:space="preserve">$85,992,949 </w:t>
            </w:r>
          </w:p>
          <w:p w14:paraId="3BF8E77E" w14:textId="77777777" w:rsidR="00C924AE" w:rsidRPr="00E942BE" w:rsidRDefault="00C924AE" w:rsidP="00C924AE">
            <w:pPr>
              <w:pStyle w:val="Tabletext"/>
            </w:pPr>
          </w:p>
          <w:p w14:paraId="56D5A0B1" w14:textId="77777777" w:rsidR="00C924AE" w:rsidRPr="00E942BE" w:rsidRDefault="00C924AE" w:rsidP="00C924AE">
            <w:pPr>
              <w:pStyle w:val="Tabletext"/>
            </w:pPr>
          </w:p>
        </w:tc>
        <w:tc>
          <w:tcPr>
            <w:tcW w:w="1065" w:type="dxa"/>
          </w:tcPr>
          <w:p w14:paraId="5C8290EC" w14:textId="77777777" w:rsidR="00C924AE" w:rsidRPr="00E942BE" w:rsidRDefault="00C924AE" w:rsidP="00C924AE">
            <w:pPr>
              <w:pStyle w:val="Tabletext"/>
            </w:pPr>
            <w:r w:rsidRPr="00E942BE">
              <w:t>8.2%</w:t>
            </w:r>
          </w:p>
        </w:tc>
      </w:tr>
      <w:tr w:rsidR="00C924AE" w:rsidRPr="00952FC8" w14:paraId="17824880" w14:textId="77777777" w:rsidTr="00C924AE">
        <w:tc>
          <w:tcPr>
            <w:tcW w:w="641" w:type="dxa"/>
          </w:tcPr>
          <w:p w14:paraId="1D5E64A7" w14:textId="77777777" w:rsidR="00C924AE" w:rsidRPr="00E942BE" w:rsidRDefault="00C924AE" w:rsidP="00C924AE">
            <w:pPr>
              <w:pStyle w:val="Tabletext"/>
            </w:pPr>
            <w:r w:rsidRPr="00E942BE">
              <w:t>715</w:t>
            </w:r>
          </w:p>
        </w:tc>
        <w:tc>
          <w:tcPr>
            <w:tcW w:w="3375" w:type="dxa"/>
          </w:tcPr>
          <w:p w14:paraId="494809B9" w14:textId="77777777" w:rsidR="00C924AE" w:rsidRPr="00E942BE" w:rsidRDefault="00C924AE" w:rsidP="00C924AE">
            <w:pPr>
              <w:pStyle w:val="Tabletext"/>
            </w:pPr>
            <w:r w:rsidRPr="00E942BE">
              <w:t>Professional attendance by a general practitioner at consulting rooms or in another place other than a hospital or residential aged care facility, for a health assessment of a patient who is of Aboriginal or Torres Strait Islander descent-not more than once in a 9 month period</w:t>
            </w:r>
          </w:p>
        </w:tc>
        <w:tc>
          <w:tcPr>
            <w:tcW w:w="1173" w:type="dxa"/>
          </w:tcPr>
          <w:tbl>
            <w:tblPr>
              <w:tblW w:w="0" w:type="auto"/>
              <w:tblBorders>
                <w:top w:val="nil"/>
                <w:left w:val="nil"/>
                <w:bottom w:val="nil"/>
                <w:right w:val="nil"/>
              </w:tblBorders>
              <w:tblLook w:val="0000" w:firstRow="0" w:lastRow="0" w:firstColumn="0" w:lastColumn="0" w:noHBand="0" w:noVBand="0"/>
            </w:tblPr>
            <w:tblGrid>
              <w:gridCol w:w="809"/>
              <w:gridCol w:w="308"/>
            </w:tblGrid>
            <w:tr w:rsidR="00C924AE" w:rsidRPr="002940BC" w14:paraId="318AEE83" w14:textId="77777777" w:rsidTr="00C924AE">
              <w:trPr>
                <w:trHeight w:val="99"/>
              </w:trPr>
              <w:tc>
                <w:tcPr>
                  <w:tcW w:w="0" w:type="auto"/>
                </w:tcPr>
                <w:p w14:paraId="6BA9DABE" w14:textId="77777777" w:rsidR="00C924AE" w:rsidRPr="00E942BE" w:rsidRDefault="00C924AE" w:rsidP="00C924AE">
                  <w:pPr>
                    <w:pStyle w:val="Tabletext"/>
                  </w:pPr>
                  <w:r w:rsidRPr="00E942BE">
                    <w:t xml:space="preserve">$215.25 </w:t>
                  </w:r>
                </w:p>
              </w:tc>
              <w:tc>
                <w:tcPr>
                  <w:tcW w:w="0" w:type="auto"/>
                </w:tcPr>
                <w:p w14:paraId="6E39915F" w14:textId="77777777" w:rsidR="00C924AE" w:rsidRPr="00E942BE" w:rsidRDefault="00C924AE" w:rsidP="00C924AE">
                  <w:pPr>
                    <w:pStyle w:val="Tabletext"/>
                  </w:pPr>
                  <w:r w:rsidRPr="00E942BE">
                    <w:t xml:space="preserve">$ </w:t>
                  </w:r>
                </w:p>
              </w:tc>
            </w:tr>
          </w:tbl>
          <w:p w14:paraId="39ECDAF3" w14:textId="77777777" w:rsidR="00C924AE" w:rsidRPr="00E942BE" w:rsidRDefault="00C924AE" w:rsidP="00C924AE">
            <w:pPr>
              <w:pStyle w:val="Tabletext"/>
            </w:pPr>
          </w:p>
        </w:tc>
        <w:tc>
          <w:tcPr>
            <w:tcW w:w="1061" w:type="dxa"/>
          </w:tcPr>
          <w:p w14:paraId="4E98816E" w14:textId="77777777" w:rsidR="00C924AE" w:rsidRPr="00E942BE" w:rsidRDefault="00C924AE" w:rsidP="00C924AE">
            <w:pPr>
              <w:pStyle w:val="Tabletext"/>
            </w:pPr>
            <w:r w:rsidRPr="00E942BE">
              <w:t xml:space="preserve">217,678 </w:t>
            </w:r>
          </w:p>
          <w:p w14:paraId="4BAA3B0B" w14:textId="77777777" w:rsidR="00C924AE" w:rsidRPr="00E942BE" w:rsidRDefault="00C924AE" w:rsidP="00C924AE">
            <w:pPr>
              <w:pStyle w:val="Tabletext"/>
            </w:pPr>
          </w:p>
        </w:tc>
        <w:tc>
          <w:tcPr>
            <w:tcW w:w="1053" w:type="dxa"/>
          </w:tcPr>
          <w:p w14:paraId="5CA7E5EB" w14:textId="77777777" w:rsidR="00C924AE" w:rsidRPr="00E942BE" w:rsidRDefault="00C924AE" w:rsidP="00C924AE">
            <w:pPr>
              <w:pStyle w:val="Tabletext"/>
            </w:pPr>
            <w:r w:rsidRPr="00E942BE">
              <w:t xml:space="preserve">$46,202,133 </w:t>
            </w:r>
          </w:p>
          <w:p w14:paraId="302C48CE" w14:textId="77777777" w:rsidR="00C924AE" w:rsidRPr="00E942BE" w:rsidRDefault="00C924AE" w:rsidP="00C924AE">
            <w:pPr>
              <w:pStyle w:val="Tabletext"/>
            </w:pPr>
          </w:p>
          <w:p w14:paraId="2DF1D7E9" w14:textId="77777777" w:rsidR="00C924AE" w:rsidRPr="00E942BE" w:rsidRDefault="00C924AE" w:rsidP="00C924AE">
            <w:pPr>
              <w:pStyle w:val="Tabletext"/>
            </w:pPr>
          </w:p>
        </w:tc>
        <w:tc>
          <w:tcPr>
            <w:tcW w:w="1065" w:type="dxa"/>
          </w:tcPr>
          <w:p w14:paraId="31F4CDA7" w14:textId="77777777" w:rsidR="00C924AE" w:rsidRPr="00E942BE" w:rsidRDefault="00C924AE" w:rsidP="00C924AE">
            <w:pPr>
              <w:pStyle w:val="Tabletext"/>
            </w:pPr>
            <w:r w:rsidRPr="00E942BE">
              <w:t>17.6%</w:t>
            </w:r>
          </w:p>
        </w:tc>
      </w:tr>
    </w:tbl>
    <w:p w14:paraId="4B78E1D1" w14:textId="0EE86925" w:rsidR="00FA2344" w:rsidRDefault="00FA2344" w:rsidP="00C924AE">
      <w:pPr>
        <w:rPr>
          <w:lang w:val="en-US" w:eastAsia="en-US"/>
        </w:rPr>
      </w:pPr>
    </w:p>
    <w:p w14:paraId="0516772D" w14:textId="77777777" w:rsidR="00FA2344" w:rsidRDefault="00FA2344">
      <w:pPr>
        <w:spacing w:before="0" w:after="0" w:line="240" w:lineRule="auto"/>
        <w:rPr>
          <w:lang w:val="en-US" w:eastAsia="en-US"/>
        </w:rPr>
      </w:pPr>
      <w:r>
        <w:rPr>
          <w:lang w:val="en-US" w:eastAsia="en-US"/>
        </w:rPr>
        <w:br w:type="page"/>
      </w:r>
    </w:p>
    <w:p w14:paraId="1B79135C" w14:textId="77777777" w:rsidR="00C924AE" w:rsidRPr="00876D46" w:rsidRDefault="00C924AE" w:rsidP="002E40FE"/>
    <w:p w14:paraId="4124B5C9" w14:textId="7F2BD172" w:rsidR="00FA2344" w:rsidRDefault="00FA2344">
      <w:pPr>
        <w:pStyle w:val="AppendixStyle1"/>
      </w:pPr>
      <w:bookmarkStart w:id="361" w:name="_Toc15644907"/>
      <w:r>
        <w:t>Consultation Items</w:t>
      </w:r>
      <w:bookmarkEnd w:id="361"/>
    </w:p>
    <w:p w14:paraId="60E09339" w14:textId="0CC88DE2" w:rsidR="00FA2344" w:rsidRDefault="00FA2344" w:rsidP="002E40FE"/>
    <w:p w14:paraId="6A56C014" w14:textId="77777777" w:rsidR="00FA2344" w:rsidRPr="00BC48C5" w:rsidRDefault="00FA2344" w:rsidP="00FA2344">
      <w:pPr>
        <w:pStyle w:val="TableCaption"/>
      </w:pPr>
      <w:r w:rsidRPr="00BC48C5">
        <w:t xml:space="preserve">Table </w:t>
      </w:r>
      <w:r>
        <w:t>10</w:t>
      </w:r>
      <w:r w:rsidRPr="00BC48C5">
        <w:t>: Item introduction table for items 3, 4, 20, 23, 24, 35, 36,37, 43,  44, 47, 51, 52, 53, 54, 57, 58, 59, 60, 65, 92, 93, 95, 96, 5000, 5003, 5010, 5020, 5023, 5028, 5040, 5043, 5049, 5060, 5063, 5067, 5200, 5203, 5207, 5208, 5220, 5223, 5227, 5228, 5260, 5263, 5265, 5267</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shows the item introduction table for items 3,4,20,23,24,35,36,37,43,44,47,51,52,53,54,57,58,59,60,65,92,93,95,96,5000,5003,5010,5020,5023,5028,5040,5043,5049,5060,5063,5067,5200,5203,5207,5208,5220,5223,5227,5228,5260,5263,5265,5267."/>
        <w:tblDescription w:val="Table 10 shows the item introduction table for item s 3, 4, 20, 23, 24, 35, 36,37, 43,  44, 47, 51, 52, 53, 54, 57, 58, 59, 60, 65, 92, 93, 95, 96, 5000, 5003, 5010, 5020, 5023, 5028, 5040, 5043, 5049, 5060, 5063, 5067, 5200, 5203, 5207, 5208, 5220, 5223, 5227, 5228, 5260, 5263, 5265, 5267.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1025"/>
        <w:gridCol w:w="5088"/>
        <w:gridCol w:w="1514"/>
        <w:gridCol w:w="1687"/>
        <w:gridCol w:w="2308"/>
        <w:gridCol w:w="1612"/>
      </w:tblGrid>
      <w:tr w:rsidR="00FA2344" w:rsidRPr="00BC48C5" w14:paraId="52C0CD66" w14:textId="77777777" w:rsidTr="00FA2344">
        <w:trPr>
          <w:tblHeader/>
        </w:trPr>
        <w:tc>
          <w:tcPr>
            <w:tcW w:w="643" w:type="dxa"/>
            <w:shd w:val="clear" w:color="auto" w:fill="01653F"/>
            <w:vAlign w:val="bottom"/>
          </w:tcPr>
          <w:p w14:paraId="1D13A95E" w14:textId="77777777" w:rsidR="00FA2344" w:rsidRPr="00A4101D" w:rsidRDefault="00FA2344" w:rsidP="00FA2344">
            <w:pPr>
              <w:pStyle w:val="Tableheading-white"/>
            </w:pPr>
            <w:r w:rsidRPr="00BC48C5">
              <w:t>Item</w:t>
            </w:r>
          </w:p>
        </w:tc>
        <w:tc>
          <w:tcPr>
            <w:tcW w:w="3192" w:type="dxa"/>
            <w:shd w:val="clear" w:color="auto" w:fill="01653F"/>
            <w:vAlign w:val="bottom"/>
          </w:tcPr>
          <w:p w14:paraId="1655366B" w14:textId="77777777" w:rsidR="00FA2344" w:rsidRPr="00A4101D" w:rsidRDefault="00FA2344" w:rsidP="00FA2344">
            <w:pPr>
              <w:pStyle w:val="Tableheading-white"/>
            </w:pPr>
            <w:r w:rsidRPr="00BC48C5">
              <w:t>Descriptor</w:t>
            </w:r>
          </w:p>
        </w:tc>
        <w:tc>
          <w:tcPr>
            <w:tcW w:w="950" w:type="dxa"/>
            <w:shd w:val="clear" w:color="auto" w:fill="01653F"/>
            <w:vAlign w:val="bottom"/>
          </w:tcPr>
          <w:p w14:paraId="5E157458" w14:textId="77777777" w:rsidR="00FA2344" w:rsidRPr="00A4101D" w:rsidRDefault="00FA2344" w:rsidP="00FA2344">
            <w:pPr>
              <w:pStyle w:val="Tableheading-white"/>
            </w:pPr>
            <w:r w:rsidRPr="00BC48C5">
              <w:t>Schedule fee</w:t>
            </w:r>
          </w:p>
        </w:tc>
        <w:tc>
          <w:tcPr>
            <w:tcW w:w="1058" w:type="dxa"/>
            <w:shd w:val="clear" w:color="auto" w:fill="01653F"/>
            <w:vAlign w:val="bottom"/>
          </w:tcPr>
          <w:p w14:paraId="781D4D20" w14:textId="77777777" w:rsidR="00FA2344" w:rsidRPr="00A4101D" w:rsidRDefault="00FA2344" w:rsidP="00FA2344">
            <w:pPr>
              <w:pStyle w:val="Tableheading-white"/>
            </w:pPr>
            <w:r w:rsidRPr="00BC48C5">
              <w:t>Services FY2016/17</w:t>
            </w:r>
          </w:p>
        </w:tc>
        <w:tc>
          <w:tcPr>
            <w:tcW w:w="1448" w:type="dxa"/>
            <w:shd w:val="clear" w:color="auto" w:fill="01653F"/>
            <w:vAlign w:val="bottom"/>
          </w:tcPr>
          <w:p w14:paraId="1724B9D1" w14:textId="77777777" w:rsidR="00FA2344" w:rsidRPr="00A4101D" w:rsidRDefault="00FA2344" w:rsidP="00FA2344">
            <w:pPr>
              <w:pStyle w:val="Tableheading-white"/>
            </w:pPr>
            <w:r w:rsidRPr="00BC48C5">
              <w:t>Benefits FY2016/17</w:t>
            </w:r>
          </w:p>
        </w:tc>
        <w:tc>
          <w:tcPr>
            <w:tcW w:w="1011" w:type="dxa"/>
            <w:shd w:val="clear" w:color="auto" w:fill="01653F"/>
            <w:vAlign w:val="bottom"/>
          </w:tcPr>
          <w:p w14:paraId="76F93DB2" w14:textId="77777777" w:rsidR="00FA2344" w:rsidRPr="00A4101D" w:rsidRDefault="00FA2344" w:rsidP="00FA2344">
            <w:pPr>
              <w:pStyle w:val="Tableheading-white"/>
            </w:pPr>
            <w:r w:rsidRPr="00BC48C5">
              <w:t>Services 5-year annual avg. growth</w:t>
            </w:r>
          </w:p>
        </w:tc>
      </w:tr>
      <w:tr w:rsidR="00FA2344" w:rsidRPr="00BC48C5" w14:paraId="77011BF2" w14:textId="77777777" w:rsidTr="00FA2344">
        <w:tc>
          <w:tcPr>
            <w:tcW w:w="643" w:type="dxa"/>
          </w:tcPr>
          <w:p w14:paraId="4994A615" w14:textId="77777777" w:rsidR="00FA2344" w:rsidRPr="00A4101D" w:rsidRDefault="00FA2344" w:rsidP="00FA2344">
            <w:r w:rsidRPr="00BC48C5">
              <w:t>3</w:t>
            </w:r>
          </w:p>
        </w:tc>
        <w:tc>
          <w:tcPr>
            <w:tcW w:w="3192" w:type="dxa"/>
          </w:tcPr>
          <w:p w14:paraId="66B46046" w14:textId="77777777" w:rsidR="00FA2344" w:rsidRPr="00A4101D" w:rsidRDefault="00FA2344" w:rsidP="00FA2344">
            <w:r w:rsidRPr="00BC48C5">
              <w:t xml:space="preserve">Professional attendance at consulting rooms (other than a service to which another item applies) by a general practitioner for an obvious problem characterised by the straightforward nature of the task that requires a short patient history and, if required, limited examination and management-each attendance </w:t>
            </w:r>
          </w:p>
        </w:tc>
        <w:tc>
          <w:tcPr>
            <w:tcW w:w="950" w:type="dxa"/>
          </w:tcPr>
          <w:p w14:paraId="30DE45CE" w14:textId="77777777" w:rsidR="00FA2344" w:rsidRPr="00A4101D" w:rsidRDefault="00FA2344" w:rsidP="00FA2344">
            <w:r w:rsidRPr="00BC48C5">
              <w:t>$16.95</w:t>
            </w:r>
          </w:p>
        </w:tc>
        <w:tc>
          <w:tcPr>
            <w:tcW w:w="1058" w:type="dxa"/>
          </w:tcPr>
          <w:p w14:paraId="5A28CAA6" w14:textId="77777777" w:rsidR="00FA2344" w:rsidRPr="00A4101D" w:rsidRDefault="00FA2344" w:rsidP="00FA2344">
            <w:r>
              <w:t xml:space="preserve">3,094,749 </w:t>
            </w:r>
          </w:p>
          <w:p w14:paraId="69F321D6" w14:textId="77777777" w:rsidR="00FA2344" w:rsidRPr="00BC48C5" w:rsidRDefault="00FA2344" w:rsidP="00FA2344"/>
        </w:tc>
        <w:tc>
          <w:tcPr>
            <w:tcW w:w="1448" w:type="dxa"/>
          </w:tcPr>
          <w:p w14:paraId="2F65FF49" w14:textId="77777777" w:rsidR="00FA2344" w:rsidRPr="00A4101D" w:rsidRDefault="00FA2344" w:rsidP="00FA2344">
            <w:r>
              <w:t xml:space="preserve">$52,643,193 </w:t>
            </w:r>
          </w:p>
          <w:p w14:paraId="76FF669D" w14:textId="77777777" w:rsidR="00FA2344" w:rsidRPr="00BC48C5" w:rsidRDefault="00FA2344" w:rsidP="00FA2344"/>
        </w:tc>
        <w:tc>
          <w:tcPr>
            <w:tcW w:w="1011" w:type="dxa"/>
          </w:tcPr>
          <w:p w14:paraId="3F107FBC" w14:textId="77777777" w:rsidR="00FA2344" w:rsidRPr="00A4101D" w:rsidRDefault="00FA2344" w:rsidP="00FA2344">
            <w:r>
              <w:t>2.6</w:t>
            </w:r>
            <w:r w:rsidRPr="00A4101D">
              <w:t>%</w:t>
            </w:r>
          </w:p>
        </w:tc>
      </w:tr>
      <w:tr w:rsidR="00FA2344" w:rsidRPr="00BC48C5" w14:paraId="69CEA712" w14:textId="77777777" w:rsidTr="00FA2344">
        <w:tc>
          <w:tcPr>
            <w:tcW w:w="643" w:type="dxa"/>
          </w:tcPr>
          <w:p w14:paraId="009A0C27" w14:textId="77777777" w:rsidR="00FA2344" w:rsidRPr="00A4101D" w:rsidRDefault="00FA2344" w:rsidP="00FA2344">
            <w:r w:rsidRPr="00BC48C5">
              <w:t>4</w:t>
            </w:r>
          </w:p>
        </w:tc>
        <w:tc>
          <w:tcPr>
            <w:tcW w:w="3192" w:type="dxa"/>
          </w:tcPr>
          <w:p w14:paraId="30D0E3C0" w14:textId="77777777" w:rsidR="00FA2344" w:rsidRPr="00A4101D" w:rsidRDefault="00FA2344" w:rsidP="00FA2344">
            <w:r w:rsidRPr="00BC48C5">
              <w:t xml:space="preserve">Professional attendance by a general practitioner (other than attendance at consulting rooms or a residential aged care facility or a service to which another </w:t>
            </w:r>
            <w:r w:rsidRPr="00A4101D">
              <w:t>item in the table applies) that requires a short patient history and, if necessary, limited examination and management-an attendance on one or more patients at one place on one occasion-each patient</w:t>
            </w:r>
          </w:p>
        </w:tc>
        <w:tc>
          <w:tcPr>
            <w:tcW w:w="950" w:type="dxa"/>
          </w:tcPr>
          <w:p w14:paraId="58BDFD57" w14:textId="77777777" w:rsidR="00FA2344" w:rsidRPr="00A4101D" w:rsidRDefault="00FA2344" w:rsidP="00FA2344">
            <w:r w:rsidRPr="00BC48C5">
              <w:t>The fee for item 3, plus $25.95 divided by the number of patients seen, up to a maximum of six patients. For seven or more patients - the fee for item 3 plus $2.00 per patient.</w:t>
            </w:r>
          </w:p>
        </w:tc>
        <w:tc>
          <w:tcPr>
            <w:tcW w:w="1058" w:type="dxa"/>
          </w:tcPr>
          <w:p w14:paraId="0BACC79D" w14:textId="77777777" w:rsidR="00FA2344" w:rsidRPr="00A4101D" w:rsidRDefault="00FA2344" w:rsidP="00FA2344">
            <w:r>
              <w:t xml:space="preserve">28,718 </w:t>
            </w:r>
          </w:p>
          <w:p w14:paraId="7E729B76" w14:textId="77777777" w:rsidR="00FA2344" w:rsidRPr="00BC48C5" w:rsidRDefault="00FA2344" w:rsidP="00FA2344"/>
        </w:tc>
        <w:tc>
          <w:tcPr>
            <w:tcW w:w="1448" w:type="dxa"/>
          </w:tcPr>
          <w:p w14:paraId="0DC2FE5F" w14:textId="77777777" w:rsidR="00FA2344" w:rsidRPr="00A4101D" w:rsidRDefault="00FA2344" w:rsidP="00FA2344">
            <w:r w:rsidRPr="00BC48C5">
              <w:t>$</w:t>
            </w:r>
            <w:r w:rsidRPr="00A4101D">
              <w:t xml:space="preserve">708,027 </w:t>
            </w:r>
          </w:p>
          <w:p w14:paraId="0CA549C6" w14:textId="77777777" w:rsidR="00FA2344" w:rsidRDefault="00FA2344" w:rsidP="00FA2344"/>
          <w:p w14:paraId="3C0BDA71" w14:textId="77777777" w:rsidR="00FA2344" w:rsidRPr="00BC48C5" w:rsidRDefault="00FA2344" w:rsidP="00FA2344"/>
        </w:tc>
        <w:tc>
          <w:tcPr>
            <w:tcW w:w="1011" w:type="dxa"/>
          </w:tcPr>
          <w:p w14:paraId="2DC7ECA8" w14:textId="77777777" w:rsidR="00FA2344" w:rsidRPr="00A4101D" w:rsidRDefault="00FA2344" w:rsidP="00FA2344">
            <w:r>
              <w:t>3.8</w:t>
            </w:r>
            <w:r w:rsidRPr="00A4101D">
              <w:t>%</w:t>
            </w:r>
          </w:p>
        </w:tc>
      </w:tr>
      <w:tr w:rsidR="00FA2344" w:rsidRPr="00BC48C5" w14:paraId="1A79E07B" w14:textId="77777777" w:rsidTr="00FA2344">
        <w:tc>
          <w:tcPr>
            <w:tcW w:w="643" w:type="dxa"/>
          </w:tcPr>
          <w:p w14:paraId="37EC46AA" w14:textId="77777777" w:rsidR="00FA2344" w:rsidRPr="00A4101D" w:rsidRDefault="00FA2344" w:rsidP="00FA2344">
            <w:r w:rsidRPr="00BC48C5">
              <w:t>20</w:t>
            </w:r>
          </w:p>
        </w:tc>
        <w:tc>
          <w:tcPr>
            <w:tcW w:w="3192" w:type="dxa"/>
          </w:tcPr>
          <w:p w14:paraId="7E5FBB86" w14:textId="77777777" w:rsidR="00FA2344" w:rsidRPr="00A4101D" w:rsidRDefault="00FA2344" w:rsidP="00FA2344">
            <w:r w:rsidRPr="00BC48C5">
              <w:t>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a residential aged care facility (other than accommodation in a self-contained unit) by a general practitioner for an obvious problem characterised by the straightforward nature of the task that requires a short patient history and, if required, limited examination and management-an attendance on one or more patients at one residential aged care facility on one occasion-each patient</w:t>
            </w:r>
          </w:p>
        </w:tc>
        <w:tc>
          <w:tcPr>
            <w:tcW w:w="950" w:type="dxa"/>
          </w:tcPr>
          <w:p w14:paraId="39AA06BB" w14:textId="77777777" w:rsidR="00FA2344" w:rsidRPr="00A4101D" w:rsidRDefault="00FA2344" w:rsidP="00FA2344">
            <w:r w:rsidRPr="00BC48C5">
              <w:t>The fee for item 3, plus $46.70 divided by the number of patients seen, up to a maximum of six patients. For seven or more patients - the fee for item 3 plus $3.30 per patient.</w:t>
            </w:r>
          </w:p>
        </w:tc>
        <w:tc>
          <w:tcPr>
            <w:tcW w:w="1058" w:type="dxa"/>
          </w:tcPr>
          <w:p w14:paraId="4AD101EF" w14:textId="77777777" w:rsidR="00FA2344" w:rsidRPr="00A4101D" w:rsidRDefault="00FA2344" w:rsidP="00FA2344">
            <w:r>
              <w:t xml:space="preserve">256,294 </w:t>
            </w:r>
          </w:p>
          <w:p w14:paraId="4F440B09" w14:textId="77777777" w:rsidR="00FA2344" w:rsidRPr="00BC48C5" w:rsidRDefault="00FA2344" w:rsidP="00FA2344"/>
        </w:tc>
        <w:tc>
          <w:tcPr>
            <w:tcW w:w="1448" w:type="dxa"/>
          </w:tcPr>
          <w:p w14:paraId="0068309D" w14:textId="77777777" w:rsidR="00FA2344" w:rsidRPr="00A4101D" w:rsidRDefault="00FA2344" w:rsidP="00FA2344">
            <w:r>
              <w:t xml:space="preserve">$6,712,174 </w:t>
            </w:r>
          </w:p>
          <w:p w14:paraId="381DB06E" w14:textId="77777777" w:rsidR="00FA2344" w:rsidRPr="00BC48C5" w:rsidRDefault="00FA2344" w:rsidP="00FA2344"/>
        </w:tc>
        <w:tc>
          <w:tcPr>
            <w:tcW w:w="1011" w:type="dxa"/>
          </w:tcPr>
          <w:p w14:paraId="66064B0B" w14:textId="77777777" w:rsidR="00FA2344" w:rsidRPr="00A4101D" w:rsidRDefault="00FA2344" w:rsidP="00FA2344">
            <w:r>
              <w:t>8.4%</w:t>
            </w:r>
          </w:p>
        </w:tc>
      </w:tr>
      <w:tr w:rsidR="00FA2344" w:rsidRPr="00BC48C5" w14:paraId="65821F2B" w14:textId="77777777" w:rsidTr="00FA2344">
        <w:tc>
          <w:tcPr>
            <w:tcW w:w="643" w:type="dxa"/>
          </w:tcPr>
          <w:p w14:paraId="50A58F59" w14:textId="77777777" w:rsidR="00FA2344" w:rsidRPr="00A4101D" w:rsidRDefault="00FA2344" w:rsidP="00FA2344">
            <w:r w:rsidRPr="00BC48C5">
              <w:t>23</w:t>
            </w:r>
          </w:p>
        </w:tc>
        <w:tc>
          <w:tcPr>
            <w:tcW w:w="3192" w:type="dxa"/>
          </w:tcPr>
          <w:p w14:paraId="7A7919CD" w14:textId="77777777" w:rsidR="00FA2344" w:rsidRPr="00A4101D" w:rsidRDefault="00FA2344" w:rsidP="00FA2344">
            <w:r w:rsidRPr="00BC48C5">
              <w:t>Professional attendance by a general practitioner at consulting rooms (other than a service to which another item in the table applies), lasting less than 20 minutes and including any of the following that are clinically relevant:</w:t>
            </w:r>
          </w:p>
          <w:p w14:paraId="12DFD0D3" w14:textId="77777777" w:rsidR="00FA2344" w:rsidRPr="00A4101D" w:rsidRDefault="00FA2344" w:rsidP="00FA2344">
            <w:r w:rsidRPr="00BC48C5">
              <w:t>(a) taking a patient history;</w:t>
            </w:r>
          </w:p>
          <w:p w14:paraId="2F5AF22A" w14:textId="77777777" w:rsidR="00FA2344" w:rsidRPr="00A4101D" w:rsidRDefault="00FA2344" w:rsidP="00FA2344">
            <w:r w:rsidRPr="00BC48C5">
              <w:t>(b) performing a clinical examination;</w:t>
            </w:r>
          </w:p>
          <w:p w14:paraId="4F0901FC" w14:textId="77777777" w:rsidR="00FA2344" w:rsidRPr="00A4101D" w:rsidRDefault="00FA2344" w:rsidP="00FA2344">
            <w:r w:rsidRPr="00BC48C5">
              <w:t>(c) arranging any necessary investigation;</w:t>
            </w:r>
          </w:p>
          <w:p w14:paraId="279DFA63" w14:textId="77777777" w:rsidR="00FA2344" w:rsidRPr="00A4101D" w:rsidRDefault="00FA2344" w:rsidP="00FA2344">
            <w:r w:rsidRPr="00BC48C5">
              <w:t>(d) implementing a management plan;</w:t>
            </w:r>
          </w:p>
          <w:p w14:paraId="729B79A2" w14:textId="77777777" w:rsidR="00FA2344" w:rsidRPr="00A4101D" w:rsidRDefault="00FA2344" w:rsidP="00FA2344">
            <w:r w:rsidRPr="00BC48C5">
              <w:t>(e) providing appropriate preventive health care;</w:t>
            </w:r>
          </w:p>
          <w:p w14:paraId="51963B9B" w14:textId="77777777" w:rsidR="00FA2344" w:rsidRPr="00A4101D" w:rsidRDefault="00FA2344" w:rsidP="00FA2344">
            <w:r w:rsidRPr="00BC48C5">
              <w:t xml:space="preserve">for one or more health-related issues, with appropriate </w:t>
            </w:r>
            <w:r w:rsidRPr="00A4101D">
              <w:t>documentation-each attendance</w:t>
            </w:r>
          </w:p>
        </w:tc>
        <w:tc>
          <w:tcPr>
            <w:tcW w:w="950" w:type="dxa"/>
          </w:tcPr>
          <w:p w14:paraId="0B79779D" w14:textId="77777777" w:rsidR="00FA2344" w:rsidRPr="00A4101D" w:rsidRDefault="00FA2344" w:rsidP="00FA2344">
            <w:r w:rsidRPr="00BC48C5">
              <w:t>$37.05</w:t>
            </w:r>
          </w:p>
        </w:tc>
        <w:tc>
          <w:tcPr>
            <w:tcW w:w="1058" w:type="dxa"/>
          </w:tcPr>
          <w:p w14:paraId="4DEE6E64" w14:textId="77777777" w:rsidR="00FA2344" w:rsidRPr="00A4101D" w:rsidRDefault="00FA2344" w:rsidP="00FA2344">
            <w:r>
              <w:t xml:space="preserve">91,108,178 </w:t>
            </w:r>
          </w:p>
          <w:p w14:paraId="4F0DE08C" w14:textId="77777777" w:rsidR="00FA2344" w:rsidRPr="00BC48C5" w:rsidRDefault="00FA2344" w:rsidP="00FA2344"/>
        </w:tc>
        <w:tc>
          <w:tcPr>
            <w:tcW w:w="1448" w:type="dxa"/>
          </w:tcPr>
          <w:p w14:paraId="626C3C1D" w14:textId="77777777" w:rsidR="00FA2344" w:rsidRPr="00A4101D" w:rsidRDefault="00FA2344" w:rsidP="00FA2344">
            <w:r w:rsidRPr="00BC48C5">
              <w:t>$</w:t>
            </w:r>
            <w:r w:rsidRPr="00A4101D">
              <w:t xml:space="preserve">3,397,988,754 </w:t>
            </w:r>
          </w:p>
          <w:p w14:paraId="6D4B1BE5" w14:textId="77777777" w:rsidR="00FA2344" w:rsidRPr="00BC48C5" w:rsidRDefault="00FA2344" w:rsidP="00FA2344"/>
        </w:tc>
        <w:tc>
          <w:tcPr>
            <w:tcW w:w="1011" w:type="dxa"/>
          </w:tcPr>
          <w:p w14:paraId="757A0797" w14:textId="77777777" w:rsidR="00FA2344" w:rsidRPr="00A4101D" w:rsidRDefault="00FA2344" w:rsidP="00FA2344">
            <w:r>
              <w:t>1.3%</w:t>
            </w:r>
          </w:p>
        </w:tc>
      </w:tr>
      <w:tr w:rsidR="00FA2344" w:rsidRPr="00BC48C5" w14:paraId="3F9153D2" w14:textId="77777777" w:rsidTr="00FA2344">
        <w:tc>
          <w:tcPr>
            <w:tcW w:w="643" w:type="dxa"/>
          </w:tcPr>
          <w:p w14:paraId="4BF2A371" w14:textId="77777777" w:rsidR="00FA2344" w:rsidRPr="00A4101D" w:rsidRDefault="00FA2344" w:rsidP="00FA2344">
            <w:r w:rsidRPr="00BC48C5">
              <w:t>24</w:t>
            </w:r>
          </w:p>
        </w:tc>
        <w:tc>
          <w:tcPr>
            <w:tcW w:w="3192" w:type="dxa"/>
          </w:tcPr>
          <w:p w14:paraId="3674F254" w14:textId="77777777" w:rsidR="00FA2344" w:rsidRPr="00A4101D" w:rsidRDefault="00FA2344" w:rsidP="00FA2344">
            <w:r w:rsidRPr="00BC48C5">
              <w:t>Professional attendance by a general practitioner (other than attendance at consulting rooms or a residential aged care facility or a service to which another item in the table applies), lasting less than 20 minutes and including any of the following that are clinically relevant:</w:t>
            </w:r>
          </w:p>
          <w:p w14:paraId="3F8156E9" w14:textId="77777777" w:rsidR="00FA2344" w:rsidRPr="00A4101D" w:rsidRDefault="00FA2344" w:rsidP="00FA2344">
            <w:r w:rsidRPr="00BC48C5">
              <w:t>(a) taking a patient history;</w:t>
            </w:r>
          </w:p>
          <w:p w14:paraId="5FEFECAE" w14:textId="77777777" w:rsidR="00FA2344" w:rsidRPr="00A4101D" w:rsidRDefault="00FA2344" w:rsidP="00FA2344">
            <w:r w:rsidRPr="00BC48C5">
              <w:t>(b) performing a clinical examination;</w:t>
            </w:r>
          </w:p>
          <w:p w14:paraId="1257A65B" w14:textId="77777777" w:rsidR="00FA2344" w:rsidRPr="00A4101D" w:rsidRDefault="00FA2344" w:rsidP="00FA2344">
            <w:r w:rsidRPr="00BC48C5">
              <w:t>(c) arranging any necessary investigation;</w:t>
            </w:r>
          </w:p>
          <w:p w14:paraId="4795AE0D" w14:textId="77777777" w:rsidR="00FA2344" w:rsidRPr="00A4101D" w:rsidRDefault="00FA2344" w:rsidP="00FA2344">
            <w:r w:rsidRPr="00BC48C5">
              <w:t>(d) implementing a management plan;</w:t>
            </w:r>
          </w:p>
          <w:p w14:paraId="5442FD04" w14:textId="77777777" w:rsidR="00FA2344" w:rsidRPr="00A4101D" w:rsidRDefault="00FA2344" w:rsidP="00FA2344">
            <w:r w:rsidRPr="00BC48C5">
              <w:t>(e) providing appropriate preventive health care;</w:t>
            </w:r>
          </w:p>
          <w:p w14:paraId="28F1698E" w14:textId="77777777" w:rsidR="00FA2344" w:rsidRPr="00A4101D" w:rsidRDefault="00FA2344" w:rsidP="00FA2344">
            <w:r w:rsidRPr="00BC48C5">
              <w:t>for one or more health-related issues, with appropriate documentation-an attendance on one or more patients at one place on one occasion-each patient</w:t>
            </w:r>
          </w:p>
        </w:tc>
        <w:tc>
          <w:tcPr>
            <w:tcW w:w="950" w:type="dxa"/>
          </w:tcPr>
          <w:p w14:paraId="506B4407" w14:textId="77777777" w:rsidR="00FA2344" w:rsidRPr="00A4101D" w:rsidRDefault="00FA2344" w:rsidP="00FA2344">
            <w:r w:rsidRPr="00BC48C5">
              <w:t xml:space="preserve">The fee for item 23, plus $25.95 divided by the number of </w:t>
            </w:r>
            <w:r w:rsidRPr="00A4101D">
              <w:t>patients seen, up to a maximum of six patients. For seven or more patients - the fee for item 23 plus $2.00 per patient.</w:t>
            </w:r>
          </w:p>
        </w:tc>
        <w:tc>
          <w:tcPr>
            <w:tcW w:w="1058" w:type="dxa"/>
          </w:tcPr>
          <w:p w14:paraId="3E1D9969" w14:textId="77777777" w:rsidR="00FA2344" w:rsidRPr="00A4101D" w:rsidRDefault="00FA2344" w:rsidP="00FA2344">
            <w:r>
              <w:t xml:space="preserve">722,724 </w:t>
            </w:r>
          </w:p>
          <w:p w14:paraId="109314F5" w14:textId="77777777" w:rsidR="00FA2344" w:rsidRPr="00BC48C5" w:rsidRDefault="00FA2344" w:rsidP="00FA2344"/>
        </w:tc>
        <w:tc>
          <w:tcPr>
            <w:tcW w:w="1448" w:type="dxa"/>
          </w:tcPr>
          <w:p w14:paraId="7597BD3D" w14:textId="77777777" w:rsidR="00FA2344" w:rsidRPr="00A4101D" w:rsidRDefault="00FA2344" w:rsidP="00FA2344">
            <w:r>
              <w:t xml:space="preserve">$34,475,772 </w:t>
            </w:r>
          </w:p>
          <w:p w14:paraId="5943BCE1" w14:textId="77777777" w:rsidR="00FA2344" w:rsidRPr="00BC48C5" w:rsidRDefault="00FA2344" w:rsidP="00FA2344"/>
        </w:tc>
        <w:tc>
          <w:tcPr>
            <w:tcW w:w="1011" w:type="dxa"/>
          </w:tcPr>
          <w:p w14:paraId="16B1D6FD" w14:textId="77777777" w:rsidR="00FA2344" w:rsidRPr="00A4101D" w:rsidRDefault="00FA2344" w:rsidP="00FA2344">
            <w:r>
              <w:t>-4.0%</w:t>
            </w:r>
          </w:p>
        </w:tc>
      </w:tr>
      <w:tr w:rsidR="00FA2344" w:rsidRPr="00BC48C5" w14:paraId="0B772E02" w14:textId="77777777" w:rsidTr="00FA2344">
        <w:tc>
          <w:tcPr>
            <w:tcW w:w="643" w:type="dxa"/>
          </w:tcPr>
          <w:p w14:paraId="454963B3" w14:textId="77777777" w:rsidR="00FA2344" w:rsidRPr="00A4101D" w:rsidRDefault="00FA2344" w:rsidP="00FA2344">
            <w:r w:rsidRPr="00BC48C5">
              <w:t>35</w:t>
            </w:r>
          </w:p>
        </w:tc>
        <w:tc>
          <w:tcPr>
            <w:tcW w:w="3192" w:type="dxa"/>
          </w:tcPr>
          <w:p w14:paraId="2B829DA6" w14:textId="77777777" w:rsidR="00FA2344" w:rsidRPr="00A4101D" w:rsidRDefault="00FA2344" w:rsidP="00FA2344">
            <w:r w:rsidRPr="00BC48C5">
              <w:t>Professional attendance by a general practitioner at a residential aged care facility to residents of the facility (other than a service to which another item in the table applies), lasting less than 20 minutes and including any of the following that are clinically relevant:</w:t>
            </w:r>
          </w:p>
          <w:p w14:paraId="4CE6B80E" w14:textId="77777777" w:rsidR="00FA2344" w:rsidRPr="00A4101D" w:rsidRDefault="00FA2344" w:rsidP="00FA2344">
            <w:r w:rsidRPr="00BC48C5">
              <w:t>(a) taking a patient history;</w:t>
            </w:r>
          </w:p>
          <w:p w14:paraId="4A2FC741" w14:textId="77777777" w:rsidR="00FA2344" w:rsidRPr="00A4101D" w:rsidRDefault="00FA2344" w:rsidP="00FA2344">
            <w:r w:rsidRPr="00BC48C5">
              <w:t>(b) performing a clinical examination;</w:t>
            </w:r>
          </w:p>
          <w:p w14:paraId="25FBDE1C" w14:textId="77777777" w:rsidR="00FA2344" w:rsidRPr="00A4101D" w:rsidRDefault="00FA2344" w:rsidP="00FA2344">
            <w:r w:rsidRPr="00BC48C5">
              <w:t>(c) arranging any necessary investigation;</w:t>
            </w:r>
          </w:p>
          <w:p w14:paraId="4A849550" w14:textId="77777777" w:rsidR="00FA2344" w:rsidRPr="00A4101D" w:rsidRDefault="00FA2344" w:rsidP="00FA2344">
            <w:r w:rsidRPr="00BC48C5">
              <w:t>(d) implementing a management plan;</w:t>
            </w:r>
          </w:p>
          <w:p w14:paraId="5B61004B" w14:textId="77777777" w:rsidR="00FA2344" w:rsidRPr="00A4101D" w:rsidRDefault="00FA2344" w:rsidP="00FA2344">
            <w:r w:rsidRPr="00BC48C5">
              <w:t>(e) providing appropriate preventive health care;</w:t>
            </w:r>
          </w:p>
          <w:p w14:paraId="33551C1B" w14:textId="77777777" w:rsidR="00FA2344" w:rsidRPr="00A4101D" w:rsidRDefault="00FA2344" w:rsidP="00FA2344">
            <w:r w:rsidRPr="00BC48C5">
              <w:t>for one or more health-related issues, with appropriate documentation-an attendance on one or more patients at one residential aged care facility on one occasion-each patient</w:t>
            </w:r>
          </w:p>
        </w:tc>
        <w:tc>
          <w:tcPr>
            <w:tcW w:w="950" w:type="dxa"/>
          </w:tcPr>
          <w:p w14:paraId="63240FFF" w14:textId="77777777" w:rsidR="00FA2344" w:rsidRPr="00A4101D" w:rsidRDefault="00FA2344" w:rsidP="00FA2344">
            <w:r w:rsidRPr="00BC48C5">
              <w:t>The fee for item 23, plus $46.70 divided by the number of patients seen, up to a maximum of six patients. For seven or more patients - the fee for item 23 plus $3.30 per patient.</w:t>
            </w:r>
          </w:p>
        </w:tc>
        <w:tc>
          <w:tcPr>
            <w:tcW w:w="1058" w:type="dxa"/>
          </w:tcPr>
          <w:p w14:paraId="7986A1D2" w14:textId="77777777" w:rsidR="00FA2344" w:rsidRPr="00A4101D" w:rsidRDefault="00FA2344" w:rsidP="00FA2344">
            <w:r>
              <w:t xml:space="preserve">2,700,650 </w:t>
            </w:r>
          </w:p>
          <w:p w14:paraId="3CFADC9E" w14:textId="77777777" w:rsidR="00FA2344" w:rsidRPr="00BC48C5" w:rsidRDefault="00FA2344" w:rsidP="00FA2344"/>
        </w:tc>
        <w:tc>
          <w:tcPr>
            <w:tcW w:w="1448" w:type="dxa"/>
          </w:tcPr>
          <w:p w14:paraId="7EEE5F74" w14:textId="77777777" w:rsidR="00FA2344" w:rsidRPr="00A4101D" w:rsidRDefault="00FA2344" w:rsidP="00FA2344">
            <w:r>
              <w:t xml:space="preserve">$130,077,367 </w:t>
            </w:r>
          </w:p>
          <w:p w14:paraId="19D0DEFA" w14:textId="77777777" w:rsidR="00FA2344" w:rsidRPr="00BC48C5" w:rsidRDefault="00FA2344" w:rsidP="00FA2344"/>
        </w:tc>
        <w:tc>
          <w:tcPr>
            <w:tcW w:w="1011" w:type="dxa"/>
          </w:tcPr>
          <w:p w14:paraId="7D06DDC8" w14:textId="77777777" w:rsidR="00FA2344" w:rsidRPr="00A4101D" w:rsidRDefault="00FA2344" w:rsidP="00FA2344">
            <w:r>
              <w:t>5.2%</w:t>
            </w:r>
          </w:p>
        </w:tc>
      </w:tr>
      <w:tr w:rsidR="00FA2344" w:rsidRPr="00BC48C5" w14:paraId="233C74C2" w14:textId="77777777" w:rsidTr="00FA2344">
        <w:tc>
          <w:tcPr>
            <w:tcW w:w="643" w:type="dxa"/>
          </w:tcPr>
          <w:p w14:paraId="762CA903" w14:textId="77777777" w:rsidR="00FA2344" w:rsidRPr="00A4101D" w:rsidRDefault="00FA2344" w:rsidP="00FA2344">
            <w:r w:rsidRPr="00BC48C5">
              <w:t>36</w:t>
            </w:r>
          </w:p>
        </w:tc>
        <w:tc>
          <w:tcPr>
            <w:tcW w:w="3192" w:type="dxa"/>
          </w:tcPr>
          <w:p w14:paraId="2A5CD153" w14:textId="77777777" w:rsidR="00FA2344" w:rsidRPr="00A4101D" w:rsidRDefault="00FA2344" w:rsidP="00FA2344">
            <w:r w:rsidRPr="00BC48C5">
              <w:t>Professional attendance by a general practitioner at consulting rooms (other than a service to which another item in the table applies), lasting at least 20 minutes and including any of the following that are clinically relevant:</w:t>
            </w:r>
          </w:p>
          <w:p w14:paraId="45D73318" w14:textId="77777777" w:rsidR="00FA2344" w:rsidRPr="00A4101D" w:rsidRDefault="00FA2344" w:rsidP="00FA2344">
            <w:r w:rsidRPr="00BC48C5">
              <w:t>(a) taking a detailed patient history;</w:t>
            </w:r>
          </w:p>
          <w:p w14:paraId="6BD006AB" w14:textId="77777777" w:rsidR="00FA2344" w:rsidRPr="00A4101D" w:rsidRDefault="00FA2344" w:rsidP="00FA2344">
            <w:r w:rsidRPr="00BC48C5">
              <w:t>(b) performing a clinical examination;</w:t>
            </w:r>
          </w:p>
          <w:p w14:paraId="269CBDFE" w14:textId="77777777" w:rsidR="00FA2344" w:rsidRPr="00A4101D" w:rsidRDefault="00FA2344" w:rsidP="00FA2344">
            <w:r w:rsidRPr="00BC48C5">
              <w:t>(c) arranging any necessary investigation;</w:t>
            </w:r>
          </w:p>
          <w:p w14:paraId="66317417" w14:textId="77777777" w:rsidR="00FA2344" w:rsidRPr="00A4101D" w:rsidRDefault="00FA2344" w:rsidP="00FA2344">
            <w:r w:rsidRPr="00BC48C5">
              <w:t>(d) implementing a management plan;</w:t>
            </w:r>
          </w:p>
          <w:p w14:paraId="123F86C0" w14:textId="77777777" w:rsidR="00FA2344" w:rsidRPr="00A4101D" w:rsidRDefault="00FA2344" w:rsidP="00FA2344">
            <w:r w:rsidRPr="00BC48C5">
              <w:t>(e) providing appropriate preventive health care;</w:t>
            </w:r>
          </w:p>
          <w:p w14:paraId="2A2138E9" w14:textId="77777777" w:rsidR="00FA2344" w:rsidRPr="00A4101D" w:rsidRDefault="00FA2344" w:rsidP="00FA2344">
            <w:r w:rsidRPr="00BC48C5">
              <w:t>for one or more health-related issues, with appropriate documentation-each attendance</w:t>
            </w:r>
          </w:p>
        </w:tc>
        <w:tc>
          <w:tcPr>
            <w:tcW w:w="950" w:type="dxa"/>
          </w:tcPr>
          <w:p w14:paraId="57910F38" w14:textId="77777777" w:rsidR="00FA2344" w:rsidRPr="00A4101D" w:rsidRDefault="00FA2344" w:rsidP="00FA2344">
            <w:r w:rsidRPr="00BC48C5">
              <w:t>$71.70</w:t>
            </w:r>
          </w:p>
        </w:tc>
        <w:tc>
          <w:tcPr>
            <w:tcW w:w="1058" w:type="dxa"/>
          </w:tcPr>
          <w:p w14:paraId="7301C99B" w14:textId="77777777" w:rsidR="00FA2344" w:rsidRPr="00A4101D" w:rsidRDefault="00FA2344" w:rsidP="00FA2344">
            <w:r>
              <w:t xml:space="preserve">17,352,777 </w:t>
            </w:r>
          </w:p>
          <w:p w14:paraId="26A03F96" w14:textId="77777777" w:rsidR="00FA2344" w:rsidRPr="00BC48C5" w:rsidRDefault="00FA2344" w:rsidP="00FA2344"/>
        </w:tc>
        <w:tc>
          <w:tcPr>
            <w:tcW w:w="1448" w:type="dxa"/>
          </w:tcPr>
          <w:p w14:paraId="6CB43621" w14:textId="77777777" w:rsidR="00FA2344" w:rsidRPr="00A4101D" w:rsidRDefault="00FA2344" w:rsidP="00FA2344">
            <w:r>
              <w:t xml:space="preserve">$1,250,389,193 </w:t>
            </w:r>
          </w:p>
          <w:p w14:paraId="588D8B9E" w14:textId="77777777" w:rsidR="00FA2344" w:rsidRPr="00BC48C5" w:rsidRDefault="00FA2344" w:rsidP="00FA2344"/>
        </w:tc>
        <w:tc>
          <w:tcPr>
            <w:tcW w:w="1011" w:type="dxa"/>
          </w:tcPr>
          <w:p w14:paraId="49322183" w14:textId="77777777" w:rsidR="00FA2344" w:rsidRPr="00A4101D" w:rsidRDefault="00FA2344" w:rsidP="00FA2344">
            <w:r>
              <w:t>9.3%</w:t>
            </w:r>
          </w:p>
        </w:tc>
      </w:tr>
      <w:tr w:rsidR="00FA2344" w:rsidRPr="00BC48C5" w14:paraId="6A6846D2" w14:textId="77777777" w:rsidTr="00FA2344">
        <w:tc>
          <w:tcPr>
            <w:tcW w:w="643" w:type="dxa"/>
          </w:tcPr>
          <w:p w14:paraId="61580BF8" w14:textId="77777777" w:rsidR="00FA2344" w:rsidRPr="00A4101D" w:rsidRDefault="00FA2344" w:rsidP="00FA2344">
            <w:r w:rsidRPr="00BC48C5">
              <w:t>37</w:t>
            </w:r>
          </w:p>
        </w:tc>
        <w:tc>
          <w:tcPr>
            <w:tcW w:w="3192" w:type="dxa"/>
          </w:tcPr>
          <w:p w14:paraId="09D00C9A" w14:textId="77777777" w:rsidR="00FA2344" w:rsidRPr="00A4101D" w:rsidRDefault="00FA2344" w:rsidP="00FA2344">
            <w:r w:rsidRPr="00BC48C5">
              <w:t xml:space="preserve">Professional attendance by a general practitioner (other than attendance at consulting rooms or a residential aged care facility or a service to which another item in the table applies), lasting at </w:t>
            </w:r>
            <w:r w:rsidRPr="00A4101D">
              <w:t>least 20 minutes and including any of the following that are clinically relevant:</w:t>
            </w:r>
          </w:p>
          <w:p w14:paraId="0D802BD1" w14:textId="77777777" w:rsidR="00FA2344" w:rsidRPr="00A4101D" w:rsidRDefault="00FA2344" w:rsidP="00FA2344">
            <w:r w:rsidRPr="00BC48C5">
              <w:t>(a) taking a detailed patient history;</w:t>
            </w:r>
          </w:p>
          <w:p w14:paraId="091DA96D" w14:textId="77777777" w:rsidR="00FA2344" w:rsidRPr="00A4101D" w:rsidRDefault="00FA2344" w:rsidP="00FA2344">
            <w:r w:rsidRPr="00BC48C5">
              <w:t>(b) performing a clinical examination;</w:t>
            </w:r>
          </w:p>
          <w:p w14:paraId="51F96C6D" w14:textId="77777777" w:rsidR="00FA2344" w:rsidRPr="00A4101D" w:rsidRDefault="00FA2344" w:rsidP="00FA2344">
            <w:r w:rsidRPr="00BC48C5">
              <w:t>(c) arranging any necessary investigation;</w:t>
            </w:r>
          </w:p>
          <w:p w14:paraId="68C1636B" w14:textId="77777777" w:rsidR="00FA2344" w:rsidRPr="00A4101D" w:rsidRDefault="00FA2344" w:rsidP="00FA2344">
            <w:r w:rsidRPr="00BC48C5">
              <w:t>(d) implementing a management plan;</w:t>
            </w:r>
          </w:p>
          <w:p w14:paraId="5E0FE732" w14:textId="77777777" w:rsidR="00FA2344" w:rsidRPr="00A4101D" w:rsidRDefault="00FA2344" w:rsidP="00FA2344">
            <w:r w:rsidRPr="00BC48C5">
              <w:t>(e) providing appropriate preventive health care;</w:t>
            </w:r>
          </w:p>
          <w:p w14:paraId="23255583" w14:textId="77777777" w:rsidR="00FA2344" w:rsidRPr="00A4101D" w:rsidRDefault="00FA2344" w:rsidP="00FA2344">
            <w:r w:rsidRPr="00BC48C5">
              <w:t>for one or more health-related issues, with appropriate documentation-an attendance on one or more patients at one place on one occasion-each patient</w:t>
            </w:r>
          </w:p>
        </w:tc>
        <w:tc>
          <w:tcPr>
            <w:tcW w:w="950" w:type="dxa"/>
          </w:tcPr>
          <w:p w14:paraId="6A4E4F17" w14:textId="77777777" w:rsidR="00FA2344" w:rsidRPr="00A4101D" w:rsidRDefault="00FA2344" w:rsidP="00FA2344">
            <w:r w:rsidRPr="00BC48C5">
              <w:t>The fee for item 36, plus $25.95 divided by the number of patients seen, up to a maximum of six patients. For seven or more patients - the fee for item 36 plus $2.00 per patient.</w:t>
            </w:r>
          </w:p>
        </w:tc>
        <w:tc>
          <w:tcPr>
            <w:tcW w:w="1058" w:type="dxa"/>
          </w:tcPr>
          <w:p w14:paraId="593D10A7" w14:textId="77777777" w:rsidR="00FA2344" w:rsidRPr="00A4101D" w:rsidRDefault="00FA2344" w:rsidP="00FA2344">
            <w:r w:rsidRPr="00EE318F">
              <w:t>226</w:t>
            </w:r>
            <w:r w:rsidRPr="00A4101D">
              <w:t>,132</w:t>
            </w:r>
          </w:p>
        </w:tc>
        <w:tc>
          <w:tcPr>
            <w:tcW w:w="1448" w:type="dxa"/>
          </w:tcPr>
          <w:p w14:paraId="16B4B4B5" w14:textId="77777777" w:rsidR="00FA2344" w:rsidRPr="00A4101D" w:rsidRDefault="00FA2344" w:rsidP="00FA2344">
            <w:r>
              <w:t>$</w:t>
            </w:r>
            <w:r w:rsidRPr="00A4101D">
              <w:t>19,128,295</w:t>
            </w:r>
          </w:p>
        </w:tc>
        <w:tc>
          <w:tcPr>
            <w:tcW w:w="1011" w:type="dxa"/>
          </w:tcPr>
          <w:p w14:paraId="2D8535A8" w14:textId="77777777" w:rsidR="00FA2344" w:rsidRPr="00A4101D" w:rsidRDefault="00FA2344" w:rsidP="00FA2344">
            <w:r>
              <w:t>3.2%</w:t>
            </w:r>
          </w:p>
        </w:tc>
      </w:tr>
      <w:tr w:rsidR="00FA2344" w:rsidRPr="00BC48C5" w14:paraId="2CAC3E0B" w14:textId="77777777" w:rsidTr="00FA2344">
        <w:tc>
          <w:tcPr>
            <w:tcW w:w="643" w:type="dxa"/>
          </w:tcPr>
          <w:p w14:paraId="3D71C97F" w14:textId="77777777" w:rsidR="00FA2344" w:rsidRPr="00A4101D" w:rsidRDefault="00FA2344" w:rsidP="00FA2344">
            <w:r w:rsidRPr="00BC48C5">
              <w:t>43</w:t>
            </w:r>
          </w:p>
        </w:tc>
        <w:tc>
          <w:tcPr>
            <w:tcW w:w="3192" w:type="dxa"/>
          </w:tcPr>
          <w:p w14:paraId="514BD37E" w14:textId="77777777" w:rsidR="00FA2344" w:rsidRPr="00A4101D" w:rsidRDefault="00FA2344" w:rsidP="00FA2344">
            <w:r w:rsidRPr="00BC48C5">
              <w:t>Professional attendance by a general practitioner at a residential aged care facility to residents of the facility (other</w:t>
            </w:r>
            <w:r w:rsidRPr="00A4101D">
              <w:t xml:space="preserve"> than a service to which another item in the table applies), lasting at least 20 minutes and including any of the following that are clinically relevant:</w:t>
            </w:r>
          </w:p>
          <w:p w14:paraId="64FD781D" w14:textId="77777777" w:rsidR="00FA2344" w:rsidRPr="00A4101D" w:rsidRDefault="00FA2344" w:rsidP="00FA2344">
            <w:r w:rsidRPr="00BC48C5">
              <w:t>(a) taking a detailed patient history;</w:t>
            </w:r>
          </w:p>
          <w:p w14:paraId="6AF5ED97" w14:textId="77777777" w:rsidR="00FA2344" w:rsidRPr="00A4101D" w:rsidRDefault="00FA2344" w:rsidP="00FA2344">
            <w:r w:rsidRPr="00BC48C5">
              <w:t>(b) performing a clinical examination;</w:t>
            </w:r>
          </w:p>
          <w:p w14:paraId="77A899C3" w14:textId="77777777" w:rsidR="00FA2344" w:rsidRPr="00A4101D" w:rsidRDefault="00FA2344" w:rsidP="00FA2344">
            <w:r w:rsidRPr="00BC48C5">
              <w:t>(c) arranging any necessary investigation;</w:t>
            </w:r>
          </w:p>
          <w:p w14:paraId="1A1FBADD" w14:textId="77777777" w:rsidR="00FA2344" w:rsidRPr="00A4101D" w:rsidRDefault="00FA2344" w:rsidP="00FA2344">
            <w:r w:rsidRPr="00BC48C5">
              <w:t>(d) implementing a management plan;</w:t>
            </w:r>
          </w:p>
          <w:p w14:paraId="4E506EDA" w14:textId="77777777" w:rsidR="00FA2344" w:rsidRPr="00A4101D" w:rsidRDefault="00FA2344" w:rsidP="00FA2344">
            <w:r w:rsidRPr="00BC48C5">
              <w:t>(e) providing appropriate preventive health care;</w:t>
            </w:r>
          </w:p>
          <w:p w14:paraId="7EB96E5E" w14:textId="77777777" w:rsidR="00FA2344" w:rsidRPr="00A4101D" w:rsidRDefault="00FA2344" w:rsidP="00FA2344">
            <w:r w:rsidRPr="00BC48C5">
              <w:t>for one or more health-related issues, with appropriate documentation-an attendance on one or more patients at one residential aged care facility on one occasion-each patient</w:t>
            </w:r>
          </w:p>
        </w:tc>
        <w:tc>
          <w:tcPr>
            <w:tcW w:w="950" w:type="dxa"/>
          </w:tcPr>
          <w:p w14:paraId="2ACC0FCD" w14:textId="77777777" w:rsidR="00FA2344" w:rsidRPr="00A4101D" w:rsidRDefault="00FA2344" w:rsidP="00FA2344">
            <w:r w:rsidRPr="00BC48C5">
              <w:t>The fee for item 36, plus $46.70 divided by the number of patients seen, up to a maximum of six patients. For seven or more patients - the fee for item 36 plus $3.30 per patient</w:t>
            </w:r>
          </w:p>
        </w:tc>
        <w:tc>
          <w:tcPr>
            <w:tcW w:w="1058" w:type="dxa"/>
          </w:tcPr>
          <w:p w14:paraId="7186E47E" w14:textId="77777777" w:rsidR="00FA2344" w:rsidRPr="00A4101D" w:rsidRDefault="00FA2344" w:rsidP="00FA2344">
            <w:r>
              <w:t xml:space="preserve">365,265 </w:t>
            </w:r>
          </w:p>
          <w:p w14:paraId="5EF89861" w14:textId="77777777" w:rsidR="00FA2344" w:rsidRPr="00BC48C5" w:rsidRDefault="00FA2344" w:rsidP="00FA2344"/>
        </w:tc>
        <w:tc>
          <w:tcPr>
            <w:tcW w:w="1448" w:type="dxa"/>
          </w:tcPr>
          <w:p w14:paraId="01FA9C94" w14:textId="77777777" w:rsidR="00FA2344" w:rsidRPr="00A4101D" w:rsidRDefault="00FA2344" w:rsidP="00FA2344">
            <w:r>
              <w:t xml:space="preserve">$33,004,027 </w:t>
            </w:r>
          </w:p>
          <w:p w14:paraId="06559D5B" w14:textId="77777777" w:rsidR="00FA2344" w:rsidRPr="00BC48C5" w:rsidRDefault="00FA2344" w:rsidP="00FA2344"/>
        </w:tc>
        <w:tc>
          <w:tcPr>
            <w:tcW w:w="1011" w:type="dxa"/>
          </w:tcPr>
          <w:p w14:paraId="1D825965" w14:textId="77777777" w:rsidR="00FA2344" w:rsidRPr="00A4101D" w:rsidRDefault="00FA2344" w:rsidP="00FA2344">
            <w:r>
              <w:t>13.2%</w:t>
            </w:r>
          </w:p>
        </w:tc>
      </w:tr>
      <w:tr w:rsidR="00FA2344" w:rsidRPr="00BC48C5" w14:paraId="6F39ED11" w14:textId="77777777" w:rsidTr="00FA2344">
        <w:tc>
          <w:tcPr>
            <w:tcW w:w="643" w:type="dxa"/>
          </w:tcPr>
          <w:p w14:paraId="66D4E5BA" w14:textId="77777777" w:rsidR="00FA2344" w:rsidRPr="00A4101D" w:rsidRDefault="00FA2344" w:rsidP="00FA2344">
            <w:r w:rsidRPr="00BC48C5">
              <w:t>44</w:t>
            </w:r>
          </w:p>
        </w:tc>
        <w:tc>
          <w:tcPr>
            <w:tcW w:w="3192" w:type="dxa"/>
          </w:tcPr>
          <w:p w14:paraId="107DFBD5" w14:textId="77777777" w:rsidR="00FA2344" w:rsidRPr="00A4101D" w:rsidRDefault="00FA2344" w:rsidP="00FA2344">
            <w:r w:rsidRPr="00BC48C5">
              <w:t xml:space="preserve">Professional </w:t>
            </w:r>
            <w:r w:rsidRPr="00A4101D">
              <w:t>attendance by a general practitioner at consulting rooms (other than a service to which another item in the table applies), lasting at least 40 minutes and including any of the following that are clinically relevant:</w:t>
            </w:r>
          </w:p>
          <w:p w14:paraId="4C32E1B6" w14:textId="77777777" w:rsidR="00FA2344" w:rsidRPr="00A4101D" w:rsidRDefault="00FA2344" w:rsidP="00FA2344">
            <w:r w:rsidRPr="00BC48C5">
              <w:t>(a) taking an extensive patient history;</w:t>
            </w:r>
          </w:p>
          <w:p w14:paraId="5709D9F5" w14:textId="77777777" w:rsidR="00FA2344" w:rsidRPr="00A4101D" w:rsidRDefault="00FA2344" w:rsidP="00FA2344">
            <w:r w:rsidRPr="00BC48C5">
              <w:t>(b) performing a clinical examination;</w:t>
            </w:r>
          </w:p>
          <w:p w14:paraId="2FFB79DA" w14:textId="77777777" w:rsidR="00FA2344" w:rsidRPr="00A4101D" w:rsidRDefault="00FA2344" w:rsidP="00FA2344">
            <w:r w:rsidRPr="00BC48C5">
              <w:t>(c) arranging any necessary investigation;</w:t>
            </w:r>
          </w:p>
          <w:p w14:paraId="5D7E5E9C" w14:textId="77777777" w:rsidR="00FA2344" w:rsidRPr="00A4101D" w:rsidRDefault="00FA2344" w:rsidP="00FA2344">
            <w:r w:rsidRPr="00BC48C5">
              <w:t>(d) implementing a management plan;</w:t>
            </w:r>
          </w:p>
          <w:p w14:paraId="54006C46" w14:textId="77777777" w:rsidR="00FA2344" w:rsidRPr="00A4101D" w:rsidRDefault="00FA2344" w:rsidP="00FA2344">
            <w:r w:rsidRPr="00BC48C5">
              <w:t>(e) providing appropriate preventive health care;</w:t>
            </w:r>
          </w:p>
          <w:p w14:paraId="2F469EF5" w14:textId="77777777" w:rsidR="00FA2344" w:rsidRPr="00A4101D" w:rsidRDefault="00FA2344" w:rsidP="00FA2344">
            <w:r w:rsidRPr="00BC48C5">
              <w:t>for one or more health-related issues, with appropriate documentation-each attendance</w:t>
            </w:r>
          </w:p>
        </w:tc>
        <w:tc>
          <w:tcPr>
            <w:tcW w:w="950" w:type="dxa"/>
          </w:tcPr>
          <w:p w14:paraId="434CFB90" w14:textId="77777777" w:rsidR="00FA2344" w:rsidRPr="00A4101D" w:rsidRDefault="00FA2344" w:rsidP="00FA2344">
            <w:r w:rsidRPr="00BC48C5">
              <w:t>$105.55</w:t>
            </w:r>
          </w:p>
        </w:tc>
        <w:tc>
          <w:tcPr>
            <w:tcW w:w="1058" w:type="dxa"/>
          </w:tcPr>
          <w:p w14:paraId="7B5BA5FD" w14:textId="77777777" w:rsidR="00FA2344" w:rsidRPr="00A4101D" w:rsidRDefault="00FA2344" w:rsidP="00FA2344">
            <w:r>
              <w:t xml:space="preserve">1,577,381 </w:t>
            </w:r>
          </w:p>
          <w:p w14:paraId="05FBE395" w14:textId="77777777" w:rsidR="00FA2344" w:rsidRPr="00BC48C5" w:rsidRDefault="00FA2344" w:rsidP="00FA2344"/>
        </w:tc>
        <w:tc>
          <w:tcPr>
            <w:tcW w:w="1448" w:type="dxa"/>
          </w:tcPr>
          <w:p w14:paraId="2B568A98" w14:textId="77777777" w:rsidR="00FA2344" w:rsidRPr="00A4101D" w:rsidRDefault="00FA2344" w:rsidP="00FA2344">
            <w:r>
              <w:t xml:space="preserve">$169,266,460 </w:t>
            </w:r>
          </w:p>
          <w:p w14:paraId="320FBD4A" w14:textId="77777777" w:rsidR="00FA2344" w:rsidRPr="00BC48C5" w:rsidRDefault="00FA2344" w:rsidP="00FA2344"/>
        </w:tc>
        <w:tc>
          <w:tcPr>
            <w:tcW w:w="1011" w:type="dxa"/>
          </w:tcPr>
          <w:p w14:paraId="20DD9215" w14:textId="77777777" w:rsidR="00FA2344" w:rsidRPr="00A4101D" w:rsidRDefault="00FA2344" w:rsidP="00FA2344">
            <w:r>
              <w:t>11.</w:t>
            </w:r>
            <w:r w:rsidRPr="00A4101D">
              <w:t>5%</w:t>
            </w:r>
          </w:p>
        </w:tc>
      </w:tr>
      <w:tr w:rsidR="00FA2344" w:rsidRPr="00BC48C5" w14:paraId="30C84201" w14:textId="77777777" w:rsidTr="00FA2344">
        <w:tc>
          <w:tcPr>
            <w:tcW w:w="643" w:type="dxa"/>
          </w:tcPr>
          <w:p w14:paraId="1C48A348" w14:textId="77777777" w:rsidR="00FA2344" w:rsidRPr="00A4101D" w:rsidRDefault="00FA2344" w:rsidP="00FA2344">
            <w:r w:rsidRPr="00BC48C5">
              <w:t>47</w:t>
            </w:r>
          </w:p>
        </w:tc>
        <w:tc>
          <w:tcPr>
            <w:tcW w:w="3192" w:type="dxa"/>
          </w:tcPr>
          <w:p w14:paraId="29ACCF9C" w14:textId="77777777" w:rsidR="00FA2344" w:rsidRPr="00A4101D" w:rsidRDefault="00FA2344" w:rsidP="00FA2344">
            <w:r w:rsidRPr="00BC48C5">
              <w:t xml:space="preserve">Professional attendance by a general practitioner (other than attendance at consulting rooms or a residential aged care facility or a service to which another item in the table applies), lasting at least 40 </w:t>
            </w:r>
            <w:r w:rsidRPr="00A4101D">
              <w:t>minutes and including any of the following that are clinically relevant:</w:t>
            </w:r>
          </w:p>
          <w:p w14:paraId="65A54DF7" w14:textId="77777777" w:rsidR="00FA2344" w:rsidRPr="00A4101D" w:rsidRDefault="00FA2344" w:rsidP="00FA2344">
            <w:r w:rsidRPr="00BC48C5">
              <w:t>(a) taking an extensive patient history;</w:t>
            </w:r>
          </w:p>
          <w:p w14:paraId="11ACE2B6" w14:textId="77777777" w:rsidR="00FA2344" w:rsidRPr="00A4101D" w:rsidRDefault="00FA2344" w:rsidP="00FA2344">
            <w:r w:rsidRPr="00BC48C5">
              <w:t>(b) performing a clinical examination;</w:t>
            </w:r>
          </w:p>
          <w:p w14:paraId="30821BC3" w14:textId="77777777" w:rsidR="00FA2344" w:rsidRPr="00A4101D" w:rsidRDefault="00FA2344" w:rsidP="00FA2344">
            <w:r w:rsidRPr="00BC48C5">
              <w:t>(c) arranging any necessary investigation;</w:t>
            </w:r>
          </w:p>
          <w:p w14:paraId="0A6FD1CC" w14:textId="77777777" w:rsidR="00FA2344" w:rsidRPr="00A4101D" w:rsidRDefault="00FA2344" w:rsidP="00FA2344">
            <w:r w:rsidRPr="00BC48C5">
              <w:t>(d) implementing a management plan;</w:t>
            </w:r>
          </w:p>
          <w:p w14:paraId="7ED03D4C" w14:textId="77777777" w:rsidR="00FA2344" w:rsidRPr="00A4101D" w:rsidRDefault="00FA2344" w:rsidP="00FA2344">
            <w:r w:rsidRPr="00BC48C5">
              <w:t>(e) providing appropriate preventive health care;</w:t>
            </w:r>
          </w:p>
          <w:p w14:paraId="15CC83AC" w14:textId="77777777" w:rsidR="00FA2344" w:rsidRPr="00A4101D" w:rsidRDefault="00FA2344" w:rsidP="00FA2344">
            <w:r w:rsidRPr="00BC48C5">
              <w:t>for one or more health-related issues, with appropriate documentation-an attendance on one or more patients at one place on one occasion-each patient</w:t>
            </w:r>
          </w:p>
        </w:tc>
        <w:tc>
          <w:tcPr>
            <w:tcW w:w="950" w:type="dxa"/>
          </w:tcPr>
          <w:p w14:paraId="61E42916" w14:textId="77777777" w:rsidR="00FA2344" w:rsidRPr="00A4101D" w:rsidRDefault="00FA2344" w:rsidP="00FA2344">
            <w:r w:rsidRPr="00BC48C5">
              <w:t>The fee for item 44, plus $25.95 divided by the number of patients seen, up to a maximum of six patients. For seven or more patients - the fee for item 44 plus $2.00 per patient.</w:t>
            </w:r>
          </w:p>
        </w:tc>
        <w:tc>
          <w:tcPr>
            <w:tcW w:w="1058" w:type="dxa"/>
          </w:tcPr>
          <w:p w14:paraId="09091566" w14:textId="77777777" w:rsidR="00FA2344" w:rsidRPr="00A4101D" w:rsidRDefault="00FA2344" w:rsidP="00FA2344">
            <w:r>
              <w:t xml:space="preserve">74,336 </w:t>
            </w:r>
          </w:p>
          <w:p w14:paraId="3C86ACD1" w14:textId="77777777" w:rsidR="00FA2344" w:rsidRPr="00BC48C5" w:rsidRDefault="00FA2344" w:rsidP="00FA2344"/>
        </w:tc>
        <w:tc>
          <w:tcPr>
            <w:tcW w:w="1448" w:type="dxa"/>
          </w:tcPr>
          <w:p w14:paraId="15A0A1B3" w14:textId="77777777" w:rsidR="00FA2344" w:rsidRPr="00A4101D" w:rsidRDefault="00FA2344" w:rsidP="00FA2344">
            <w:r>
              <w:t xml:space="preserve">$8,508,528 </w:t>
            </w:r>
          </w:p>
          <w:p w14:paraId="4E68065A" w14:textId="77777777" w:rsidR="00FA2344" w:rsidRPr="00BC48C5" w:rsidRDefault="00FA2344" w:rsidP="00FA2344"/>
        </w:tc>
        <w:tc>
          <w:tcPr>
            <w:tcW w:w="1011" w:type="dxa"/>
          </w:tcPr>
          <w:p w14:paraId="07C878A0" w14:textId="77777777" w:rsidR="00FA2344" w:rsidRPr="00A4101D" w:rsidRDefault="00FA2344" w:rsidP="00FA2344">
            <w:r>
              <w:t>8.3%</w:t>
            </w:r>
          </w:p>
        </w:tc>
      </w:tr>
      <w:tr w:rsidR="00FA2344" w:rsidRPr="00BC48C5" w14:paraId="0B8AD184" w14:textId="77777777" w:rsidTr="00FA2344">
        <w:tc>
          <w:tcPr>
            <w:tcW w:w="643" w:type="dxa"/>
          </w:tcPr>
          <w:p w14:paraId="0D98FCD4" w14:textId="77777777" w:rsidR="00FA2344" w:rsidRPr="00A4101D" w:rsidRDefault="00FA2344" w:rsidP="00FA2344">
            <w:r w:rsidRPr="00BC48C5">
              <w:t>51</w:t>
            </w:r>
          </w:p>
        </w:tc>
        <w:tc>
          <w:tcPr>
            <w:tcW w:w="3192" w:type="dxa"/>
          </w:tcPr>
          <w:p w14:paraId="41280A09" w14:textId="77777777" w:rsidR="00FA2344" w:rsidRPr="00A4101D" w:rsidRDefault="00FA2344" w:rsidP="00FA2344">
            <w:r w:rsidRPr="00BC48C5">
              <w:t>Professional attendance by a general practitioner at a residential aged care facility to residents of the facility (other than</w:t>
            </w:r>
            <w:r w:rsidRPr="00A4101D">
              <w:t xml:space="preserve"> a service to which another item in the table applies), lasting at least 40 minutes and including any of the following that are clinically relevant:</w:t>
            </w:r>
          </w:p>
          <w:p w14:paraId="3815DDE0" w14:textId="77777777" w:rsidR="00FA2344" w:rsidRPr="00A4101D" w:rsidRDefault="00FA2344" w:rsidP="00FA2344">
            <w:r w:rsidRPr="00BC48C5">
              <w:t>(a) taking an extensive patient history;</w:t>
            </w:r>
          </w:p>
          <w:p w14:paraId="39EDB5B7" w14:textId="77777777" w:rsidR="00FA2344" w:rsidRPr="00A4101D" w:rsidRDefault="00FA2344" w:rsidP="00FA2344">
            <w:r w:rsidRPr="00BC48C5">
              <w:t>(b) performing a clinical examination;</w:t>
            </w:r>
          </w:p>
          <w:p w14:paraId="6F60F110" w14:textId="77777777" w:rsidR="00FA2344" w:rsidRPr="00A4101D" w:rsidRDefault="00FA2344" w:rsidP="00FA2344">
            <w:r w:rsidRPr="00BC48C5">
              <w:t>(c) arranging any necessary investigation;</w:t>
            </w:r>
          </w:p>
          <w:p w14:paraId="750CECDE" w14:textId="77777777" w:rsidR="00FA2344" w:rsidRPr="00A4101D" w:rsidRDefault="00FA2344" w:rsidP="00FA2344">
            <w:r w:rsidRPr="00BC48C5">
              <w:t>(d) implementing a management plan;</w:t>
            </w:r>
          </w:p>
          <w:p w14:paraId="0BE7FCCF" w14:textId="77777777" w:rsidR="00FA2344" w:rsidRPr="00A4101D" w:rsidRDefault="00FA2344" w:rsidP="00FA2344">
            <w:r w:rsidRPr="00BC48C5">
              <w:t>(e) providing appropriate preventive health care;</w:t>
            </w:r>
          </w:p>
          <w:p w14:paraId="5DDA43ED" w14:textId="77777777" w:rsidR="00FA2344" w:rsidRPr="00A4101D" w:rsidRDefault="00FA2344" w:rsidP="00FA2344">
            <w:r w:rsidRPr="00BC48C5">
              <w:t>for one or more health-related issues, with appropriate documentation-an attendance on one or more patients at one residential aged care facility on one occasion-each patient</w:t>
            </w:r>
          </w:p>
        </w:tc>
        <w:tc>
          <w:tcPr>
            <w:tcW w:w="950" w:type="dxa"/>
          </w:tcPr>
          <w:p w14:paraId="196CB3D1" w14:textId="77777777" w:rsidR="00FA2344" w:rsidRPr="00A4101D" w:rsidRDefault="00FA2344" w:rsidP="00FA2344">
            <w:r w:rsidRPr="00BC48C5">
              <w:t>The fee for item 44, plus $46.70 divided by the number of patients seen, up to a maximum of six patients. For seven or more patients - the fee for item 44 plus $3.30 per patient.</w:t>
            </w:r>
          </w:p>
        </w:tc>
        <w:tc>
          <w:tcPr>
            <w:tcW w:w="1058" w:type="dxa"/>
          </w:tcPr>
          <w:p w14:paraId="7A3B0ECC" w14:textId="77777777" w:rsidR="00FA2344" w:rsidRPr="00A4101D" w:rsidRDefault="00FA2344" w:rsidP="00FA2344">
            <w:r>
              <w:t xml:space="preserve">61,661 </w:t>
            </w:r>
          </w:p>
          <w:p w14:paraId="46B398F4" w14:textId="77777777" w:rsidR="00FA2344" w:rsidRPr="00BC48C5" w:rsidRDefault="00FA2344" w:rsidP="00FA2344"/>
        </w:tc>
        <w:tc>
          <w:tcPr>
            <w:tcW w:w="1448" w:type="dxa"/>
          </w:tcPr>
          <w:p w14:paraId="72FF9165" w14:textId="77777777" w:rsidR="00FA2344" w:rsidRPr="00A4101D" w:rsidRDefault="00FA2344" w:rsidP="00FA2344">
            <w:r>
              <w:t xml:space="preserve">$7,920,914 </w:t>
            </w:r>
          </w:p>
          <w:p w14:paraId="5179B7D7" w14:textId="77777777" w:rsidR="00FA2344" w:rsidRPr="00BC48C5" w:rsidRDefault="00FA2344" w:rsidP="00FA2344"/>
        </w:tc>
        <w:tc>
          <w:tcPr>
            <w:tcW w:w="1011" w:type="dxa"/>
          </w:tcPr>
          <w:p w14:paraId="458E9F87" w14:textId="77777777" w:rsidR="00FA2344" w:rsidRPr="00A4101D" w:rsidRDefault="00FA2344" w:rsidP="00FA2344">
            <w:r>
              <w:t>18.5%</w:t>
            </w:r>
          </w:p>
        </w:tc>
      </w:tr>
      <w:tr w:rsidR="00FA2344" w:rsidRPr="00BC48C5" w14:paraId="161C3D90" w14:textId="77777777" w:rsidTr="00FA2344">
        <w:tc>
          <w:tcPr>
            <w:tcW w:w="643" w:type="dxa"/>
          </w:tcPr>
          <w:p w14:paraId="679475C4" w14:textId="77777777" w:rsidR="00FA2344" w:rsidRPr="00A4101D" w:rsidRDefault="00FA2344" w:rsidP="00FA2344">
            <w:r w:rsidRPr="00BC48C5">
              <w:t>52</w:t>
            </w:r>
          </w:p>
        </w:tc>
        <w:tc>
          <w:tcPr>
            <w:tcW w:w="3192" w:type="dxa"/>
          </w:tcPr>
          <w:p w14:paraId="4576BE9D" w14:textId="77777777" w:rsidR="00FA2344" w:rsidRPr="00A4101D" w:rsidRDefault="00FA2344" w:rsidP="00FA2344">
            <w:r w:rsidRPr="00BC48C5">
              <w:t xml:space="preserve">Professional attendance </w:t>
            </w:r>
            <w:r w:rsidRPr="00A4101D">
              <w:t>at consulting rooms of not more than 5 minutes in duration (other than a service to which any other item applies)-each attendance, by:</w:t>
            </w:r>
          </w:p>
          <w:p w14:paraId="777B61C7" w14:textId="77777777" w:rsidR="00FA2344" w:rsidRPr="00A4101D" w:rsidRDefault="00FA2344" w:rsidP="00FA2344">
            <w:r w:rsidRPr="00BC48C5">
              <w:t>(a) a medical practitioner (who is not a general practitioner); or</w:t>
            </w:r>
          </w:p>
          <w:p w14:paraId="5362F9D7" w14:textId="77777777" w:rsidR="00FA2344" w:rsidRPr="00A4101D" w:rsidRDefault="00FA2344" w:rsidP="00FA2344">
            <w:r w:rsidRPr="00BC48C5">
              <w:t>(b) a general practitioner to whom clause 2.3.1 applies</w:t>
            </w:r>
          </w:p>
        </w:tc>
        <w:tc>
          <w:tcPr>
            <w:tcW w:w="950" w:type="dxa"/>
          </w:tcPr>
          <w:p w14:paraId="17179256" w14:textId="77777777" w:rsidR="00FA2344" w:rsidRPr="00A4101D" w:rsidRDefault="00FA2344" w:rsidP="00FA2344">
            <w:r w:rsidRPr="00BC48C5">
              <w:t>$11.00</w:t>
            </w:r>
          </w:p>
        </w:tc>
        <w:tc>
          <w:tcPr>
            <w:tcW w:w="1058" w:type="dxa"/>
          </w:tcPr>
          <w:p w14:paraId="7E55AFED" w14:textId="77777777" w:rsidR="00FA2344" w:rsidRPr="00A4101D" w:rsidRDefault="00FA2344" w:rsidP="00FA2344">
            <w:r>
              <w:t xml:space="preserve">62,606 </w:t>
            </w:r>
          </w:p>
          <w:p w14:paraId="384B0A43" w14:textId="77777777" w:rsidR="00FA2344" w:rsidRPr="00BC48C5" w:rsidRDefault="00FA2344" w:rsidP="00FA2344"/>
        </w:tc>
        <w:tc>
          <w:tcPr>
            <w:tcW w:w="1448" w:type="dxa"/>
          </w:tcPr>
          <w:p w14:paraId="31D58D39" w14:textId="77777777" w:rsidR="00FA2344" w:rsidRPr="00A4101D" w:rsidRDefault="00FA2344" w:rsidP="00FA2344">
            <w:r>
              <w:t xml:space="preserve">$693,813 </w:t>
            </w:r>
          </w:p>
          <w:p w14:paraId="68979839" w14:textId="77777777" w:rsidR="00FA2344" w:rsidRPr="00BC48C5" w:rsidRDefault="00FA2344" w:rsidP="00FA2344"/>
        </w:tc>
        <w:tc>
          <w:tcPr>
            <w:tcW w:w="1011" w:type="dxa"/>
          </w:tcPr>
          <w:p w14:paraId="1AB7BEB7" w14:textId="77777777" w:rsidR="00FA2344" w:rsidRPr="00A4101D" w:rsidRDefault="00FA2344" w:rsidP="00FA2344">
            <w:r>
              <w:t>2.8%</w:t>
            </w:r>
          </w:p>
        </w:tc>
      </w:tr>
      <w:tr w:rsidR="00FA2344" w:rsidRPr="00BC48C5" w14:paraId="2989B16E" w14:textId="77777777" w:rsidTr="00FA2344">
        <w:tc>
          <w:tcPr>
            <w:tcW w:w="643" w:type="dxa"/>
          </w:tcPr>
          <w:p w14:paraId="547270F0" w14:textId="77777777" w:rsidR="00FA2344" w:rsidRPr="00A4101D" w:rsidRDefault="00FA2344" w:rsidP="00FA2344">
            <w:r w:rsidRPr="00BC48C5">
              <w:t>53</w:t>
            </w:r>
          </w:p>
        </w:tc>
        <w:tc>
          <w:tcPr>
            <w:tcW w:w="3192" w:type="dxa"/>
          </w:tcPr>
          <w:p w14:paraId="456386CC" w14:textId="77777777" w:rsidR="00FA2344" w:rsidRPr="00A4101D" w:rsidRDefault="00FA2344" w:rsidP="00FA2344">
            <w:r w:rsidRPr="00BC48C5">
              <w:t>Professional attendance at consulting rooms of more than 5 minutes in duration but not more than 25 minutes (other than a service to which any other item applies)-each attendance, by:</w:t>
            </w:r>
          </w:p>
          <w:p w14:paraId="16371142" w14:textId="77777777" w:rsidR="00FA2344" w:rsidRPr="00A4101D" w:rsidRDefault="00FA2344" w:rsidP="00FA2344">
            <w:r w:rsidRPr="00BC48C5">
              <w:t>(a) a medical practitioner (who is</w:t>
            </w:r>
            <w:r w:rsidRPr="00A4101D">
              <w:t xml:space="preserve"> not a general practitioner); or</w:t>
            </w:r>
          </w:p>
          <w:p w14:paraId="599DDFF3" w14:textId="77777777" w:rsidR="00FA2344" w:rsidRPr="00A4101D" w:rsidRDefault="00FA2344" w:rsidP="00FA2344">
            <w:r w:rsidRPr="00BC48C5">
              <w:t>(b) a general practitioner to whom clause 2.3.1 applies</w:t>
            </w:r>
          </w:p>
        </w:tc>
        <w:tc>
          <w:tcPr>
            <w:tcW w:w="950" w:type="dxa"/>
          </w:tcPr>
          <w:p w14:paraId="18A5585A" w14:textId="77777777" w:rsidR="00FA2344" w:rsidRPr="00A4101D" w:rsidRDefault="00FA2344" w:rsidP="00FA2344">
            <w:r w:rsidRPr="00BC48C5">
              <w:t>$21.00</w:t>
            </w:r>
          </w:p>
        </w:tc>
        <w:tc>
          <w:tcPr>
            <w:tcW w:w="1058" w:type="dxa"/>
          </w:tcPr>
          <w:p w14:paraId="1A3B3DD4" w14:textId="77777777" w:rsidR="00FA2344" w:rsidRPr="00A4101D" w:rsidRDefault="00FA2344" w:rsidP="00FA2344">
            <w:r>
              <w:t xml:space="preserve">4,350,283 </w:t>
            </w:r>
          </w:p>
          <w:p w14:paraId="6DBFAC47" w14:textId="77777777" w:rsidR="00FA2344" w:rsidRPr="00BC48C5" w:rsidRDefault="00FA2344" w:rsidP="00FA2344"/>
        </w:tc>
        <w:tc>
          <w:tcPr>
            <w:tcW w:w="1448" w:type="dxa"/>
          </w:tcPr>
          <w:p w14:paraId="6D411DD2" w14:textId="77777777" w:rsidR="00FA2344" w:rsidRPr="00A4101D" w:rsidRDefault="00FA2344" w:rsidP="00FA2344">
            <w:r>
              <w:t xml:space="preserve">91,903,805 </w:t>
            </w:r>
          </w:p>
          <w:p w14:paraId="7621EF35" w14:textId="77777777" w:rsidR="00FA2344" w:rsidRPr="00BC48C5" w:rsidRDefault="00FA2344" w:rsidP="00FA2344"/>
        </w:tc>
        <w:tc>
          <w:tcPr>
            <w:tcW w:w="1011" w:type="dxa"/>
          </w:tcPr>
          <w:p w14:paraId="0EE2B014" w14:textId="77777777" w:rsidR="00FA2344" w:rsidRPr="00A4101D" w:rsidRDefault="00FA2344" w:rsidP="00FA2344">
            <w:r>
              <w:t>4.8%</w:t>
            </w:r>
          </w:p>
        </w:tc>
      </w:tr>
      <w:tr w:rsidR="00FA2344" w:rsidRPr="00BC48C5" w14:paraId="14C18128" w14:textId="77777777" w:rsidTr="00FA2344">
        <w:tc>
          <w:tcPr>
            <w:tcW w:w="643" w:type="dxa"/>
          </w:tcPr>
          <w:p w14:paraId="22688B59" w14:textId="77777777" w:rsidR="00FA2344" w:rsidRPr="00A4101D" w:rsidRDefault="00FA2344" w:rsidP="00FA2344">
            <w:r w:rsidRPr="00BC48C5">
              <w:t>54</w:t>
            </w:r>
          </w:p>
        </w:tc>
        <w:tc>
          <w:tcPr>
            <w:tcW w:w="3192" w:type="dxa"/>
          </w:tcPr>
          <w:p w14:paraId="1FB6ACA0" w14:textId="77777777" w:rsidR="00FA2344" w:rsidRPr="00A4101D" w:rsidRDefault="00FA2344" w:rsidP="00FA2344">
            <w:r w:rsidRPr="00BC48C5">
              <w:t xml:space="preserve">Professional attendance at consulting rooms of more than 25 minutes in duration but not more than 45 minutes (other than a </w:t>
            </w:r>
            <w:r w:rsidRPr="00A4101D">
              <w:t>service to which any other item applies)-each attendance, by:</w:t>
            </w:r>
          </w:p>
          <w:p w14:paraId="3E09410E" w14:textId="77777777" w:rsidR="00FA2344" w:rsidRPr="00A4101D" w:rsidRDefault="00FA2344" w:rsidP="00FA2344">
            <w:r w:rsidRPr="00BC48C5">
              <w:t>(a) a medical practitioner (who is not a general practitioner); or</w:t>
            </w:r>
          </w:p>
          <w:p w14:paraId="04118224" w14:textId="77777777" w:rsidR="00FA2344" w:rsidRPr="00A4101D" w:rsidRDefault="00FA2344" w:rsidP="00FA2344">
            <w:r w:rsidRPr="00BC48C5">
              <w:t>(b) a general practitioner to whom clause 2.3.1 applies</w:t>
            </w:r>
          </w:p>
        </w:tc>
        <w:tc>
          <w:tcPr>
            <w:tcW w:w="950" w:type="dxa"/>
          </w:tcPr>
          <w:p w14:paraId="2EBA6091" w14:textId="77777777" w:rsidR="00FA2344" w:rsidRPr="00A4101D" w:rsidRDefault="00FA2344" w:rsidP="00FA2344">
            <w:r w:rsidRPr="00BC48C5">
              <w:t>$38.00</w:t>
            </w:r>
          </w:p>
        </w:tc>
        <w:tc>
          <w:tcPr>
            <w:tcW w:w="1058" w:type="dxa"/>
          </w:tcPr>
          <w:p w14:paraId="3F176B13" w14:textId="77777777" w:rsidR="00FA2344" w:rsidRPr="00A4101D" w:rsidRDefault="00FA2344" w:rsidP="00FA2344">
            <w:r>
              <w:t xml:space="preserve">860,329 </w:t>
            </w:r>
          </w:p>
          <w:p w14:paraId="00738DED" w14:textId="77777777" w:rsidR="00FA2344" w:rsidRPr="00BC48C5" w:rsidRDefault="00FA2344" w:rsidP="00FA2344"/>
        </w:tc>
        <w:tc>
          <w:tcPr>
            <w:tcW w:w="1448" w:type="dxa"/>
          </w:tcPr>
          <w:p w14:paraId="6C185E4A" w14:textId="77777777" w:rsidR="00FA2344" w:rsidRPr="00A4101D" w:rsidRDefault="00FA2344" w:rsidP="00FA2344">
            <w:r>
              <w:t xml:space="preserve">$33,269,495 </w:t>
            </w:r>
          </w:p>
          <w:p w14:paraId="7DE628A1" w14:textId="77777777" w:rsidR="00FA2344" w:rsidRPr="00BC48C5" w:rsidRDefault="00FA2344" w:rsidP="00FA2344"/>
        </w:tc>
        <w:tc>
          <w:tcPr>
            <w:tcW w:w="1011" w:type="dxa"/>
          </w:tcPr>
          <w:p w14:paraId="01B19583" w14:textId="77777777" w:rsidR="00FA2344" w:rsidRPr="00A4101D" w:rsidRDefault="00FA2344" w:rsidP="00FA2344">
            <w:r>
              <w:t>9.1%</w:t>
            </w:r>
          </w:p>
        </w:tc>
      </w:tr>
      <w:tr w:rsidR="00FA2344" w:rsidRPr="00BC48C5" w14:paraId="525366B7" w14:textId="77777777" w:rsidTr="00FA2344">
        <w:tc>
          <w:tcPr>
            <w:tcW w:w="643" w:type="dxa"/>
          </w:tcPr>
          <w:p w14:paraId="5E84A8B5" w14:textId="77777777" w:rsidR="00FA2344" w:rsidRPr="00A4101D" w:rsidRDefault="00FA2344" w:rsidP="00FA2344">
            <w:r w:rsidRPr="00BC48C5">
              <w:t>57</w:t>
            </w:r>
          </w:p>
        </w:tc>
        <w:tc>
          <w:tcPr>
            <w:tcW w:w="3192" w:type="dxa"/>
          </w:tcPr>
          <w:p w14:paraId="22491C0B" w14:textId="77777777" w:rsidR="00FA2344" w:rsidRPr="00A4101D" w:rsidRDefault="00FA2344" w:rsidP="00FA2344">
            <w:r w:rsidRPr="00BC48C5">
              <w:t>Professional attendance at consulting rooms of more than 45 minutes in duration (other than a service to which any other item applies)-each attendance, by:</w:t>
            </w:r>
          </w:p>
          <w:p w14:paraId="69C5A83D" w14:textId="77777777" w:rsidR="00FA2344" w:rsidRPr="00A4101D" w:rsidRDefault="00FA2344" w:rsidP="00FA2344">
            <w:r w:rsidRPr="00BC48C5">
              <w:t>(a) a medical practitioner (who is not a general practitioner); or</w:t>
            </w:r>
          </w:p>
          <w:p w14:paraId="5ED4089F" w14:textId="77777777" w:rsidR="00FA2344" w:rsidRPr="00A4101D" w:rsidRDefault="00FA2344" w:rsidP="00FA2344">
            <w:r w:rsidRPr="00BC48C5">
              <w:t>(b) a general practitioner to whom clause 2.3.1 applies</w:t>
            </w:r>
          </w:p>
        </w:tc>
        <w:tc>
          <w:tcPr>
            <w:tcW w:w="950" w:type="dxa"/>
          </w:tcPr>
          <w:p w14:paraId="075B9B26" w14:textId="77777777" w:rsidR="00FA2344" w:rsidRPr="00A4101D" w:rsidRDefault="00FA2344" w:rsidP="00FA2344">
            <w:r w:rsidRPr="00BC48C5">
              <w:t>$61.00</w:t>
            </w:r>
          </w:p>
        </w:tc>
        <w:tc>
          <w:tcPr>
            <w:tcW w:w="1058" w:type="dxa"/>
          </w:tcPr>
          <w:p w14:paraId="605BBD0C" w14:textId="77777777" w:rsidR="00FA2344" w:rsidRPr="00A4101D" w:rsidRDefault="00FA2344" w:rsidP="00FA2344">
            <w:r>
              <w:t xml:space="preserve">148,762 </w:t>
            </w:r>
          </w:p>
          <w:p w14:paraId="3A7050B3" w14:textId="77777777" w:rsidR="00FA2344" w:rsidRPr="00BC48C5" w:rsidRDefault="00FA2344" w:rsidP="00FA2344"/>
        </w:tc>
        <w:tc>
          <w:tcPr>
            <w:tcW w:w="1448" w:type="dxa"/>
          </w:tcPr>
          <w:p w14:paraId="01D4A69E" w14:textId="77777777" w:rsidR="00FA2344" w:rsidRPr="00A4101D" w:rsidRDefault="00FA2344" w:rsidP="00FA2344">
            <w:r>
              <w:t xml:space="preserve">$10,243,165 </w:t>
            </w:r>
          </w:p>
          <w:p w14:paraId="5608A8BB" w14:textId="77777777" w:rsidR="00FA2344" w:rsidRPr="00BC48C5" w:rsidRDefault="00FA2344" w:rsidP="00FA2344"/>
        </w:tc>
        <w:tc>
          <w:tcPr>
            <w:tcW w:w="1011" w:type="dxa"/>
          </w:tcPr>
          <w:p w14:paraId="253DE3A8" w14:textId="77777777" w:rsidR="00FA2344" w:rsidRPr="00A4101D" w:rsidRDefault="00FA2344" w:rsidP="00FA2344">
            <w:r>
              <w:t>3.0%</w:t>
            </w:r>
          </w:p>
        </w:tc>
      </w:tr>
      <w:tr w:rsidR="00FA2344" w:rsidRPr="00BC48C5" w14:paraId="583792A1" w14:textId="77777777" w:rsidTr="00FA2344">
        <w:tc>
          <w:tcPr>
            <w:tcW w:w="643" w:type="dxa"/>
          </w:tcPr>
          <w:p w14:paraId="64986DA5" w14:textId="77777777" w:rsidR="00FA2344" w:rsidRPr="00A4101D" w:rsidRDefault="00FA2344" w:rsidP="00FA2344">
            <w:r w:rsidRPr="00BC48C5">
              <w:t>58</w:t>
            </w:r>
          </w:p>
        </w:tc>
        <w:tc>
          <w:tcPr>
            <w:tcW w:w="3192" w:type="dxa"/>
          </w:tcPr>
          <w:p w14:paraId="46B333C0" w14:textId="77777777" w:rsidR="00FA2344" w:rsidRPr="00A4101D" w:rsidRDefault="00FA2344" w:rsidP="00FA2344">
            <w:r w:rsidRPr="00BC48C5">
              <w:t>Professional attendance (other than an attendance at consulting rooms or a residential aged care facility or a service to which any other item in the table applies), not more than 5 minutes in duration-an attendance on one or more patients at one place on one occasion-each patient, by:</w:t>
            </w:r>
          </w:p>
          <w:p w14:paraId="63D51A4D" w14:textId="77777777" w:rsidR="00FA2344" w:rsidRPr="00A4101D" w:rsidRDefault="00FA2344" w:rsidP="00FA2344">
            <w:r w:rsidRPr="00BC48C5">
              <w:t>(a) a medical practitioner (who is not a general practitioner); or</w:t>
            </w:r>
          </w:p>
          <w:p w14:paraId="015ED5BE" w14:textId="77777777" w:rsidR="00FA2344" w:rsidRPr="00A4101D" w:rsidRDefault="00FA2344" w:rsidP="00FA2344">
            <w:r w:rsidRPr="00BC48C5">
              <w:t>(b) a general practitioner to whom clause 2.3.1 applies</w:t>
            </w:r>
          </w:p>
        </w:tc>
        <w:tc>
          <w:tcPr>
            <w:tcW w:w="950" w:type="dxa"/>
          </w:tcPr>
          <w:p w14:paraId="2E3A7E5D" w14:textId="77777777" w:rsidR="00FA2344" w:rsidRPr="00A4101D" w:rsidRDefault="00FA2344" w:rsidP="00FA2344">
            <w:r w:rsidRPr="00BC48C5">
              <w:t>An amount equal to $8.50, plus $15.50 divided by the number of patients seen, up to a maximum of six patients. For seven or more patients - an amount equal to $8.50 plus $.70 per patient</w:t>
            </w:r>
          </w:p>
        </w:tc>
        <w:tc>
          <w:tcPr>
            <w:tcW w:w="1058" w:type="dxa"/>
          </w:tcPr>
          <w:p w14:paraId="150E934D" w14:textId="77777777" w:rsidR="00FA2344" w:rsidRPr="00A4101D" w:rsidRDefault="00FA2344" w:rsidP="00FA2344">
            <w:r>
              <w:t xml:space="preserve">4,192 </w:t>
            </w:r>
          </w:p>
          <w:p w14:paraId="6B35A3F6" w14:textId="77777777" w:rsidR="00FA2344" w:rsidRPr="00BC48C5" w:rsidRDefault="00FA2344" w:rsidP="00FA2344"/>
        </w:tc>
        <w:tc>
          <w:tcPr>
            <w:tcW w:w="1448" w:type="dxa"/>
          </w:tcPr>
          <w:p w14:paraId="03DFF24B" w14:textId="77777777" w:rsidR="00FA2344" w:rsidRPr="00A4101D" w:rsidRDefault="00FA2344" w:rsidP="00FA2344">
            <w:r>
              <w:t xml:space="preserve">$46,770 </w:t>
            </w:r>
          </w:p>
          <w:p w14:paraId="415EE1EA" w14:textId="77777777" w:rsidR="00FA2344" w:rsidRPr="00BC48C5" w:rsidRDefault="00FA2344" w:rsidP="00FA2344"/>
        </w:tc>
        <w:tc>
          <w:tcPr>
            <w:tcW w:w="1011" w:type="dxa"/>
          </w:tcPr>
          <w:p w14:paraId="700DB076" w14:textId="77777777" w:rsidR="00FA2344" w:rsidRPr="00A4101D" w:rsidRDefault="00FA2344" w:rsidP="00FA2344">
            <w:r>
              <w:t>16.3%</w:t>
            </w:r>
          </w:p>
        </w:tc>
      </w:tr>
      <w:tr w:rsidR="00FA2344" w:rsidRPr="00BC48C5" w14:paraId="0DFFDF63" w14:textId="77777777" w:rsidTr="00FA2344">
        <w:tc>
          <w:tcPr>
            <w:tcW w:w="643" w:type="dxa"/>
          </w:tcPr>
          <w:p w14:paraId="67011CC0" w14:textId="77777777" w:rsidR="00FA2344" w:rsidRPr="00A4101D" w:rsidRDefault="00FA2344" w:rsidP="00FA2344">
            <w:r w:rsidRPr="00BC48C5">
              <w:t>59</w:t>
            </w:r>
          </w:p>
        </w:tc>
        <w:tc>
          <w:tcPr>
            <w:tcW w:w="3192" w:type="dxa"/>
          </w:tcPr>
          <w:p w14:paraId="30B8F207" w14:textId="77777777" w:rsidR="00FA2344" w:rsidRPr="00A4101D" w:rsidRDefault="00FA2344" w:rsidP="00FA2344">
            <w:r w:rsidRPr="00BC48C5">
              <w:t>Professional attendance (other than an attendance at consulting rooms or a residential aged care facility or a</w:t>
            </w:r>
            <w:r w:rsidRPr="00A4101D">
              <w:t xml:space="preserve"> service to which any other item in the table applies) of more than 5 minutes in duration but not more than 25 minutes-an attendance on one or more patients at one place on one occasion-each patient, by:</w:t>
            </w:r>
          </w:p>
          <w:p w14:paraId="4229CF2F" w14:textId="77777777" w:rsidR="00FA2344" w:rsidRPr="00A4101D" w:rsidRDefault="00FA2344" w:rsidP="00FA2344">
            <w:r w:rsidRPr="00BC48C5">
              <w:t>(a) a medical practitioner (who is not a general practitioner); or</w:t>
            </w:r>
          </w:p>
          <w:p w14:paraId="58FE1357" w14:textId="77777777" w:rsidR="00FA2344" w:rsidRPr="00A4101D" w:rsidRDefault="00FA2344" w:rsidP="00FA2344">
            <w:r w:rsidRPr="00BC48C5">
              <w:t>(b) a general practitioner to whom clause 2.3.1 applies</w:t>
            </w:r>
          </w:p>
        </w:tc>
        <w:tc>
          <w:tcPr>
            <w:tcW w:w="950" w:type="dxa"/>
          </w:tcPr>
          <w:p w14:paraId="2638E592" w14:textId="77777777" w:rsidR="00FA2344" w:rsidRPr="00A4101D" w:rsidRDefault="00FA2344" w:rsidP="00FA2344">
            <w:r w:rsidRPr="00BC48C5">
              <w:t>An amount equal to $16.00, plus $17.50 divided by the number of patients seen, up to a maximum of six patients. For seven or more patients - an amount equal to $16.00 plus $.70 per patient</w:t>
            </w:r>
          </w:p>
        </w:tc>
        <w:tc>
          <w:tcPr>
            <w:tcW w:w="1058" w:type="dxa"/>
          </w:tcPr>
          <w:p w14:paraId="6FCBDA44" w14:textId="77777777" w:rsidR="00FA2344" w:rsidRPr="00A4101D" w:rsidRDefault="00FA2344" w:rsidP="00FA2344">
            <w:r>
              <w:t xml:space="preserve">50,050 </w:t>
            </w:r>
          </w:p>
          <w:p w14:paraId="7A8166CC" w14:textId="77777777" w:rsidR="00FA2344" w:rsidRPr="00BC48C5" w:rsidRDefault="00FA2344" w:rsidP="00FA2344"/>
        </w:tc>
        <w:tc>
          <w:tcPr>
            <w:tcW w:w="1448" w:type="dxa"/>
          </w:tcPr>
          <w:p w14:paraId="5151A94D" w14:textId="77777777" w:rsidR="00FA2344" w:rsidRPr="00A4101D" w:rsidRDefault="00FA2344" w:rsidP="00FA2344">
            <w:r>
              <w:t xml:space="preserve">$945,795 </w:t>
            </w:r>
          </w:p>
          <w:p w14:paraId="44D8DF4A" w14:textId="77777777" w:rsidR="00FA2344" w:rsidRPr="00BC48C5" w:rsidRDefault="00FA2344" w:rsidP="00FA2344"/>
        </w:tc>
        <w:tc>
          <w:tcPr>
            <w:tcW w:w="1011" w:type="dxa"/>
          </w:tcPr>
          <w:p w14:paraId="4EFAFE70" w14:textId="77777777" w:rsidR="00FA2344" w:rsidRPr="00A4101D" w:rsidRDefault="00FA2344" w:rsidP="00FA2344">
            <w:r>
              <w:t>1.6%</w:t>
            </w:r>
          </w:p>
        </w:tc>
      </w:tr>
      <w:tr w:rsidR="00FA2344" w:rsidRPr="00BC48C5" w14:paraId="368C8350" w14:textId="77777777" w:rsidTr="00FA2344">
        <w:tc>
          <w:tcPr>
            <w:tcW w:w="643" w:type="dxa"/>
          </w:tcPr>
          <w:p w14:paraId="2C29A47E" w14:textId="77777777" w:rsidR="00FA2344" w:rsidRPr="00A4101D" w:rsidRDefault="00FA2344" w:rsidP="00FA2344">
            <w:r w:rsidRPr="00BC48C5">
              <w:t>60</w:t>
            </w:r>
          </w:p>
        </w:tc>
        <w:tc>
          <w:tcPr>
            <w:tcW w:w="3192" w:type="dxa"/>
          </w:tcPr>
          <w:p w14:paraId="54985335" w14:textId="77777777" w:rsidR="00FA2344" w:rsidRPr="00A4101D" w:rsidRDefault="00FA2344" w:rsidP="00FA2344">
            <w:r w:rsidRPr="00BC48C5">
              <w:t xml:space="preserve">Professional attendance (other than an attendance at consulting rooms or a residential aged care facility or a service to which any other item in the table applies) of more than 25 minutes in duration but not more than 45 </w:t>
            </w:r>
            <w:r w:rsidRPr="00A4101D">
              <w:t>minutes-an attendance on one or more patients at one place on one occasion-each patient, by:</w:t>
            </w:r>
          </w:p>
          <w:p w14:paraId="72BD057F" w14:textId="77777777" w:rsidR="00FA2344" w:rsidRPr="00A4101D" w:rsidRDefault="00FA2344" w:rsidP="00FA2344">
            <w:r w:rsidRPr="00BC48C5">
              <w:t>(a) a medical practitioner (who is not a general practitioner); or</w:t>
            </w:r>
          </w:p>
          <w:p w14:paraId="5888D2E5" w14:textId="77777777" w:rsidR="00FA2344" w:rsidRPr="00A4101D" w:rsidRDefault="00FA2344" w:rsidP="00FA2344">
            <w:r w:rsidRPr="00BC48C5">
              <w:t>(b) a general practitioner to whom clause 2.3.1 applies</w:t>
            </w:r>
          </w:p>
        </w:tc>
        <w:tc>
          <w:tcPr>
            <w:tcW w:w="950" w:type="dxa"/>
          </w:tcPr>
          <w:p w14:paraId="140F7B7A" w14:textId="77777777" w:rsidR="00FA2344" w:rsidRPr="00A4101D" w:rsidRDefault="00FA2344" w:rsidP="00FA2344">
            <w:r w:rsidRPr="00BC48C5">
              <w:t>An amount equal to $35.50, plus $15.50 divided by the number of patients seen, up to a maximum of six patients. For seven or more patients - an amount equal to $35.50 plus $.70 per patient</w:t>
            </w:r>
          </w:p>
        </w:tc>
        <w:tc>
          <w:tcPr>
            <w:tcW w:w="1058" w:type="dxa"/>
          </w:tcPr>
          <w:p w14:paraId="3100BA75" w14:textId="77777777" w:rsidR="00FA2344" w:rsidRPr="00A4101D" w:rsidRDefault="00FA2344" w:rsidP="00FA2344">
            <w:r>
              <w:t xml:space="preserve">22,458 </w:t>
            </w:r>
          </w:p>
          <w:p w14:paraId="03FDEAC2" w14:textId="77777777" w:rsidR="00FA2344" w:rsidRPr="00BC48C5" w:rsidRDefault="00FA2344" w:rsidP="00FA2344"/>
        </w:tc>
        <w:tc>
          <w:tcPr>
            <w:tcW w:w="1448" w:type="dxa"/>
          </w:tcPr>
          <w:p w14:paraId="3F23B632" w14:textId="77777777" w:rsidR="00FA2344" w:rsidRPr="00A4101D" w:rsidRDefault="00FA2344" w:rsidP="00FA2344">
            <w:r>
              <w:t xml:space="preserve">$815,988 </w:t>
            </w:r>
          </w:p>
          <w:p w14:paraId="58116BF6" w14:textId="77777777" w:rsidR="00FA2344" w:rsidRPr="00BC48C5" w:rsidRDefault="00FA2344" w:rsidP="00FA2344"/>
        </w:tc>
        <w:tc>
          <w:tcPr>
            <w:tcW w:w="1011" w:type="dxa"/>
          </w:tcPr>
          <w:p w14:paraId="2F67A75E" w14:textId="77777777" w:rsidR="00FA2344" w:rsidRPr="00A4101D" w:rsidRDefault="00FA2344" w:rsidP="00FA2344">
            <w:r>
              <w:t>2.2%</w:t>
            </w:r>
          </w:p>
        </w:tc>
      </w:tr>
      <w:tr w:rsidR="00FA2344" w:rsidRPr="00BC48C5" w14:paraId="7808D0A8" w14:textId="77777777" w:rsidTr="00FA2344">
        <w:tc>
          <w:tcPr>
            <w:tcW w:w="643" w:type="dxa"/>
          </w:tcPr>
          <w:p w14:paraId="47965673" w14:textId="77777777" w:rsidR="00FA2344" w:rsidRPr="00A4101D" w:rsidRDefault="00FA2344" w:rsidP="00FA2344">
            <w:r w:rsidRPr="00BC48C5">
              <w:t>65</w:t>
            </w:r>
          </w:p>
        </w:tc>
        <w:tc>
          <w:tcPr>
            <w:tcW w:w="3192" w:type="dxa"/>
          </w:tcPr>
          <w:p w14:paraId="6D7F5111" w14:textId="77777777" w:rsidR="00FA2344" w:rsidRPr="00A4101D" w:rsidRDefault="00FA2344" w:rsidP="00FA2344">
            <w:r w:rsidRPr="00BC48C5">
              <w:t>Professional attendance (other than an attendance at consulting rooms or a residential aged care facility or a service to which any other item in the table applies) of more than 45 minutes in duration-an attendance on one or more patients at one place on one occasion-each patient, by:</w:t>
            </w:r>
          </w:p>
          <w:p w14:paraId="4855EA78" w14:textId="77777777" w:rsidR="00FA2344" w:rsidRPr="00A4101D" w:rsidRDefault="00FA2344" w:rsidP="00FA2344">
            <w:r w:rsidRPr="00BC48C5">
              <w:t>(a) a medical practitioner (who is not a general</w:t>
            </w:r>
            <w:r w:rsidRPr="00A4101D">
              <w:t xml:space="preserve"> practitioner); or</w:t>
            </w:r>
          </w:p>
          <w:p w14:paraId="2310C9A6" w14:textId="77777777" w:rsidR="00FA2344" w:rsidRPr="00A4101D" w:rsidRDefault="00FA2344" w:rsidP="00FA2344">
            <w:r w:rsidRPr="00BC48C5">
              <w:t>(b) a general practitioner to whom clause 2.3.1 applies</w:t>
            </w:r>
          </w:p>
        </w:tc>
        <w:tc>
          <w:tcPr>
            <w:tcW w:w="950" w:type="dxa"/>
          </w:tcPr>
          <w:p w14:paraId="5614A6CA" w14:textId="77777777" w:rsidR="00FA2344" w:rsidRPr="00A4101D" w:rsidRDefault="00FA2344" w:rsidP="00FA2344">
            <w:r w:rsidRPr="00BC48C5">
              <w:t>An amount equal to $57.50, plus $15.50 divided by the number of patients seen, up to a maximum of six patients. For seven or more patients - an amount equal to $57.50 plus $.70 per patient</w:t>
            </w:r>
          </w:p>
        </w:tc>
        <w:tc>
          <w:tcPr>
            <w:tcW w:w="1058" w:type="dxa"/>
          </w:tcPr>
          <w:p w14:paraId="714F8A24" w14:textId="77777777" w:rsidR="00FA2344" w:rsidRPr="00A4101D" w:rsidRDefault="00FA2344" w:rsidP="00FA2344">
            <w:r>
              <w:t xml:space="preserve">14,871 </w:t>
            </w:r>
          </w:p>
          <w:p w14:paraId="13738376" w14:textId="77777777" w:rsidR="00FA2344" w:rsidRPr="00BC48C5" w:rsidRDefault="00FA2344" w:rsidP="00FA2344"/>
        </w:tc>
        <w:tc>
          <w:tcPr>
            <w:tcW w:w="1448" w:type="dxa"/>
          </w:tcPr>
          <w:p w14:paraId="51870D6C" w14:textId="77777777" w:rsidR="00FA2344" w:rsidRPr="00A4101D" w:rsidRDefault="00FA2344" w:rsidP="00FA2344">
            <w:r>
              <w:t xml:space="preserve">$795,210 </w:t>
            </w:r>
          </w:p>
          <w:p w14:paraId="451AD3FB" w14:textId="77777777" w:rsidR="00FA2344" w:rsidRPr="00BC48C5" w:rsidRDefault="00FA2344" w:rsidP="00FA2344"/>
        </w:tc>
        <w:tc>
          <w:tcPr>
            <w:tcW w:w="1011" w:type="dxa"/>
          </w:tcPr>
          <w:p w14:paraId="314325AB" w14:textId="77777777" w:rsidR="00FA2344" w:rsidRPr="00A4101D" w:rsidRDefault="00FA2344" w:rsidP="00FA2344">
            <w:r>
              <w:t>-0.5%</w:t>
            </w:r>
          </w:p>
        </w:tc>
      </w:tr>
      <w:tr w:rsidR="00FA2344" w:rsidRPr="00BC48C5" w14:paraId="6BB50CD2" w14:textId="77777777" w:rsidTr="00FA2344">
        <w:tc>
          <w:tcPr>
            <w:tcW w:w="643" w:type="dxa"/>
          </w:tcPr>
          <w:p w14:paraId="0539BE70" w14:textId="77777777" w:rsidR="00FA2344" w:rsidRPr="00A4101D" w:rsidRDefault="00FA2344" w:rsidP="00FA2344">
            <w:r w:rsidRPr="00BC48C5">
              <w:t>92</w:t>
            </w:r>
          </w:p>
        </w:tc>
        <w:tc>
          <w:tcPr>
            <w:tcW w:w="3192" w:type="dxa"/>
          </w:tcPr>
          <w:p w14:paraId="134B767A" w14:textId="77777777" w:rsidR="00FA2344" w:rsidRPr="00A4101D" w:rsidRDefault="00FA2344" w:rsidP="00FA2344">
            <w:r w:rsidRPr="004A3948">
              <w:t xml:space="preserve">Professional attendance (other than a service to which any other item applies) at a residential aged care facility (other than a professional attendance at a self-contained unit) or professional attendance at consulting rooms situated within such a complex where the patient is accommodated in the residential aged care facility (that is not accommodation in a self-contained unit) of not more than 5 minutes in duration-an attendance on one or more patients at one residential aged care facility on one occasion-each patient, by: </w:t>
            </w:r>
          </w:p>
          <w:p w14:paraId="510CEB1B" w14:textId="77777777" w:rsidR="00FA2344" w:rsidRPr="00A4101D" w:rsidRDefault="00FA2344" w:rsidP="00FA2344">
            <w:r w:rsidRPr="004A3948">
              <w:t xml:space="preserve">(a) a medical practitioner (who is not a general practitioner); or </w:t>
            </w:r>
          </w:p>
          <w:p w14:paraId="77A43AE7" w14:textId="77777777" w:rsidR="00FA2344" w:rsidRPr="00A4101D" w:rsidRDefault="00FA2344" w:rsidP="00FA2344">
            <w:r w:rsidRPr="004A3948">
              <w:t>(b) a general practitioner to whom clause 2.3.1 applies</w:t>
            </w:r>
          </w:p>
          <w:p w14:paraId="7274B6C9" w14:textId="77777777" w:rsidR="00FA2344" w:rsidRPr="00BC48C5" w:rsidRDefault="00FA2344" w:rsidP="00FA2344"/>
        </w:tc>
        <w:tc>
          <w:tcPr>
            <w:tcW w:w="950" w:type="dxa"/>
          </w:tcPr>
          <w:p w14:paraId="02953B6D" w14:textId="77777777" w:rsidR="00FA2344" w:rsidRPr="00A4101D" w:rsidRDefault="00FA2344" w:rsidP="00FA2344">
            <w:r w:rsidRPr="00DA1A6F">
              <w:t xml:space="preserve">An amount equal to $8.50, plus $27.95 divided by the number of patients seen, up to a maximum of six patients. </w:t>
            </w:r>
            <w:r w:rsidRPr="00A4101D">
              <w:t>For seven or more patients - an amount equal to $8.50 plus $1.25 per patient</w:t>
            </w:r>
          </w:p>
        </w:tc>
        <w:tc>
          <w:tcPr>
            <w:tcW w:w="1058" w:type="dxa"/>
          </w:tcPr>
          <w:p w14:paraId="3215888F" w14:textId="77777777" w:rsidR="00FA2344" w:rsidRPr="00A4101D" w:rsidRDefault="00FA2344" w:rsidP="00FA2344">
            <w:r>
              <w:t xml:space="preserve">3,319 </w:t>
            </w:r>
          </w:p>
          <w:p w14:paraId="7F24A61F" w14:textId="77777777" w:rsidR="00FA2344" w:rsidRPr="00BC48C5" w:rsidRDefault="00FA2344" w:rsidP="00FA2344"/>
        </w:tc>
        <w:tc>
          <w:tcPr>
            <w:tcW w:w="1448" w:type="dxa"/>
          </w:tcPr>
          <w:p w14:paraId="3C05F1BE" w14:textId="77777777" w:rsidR="00FA2344" w:rsidRPr="00A4101D" w:rsidRDefault="00FA2344" w:rsidP="00FA2344">
            <w:r>
              <w:t xml:space="preserve">$61,877 </w:t>
            </w:r>
          </w:p>
        </w:tc>
        <w:tc>
          <w:tcPr>
            <w:tcW w:w="1011" w:type="dxa"/>
          </w:tcPr>
          <w:p w14:paraId="4B17D0E0" w14:textId="77777777" w:rsidR="00FA2344" w:rsidRPr="00A4101D" w:rsidRDefault="00FA2344" w:rsidP="00FA2344">
            <w:r>
              <w:t>-10.9%</w:t>
            </w:r>
          </w:p>
        </w:tc>
      </w:tr>
      <w:tr w:rsidR="00FA2344" w:rsidRPr="00BC48C5" w14:paraId="2303C5D5" w14:textId="77777777" w:rsidTr="00FA2344">
        <w:tc>
          <w:tcPr>
            <w:tcW w:w="643" w:type="dxa"/>
          </w:tcPr>
          <w:p w14:paraId="1BB9C043" w14:textId="77777777" w:rsidR="00FA2344" w:rsidRPr="00A4101D" w:rsidRDefault="00FA2344" w:rsidP="00FA2344">
            <w:r w:rsidRPr="00BC48C5">
              <w:t>93</w:t>
            </w:r>
          </w:p>
        </w:tc>
        <w:tc>
          <w:tcPr>
            <w:tcW w:w="3192" w:type="dxa"/>
          </w:tcPr>
          <w:p w14:paraId="40119A70" w14:textId="77777777" w:rsidR="00FA2344" w:rsidRPr="00A4101D" w:rsidRDefault="00FA2344" w:rsidP="00FA2344">
            <w:r w:rsidRPr="009733CB">
              <w:t xml:space="preserve">Professional attendance (other than a service to which any other item applies) at a residential aged care facility (other than a professional attendance at a self-contained unit) or professional attendance at consulting rooms situated within such a complex where the patient is accommodated in the residential aged care facility (that is not accommodation in a self-contained unit) of more than 5 minutes in duration but not more than 25 minutes-an attendance on one or more patients at one residential aged care facility on one occasion-each patient, by: </w:t>
            </w:r>
          </w:p>
          <w:p w14:paraId="7E5E9B31" w14:textId="77777777" w:rsidR="00FA2344" w:rsidRPr="00A4101D" w:rsidRDefault="00FA2344" w:rsidP="00FA2344">
            <w:r w:rsidRPr="009733CB">
              <w:t xml:space="preserve">(a) a medical practitioner (who is not a general practitioner); or </w:t>
            </w:r>
          </w:p>
          <w:p w14:paraId="0E74A535" w14:textId="77777777" w:rsidR="00FA2344" w:rsidRPr="00A4101D" w:rsidRDefault="00FA2344" w:rsidP="00FA2344">
            <w:r w:rsidRPr="009733CB">
              <w:t xml:space="preserve">(b) a general practitioner to whom clause 2.3.1 applies </w:t>
            </w:r>
          </w:p>
        </w:tc>
        <w:tc>
          <w:tcPr>
            <w:tcW w:w="950" w:type="dxa"/>
          </w:tcPr>
          <w:p w14:paraId="2BF2A637" w14:textId="77777777" w:rsidR="00FA2344" w:rsidRPr="00A4101D" w:rsidRDefault="00FA2344" w:rsidP="00FA2344">
            <w:r w:rsidRPr="009733CB">
              <w:t>An amount equal to $16.00, plus $31.55 divided by the number of patients seen, up to a maximum of six patients. For seven or more patients - an amount equal to $16.00 plus $1.25 per patient</w:t>
            </w:r>
            <w:r w:rsidRPr="00A4101D">
              <w:t>.</w:t>
            </w:r>
          </w:p>
          <w:p w14:paraId="16DF5C28" w14:textId="77777777" w:rsidR="00FA2344" w:rsidRPr="00A4101D" w:rsidRDefault="00FA2344" w:rsidP="00FA2344">
            <w:r>
              <w:t>Derived fee</w:t>
            </w:r>
          </w:p>
        </w:tc>
        <w:tc>
          <w:tcPr>
            <w:tcW w:w="1058" w:type="dxa"/>
          </w:tcPr>
          <w:p w14:paraId="11DF2BA6" w14:textId="77777777" w:rsidR="00FA2344" w:rsidRPr="00A4101D" w:rsidRDefault="00FA2344" w:rsidP="00FA2344">
            <w:r>
              <w:t xml:space="preserve">43,974 </w:t>
            </w:r>
          </w:p>
          <w:p w14:paraId="399A2CDD" w14:textId="77777777" w:rsidR="00FA2344" w:rsidRPr="00BC48C5" w:rsidRDefault="00FA2344" w:rsidP="00FA2344"/>
        </w:tc>
        <w:tc>
          <w:tcPr>
            <w:tcW w:w="1448" w:type="dxa"/>
          </w:tcPr>
          <w:p w14:paraId="6AB7DE8B" w14:textId="77777777" w:rsidR="00FA2344" w:rsidRPr="00A4101D" w:rsidRDefault="00FA2344" w:rsidP="00FA2344">
            <w:r>
              <w:t xml:space="preserve">$1,001,216 </w:t>
            </w:r>
          </w:p>
          <w:p w14:paraId="2AE1668B" w14:textId="77777777" w:rsidR="00FA2344" w:rsidRPr="00BC48C5" w:rsidRDefault="00FA2344" w:rsidP="00FA2344"/>
        </w:tc>
        <w:tc>
          <w:tcPr>
            <w:tcW w:w="1011" w:type="dxa"/>
          </w:tcPr>
          <w:p w14:paraId="2427B97D" w14:textId="77777777" w:rsidR="00FA2344" w:rsidRPr="00A4101D" w:rsidRDefault="00FA2344" w:rsidP="00FA2344">
            <w:r>
              <w:t>3.6%</w:t>
            </w:r>
          </w:p>
        </w:tc>
      </w:tr>
      <w:tr w:rsidR="00FA2344" w:rsidRPr="00BC48C5" w14:paraId="1F567BBA" w14:textId="77777777" w:rsidTr="00FA2344">
        <w:tc>
          <w:tcPr>
            <w:tcW w:w="643" w:type="dxa"/>
          </w:tcPr>
          <w:p w14:paraId="62C9328D" w14:textId="77777777" w:rsidR="00FA2344" w:rsidRPr="00A4101D" w:rsidRDefault="00FA2344" w:rsidP="00FA2344">
            <w:r w:rsidRPr="00BC48C5">
              <w:t>95</w:t>
            </w:r>
          </w:p>
        </w:tc>
        <w:tc>
          <w:tcPr>
            <w:tcW w:w="3192" w:type="dxa"/>
          </w:tcPr>
          <w:p w14:paraId="5BA53193" w14:textId="77777777" w:rsidR="00FA2344" w:rsidRPr="00A4101D" w:rsidRDefault="00FA2344" w:rsidP="00FA2344">
            <w:r w:rsidRPr="009733CB">
              <w:t xml:space="preserve">Professional attendance (other than a service to which any other item applies) at a residential aged care facility (other than a professional attendance at a self-contained unit) or professional attendance at consulting rooms situated within such a complex where the patient is accommodated in the residential aged care facility (that is not accommodation in a self-contained unit) of more than 25 minutes in duration but not more than 45 minutes-an attendance on one or more patients at one residential aged care facility on one occasion-each patient, by: </w:t>
            </w:r>
          </w:p>
          <w:p w14:paraId="6B6BB2E2" w14:textId="77777777" w:rsidR="00FA2344" w:rsidRPr="00A4101D" w:rsidRDefault="00FA2344" w:rsidP="00FA2344">
            <w:r w:rsidRPr="009733CB">
              <w:t xml:space="preserve">(a) a medical practitioner (who is not a general practitioner); or </w:t>
            </w:r>
          </w:p>
          <w:p w14:paraId="1DBA8A2E" w14:textId="77777777" w:rsidR="00FA2344" w:rsidRPr="00A4101D" w:rsidRDefault="00FA2344" w:rsidP="00FA2344">
            <w:r w:rsidRPr="009733CB">
              <w:t xml:space="preserve">(b) a general practitioner to whom clause 2.3.1 applies </w:t>
            </w:r>
          </w:p>
          <w:p w14:paraId="1853C6C7" w14:textId="77777777" w:rsidR="00FA2344" w:rsidRPr="00BC48C5" w:rsidRDefault="00FA2344" w:rsidP="00FA2344"/>
        </w:tc>
        <w:tc>
          <w:tcPr>
            <w:tcW w:w="950" w:type="dxa"/>
          </w:tcPr>
          <w:p w14:paraId="60FD7F62" w14:textId="77777777" w:rsidR="00FA2344" w:rsidRPr="00A4101D" w:rsidRDefault="00FA2344" w:rsidP="00FA2344">
            <w:r w:rsidRPr="009733CB">
              <w:t>An amount equal to $35.50, plus $27.95 divided by the number of patients seen, up to</w:t>
            </w:r>
            <w:r w:rsidRPr="00A4101D">
              <w:t xml:space="preserve"> a maximum of six patients. For seven or more patients - an amount equal to $35.50 plus $1.25 per patient</w:t>
            </w:r>
          </w:p>
        </w:tc>
        <w:tc>
          <w:tcPr>
            <w:tcW w:w="1058" w:type="dxa"/>
          </w:tcPr>
          <w:p w14:paraId="780CAA31" w14:textId="77777777" w:rsidR="00FA2344" w:rsidRPr="00A4101D" w:rsidRDefault="00FA2344" w:rsidP="00FA2344">
            <w:r>
              <w:t>10,359</w:t>
            </w:r>
          </w:p>
        </w:tc>
        <w:tc>
          <w:tcPr>
            <w:tcW w:w="1448" w:type="dxa"/>
          </w:tcPr>
          <w:p w14:paraId="18EA009B" w14:textId="77777777" w:rsidR="00FA2344" w:rsidRPr="00A4101D" w:rsidRDefault="00FA2344" w:rsidP="00FA2344">
            <w:r>
              <w:t>$</w:t>
            </w:r>
            <w:r w:rsidRPr="00A4101D">
              <w:t>470,776</w:t>
            </w:r>
          </w:p>
        </w:tc>
        <w:tc>
          <w:tcPr>
            <w:tcW w:w="1011" w:type="dxa"/>
          </w:tcPr>
          <w:p w14:paraId="6425F5E0" w14:textId="77777777" w:rsidR="00FA2344" w:rsidRPr="00A4101D" w:rsidRDefault="00FA2344" w:rsidP="00FA2344">
            <w:r>
              <w:t>-1.1%</w:t>
            </w:r>
          </w:p>
        </w:tc>
      </w:tr>
      <w:tr w:rsidR="00FA2344" w:rsidRPr="00BC48C5" w14:paraId="58E929F1" w14:textId="77777777" w:rsidTr="00FA2344">
        <w:tc>
          <w:tcPr>
            <w:tcW w:w="643" w:type="dxa"/>
          </w:tcPr>
          <w:p w14:paraId="53D550E2" w14:textId="77777777" w:rsidR="00FA2344" w:rsidRPr="00A4101D" w:rsidRDefault="00FA2344" w:rsidP="00FA2344">
            <w:r w:rsidRPr="00BC48C5">
              <w:t>96</w:t>
            </w:r>
          </w:p>
        </w:tc>
        <w:tc>
          <w:tcPr>
            <w:tcW w:w="3192" w:type="dxa"/>
          </w:tcPr>
          <w:p w14:paraId="398CBE6D" w14:textId="77777777" w:rsidR="00FA2344" w:rsidRPr="00A4101D" w:rsidRDefault="00FA2344" w:rsidP="00FA2344">
            <w:r w:rsidRPr="009733CB">
              <w:t xml:space="preserve">Professional attendance (other than a service to which any other item applies) at a residential aged care facility (other than a professional attendance at a self-contained unit) or professional attendance at consulting rooms situated within such a complex where the patient is accommodated in the residential aged care facility (that is not accommodation in a self-contained unit) of more than 45 minutes in duration-an attendance on one or more patients at one residential aged care facility on one occasion-each patient, by: </w:t>
            </w:r>
          </w:p>
          <w:p w14:paraId="67722AA5" w14:textId="77777777" w:rsidR="00FA2344" w:rsidRPr="00A4101D" w:rsidRDefault="00FA2344" w:rsidP="00FA2344">
            <w:r w:rsidRPr="009733CB">
              <w:t xml:space="preserve">(a) a medical practitioner (who is not a general practitioner); or </w:t>
            </w:r>
          </w:p>
          <w:p w14:paraId="21DAEDFC" w14:textId="77777777" w:rsidR="00FA2344" w:rsidRPr="00A4101D" w:rsidRDefault="00FA2344" w:rsidP="00FA2344">
            <w:r w:rsidRPr="009733CB">
              <w:t xml:space="preserve">(b) a general practitioner to whom clause 2.3.1 applies </w:t>
            </w:r>
          </w:p>
        </w:tc>
        <w:tc>
          <w:tcPr>
            <w:tcW w:w="950" w:type="dxa"/>
          </w:tcPr>
          <w:p w14:paraId="66E8A18E" w14:textId="77777777" w:rsidR="00FA2344" w:rsidRPr="00A4101D" w:rsidRDefault="00FA2344" w:rsidP="00FA2344">
            <w:r w:rsidRPr="009733CB">
              <w:t>An amount equal to $57.50, plus $27.95 divided by the number of patients seen, up to a maximum of six patients. For seven or more patients - an amount equal to $57.50 plus $1.25 per patient</w:t>
            </w:r>
          </w:p>
        </w:tc>
        <w:tc>
          <w:tcPr>
            <w:tcW w:w="1058" w:type="dxa"/>
          </w:tcPr>
          <w:p w14:paraId="058AA998" w14:textId="77777777" w:rsidR="00FA2344" w:rsidRPr="00A4101D" w:rsidRDefault="00FA2344" w:rsidP="00FA2344">
            <w:r>
              <w:t>2,602</w:t>
            </w:r>
          </w:p>
        </w:tc>
        <w:tc>
          <w:tcPr>
            <w:tcW w:w="1448" w:type="dxa"/>
          </w:tcPr>
          <w:p w14:paraId="3398DA00" w14:textId="77777777" w:rsidR="00FA2344" w:rsidRPr="00A4101D" w:rsidRDefault="00FA2344" w:rsidP="00FA2344">
            <w:r>
              <w:t>$</w:t>
            </w:r>
            <w:r w:rsidRPr="00A4101D">
              <w:t>179,740</w:t>
            </w:r>
          </w:p>
        </w:tc>
        <w:tc>
          <w:tcPr>
            <w:tcW w:w="1011" w:type="dxa"/>
          </w:tcPr>
          <w:p w14:paraId="09F00B2B" w14:textId="77777777" w:rsidR="00FA2344" w:rsidRPr="00A4101D" w:rsidRDefault="00FA2344" w:rsidP="00FA2344">
            <w:r>
              <w:t>7.4%</w:t>
            </w:r>
          </w:p>
        </w:tc>
      </w:tr>
      <w:tr w:rsidR="00FA2344" w:rsidRPr="00BC48C5" w14:paraId="0F1E9488" w14:textId="77777777" w:rsidTr="00FA2344">
        <w:tc>
          <w:tcPr>
            <w:tcW w:w="643" w:type="dxa"/>
          </w:tcPr>
          <w:p w14:paraId="03FADAAC" w14:textId="77777777" w:rsidR="00FA2344" w:rsidRPr="00A4101D" w:rsidRDefault="00FA2344" w:rsidP="00FA2344">
            <w:r w:rsidRPr="00BC48C5">
              <w:t>5000</w:t>
            </w:r>
          </w:p>
        </w:tc>
        <w:tc>
          <w:tcPr>
            <w:tcW w:w="3192" w:type="dxa"/>
          </w:tcPr>
          <w:p w14:paraId="49A39CF9" w14:textId="77777777" w:rsidR="00FA2344" w:rsidRPr="00A4101D" w:rsidRDefault="00FA2344" w:rsidP="00FA2344">
            <w:r w:rsidRPr="009733CB">
              <w:t xml:space="preserve">Professional </w:t>
            </w:r>
            <w:r w:rsidRPr="00A4101D">
              <w:t>attendance at consulting rooms (other than a service to which another item applies) by a general practitioner for an obvious problem characterised by the straightforward nature of the task that requires a short patient history and, if required, limited examination and management-each attendance</w:t>
            </w:r>
          </w:p>
        </w:tc>
        <w:tc>
          <w:tcPr>
            <w:tcW w:w="950" w:type="dxa"/>
          </w:tcPr>
          <w:p w14:paraId="24C9E7E8" w14:textId="77777777" w:rsidR="00FA2344" w:rsidRPr="00A4101D" w:rsidRDefault="00FA2344" w:rsidP="00FA2344">
            <w:r w:rsidRPr="002C37D7">
              <w:t>$29.00</w:t>
            </w:r>
          </w:p>
        </w:tc>
        <w:tc>
          <w:tcPr>
            <w:tcW w:w="1058" w:type="dxa"/>
          </w:tcPr>
          <w:p w14:paraId="70D274E3" w14:textId="77777777" w:rsidR="00FA2344" w:rsidRPr="00A4101D" w:rsidRDefault="00FA2344" w:rsidP="00FA2344">
            <w:r>
              <w:t>85,776</w:t>
            </w:r>
          </w:p>
          <w:p w14:paraId="54DB1EDA" w14:textId="77777777" w:rsidR="00FA2344" w:rsidRPr="00BC48C5" w:rsidRDefault="00FA2344" w:rsidP="00FA2344"/>
        </w:tc>
        <w:tc>
          <w:tcPr>
            <w:tcW w:w="1448" w:type="dxa"/>
          </w:tcPr>
          <w:p w14:paraId="753B6ABB" w14:textId="77777777" w:rsidR="00FA2344" w:rsidRPr="00A4101D" w:rsidRDefault="00FA2344" w:rsidP="00FA2344">
            <w:r>
              <w:t>$</w:t>
            </w:r>
            <w:r w:rsidRPr="00A4101D">
              <w:t>2,490,232</w:t>
            </w:r>
          </w:p>
        </w:tc>
        <w:tc>
          <w:tcPr>
            <w:tcW w:w="1011" w:type="dxa"/>
          </w:tcPr>
          <w:p w14:paraId="037A8A76" w14:textId="77777777" w:rsidR="00FA2344" w:rsidRPr="00A4101D" w:rsidRDefault="00FA2344" w:rsidP="00FA2344">
            <w:r>
              <w:t>14.6%</w:t>
            </w:r>
          </w:p>
        </w:tc>
      </w:tr>
      <w:tr w:rsidR="00FA2344" w:rsidRPr="00BC48C5" w14:paraId="09C881E9" w14:textId="77777777" w:rsidTr="00FA2344">
        <w:tc>
          <w:tcPr>
            <w:tcW w:w="643" w:type="dxa"/>
          </w:tcPr>
          <w:p w14:paraId="2334D9B5" w14:textId="77777777" w:rsidR="00FA2344" w:rsidRPr="00A4101D" w:rsidRDefault="00FA2344" w:rsidP="00FA2344">
            <w:r w:rsidRPr="00BC48C5">
              <w:t>5003</w:t>
            </w:r>
          </w:p>
        </w:tc>
        <w:tc>
          <w:tcPr>
            <w:tcW w:w="3192" w:type="dxa"/>
          </w:tcPr>
          <w:p w14:paraId="3D90C65A" w14:textId="77777777" w:rsidR="00FA2344" w:rsidRPr="00A4101D" w:rsidRDefault="00FA2344" w:rsidP="00FA2344">
            <w:r w:rsidRPr="00BC48C5">
              <w:t xml:space="preserve"> </w:t>
            </w:r>
            <w:r w:rsidRPr="00A4101D">
              <w:t xml:space="preserve">Professional attendance by a general practitioner (other than attendance at consulting rooms, a hospital or a residential aged care facility or a service to which another item in the table applies) that requires a short patient history and, if necessary, limited examination and management-an attendance on one or more patients on one occasion-each patient </w:t>
            </w:r>
          </w:p>
        </w:tc>
        <w:tc>
          <w:tcPr>
            <w:tcW w:w="950" w:type="dxa"/>
          </w:tcPr>
          <w:p w14:paraId="76163D1D" w14:textId="77777777" w:rsidR="00FA2344" w:rsidRPr="00A4101D" w:rsidRDefault="00FA2344" w:rsidP="00FA2344">
            <w:r w:rsidRPr="002C37D7">
              <w:t>The fee for item 5000, plus $25.95 divided by the number of patients seen, up to a maximum of six patients. For seven or more patients - the fee for item 5000 plus $2.00 per patient.</w:t>
            </w:r>
          </w:p>
        </w:tc>
        <w:tc>
          <w:tcPr>
            <w:tcW w:w="1058" w:type="dxa"/>
          </w:tcPr>
          <w:p w14:paraId="4E337A3E" w14:textId="77777777" w:rsidR="00FA2344" w:rsidRPr="00A4101D" w:rsidRDefault="00FA2344" w:rsidP="00FA2344">
            <w:r w:rsidRPr="00FB7240">
              <w:t>4</w:t>
            </w:r>
            <w:r w:rsidRPr="00A4101D">
              <w:t>,705</w:t>
            </w:r>
          </w:p>
        </w:tc>
        <w:tc>
          <w:tcPr>
            <w:tcW w:w="1448" w:type="dxa"/>
          </w:tcPr>
          <w:p w14:paraId="27E58E57" w14:textId="77777777" w:rsidR="00FA2344" w:rsidRPr="00A4101D" w:rsidRDefault="00FA2344" w:rsidP="00FA2344">
            <w:r>
              <w:t>$213,977</w:t>
            </w:r>
          </w:p>
        </w:tc>
        <w:tc>
          <w:tcPr>
            <w:tcW w:w="1011" w:type="dxa"/>
          </w:tcPr>
          <w:p w14:paraId="2C927613" w14:textId="77777777" w:rsidR="00FA2344" w:rsidRPr="00A4101D" w:rsidRDefault="00FA2344" w:rsidP="00FA2344">
            <w:r>
              <w:t>21.0%</w:t>
            </w:r>
          </w:p>
        </w:tc>
      </w:tr>
      <w:tr w:rsidR="00FA2344" w:rsidRPr="00BC48C5" w14:paraId="39AAD09A" w14:textId="77777777" w:rsidTr="00FA2344">
        <w:tc>
          <w:tcPr>
            <w:tcW w:w="643" w:type="dxa"/>
          </w:tcPr>
          <w:p w14:paraId="6C2C744D" w14:textId="77777777" w:rsidR="00FA2344" w:rsidRPr="00A4101D" w:rsidRDefault="00FA2344" w:rsidP="00FA2344">
            <w:r w:rsidRPr="00BC48C5">
              <w:t>5010</w:t>
            </w:r>
          </w:p>
        </w:tc>
        <w:tc>
          <w:tcPr>
            <w:tcW w:w="3192" w:type="dxa"/>
          </w:tcPr>
          <w:p w14:paraId="007691B5" w14:textId="77777777" w:rsidR="00FA2344" w:rsidRPr="00A4101D" w:rsidRDefault="00FA2344" w:rsidP="00FA2344">
            <w:r w:rsidRPr="002C37D7">
              <w:t>Professional attendance (other than a service to which another item applies) at a residential aged care facility</w:t>
            </w:r>
            <w:r w:rsidRPr="00A4101D">
              <w:t xml:space="preserve"> (other than a professional attendance at a self-contained unit) or professional attendance at consulting rooms situated within such a complex, if the patient is accommodated in a residential aged care facility (other than accommodation in a self-contained unit) by a general practitioner for an obvious problem characterised by the straightforward nature of the task that requires a short patient history and, if required, limited examination and management-an attendance on one or more patients at one residential aged care facility on one occasion-each patient</w:t>
            </w:r>
          </w:p>
        </w:tc>
        <w:tc>
          <w:tcPr>
            <w:tcW w:w="950" w:type="dxa"/>
          </w:tcPr>
          <w:p w14:paraId="5FC0773D" w14:textId="77777777" w:rsidR="00FA2344" w:rsidRPr="00A4101D" w:rsidRDefault="00FA2344" w:rsidP="00FA2344">
            <w:r w:rsidRPr="002C37D7">
              <w:t>The fee for item 5000, plus $46.70 divided by the number of patients seen, up to a maximum of six patients. For seven or more patients - the fee for item 5000 plus $3.30 per patient.</w:t>
            </w:r>
          </w:p>
        </w:tc>
        <w:tc>
          <w:tcPr>
            <w:tcW w:w="1058" w:type="dxa"/>
          </w:tcPr>
          <w:p w14:paraId="75AB389F" w14:textId="77777777" w:rsidR="00FA2344" w:rsidRPr="00A4101D" w:rsidRDefault="00FA2344" w:rsidP="00FA2344">
            <w:r w:rsidRPr="00FB7240">
              <w:t>37</w:t>
            </w:r>
            <w:r w:rsidRPr="00A4101D">
              <w:t>,746</w:t>
            </w:r>
          </w:p>
        </w:tc>
        <w:tc>
          <w:tcPr>
            <w:tcW w:w="1448" w:type="dxa"/>
          </w:tcPr>
          <w:p w14:paraId="44A832C8" w14:textId="77777777" w:rsidR="00FA2344" w:rsidRPr="00A4101D" w:rsidRDefault="00FA2344" w:rsidP="00FA2344">
            <w:r>
              <w:t>$</w:t>
            </w:r>
            <w:r w:rsidRPr="00A4101D">
              <w:t>1,586,936</w:t>
            </w:r>
          </w:p>
        </w:tc>
        <w:tc>
          <w:tcPr>
            <w:tcW w:w="1011" w:type="dxa"/>
          </w:tcPr>
          <w:p w14:paraId="03B108CA" w14:textId="77777777" w:rsidR="00FA2344" w:rsidRPr="00A4101D" w:rsidRDefault="00FA2344" w:rsidP="00FA2344">
            <w:r>
              <w:t>18.0%</w:t>
            </w:r>
          </w:p>
        </w:tc>
      </w:tr>
      <w:tr w:rsidR="00FA2344" w:rsidRPr="00BC48C5" w14:paraId="05AA7932" w14:textId="77777777" w:rsidTr="00FA2344">
        <w:tc>
          <w:tcPr>
            <w:tcW w:w="643" w:type="dxa"/>
          </w:tcPr>
          <w:p w14:paraId="691165A8" w14:textId="77777777" w:rsidR="00FA2344" w:rsidRPr="00A4101D" w:rsidRDefault="00FA2344" w:rsidP="00FA2344">
            <w:r w:rsidRPr="00BC48C5">
              <w:t>5020</w:t>
            </w:r>
          </w:p>
        </w:tc>
        <w:tc>
          <w:tcPr>
            <w:tcW w:w="3192" w:type="dxa"/>
          </w:tcPr>
          <w:p w14:paraId="5B75C355" w14:textId="77777777" w:rsidR="00FA2344" w:rsidRPr="00A4101D" w:rsidRDefault="00FA2344" w:rsidP="00FA2344">
            <w:r w:rsidRPr="002C37D7">
              <w:t xml:space="preserve">Professional attendance by a general practitioner at consulting rooms (other than a service to which another item in the table applies), lasting less than 20 minutes and including any of the following that are clinically relevant: </w:t>
            </w:r>
          </w:p>
          <w:p w14:paraId="4FD383E5" w14:textId="77777777" w:rsidR="00FA2344" w:rsidRPr="00A4101D" w:rsidRDefault="00FA2344" w:rsidP="00FA2344">
            <w:r w:rsidRPr="002C37D7">
              <w:t xml:space="preserve">(a) taking a patient history; </w:t>
            </w:r>
          </w:p>
          <w:p w14:paraId="0077D73D" w14:textId="77777777" w:rsidR="00FA2344" w:rsidRPr="00A4101D" w:rsidRDefault="00FA2344" w:rsidP="00FA2344">
            <w:r w:rsidRPr="002C37D7">
              <w:t xml:space="preserve">(b) performing a clinical examination; </w:t>
            </w:r>
          </w:p>
          <w:p w14:paraId="1088F9FB" w14:textId="77777777" w:rsidR="00FA2344" w:rsidRPr="00A4101D" w:rsidRDefault="00FA2344" w:rsidP="00FA2344">
            <w:r w:rsidRPr="002C37D7">
              <w:t xml:space="preserve">(c) arranging any necessary investigation; </w:t>
            </w:r>
          </w:p>
          <w:p w14:paraId="71EADC36" w14:textId="77777777" w:rsidR="00FA2344" w:rsidRPr="00A4101D" w:rsidRDefault="00FA2344" w:rsidP="00FA2344">
            <w:r w:rsidRPr="002C37D7">
              <w:t xml:space="preserve">(d) implementing a management plan; </w:t>
            </w:r>
          </w:p>
          <w:p w14:paraId="5A0EFAA4" w14:textId="77777777" w:rsidR="00FA2344" w:rsidRPr="00A4101D" w:rsidRDefault="00FA2344" w:rsidP="00FA2344">
            <w:r w:rsidRPr="002C37D7">
              <w:t xml:space="preserve">(e) providing appropriate preventive health care; </w:t>
            </w:r>
          </w:p>
          <w:p w14:paraId="0BB240EB" w14:textId="77777777" w:rsidR="00FA2344" w:rsidRPr="00A4101D" w:rsidRDefault="00FA2344" w:rsidP="00FA2344">
            <w:r w:rsidRPr="002C37D7">
              <w:t xml:space="preserve">for one or more health-related issues, with appropriate documentation-each attendance </w:t>
            </w:r>
          </w:p>
        </w:tc>
        <w:tc>
          <w:tcPr>
            <w:tcW w:w="950" w:type="dxa"/>
          </w:tcPr>
          <w:p w14:paraId="50713AF5" w14:textId="77777777" w:rsidR="00FA2344" w:rsidRPr="00A4101D" w:rsidRDefault="00FA2344" w:rsidP="00FA2344">
            <w:r w:rsidRPr="002C37D7">
              <w:t>$49.00</w:t>
            </w:r>
          </w:p>
        </w:tc>
        <w:tc>
          <w:tcPr>
            <w:tcW w:w="1058" w:type="dxa"/>
          </w:tcPr>
          <w:p w14:paraId="22EF9CB3" w14:textId="77777777" w:rsidR="00FA2344" w:rsidRPr="00A4101D" w:rsidRDefault="00FA2344" w:rsidP="00FA2344">
            <w:r w:rsidRPr="00FB7240">
              <w:t>7</w:t>
            </w:r>
            <w:r w:rsidRPr="00A4101D">
              <w:t>,560,845</w:t>
            </w:r>
          </w:p>
        </w:tc>
        <w:tc>
          <w:tcPr>
            <w:tcW w:w="1448" w:type="dxa"/>
          </w:tcPr>
          <w:p w14:paraId="5D5B54BE" w14:textId="77777777" w:rsidR="00FA2344" w:rsidRPr="00A4101D" w:rsidRDefault="00FA2344" w:rsidP="00FA2344">
            <w:r>
              <w:t>$</w:t>
            </w:r>
            <w:r w:rsidRPr="00A4101D">
              <w:t>371,243,123</w:t>
            </w:r>
          </w:p>
        </w:tc>
        <w:tc>
          <w:tcPr>
            <w:tcW w:w="1011" w:type="dxa"/>
          </w:tcPr>
          <w:p w14:paraId="13CEF570" w14:textId="77777777" w:rsidR="00FA2344" w:rsidRPr="00A4101D" w:rsidRDefault="00FA2344" w:rsidP="00FA2344">
            <w:r>
              <w:t>7.1%</w:t>
            </w:r>
          </w:p>
        </w:tc>
      </w:tr>
      <w:tr w:rsidR="00FA2344" w:rsidRPr="00BC48C5" w14:paraId="55E3446F" w14:textId="77777777" w:rsidTr="00FA2344">
        <w:tc>
          <w:tcPr>
            <w:tcW w:w="643" w:type="dxa"/>
          </w:tcPr>
          <w:p w14:paraId="77F82CC8" w14:textId="77777777" w:rsidR="00FA2344" w:rsidRPr="00A4101D" w:rsidRDefault="00FA2344" w:rsidP="00FA2344">
            <w:r w:rsidRPr="00BC48C5">
              <w:t>5023</w:t>
            </w:r>
          </w:p>
        </w:tc>
        <w:tc>
          <w:tcPr>
            <w:tcW w:w="3192" w:type="dxa"/>
          </w:tcPr>
          <w:p w14:paraId="06DAE8A6" w14:textId="77777777" w:rsidR="00FA2344" w:rsidRPr="00A4101D" w:rsidRDefault="00FA2344" w:rsidP="00FA2344">
            <w:r w:rsidRPr="002C37D7">
              <w:t xml:space="preserve">Professional attendance by a general practitioner (other than attendance at consulting rooms, a hospital or a residential aged care facility or a service to which another item in the table applies), lasting less than 20 minutes and including any of the following that are clinically relevant: </w:t>
            </w:r>
          </w:p>
          <w:p w14:paraId="171BE2AD" w14:textId="77777777" w:rsidR="00FA2344" w:rsidRPr="00A4101D" w:rsidRDefault="00FA2344" w:rsidP="00FA2344">
            <w:r w:rsidRPr="002C37D7">
              <w:t xml:space="preserve">(a) taking a patient history; </w:t>
            </w:r>
          </w:p>
          <w:p w14:paraId="23D3CD6F" w14:textId="77777777" w:rsidR="00FA2344" w:rsidRPr="00A4101D" w:rsidRDefault="00FA2344" w:rsidP="00FA2344">
            <w:r w:rsidRPr="002C37D7">
              <w:t xml:space="preserve">(b) performing a clinical examination; </w:t>
            </w:r>
          </w:p>
          <w:p w14:paraId="0F7CD2D9" w14:textId="77777777" w:rsidR="00FA2344" w:rsidRPr="00A4101D" w:rsidRDefault="00FA2344" w:rsidP="00FA2344">
            <w:r w:rsidRPr="002C37D7">
              <w:t xml:space="preserve">(c) arranging any necessary investigation; </w:t>
            </w:r>
          </w:p>
          <w:p w14:paraId="42B19929" w14:textId="77777777" w:rsidR="00FA2344" w:rsidRPr="00A4101D" w:rsidRDefault="00FA2344" w:rsidP="00FA2344">
            <w:r w:rsidRPr="002C37D7">
              <w:t xml:space="preserve">(d) implementing a management plan; </w:t>
            </w:r>
          </w:p>
          <w:p w14:paraId="324D9AEE" w14:textId="77777777" w:rsidR="00FA2344" w:rsidRPr="00A4101D" w:rsidRDefault="00FA2344" w:rsidP="00FA2344">
            <w:r w:rsidRPr="002C37D7">
              <w:t xml:space="preserve">(e) providing appropriate preventive health care; </w:t>
            </w:r>
          </w:p>
          <w:p w14:paraId="663D588D" w14:textId="77777777" w:rsidR="00FA2344" w:rsidRPr="00A4101D" w:rsidRDefault="00FA2344" w:rsidP="00FA2344">
            <w:r w:rsidRPr="002C37D7">
              <w:t xml:space="preserve">for one or more health-related issues, with appropriate documentation-an attendance on one or more patients on one occasion-each patient </w:t>
            </w:r>
          </w:p>
        </w:tc>
        <w:tc>
          <w:tcPr>
            <w:tcW w:w="950" w:type="dxa"/>
          </w:tcPr>
          <w:p w14:paraId="5A7B0CFC" w14:textId="77777777" w:rsidR="00FA2344" w:rsidRPr="00A4101D" w:rsidRDefault="00FA2344" w:rsidP="00FA2344">
            <w:r w:rsidRPr="002C37D7">
              <w:t xml:space="preserve">The </w:t>
            </w:r>
            <w:r w:rsidRPr="00A4101D">
              <w:t>fee for item 5020, plus $25.95 divided by the number of patients seen, up to a maximum of six patients. For seven or more patients - the fee for item 5020 plus $2.00 per patient.</w:t>
            </w:r>
          </w:p>
        </w:tc>
        <w:tc>
          <w:tcPr>
            <w:tcW w:w="1058" w:type="dxa"/>
          </w:tcPr>
          <w:p w14:paraId="3DAE11BD" w14:textId="77777777" w:rsidR="00FA2344" w:rsidRPr="00A4101D" w:rsidRDefault="00FA2344" w:rsidP="00FA2344">
            <w:r w:rsidRPr="00FB7240">
              <w:t>457</w:t>
            </w:r>
            <w:r w:rsidRPr="00A4101D">
              <w:t>,087</w:t>
            </w:r>
          </w:p>
        </w:tc>
        <w:tc>
          <w:tcPr>
            <w:tcW w:w="1448" w:type="dxa"/>
          </w:tcPr>
          <w:p w14:paraId="59EB529B" w14:textId="77777777" w:rsidR="00FA2344" w:rsidRPr="00A4101D" w:rsidRDefault="00FA2344" w:rsidP="00FA2344">
            <w:r>
              <w:t>$</w:t>
            </w:r>
            <w:r w:rsidRPr="00A4101D">
              <w:t>32,431,215</w:t>
            </w:r>
          </w:p>
        </w:tc>
        <w:tc>
          <w:tcPr>
            <w:tcW w:w="1011" w:type="dxa"/>
          </w:tcPr>
          <w:p w14:paraId="33CCE112" w14:textId="77777777" w:rsidR="00FA2344" w:rsidRPr="00A4101D" w:rsidRDefault="00FA2344" w:rsidP="00FA2344">
            <w:r>
              <w:t>24.3%</w:t>
            </w:r>
          </w:p>
        </w:tc>
      </w:tr>
      <w:tr w:rsidR="00FA2344" w:rsidRPr="00BC48C5" w14:paraId="5CC3876F" w14:textId="77777777" w:rsidTr="00FA2344">
        <w:tc>
          <w:tcPr>
            <w:tcW w:w="643" w:type="dxa"/>
          </w:tcPr>
          <w:p w14:paraId="0AC52873" w14:textId="77777777" w:rsidR="00FA2344" w:rsidRPr="00A4101D" w:rsidRDefault="00FA2344" w:rsidP="00FA2344">
            <w:r w:rsidRPr="00BC48C5">
              <w:t>5028</w:t>
            </w:r>
          </w:p>
        </w:tc>
        <w:tc>
          <w:tcPr>
            <w:tcW w:w="3192" w:type="dxa"/>
          </w:tcPr>
          <w:p w14:paraId="48AD7A40" w14:textId="77777777" w:rsidR="00FA2344" w:rsidRPr="00A4101D" w:rsidRDefault="00FA2344" w:rsidP="00FA2344">
            <w:r w:rsidRPr="002C37D7">
              <w:t xml:space="preserve">Professional attendance by a general practitioner (other than a service to which another item in the table applies), at a residential aged care facility to residents of the facility, lasting less than 20 minutes and including any of the following that are clinically relevant: </w:t>
            </w:r>
          </w:p>
          <w:p w14:paraId="4237C51D" w14:textId="77777777" w:rsidR="00FA2344" w:rsidRPr="00A4101D" w:rsidRDefault="00FA2344" w:rsidP="00FA2344">
            <w:r w:rsidRPr="002C37D7">
              <w:t xml:space="preserve">(a) taking a patient history; </w:t>
            </w:r>
          </w:p>
          <w:p w14:paraId="7091B788" w14:textId="77777777" w:rsidR="00FA2344" w:rsidRPr="00A4101D" w:rsidRDefault="00FA2344" w:rsidP="00FA2344">
            <w:r w:rsidRPr="002C37D7">
              <w:t xml:space="preserve">(b) performing a clinical examination; </w:t>
            </w:r>
          </w:p>
          <w:p w14:paraId="213ADFFC" w14:textId="77777777" w:rsidR="00FA2344" w:rsidRPr="00A4101D" w:rsidRDefault="00FA2344" w:rsidP="00FA2344">
            <w:r w:rsidRPr="002C37D7">
              <w:t xml:space="preserve">(c) arranging any necessary investigation; </w:t>
            </w:r>
          </w:p>
          <w:p w14:paraId="6AAF7886" w14:textId="77777777" w:rsidR="00FA2344" w:rsidRPr="00A4101D" w:rsidRDefault="00FA2344" w:rsidP="00FA2344">
            <w:r w:rsidRPr="002C37D7">
              <w:t xml:space="preserve">(d) implementing a management plan; </w:t>
            </w:r>
          </w:p>
          <w:p w14:paraId="68AF8C70" w14:textId="77777777" w:rsidR="00FA2344" w:rsidRPr="00A4101D" w:rsidRDefault="00FA2344" w:rsidP="00FA2344">
            <w:r w:rsidRPr="002C37D7">
              <w:t xml:space="preserve">(e) providing appropriate preventive health care; </w:t>
            </w:r>
          </w:p>
          <w:p w14:paraId="31AB83C6" w14:textId="77777777" w:rsidR="00FA2344" w:rsidRPr="00A4101D" w:rsidRDefault="00FA2344" w:rsidP="00FA2344">
            <w:r w:rsidRPr="002C37D7">
              <w:t xml:space="preserve">for one or more health-related issues, with appropriate documentation-an attendance on one or more patients at one residential aged care facility on one occasion-each patient </w:t>
            </w:r>
          </w:p>
        </w:tc>
        <w:tc>
          <w:tcPr>
            <w:tcW w:w="950" w:type="dxa"/>
          </w:tcPr>
          <w:p w14:paraId="1BEB09AA" w14:textId="77777777" w:rsidR="00FA2344" w:rsidRPr="00A4101D" w:rsidRDefault="00FA2344" w:rsidP="00FA2344">
            <w:r w:rsidRPr="002C37D7">
              <w:t xml:space="preserve">The fee for item 5020, plus $46.70 divided by the number of patients seen, up to a maximum of six patients. For seven or more patients - the fee for item </w:t>
            </w:r>
            <w:r w:rsidRPr="00A4101D">
              <w:t>5020 plus $3.30 per patient.</w:t>
            </w:r>
          </w:p>
        </w:tc>
        <w:tc>
          <w:tcPr>
            <w:tcW w:w="1058" w:type="dxa"/>
          </w:tcPr>
          <w:p w14:paraId="22DE8438" w14:textId="77777777" w:rsidR="00FA2344" w:rsidRPr="00A4101D" w:rsidRDefault="00FA2344" w:rsidP="00FA2344">
            <w:r w:rsidRPr="00FB7240">
              <w:t>528</w:t>
            </w:r>
            <w:r w:rsidRPr="00A4101D">
              <w:t>,637</w:t>
            </w:r>
          </w:p>
        </w:tc>
        <w:tc>
          <w:tcPr>
            <w:tcW w:w="1448" w:type="dxa"/>
          </w:tcPr>
          <w:p w14:paraId="4D831A6E" w14:textId="77777777" w:rsidR="00FA2344" w:rsidRPr="00A4101D" w:rsidRDefault="00FA2344" w:rsidP="00FA2344">
            <w:r>
              <w:t>$35,029,300</w:t>
            </w:r>
          </w:p>
        </w:tc>
        <w:tc>
          <w:tcPr>
            <w:tcW w:w="1011" w:type="dxa"/>
          </w:tcPr>
          <w:p w14:paraId="3999CFBE" w14:textId="77777777" w:rsidR="00FA2344" w:rsidRPr="00A4101D" w:rsidRDefault="00FA2344" w:rsidP="00FA2344">
            <w:r>
              <w:t>15.8%</w:t>
            </w:r>
          </w:p>
        </w:tc>
      </w:tr>
      <w:tr w:rsidR="00FA2344" w:rsidRPr="00BC48C5" w14:paraId="6242D23F" w14:textId="77777777" w:rsidTr="00FA2344">
        <w:tc>
          <w:tcPr>
            <w:tcW w:w="643" w:type="dxa"/>
          </w:tcPr>
          <w:p w14:paraId="542F9E3E" w14:textId="77777777" w:rsidR="00FA2344" w:rsidRPr="00A4101D" w:rsidRDefault="00FA2344" w:rsidP="00FA2344">
            <w:r w:rsidRPr="00BC48C5">
              <w:t>5040</w:t>
            </w:r>
          </w:p>
        </w:tc>
        <w:tc>
          <w:tcPr>
            <w:tcW w:w="3192" w:type="dxa"/>
          </w:tcPr>
          <w:p w14:paraId="41D68019" w14:textId="77777777" w:rsidR="00FA2344" w:rsidRPr="00A4101D" w:rsidRDefault="00FA2344" w:rsidP="00FA2344">
            <w:r w:rsidRPr="002C37D7">
              <w:t xml:space="preserve">Professional attendance by a general practitioner at consulting rooms (other than a service to which another item in the table applies), lasting at least 20 minutes and including any of the following that are clinically relevant: </w:t>
            </w:r>
          </w:p>
          <w:p w14:paraId="5CFD152C" w14:textId="77777777" w:rsidR="00FA2344" w:rsidRPr="00A4101D" w:rsidRDefault="00FA2344" w:rsidP="00FA2344">
            <w:r w:rsidRPr="002C37D7">
              <w:t xml:space="preserve">(a) taking a detailed patient history; </w:t>
            </w:r>
          </w:p>
          <w:p w14:paraId="74222DDF" w14:textId="77777777" w:rsidR="00FA2344" w:rsidRPr="00A4101D" w:rsidRDefault="00FA2344" w:rsidP="00FA2344">
            <w:r w:rsidRPr="002C37D7">
              <w:t xml:space="preserve">(b) performing a clinical examination; </w:t>
            </w:r>
          </w:p>
          <w:p w14:paraId="5E46ABA3" w14:textId="77777777" w:rsidR="00FA2344" w:rsidRPr="00A4101D" w:rsidRDefault="00FA2344" w:rsidP="00FA2344">
            <w:r w:rsidRPr="002C37D7">
              <w:t xml:space="preserve">(c) arranging any necessary investigation; </w:t>
            </w:r>
          </w:p>
          <w:p w14:paraId="58336E25" w14:textId="77777777" w:rsidR="00FA2344" w:rsidRPr="00A4101D" w:rsidRDefault="00FA2344" w:rsidP="00FA2344">
            <w:r w:rsidRPr="002C37D7">
              <w:t xml:space="preserve">(d) implementing a management plan; </w:t>
            </w:r>
          </w:p>
          <w:p w14:paraId="48156ACA" w14:textId="77777777" w:rsidR="00FA2344" w:rsidRPr="00A4101D" w:rsidRDefault="00FA2344" w:rsidP="00FA2344">
            <w:r w:rsidRPr="002C37D7">
              <w:t xml:space="preserve">(e) providing appropriate preventive health care; </w:t>
            </w:r>
          </w:p>
          <w:p w14:paraId="78AEB00E" w14:textId="77777777" w:rsidR="00FA2344" w:rsidRPr="00A4101D" w:rsidRDefault="00FA2344" w:rsidP="00FA2344">
            <w:r w:rsidRPr="002C37D7">
              <w:t xml:space="preserve">for one or more health-related issues, with appropriate documentation-each attendance </w:t>
            </w:r>
          </w:p>
        </w:tc>
        <w:tc>
          <w:tcPr>
            <w:tcW w:w="950" w:type="dxa"/>
          </w:tcPr>
          <w:p w14:paraId="60A4FFC5" w14:textId="77777777" w:rsidR="00FA2344" w:rsidRPr="00A4101D" w:rsidRDefault="00FA2344" w:rsidP="00FA2344">
            <w:r w:rsidRPr="002C37D7">
              <w:t>$83.95</w:t>
            </w:r>
          </w:p>
        </w:tc>
        <w:tc>
          <w:tcPr>
            <w:tcW w:w="1058" w:type="dxa"/>
          </w:tcPr>
          <w:p w14:paraId="34F51DFB" w14:textId="77777777" w:rsidR="00FA2344" w:rsidRPr="00A4101D" w:rsidRDefault="00FA2344" w:rsidP="00FA2344">
            <w:r w:rsidRPr="00FB7240">
              <w:t>972</w:t>
            </w:r>
            <w:r w:rsidRPr="00A4101D">
              <w:t>,587</w:t>
            </w:r>
          </w:p>
        </w:tc>
        <w:tc>
          <w:tcPr>
            <w:tcW w:w="1448" w:type="dxa"/>
          </w:tcPr>
          <w:p w14:paraId="3A8BF1DD" w14:textId="77777777" w:rsidR="00FA2344" w:rsidRPr="00A4101D" w:rsidRDefault="00FA2344" w:rsidP="00FA2344">
            <w:r>
              <w:t>$81,818,808</w:t>
            </w:r>
          </w:p>
        </w:tc>
        <w:tc>
          <w:tcPr>
            <w:tcW w:w="1011" w:type="dxa"/>
          </w:tcPr>
          <w:p w14:paraId="25CA704C" w14:textId="77777777" w:rsidR="00FA2344" w:rsidRPr="00A4101D" w:rsidRDefault="00FA2344" w:rsidP="00FA2344">
            <w:r>
              <w:t>18.2%</w:t>
            </w:r>
          </w:p>
        </w:tc>
      </w:tr>
      <w:tr w:rsidR="00FA2344" w:rsidRPr="00BC48C5" w14:paraId="7E5C6692" w14:textId="77777777" w:rsidTr="00FA2344">
        <w:tc>
          <w:tcPr>
            <w:tcW w:w="643" w:type="dxa"/>
          </w:tcPr>
          <w:p w14:paraId="3888B565" w14:textId="77777777" w:rsidR="00FA2344" w:rsidRPr="00A4101D" w:rsidRDefault="00FA2344" w:rsidP="00FA2344">
            <w:r w:rsidRPr="00BC48C5">
              <w:t>5043</w:t>
            </w:r>
          </w:p>
        </w:tc>
        <w:tc>
          <w:tcPr>
            <w:tcW w:w="3192" w:type="dxa"/>
          </w:tcPr>
          <w:p w14:paraId="6FA3BCDA" w14:textId="77777777" w:rsidR="00FA2344" w:rsidRPr="00A4101D" w:rsidRDefault="00FA2344" w:rsidP="00FA2344">
            <w:r w:rsidRPr="002C37D7">
              <w:t xml:space="preserve">Professional attendance by a general practitioner (other than attendance at consulting rooms, a hospital or a residential aged care facility or a service to which another item in the table applies), lasting at least 20 minutes and including any of the following that are clinically relevant: </w:t>
            </w:r>
          </w:p>
          <w:p w14:paraId="7790FD3D" w14:textId="77777777" w:rsidR="00FA2344" w:rsidRPr="00A4101D" w:rsidRDefault="00FA2344" w:rsidP="00FA2344">
            <w:r w:rsidRPr="002C37D7">
              <w:t xml:space="preserve">(a) taking a detailed patient history; </w:t>
            </w:r>
          </w:p>
          <w:p w14:paraId="10500BB8" w14:textId="77777777" w:rsidR="00FA2344" w:rsidRPr="00A4101D" w:rsidRDefault="00FA2344" w:rsidP="00FA2344">
            <w:r w:rsidRPr="002C37D7">
              <w:t xml:space="preserve">(b) performing a clinical examination; </w:t>
            </w:r>
          </w:p>
          <w:p w14:paraId="69DE3D60" w14:textId="77777777" w:rsidR="00FA2344" w:rsidRPr="00A4101D" w:rsidRDefault="00FA2344" w:rsidP="00FA2344">
            <w:r w:rsidRPr="002C37D7">
              <w:t xml:space="preserve">(c) arranging any necessary investigation; </w:t>
            </w:r>
          </w:p>
          <w:p w14:paraId="0DE57A2C" w14:textId="77777777" w:rsidR="00FA2344" w:rsidRPr="00A4101D" w:rsidRDefault="00FA2344" w:rsidP="00FA2344">
            <w:r w:rsidRPr="002C37D7">
              <w:t xml:space="preserve">(d) implementing a management plan; </w:t>
            </w:r>
          </w:p>
          <w:p w14:paraId="378CABD9" w14:textId="77777777" w:rsidR="00FA2344" w:rsidRPr="00A4101D" w:rsidRDefault="00FA2344" w:rsidP="00FA2344">
            <w:r w:rsidRPr="002C37D7">
              <w:t xml:space="preserve">(e) providing appropriate preventive health care; </w:t>
            </w:r>
          </w:p>
          <w:p w14:paraId="2AA970B6" w14:textId="77777777" w:rsidR="00FA2344" w:rsidRPr="00A4101D" w:rsidRDefault="00FA2344" w:rsidP="00FA2344">
            <w:r w:rsidRPr="002C37D7">
              <w:t xml:space="preserve">for one or more health-related issues, with appropriate documentation-an attendance on one or more patients on one occasion-each patient </w:t>
            </w:r>
          </w:p>
        </w:tc>
        <w:tc>
          <w:tcPr>
            <w:tcW w:w="950" w:type="dxa"/>
          </w:tcPr>
          <w:p w14:paraId="4155B788" w14:textId="77777777" w:rsidR="00FA2344" w:rsidRPr="00A4101D" w:rsidRDefault="00FA2344" w:rsidP="00FA2344">
            <w:r w:rsidRPr="002C37D7">
              <w:t>The fee for item 5040, plus $25.95 divided by the number of patients seen, up to a maximum of six patients. For seven or more patients - the fee for item 5040 plus $2.00 per patient.</w:t>
            </w:r>
          </w:p>
        </w:tc>
        <w:tc>
          <w:tcPr>
            <w:tcW w:w="1058" w:type="dxa"/>
          </w:tcPr>
          <w:p w14:paraId="106EA5D7" w14:textId="77777777" w:rsidR="00FA2344" w:rsidRPr="00A4101D" w:rsidRDefault="00FA2344" w:rsidP="00FA2344">
            <w:r w:rsidRPr="00FB7240">
              <w:t>48</w:t>
            </w:r>
            <w:r w:rsidRPr="00A4101D">
              <w:t>,266</w:t>
            </w:r>
          </w:p>
        </w:tc>
        <w:tc>
          <w:tcPr>
            <w:tcW w:w="1448" w:type="dxa"/>
          </w:tcPr>
          <w:p w14:paraId="7FDCDCE1" w14:textId="77777777" w:rsidR="00FA2344" w:rsidRPr="00A4101D" w:rsidRDefault="00FA2344" w:rsidP="00FA2344">
            <w:r>
              <w:t>$5,151,327</w:t>
            </w:r>
          </w:p>
        </w:tc>
        <w:tc>
          <w:tcPr>
            <w:tcW w:w="1011" w:type="dxa"/>
          </w:tcPr>
          <w:p w14:paraId="57129148" w14:textId="77777777" w:rsidR="00FA2344" w:rsidRPr="00A4101D" w:rsidRDefault="00FA2344" w:rsidP="00FA2344">
            <w:r>
              <w:t>14.4%</w:t>
            </w:r>
          </w:p>
        </w:tc>
      </w:tr>
      <w:tr w:rsidR="00FA2344" w:rsidRPr="00BC48C5" w14:paraId="00E5E31E" w14:textId="77777777" w:rsidTr="00FA2344">
        <w:tc>
          <w:tcPr>
            <w:tcW w:w="643" w:type="dxa"/>
          </w:tcPr>
          <w:p w14:paraId="39D7F310" w14:textId="77777777" w:rsidR="00FA2344" w:rsidRPr="00A4101D" w:rsidRDefault="00FA2344" w:rsidP="00FA2344">
            <w:r w:rsidRPr="00BC48C5">
              <w:t>5049</w:t>
            </w:r>
          </w:p>
        </w:tc>
        <w:tc>
          <w:tcPr>
            <w:tcW w:w="3192" w:type="dxa"/>
          </w:tcPr>
          <w:p w14:paraId="2C9488C0" w14:textId="77777777" w:rsidR="00FA2344" w:rsidRPr="00A4101D" w:rsidRDefault="00FA2344" w:rsidP="00FA2344">
            <w:r w:rsidRPr="002C37D7">
              <w:t xml:space="preserve">Professional attendance by a general practitioner at a residential aged care facility to residents of the facility (other than a service to which another item in the table applies), lasting at least 20 minutes and including any of the following that are clinically relevant: </w:t>
            </w:r>
          </w:p>
          <w:p w14:paraId="594F02B8" w14:textId="77777777" w:rsidR="00FA2344" w:rsidRPr="00A4101D" w:rsidRDefault="00FA2344" w:rsidP="00FA2344">
            <w:r w:rsidRPr="002C37D7">
              <w:t xml:space="preserve">(a) taking a detailed patient history; </w:t>
            </w:r>
          </w:p>
          <w:p w14:paraId="472825EF" w14:textId="77777777" w:rsidR="00FA2344" w:rsidRPr="00A4101D" w:rsidRDefault="00FA2344" w:rsidP="00FA2344">
            <w:r w:rsidRPr="002C37D7">
              <w:t xml:space="preserve">(b) performing a clinical examination; </w:t>
            </w:r>
          </w:p>
          <w:p w14:paraId="6A441A89" w14:textId="77777777" w:rsidR="00FA2344" w:rsidRPr="00A4101D" w:rsidRDefault="00FA2344" w:rsidP="00FA2344">
            <w:r w:rsidRPr="002C37D7">
              <w:t xml:space="preserve">(c) arranging any necessary investigation; </w:t>
            </w:r>
          </w:p>
          <w:p w14:paraId="51BAFC5E" w14:textId="77777777" w:rsidR="00FA2344" w:rsidRPr="00A4101D" w:rsidRDefault="00FA2344" w:rsidP="00FA2344">
            <w:r w:rsidRPr="002C37D7">
              <w:t xml:space="preserve">(d) implementing a management plan; </w:t>
            </w:r>
          </w:p>
          <w:p w14:paraId="0D7092FE" w14:textId="77777777" w:rsidR="00FA2344" w:rsidRPr="00A4101D" w:rsidRDefault="00FA2344" w:rsidP="00FA2344">
            <w:r w:rsidRPr="002C37D7">
              <w:t xml:space="preserve">(e) providing appropriate preventive health care; </w:t>
            </w:r>
          </w:p>
          <w:p w14:paraId="32C3E2E1" w14:textId="77777777" w:rsidR="00FA2344" w:rsidRPr="00A4101D" w:rsidRDefault="00FA2344" w:rsidP="00FA2344">
            <w:r w:rsidRPr="002C37D7">
              <w:t xml:space="preserve">for one or more health-related issues, with appropriate documentation-an attendance on one or more patients at one residential aged care facility on one occasion-each patient </w:t>
            </w:r>
          </w:p>
        </w:tc>
        <w:tc>
          <w:tcPr>
            <w:tcW w:w="950" w:type="dxa"/>
          </w:tcPr>
          <w:p w14:paraId="1FE3ABF4" w14:textId="77777777" w:rsidR="00FA2344" w:rsidRPr="00A4101D" w:rsidRDefault="00FA2344" w:rsidP="00FA2344">
            <w:r w:rsidRPr="002C37D7">
              <w:t>The fee for item 5040, plus $46.70 divided by the number of patients seen, up to a maximum of six patients. For seven or more patients - the fee for item 5040 plus $3.30 per patient.</w:t>
            </w:r>
          </w:p>
        </w:tc>
        <w:tc>
          <w:tcPr>
            <w:tcW w:w="1058" w:type="dxa"/>
          </w:tcPr>
          <w:p w14:paraId="7C487DCA" w14:textId="77777777" w:rsidR="00FA2344" w:rsidRPr="00A4101D" w:rsidRDefault="00FA2344" w:rsidP="00FA2344">
            <w:r w:rsidRPr="00FB7240">
              <w:t>72</w:t>
            </w:r>
            <w:r w:rsidRPr="00A4101D">
              <w:t>,665</w:t>
            </w:r>
          </w:p>
        </w:tc>
        <w:tc>
          <w:tcPr>
            <w:tcW w:w="1448" w:type="dxa"/>
          </w:tcPr>
          <w:p w14:paraId="040E9989" w14:textId="77777777" w:rsidR="00FA2344" w:rsidRPr="00A4101D" w:rsidRDefault="00FA2344" w:rsidP="00FA2344">
            <w:r>
              <w:t>$7,950,769</w:t>
            </w:r>
          </w:p>
        </w:tc>
        <w:tc>
          <w:tcPr>
            <w:tcW w:w="1011" w:type="dxa"/>
          </w:tcPr>
          <w:p w14:paraId="3F24C6A8" w14:textId="77777777" w:rsidR="00FA2344" w:rsidRPr="00A4101D" w:rsidRDefault="00FA2344" w:rsidP="00FA2344">
            <w:r>
              <w:t>19.4%</w:t>
            </w:r>
          </w:p>
        </w:tc>
      </w:tr>
      <w:tr w:rsidR="00FA2344" w:rsidRPr="00BC48C5" w14:paraId="5416B56E" w14:textId="77777777" w:rsidTr="00FA2344">
        <w:tc>
          <w:tcPr>
            <w:tcW w:w="643" w:type="dxa"/>
          </w:tcPr>
          <w:p w14:paraId="0E469F56" w14:textId="77777777" w:rsidR="00FA2344" w:rsidRPr="00A4101D" w:rsidRDefault="00FA2344" w:rsidP="00FA2344">
            <w:r w:rsidRPr="00BC48C5">
              <w:t>5060</w:t>
            </w:r>
          </w:p>
        </w:tc>
        <w:tc>
          <w:tcPr>
            <w:tcW w:w="3192" w:type="dxa"/>
          </w:tcPr>
          <w:p w14:paraId="465B6AE1" w14:textId="77777777" w:rsidR="00FA2344" w:rsidRPr="00A4101D" w:rsidRDefault="00FA2344" w:rsidP="00FA2344">
            <w:r w:rsidRPr="002C37D7">
              <w:t xml:space="preserve">Professional attendance by a general practitioner at consulting rooms (other than a service to which another item in the table applies), lasting at least 40 minutes and including any of the following that are clinically relevant: </w:t>
            </w:r>
          </w:p>
          <w:p w14:paraId="3C200767" w14:textId="77777777" w:rsidR="00FA2344" w:rsidRPr="00A4101D" w:rsidRDefault="00FA2344" w:rsidP="00FA2344">
            <w:r w:rsidRPr="002C37D7">
              <w:t xml:space="preserve">(a) taking an extensive patient history; </w:t>
            </w:r>
          </w:p>
          <w:p w14:paraId="33C8CB7E" w14:textId="77777777" w:rsidR="00FA2344" w:rsidRPr="00A4101D" w:rsidRDefault="00FA2344" w:rsidP="00FA2344">
            <w:r w:rsidRPr="002C37D7">
              <w:t xml:space="preserve">(b) performing a clinical examination; </w:t>
            </w:r>
          </w:p>
          <w:p w14:paraId="393368C8" w14:textId="77777777" w:rsidR="00FA2344" w:rsidRPr="00A4101D" w:rsidRDefault="00FA2344" w:rsidP="00FA2344">
            <w:r w:rsidRPr="002C37D7">
              <w:t xml:space="preserve">(c) arranging any necessary investigation; </w:t>
            </w:r>
          </w:p>
          <w:p w14:paraId="0447897E" w14:textId="77777777" w:rsidR="00FA2344" w:rsidRPr="00A4101D" w:rsidRDefault="00FA2344" w:rsidP="00FA2344">
            <w:r w:rsidRPr="002C37D7">
              <w:t xml:space="preserve">(d) implementing a management plan; </w:t>
            </w:r>
          </w:p>
          <w:p w14:paraId="4772492A" w14:textId="77777777" w:rsidR="00FA2344" w:rsidRPr="00A4101D" w:rsidRDefault="00FA2344" w:rsidP="00FA2344">
            <w:r w:rsidRPr="002C37D7">
              <w:t xml:space="preserve">(e) providing appropriate preventive health care; </w:t>
            </w:r>
          </w:p>
          <w:p w14:paraId="066DB869" w14:textId="77777777" w:rsidR="00FA2344" w:rsidRPr="00A4101D" w:rsidRDefault="00FA2344" w:rsidP="00FA2344">
            <w:r w:rsidRPr="002C37D7">
              <w:t xml:space="preserve">for one or more health-related issues, with appropriate documentation-each attendance </w:t>
            </w:r>
          </w:p>
        </w:tc>
        <w:tc>
          <w:tcPr>
            <w:tcW w:w="950" w:type="dxa"/>
          </w:tcPr>
          <w:p w14:paraId="3A485A0E" w14:textId="77777777" w:rsidR="00FA2344" w:rsidRPr="00A4101D" w:rsidRDefault="00FA2344" w:rsidP="00FA2344">
            <w:r w:rsidRPr="002C37D7">
              <w:t>$117.75</w:t>
            </w:r>
          </w:p>
        </w:tc>
        <w:tc>
          <w:tcPr>
            <w:tcW w:w="1058" w:type="dxa"/>
          </w:tcPr>
          <w:p w14:paraId="04B390A0" w14:textId="77777777" w:rsidR="00FA2344" w:rsidRPr="00A4101D" w:rsidRDefault="00FA2344" w:rsidP="00FA2344">
            <w:r w:rsidRPr="00FB7240">
              <w:t>74</w:t>
            </w:r>
            <w:r w:rsidRPr="00A4101D">
              <w:t>,693</w:t>
            </w:r>
          </w:p>
        </w:tc>
        <w:tc>
          <w:tcPr>
            <w:tcW w:w="1448" w:type="dxa"/>
          </w:tcPr>
          <w:p w14:paraId="77BFECD0" w14:textId="77777777" w:rsidR="00FA2344" w:rsidRPr="00A4101D" w:rsidRDefault="00FA2344" w:rsidP="00FA2344">
            <w:r>
              <w:t>$</w:t>
            </w:r>
            <w:r w:rsidRPr="00A4101D">
              <w:t>8,968,199</w:t>
            </w:r>
          </w:p>
        </w:tc>
        <w:tc>
          <w:tcPr>
            <w:tcW w:w="1011" w:type="dxa"/>
          </w:tcPr>
          <w:p w14:paraId="18ECEB97" w14:textId="77777777" w:rsidR="00FA2344" w:rsidRPr="00A4101D" w:rsidRDefault="00FA2344" w:rsidP="00FA2344">
            <w:r>
              <w:t>17.4%</w:t>
            </w:r>
          </w:p>
        </w:tc>
      </w:tr>
      <w:tr w:rsidR="00FA2344" w:rsidRPr="00BC48C5" w14:paraId="6CC1AD4E" w14:textId="77777777" w:rsidTr="00FA2344">
        <w:tc>
          <w:tcPr>
            <w:tcW w:w="643" w:type="dxa"/>
          </w:tcPr>
          <w:p w14:paraId="063B11EF" w14:textId="77777777" w:rsidR="00FA2344" w:rsidRPr="00A4101D" w:rsidRDefault="00FA2344" w:rsidP="00FA2344">
            <w:r w:rsidRPr="00BC48C5">
              <w:t>5063</w:t>
            </w:r>
          </w:p>
        </w:tc>
        <w:tc>
          <w:tcPr>
            <w:tcW w:w="3192" w:type="dxa"/>
          </w:tcPr>
          <w:p w14:paraId="232BB08E" w14:textId="77777777" w:rsidR="00FA2344" w:rsidRPr="00A4101D" w:rsidRDefault="00FA2344" w:rsidP="00FA2344">
            <w:r w:rsidRPr="002C37D7">
              <w:t xml:space="preserve">Professional attendance by a general practitioner (other than attendance at consulting rooms, a hospital or a residential aged care facility or a service to which another item in the table applies), lasting at least 40 minutes and including any of the following that are clinically relevant: </w:t>
            </w:r>
          </w:p>
          <w:p w14:paraId="5E20E9F0" w14:textId="77777777" w:rsidR="00FA2344" w:rsidRPr="00A4101D" w:rsidRDefault="00FA2344" w:rsidP="00FA2344">
            <w:r w:rsidRPr="002C37D7">
              <w:t xml:space="preserve">(a) taking an extensive patient history; </w:t>
            </w:r>
          </w:p>
          <w:p w14:paraId="2FBB786D" w14:textId="77777777" w:rsidR="00FA2344" w:rsidRPr="00A4101D" w:rsidRDefault="00FA2344" w:rsidP="00FA2344">
            <w:r w:rsidRPr="002C37D7">
              <w:t xml:space="preserve">(b) performing a clinical examination; </w:t>
            </w:r>
          </w:p>
          <w:p w14:paraId="4607B814" w14:textId="77777777" w:rsidR="00FA2344" w:rsidRPr="00A4101D" w:rsidRDefault="00FA2344" w:rsidP="00FA2344">
            <w:r w:rsidRPr="002C37D7">
              <w:t xml:space="preserve">(c) arranging any necessary investigation; </w:t>
            </w:r>
          </w:p>
          <w:p w14:paraId="312D9FDF" w14:textId="77777777" w:rsidR="00FA2344" w:rsidRPr="00A4101D" w:rsidRDefault="00FA2344" w:rsidP="00FA2344">
            <w:r w:rsidRPr="002C37D7">
              <w:t xml:space="preserve">(d) implementing a management plan; </w:t>
            </w:r>
          </w:p>
          <w:p w14:paraId="3E5B083A" w14:textId="77777777" w:rsidR="00FA2344" w:rsidRPr="00A4101D" w:rsidRDefault="00FA2344" w:rsidP="00FA2344">
            <w:r w:rsidRPr="002C37D7">
              <w:t xml:space="preserve">(e) providing appropriate preventive health care; </w:t>
            </w:r>
          </w:p>
          <w:p w14:paraId="45576738" w14:textId="77777777" w:rsidR="00FA2344" w:rsidRPr="00A4101D" w:rsidRDefault="00FA2344" w:rsidP="00FA2344">
            <w:r w:rsidRPr="002C37D7">
              <w:t xml:space="preserve">for one or more health-related issues, with appropriate documentation-an attendance on one or more patients on one occasion-each patient </w:t>
            </w:r>
          </w:p>
        </w:tc>
        <w:tc>
          <w:tcPr>
            <w:tcW w:w="950" w:type="dxa"/>
          </w:tcPr>
          <w:p w14:paraId="451FBA7E" w14:textId="77777777" w:rsidR="00FA2344" w:rsidRPr="00A4101D" w:rsidRDefault="00FA2344" w:rsidP="00FA2344">
            <w:r w:rsidRPr="009F65CD">
              <w:t>The fee for item 5060, plus $25.95 divided by the number of patients seen, up to a maximum of six patients. For seven or more patients - the fee for item 5060 plus $2.00 per patient.</w:t>
            </w:r>
          </w:p>
        </w:tc>
        <w:tc>
          <w:tcPr>
            <w:tcW w:w="1058" w:type="dxa"/>
          </w:tcPr>
          <w:p w14:paraId="6D4243DF" w14:textId="77777777" w:rsidR="00FA2344" w:rsidRPr="00A4101D" w:rsidRDefault="00FA2344" w:rsidP="00FA2344">
            <w:r w:rsidRPr="00FB7240">
              <w:t>9</w:t>
            </w:r>
            <w:r w:rsidRPr="00A4101D">
              <w:t>,169</w:t>
            </w:r>
          </w:p>
        </w:tc>
        <w:tc>
          <w:tcPr>
            <w:tcW w:w="1448" w:type="dxa"/>
          </w:tcPr>
          <w:p w14:paraId="2232A286" w14:textId="77777777" w:rsidR="00FA2344" w:rsidRPr="00A4101D" w:rsidRDefault="00FA2344" w:rsidP="00FA2344">
            <w:r>
              <w:t>$1,300,323</w:t>
            </w:r>
          </w:p>
        </w:tc>
        <w:tc>
          <w:tcPr>
            <w:tcW w:w="1011" w:type="dxa"/>
          </w:tcPr>
          <w:p w14:paraId="0B91A05C" w14:textId="77777777" w:rsidR="00FA2344" w:rsidRPr="00A4101D" w:rsidRDefault="00FA2344" w:rsidP="00FA2344">
            <w:r>
              <w:t>17.0%</w:t>
            </w:r>
          </w:p>
        </w:tc>
      </w:tr>
      <w:tr w:rsidR="00FA2344" w:rsidRPr="00BC48C5" w14:paraId="3EC679E6" w14:textId="77777777" w:rsidTr="00FA2344">
        <w:tc>
          <w:tcPr>
            <w:tcW w:w="643" w:type="dxa"/>
          </w:tcPr>
          <w:p w14:paraId="5D2278E7" w14:textId="77777777" w:rsidR="00FA2344" w:rsidRPr="00A4101D" w:rsidRDefault="00FA2344" w:rsidP="00FA2344">
            <w:r w:rsidRPr="00BC48C5">
              <w:t>5067</w:t>
            </w:r>
          </w:p>
        </w:tc>
        <w:tc>
          <w:tcPr>
            <w:tcW w:w="3192" w:type="dxa"/>
          </w:tcPr>
          <w:p w14:paraId="0E852198" w14:textId="77777777" w:rsidR="00FA2344" w:rsidRPr="00A4101D" w:rsidRDefault="00FA2344" w:rsidP="00FA2344">
            <w:r w:rsidRPr="009F65CD">
              <w:t xml:space="preserve">Professional attendance by a general practitioner at a residential aged care facility to residents of the facility (other than a service to which another item in the table applies), lasting at least 40 minutes and including any of the following that are clinically relevant: </w:t>
            </w:r>
          </w:p>
          <w:p w14:paraId="2466785F" w14:textId="77777777" w:rsidR="00FA2344" w:rsidRPr="00A4101D" w:rsidRDefault="00FA2344" w:rsidP="00FA2344">
            <w:r w:rsidRPr="009F65CD">
              <w:t xml:space="preserve">(a) taking an extensive patient history; </w:t>
            </w:r>
          </w:p>
          <w:p w14:paraId="0A24982D" w14:textId="77777777" w:rsidR="00FA2344" w:rsidRPr="00A4101D" w:rsidRDefault="00FA2344" w:rsidP="00FA2344">
            <w:r w:rsidRPr="009F65CD">
              <w:t xml:space="preserve">(b) performing a clinical examination; </w:t>
            </w:r>
          </w:p>
          <w:p w14:paraId="38EEAAA6" w14:textId="77777777" w:rsidR="00FA2344" w:rsidRPr="00A4101D" w:rsidRDefault="00FA2344" w:rsidP="00FA2344">
            <w:r w:rsidRPr="009F65CD">
              <w:t xml:space="preserve">(c) arranging any necessary investigation; </w:t>
            </w:r>
          </w:p>
          <w:p w14:paraId="371573E7" w14:textId="77777777" w:rsidR="00FA2344" w:rsidRPr="00A4101D" w:rsidRDefault="00FA2344" w:rsidP="00FA2344">
            <w:r w:rsidRPr="009F65CD">
              <w:t xml:space="preserve">(d) implementing a management plan; </w:t>
            </w:r>
          </w:p>
          <w:p w14:paraId="4D0C3757" w14:textId="77777777" w:rsidR="00FA2344" w:rsidRPr="00A4101D" w:rsidRDefault="00FA2344" w:rsidP="00FA2344">
            <w:r w:rsidRPr="009F65CD">
              <w:t xml:space="preserve">(e) providing appropriate preventive health care; </w:t>
            </w:r>
          </w:p>
          <w:p w14:paraId="68B3D6F3" w14:textId="77777777" w:rsidR="00FA2344" w:rsidRPr="00A4101D" w:rsidRDefault="00FA2344" w:rsidP="00FA2344">
            <w:r w:rsidRPr="009F65CD">
              <w:t>for one or more health-related issues, with appropriate documentation-an attendance on one or more patients at one residential aged care facility on one occasion-each patient</w:t>
            </w:r>
          </w:p>
        </w:tc>
        <w:tc>
          <w:tcPr>
            <w:tcW w:w="950" w:type="dxa"/>
          </w:tcPr>
          <w:p w14:paraId="564A1A04" w14:textId="77777777" w:rsidR="00FA2344" w:rsidRPr="00A4101D" w:rsidRDefault="00FA2344" w:rsidP="00FA2344">
            <w:r w:rsidRPr="009F65CD">
              <w:t>The fee for item 5060, plus $46.70 divided by the number of patients seen, up to a maximum of six patients. For seven or more patients - the fee for item 5060 plus $3.30 per patient.</w:t>
            </w:r>
          </w:p>
        </w:tc>
        <w:tc>
          <w:tcPr>
            <w:tcW w:w="1058" w:type="dxa"/>
          </w:tcPr>
          <w:p w14:paraId="73D50150" w14:textId="77777777" w:rsidR="00FA2344" w:rsidRPr="00A4101D" w:rsidRDefault="00FA2344" w:rsidP="00FA2344">
            <w:r w:rsidRPr="00FB7240">
              <w:t>13</w:t>
            </w:r>
            <w:r w:rsidRPr="00A4101D">
              <w:t>,551</w:t>
            </w:r>
          </w:p>
        </w:tc>
        <w:tc>
          <w:tcPr>
            <w:tcW w:w="1448" w:type="dxa"/>
          </w:tcPr>
          <w:p w14:paraId="4DA04F8D" w14:textId="77777777" w:rsidR="00FA2344" w:rsidRPr="00A4101D" w:rsidRDefault="00FA2344" w:rsidP="00FA2344">
            <w:r>
              <w:t>$</w:t>
            </w:r>
            <w:r w:rsidRPr="00A4101D">
              <w:t>2,020,350</w:t>
            </w:r>
          </w:p>
        </w:tc>
        <w:tc>
          <w:tcPr>
            <w:tcW w:w="1011" w:type="dxa"/>
          </w:tcPr>
          <w:p w14:paraId="1A18A6DF" w14:textId="77777777" w:rsidR="00FA2344" w:rsidRPr="00A4101D" w:rsidRDefault="00FA2344" w:rsidP="00FA2344">
            <w:r>
              <w:t>19.4%</w:t>
            </w:r>
          </w:p>
        </w:tc>
      </w:tr>
      <w:tr w:rsidR="00FA2344" w:rsidRPr="00BC48C5" w14:paraId="7B278FE4" w14:textId="77777777" w:rsidTr="00FA2344">
        <w:tc>
          <w:tcPr>
            <w:tcW w:w="643" w:type="dxa"/>
          </w:tcPr>
          <w:p w14:paraId="5F3F51EE" w14:textId="77777777" w:rsidR="00FA2344" w:rsidRPr="00A4101D" w:rsidRDefault="00FA2344" w:rsidP="00FA2344">
            <w:r w:rsidRPr="00BC48C5">
              <w:t>5200</w:t>
            </w:r>
          </w:p>
        </w:tc>
        <w:tc>
          <w:tcPr>
            <w:tcW w:w="3192" w:type="dxa"/>
          </w:tcPr>
          <w:p w14:paraId="1B370E73" w14:textId="77777777" w:rsidR="00FA2344" w:rsidRPr="00A4101D" w:rsidRDefault="00FA2344" w:rsidP="00FA2344">
            <w:r w:rsidRPr="009F65CD">
              <w:t xml:space="preserve">Professional attendance at consulting rooms of not more than 5 minutes in duration (other than a service to which another item applies) by a </w:t>
            </w:r>
            <w:r w:rsidRPr="00A4101D">
              <w:t>medical practitioner (other than a general practitioner)-each attendance</w:t>
            </w:r>
          </w:p>
        </w:tc>
        <w:tc>
          <w:tcPr>
            <w:tcW w:w="950" w:type="dxa"/>
          </w:tcPr>
          <w:p w14:paraId="2A321657" w14:textId="77777777" w:rsidR="00FA2344" w:rsidRPr="00A4101D" w:rsidRDefault="00FA2344" w:rsidP="00FA2344">
            <w:r w:rsidRPr="009F65CD">
              <w:t>$21.00</w:t>
            </w:r>
          </w:p>
        </w:tc>
        <w:tc>
          <w:tcPr>
            <w:tcW w:w="1058" w:type="dxa"/>
          </w:tcPr>
          <w:p w14:paraId="5E8FC2CC" w14:textId="77777777" w:rsidR="00FA2344" w:rsidRPr="00A4101D" w:rsidRDefault="00FA2344" w:rsidP="00FA2344">
            <w:r w:rsidRPr="00FB7240">
              <w:t>1</w:t>
            </w:r>
            <w:r w:rsidRPr="00A4101D">
              <w:t>,586</w:t>
            </w:r>
          </w:p>
        </w:tc>
        <w:tc>
          <w:tcPr>
            <w:tcW w:w="1448" w:type="dxa"/>
          </w:tcPr>
          <w:p w14:paraId="4C30F8FB" w14:textId="77777777" w:rsidR="00FA2344" w:rsidRPr="00A4101D" w:rsidRDefault="00FA2344" w:rsidP="00FA2344">
            <w:r>
              <w:t>$</w:t>
            </w:r>
            <w:r w:rsidRPr="00A4101D">
              <w:t>33,432</w:t>
            </w:r>
          </w:p>
        </w:tc>
        <w:tc>
          <w:tcPr>
            <w:tcW w:w="1011" w:type="dxa"/>
          </w:tcPr>
          <w:p w14:paraId="0DCC8C1B" w14:textId="77777777" w:rsidR="00FA2344" w:rsidRPr="00A4101D" w:rsidRDefault="00FA2344" w:rsidP="00FA2344">
            <w:r>
              <w:t>-9.8%</w:t>
            </w:r>
          </w:p>
        </w:tc>
      </w:tr>
      <w:tr w:rsidR="00FA2344" w:rsidRPr="00BC48C5" w14:paraId="02194AE6" w14:textId="77777777" w:rsidTr="00FA2344">
        <w:tc>
          <w:tcPr>
            <w:tcW w:w="643" w:type="dxa"/>
          </w:tcPr>
          <w:p w14:paraId="37C824DA" w14:textId="77777777" w:rsidR="00FA2344" w:rsidRPr="00A4101D" w:rsidRDefault="00FA2344" w:rsidP="00FA2344">
            <w:r w:rsidRPr="00BC48C5">
              <w:t>5203</w:t>
            </w:r>
          </w:p>
        </w:tc>
        <w:tc>
          <w:tcPr>
            <w:tcW w:w="3192" w:type="dxa"/>
          </w:tcPr>
          <w:p w14:paraId="143A7EF6" w14:textId="77777777" w:rsidR="00FA2344" w:rsidRPr="00A4101D" w:rsidRDefault="00FA2344" w:rsidP="00FA2344">
            <w:r w:rsidRPr="009F65CD">
              <w:t>Professional attendance at consulting rooms of more than 5 minutes in duration but not more than 25 minutes in duration (other than a service to which</w:t>
            </w:r>
            <w:r w:rsidRPr="00A4101D">
              <w:t xml:space="preserve"> another item applies) by a medical practitioner (other than a general practitioner)-each attendance</w:t>
            </w:r>
          </w:p>
        </w:tc>
        <w:tc>
          <w:tcPr>
            <w:tcW w:w="950" w:type="dxa"/>
          </w:tcPr>
          <w:p w14:paraId="23256CF3" w14:textId="77777777" w:rsidR="00FA2344" w:rsidRPr="00A4101D" w:rsidRDefault="00FA2344" w:rsidP="00FA2344">
            <w:r w:rsidRPr="009F65CD">
              <w:t>$31.00</w:t>
            </w:r>
          </w:p>
        </w:tc>
        <w:tc>
          <w:tcPr>
            <w:tcW w:w="1058" w:type="dxa"/>
          </w:tcPr>
          <w:p w14:paraId="6DD167FD" w14:textId="77777777" w:rsidR="00FA2344" w:rsidRPr="00A4101D" w:rsidRDefault="00FA2344" w:rsidP="00FA2344">
            <w:r w:rsidRPr="0084626F">
              <w:t>184</w:t>
            </w:r>
            <w:r w:rsidRPr="00A4101D">
              <w:t>,515</w:t>
            </w:r>
          </w:p>
        </w:tc>
        <w:tc>
          <w:tcPr>
            <w:tcW w:w="1448" w:type="dxa"/>
          </w:tcPr>
          <w:p w14:paraId="158F3A37" w14:textId="77777777" w:rsidR="00FA2344" w:rsidRPr="00A4101D" w:rsidRDefault="00FA2344" w:rsidP="00FA2344">
            <w:r>
              <w:t>$5,753,088</w:t>
            </w:r>
          </w:p>
        </w:tc>
        <w:tc>
          <w:tcPr>
            <w:tcW w:w="1011" w:type="dxa"/>
          </w:tcPr>
          <w:p w14:paraId="32B919A3" w14:textId="77777777" w:rsidR="00FA2344" w:rsidRPr="00A4101D" w:rsidRDefault="00FA2344" w:rsidP="00FA2344">
            <w:r>
              <w:t>-1.4%</w:t>
            </w:r>
          </w:p>
        </w:tc>
      </w:tr>
      <w:tr w:rsidR="00FA2344" w:rsidRPr="00BC48C5" w14:paraId="6C49A371" w14:textId="77777777" w:rsidTr="00FA2344">
        <w:tc>
          <w:tcPr>
            <w:tcW w:w="643" w:type="dxa"/>
          </w:tcPr>
          <w:p w14:paraId="1F5B1460" w14:textId="77777777" w:rsidR="00FA2344" w:rsidRPr="00A4101D" w:rsidRDefault="00FA2344" w:rsidP="00FA2344">
            <w:r w:rsidRPr="00BC48C5">
              <w:t>5207</w:t>
            </w:r>
          </w:p>
        </w:tc>
        <w:tc>
          <w:tcPr>
            <w:tcW w:w="3192" w:type="dxa"/>
          </w:tcPr>
          <w:p w14:paraId="042970E9" w14:textId="77777777" w:rsidR="00FA2344" w:rsidRPr="00A4101D" w:rsidRDefault="00FA2344" w:rsidP="00FA2344">
            <w:r w:rsidRPr="009F65CD">
              <w:t>Professional attendance at consulting rooms of more than 25 minutes in duration but not more than 45 minutes in duration (other than a service to which another item applies) by a medical practitioner (other than a general practitioner)-each attendance</w:t>
            </w:r>
          </w:p>
        </w:tc>
        <w:tc>
          <w:tcPr>
            <w:tcW w:w="950" w:type="dxa"/>
          </w:tcPr>
          <w:p w14:paraId="44DD5071" w14:textId="77777777" w:rsidR="00FA2344" w:rsidRPr="00A4101D" w:rsidRDefault="00FA2344" w:rsidP="00FA2344">
            <w:r w:rsidRPr="009F65CD">
              <w:t>$48.00</w:t>
            </w:r>
          </w:p>
        </w:tc>
        <w:tc>
          <w:tcPr>
            <w:tcW w:w="1058" w:type="dxa"/>
          </w:tcPr>
          <w:p w14:paraId="7963E8EC" w14:textId="77777777" w:rsidR="00FA2344" w:rsidRPr="00A4101D" w:rsidRDefault="00FA2344" w:rsidP="00FA2344">
            <w:r w:rsidRPr="0084626F">
              <w:t>33</w:t>
            </w:r>
            <w:r w:rsidRPr="00A4101D">
              <w:t>,072</w:t>
            </w:r>
          </w:p>
        </w:tc>
        <w:tc>
          <w:tcPr>
            <w:tcW w:w="1448" w:type="dxa"/>
          </w:tcPr>
          <w:p w14:paraId="08EB98D4" w14:textId="77777777" w:rsidR="00FA2344" w:rsidRPr="00A4101D" w:rsidRDefault="00FA2344" w:rsidP="00FA2344">
            <w:r>
              <w:t>$1,705,654</w:t>
            </w:r>
          </w:p>
        </w:tc>
        <w:tc>
          <w:tcPr>
            <w:tcW w:w="1011" w:type="dxa"/>
          </w:tcPr>
          <w:p w14:paraId="5152B07E" w14:textId="77777777" w:rsidR="00FA2344" w:rsidRPr="00A4101D" w:rsidRDefault="00FA2344" w:rsidP="00FA2344">
            <w:r>
              <w:t>-0.6%</w:t>
            </w:r>
          </w:p>
        </w:tc>
      </w:tr>
      <w:tr w:rsidR="00FA2344" w:rsidRPr="00BC48C5" w14:paraId="3E2A5693" w14:textId="77777777" w:rsidTr="00FA2344">
        <w:tc>
          <w:tcPr>
            <w:tcW w:w="643" w:type="dxa"/>
          </w:tcPr>
          <w:p w14:paraId="601025CD" w14:textId="77777777" w:rsidR="00FA2344" w:rsidRPr="00A4101D" w:rsidRDefault="00FA2344" w:rsidP="00FA2344">
            <w:r w:rsidRPr="00BC48C5">
              <w:t>5208</w:t>
            </w:r>
          </w:p>
        </w:tc>
        <w:tc>
          <w:tcPr>
            <w:tcW w:w="3192" w:type="dxa"/>
          </w:tcPr>
          <w:p w14:paraId="66871E22" w14:textId="77777777" w:rsidR="00FA2344" w:rsidRPr="00A4101D" w:rsidRDefault="00FA2344" w:rsidP="00FA2344">
            <w:r w:rsidRPr="009F65CD">
              <w:t xml:space="preserve">Professional attendance at consulting rooms of more than 45 minutes in duration </w:t>
            </w:r>
            <w:r w:rsidRPr="00A4101D">
              <w:t>(other than a service to which another item applies) by a medical practitioner (other than a general practitioner)-each attendance</w:t>
            </w:r>
          </w:p>
        </w:tc>
        <w:tc>
          <w:tcPr>
            <w:tcW w:w="950" w:type="dxa"/>
          </w:tcPr>
          <w:p w14:paraId="689BF76F" w14:textId="77777777" w:rsidR="00FA2344" w:rsidRPr="00A4101D" w:rsidRDefault="00FA2344" w:rsidP="00FA2344">
            <w:r w:rsidRPr="009F65CD">
              <w:t>$71.00</w:t>
            </w:r>
          </w:p>
        </w:tc>
        <w:tc>
          <w:tcPr>
            <w:tcW w:w="1058" w:type="dxa"/>
          </w:tcPr>
          <w:p w14:paraId="42704B8B" w14:textId="77777777" w:rsidR="00FA2344" w:rsidRPr="00A4101D" w:rsidRDefault="00FA2344" w:rsidP="00FA2344">
            <w:r w:rsidRPr="0084626F">
              <w:t>24</w:t>
            </w:r>
            <w:r w:rsidRPr="00A4101D">
              <w:t>,510</w:t>
            </w:r>
          </w:p>
        </w:tc>
        <w:tc>
          <w:tcPr>
            <w:tcW w:w="1448" w:type="dxa"/>
          </w:tcPr>
          <w:p w14:paraId="690EF4C0" w14:textId="77777777" w:rsidR="00FA2344" w:rsidRPr="00A4101D" w:rsidRDefault="00FA2344" w:rsidP="00FA2344">
            <w:r>
              <w:t>$</w:t>
            </w:r>
            <w:r w:rsidRPr="00A4101D">
              <w:t>2,039,172</w:t>
            </w:r>
          </w:p>
        </w:tc>
        <w:tc>
          <w:tcPr>
            <w:tcW w:w="1011" w:type="dxa"/>
          </w:tcPr>
          <w:p w14:paraId="7DD0611B" w14:textId="77777777" w:rsidR="00FA2344" w:rsidRPr="00A4101D" w:rsidRDefault="00FA2344" w:rsidP="00FA2344">
            <w:r>
              <w:t>6.0%</w:t>
            </w:r>
          </w:p>
        </w:tc>
      </w:tr>
      <w:tr w:rsidR="00FA2344" w:rsidRPr="00BC48C5" w14:paraId="1BC9E958" w14:textId="77777777" w:rsidTr="00FA2344">
        <w:tc>
          <w:tcPr>
            <w:tcW w:w="643" w:type="dxa"/>
          </w:tcPr>
          <w:p w14:paraId="7948125A" w14:textId="77777777" w:rsidR="00FA2344" w:rsidRPr="00A4101D" w:rsidRDefault="00FA2344" w:rsidP="00FA2344">
            <w:r w:rsidRPr="00BC48C5">
              <w:t>5220</w:t>
            </w:r>
          </w:p>
        </w:tc>
        <w:tc>
          <w:tcPr>
            <w:tcW w:w="3192" w:type="dxa"/>
          </w:tcPr>
          <w:p w14:paraId="5CF4F570" w14:textId="77777777" w:rsidR="00FA2344" w:rsidRPr="00A4101D" w:rsidRDefault="00FA2344" w:rsidP="00FA2344">
            <w:r w:rsidRPr="009F65CD">
              <w:t>Professional attendance by a medical practitioner who is not a general practitioner (other than attendance at consulting rooms, a hospital or a residential aged care facility or a service to which another item in the table applies), lasting not more than 5 minutes-an attendance on one or more patients on one occasion-each patient</w:t>
            </w:r>
          </w:p>
        </w:tc>
        <w:tc>
          <w:tcPr>
            <w:tcW w:w="950" w:type="dxa"/>
          </w:tcPr>
          <w:p w14:paraId="3C78B583" w14:textId="77777777" w:rsidR="00FA2344" w:rsidRPr="00A4101D" w:rsidRDefault="00FA2344" w:rsidP="00FA2344">
            <w:r w:rsidRPr="009F65CD">
              <w:t>An amount equal to $18.50, plus $15.50 divided by the number of patients seen, up to a maximum of six patients. For seven or more patients - an amount equal to $18.50 plus $.70 per patient</w:t>
            </w:r>
          </w:p>
        </w:tc>
        <w:tc>
          <w:tcPr>
            <w:tcW w:w="1058" w:type="dxa"/>
          </w:tcPr>
          <w:p w14:paraId="7DD824AC" w14:textId="77777777" w:rsidR="00FA2344" w:rsidRPr="00A4101D" w:rsidRDefault="00FA2344" w:rsidP="00FA2344">
            <w:r w:rsidRPr="0084626F">
              <w:t>71</w:t>
            </w:r>
          </w:p>
        </w:tc>
        <w:tc>
          <w:tcPr>
            <w:tcW w:w="1448" w:type="dxa"/>
          </w:tcPr>
          <w:p w14:paraId="6803E2A1" w14:textId="77777777" w:rsidR="00FA2344" w:rsidRPr="00A4101D" w:rsidRDefault="00FA2344" w:rsidP="00FA2344">
            <w:r>
              <w:t>$2,210</w:t>
            </w:r>
          </w:p>
        </w:tc>
        <w:tc>
          <w:tcPr>
            <w:tcW w:w="1011" w:type="dxa"/>
          </w:tcPr>
          <w:p w14:paraId="781A15F9" w14:textId="77777777" w:rsidR="00FA2344" w:rsidRPr="00A4101D" w:rsidRDefault="00FA2344" w:rsidP="00FA2344">
            <w:r>
              <w:t>15.9%</w:t>
            </w:r>
          </w:p>
        </w:tc>
      </w:tr>
      <w:tr w:rsidR="00FA2344" w:rsidRPr="00BC48C5" w14:paraId="4CC82CCE" w14:textId="77777777" w:rsidTr="00FA2344">
        <w:tc>
          <w:tcPr>
            <w:tcW w:w="643" w:type="dxa"/>
          </w:tcPr>
          <w:p w14:paraId="2C09A06C" w14:textId="77777777" w:rsidR="00FA2344" w:rsidRPr="00A4101D" w:rsidRDefault="00FA2344" w:rsidP="00FA2344">
            <w:r w:rsidRPr="00BC48C5">
              <w:t>5223</w:t>
            </w:r>
          </w:p>
        </w:tc>
        <w:tc>
          <w:tcPr>
            <w:tcW w:w="3192" w:type="dxa"/>
          </w:tcPr>
          <w:p w14:paraId="085C25B5" w14:textId="77777777" w:rsidR="00FA2344" w:rsidRPr="00A4101D" w:rsidRDefault="00FA2344" w:rsidP="00FA2344">
            <w:r w:rsidRPr="009F65CD">
              <w:t xml:space="preserve">Professional attendance by a medical practitioner who is </w:t>
            </w:r>
            <w:r w:rsidRPr="00A4101D">
              <w:t>not a general practitioner (other than attendance at consulting rooms, a hospital or a residential aged care facility or a service to which another item in the table applies), lasting more than 5 minutes, but not more than 25 minutes-an attendance on one or more patients on one occasion-each patient</w:t>
            </w:r>
          </w:p>
        </w:tc>
        <w:tc>
          <w:tcPr>
            <w:tcW w:w="950" w:type="dxa"/>
          </w:tcPr>
          <w:p w14:paraId="521F3565" w14:textId="77777777" w:rsidR="00FA2344" w:rsidRPr="00A4101D" w:rsidRDefault="00FA2344" w:rsidP="00FA2344">
            <w:r w:rsidRPr="009F65CD">
              <w:t>An amount equal to $26.00, plus $17.50 divided by the number of patients seen, up to a maximum of six patients. For seven or more patients - an amount equal to $26.00 plus $.70 per patient</w:t>
            </w:r>
          </w:p>
        </w:tc>
        <w:tc>
          <w:tcPr>
            <w:tcW w:w="1058" w:type="dxa"/>
          </w:tcPr>
          <w:p w14:paraId="125036B7" w14:textId="77777777" w:rsidR="00FA2344" w:rsidRPr="00A4101D" w:rsidRDefault="00FA2344" w:rsidP="00FA2344">
            <w:r w:rsidRPr="0084626F">
              <w:t>15</w:t>
            </w:r>
            <w:r w:rsidRPr="00A4101D">
              <w:t>,526</w:t>
            </w:r>
          </w:p>
        </w:tc>
        <w:tc>
          <w:tcPr>
            <w:tcW w:w="1448" w:type="dxa"/>
          </w:tcPr>
          <w:p w14:paraId="2A4FC7D9" w14:textId="77777777" w:rsidR="00FA2344" w:rsidRPr="00A4101D" w:rsidRDefault="00FA2344" w:rsidP="00FA2344">
            <w:r>
              <w:t>$631,672</w:t>
            </w:r>
          </w:p>
        </w:tc>
        <w:tc>
          <w:tcPr>
            <w:tcW w:w="1011" w:type="dxa"/>
          </w:tcPr>
          <w:p w14:paraId="51B2A09B" w14:textId="77777777" w:rsidR="00FA2344" w:rsidRPr="00A4101D" w:rsidRDefault="00FA2344" w:rsidP="00FA2344">
            <w:r>
              <w:t>26.5%</w:t>
            </w:r>
          </w:p>
        </w:tc>
      </w:tr>
      <w:tr w:rsidR="00FA2344" w:rsidRPr="00BC48C5" w14:paraId="5B73FC0F" w14:textId="77777777" w:rsidTr="00FA2344">
        <w:tc>
          <w:tcPr>
            <w:tcW w:w="643" w:type="dxa"/>
          </w:tcPr>
          <w:p w14:paraId="366BB427" w14:textId="77777777" w:rsidR="00FA2344" w:rsidRPr="00A4101D" w:rsidRDefault="00FA2344" w:rsidP="00FA2344">
            <w:r w:rsidRPr="00BC48C5">
              <w:t>5227</w:t>
            </w:r>
          </w:p>
        </w:tc>
        <w:tc>
          <w:tcPr>
            <w:tcW w:w="3192" w:type="dxa"/>
          </w:tcPr>
          <w:p w14:paraId="5CEB036C" w14:textId="77777777" w:rsidR="00FA2344" w:rsidRPr="00A4101D" w:rsidRDefault="00FA2344" w:rsidP="00FA2344">
            <w:r w:rsidRPr="009F65CD">
              <w:t>Professional attendance by a medical practitioner who is not a general practitioner (other than attendance at consulting rooms, a hospital or a residential aged care facility or a service to which another item in the table applies), lasting more than 25 minutes, but not more than 45 minutes-an attendance on one or more patients on one occasion-each patient</w:t>
            </w:r>
          </w:p>
        </w:tc>
        <w:tc>
          <w:tcPr>
            <w:tcW w:w="950" w:type="dxa"/>
          </w:tcPr>
          <w:p w14:paraId="3EEF3C79" w14:textId="77777777" w:rsidR="00FA2344" w:rsidRPr="00A4101D" w:rsidRDefault="00FA2344" w:rsidP="00FA2344">
            <w:r w:rsidRPr="009F65CD">
              <w:t>An amount equal to $45.50, plus $15.50 divided by the number of patients seen, up to a maximum of six patients. For seven or more patients - an amount equal to $45.50 plus $.70 per patient</w:t>
            </w:r>
          </w:p>
        </w:tc>
        <w:tc>
          <w:tcPr>
            <w:tcW w:w="1058" w:type="dxa"/>
          </w:tcPr>
          <w:p w14:paraId="7AEFB98E" w14:textId="77777777" w:rsidR="00FA2344" w:rsidRPr="00A4101D" w:rsidRDefault="00FA2344" w:rsidP="00FA2344">
            <w:r w:rsidRPr="0084626F">
              <w:t>1</w:t>
            </w:r>
            <w:r w:rsidRPr="00A4101D">
              <w:t>,492</w:t>
            </w:r>
          </w:p>
        </w:tc>
        <w:tc>
          <w:tcPr>
            <w:tcW w:w="1448" w:type="dxa"/>
          </w:tcPr>
          <w:p w14:paraId="59AE875A" w14:textId="77777777" w:rsidR="00FA2344" w:rsidRPr="00A4101D" w:rsidRDefault="00FA2344" w:rsidP="00FA2344">
            <w:r>
              <w:t>$</w:t>
            </w:r>
            <w:r w:rsidRPr="00A4101D">
              <w:t>84,816</w:t>
            </w:r>
          </w:p>
        </w:tc>
        <w:tc>
          <w:tcPr>
            <w:tcW w:w="1011" w:type="dxa"/>
          </w:tcPr>
          <w:p w14:paraId="178B70D3" w14:textId="77777777" w:rsidR="00FA2344" w:rsidRPr="00A4101D" w:rsidRDefault="00FA2344" w:rsidP="00FA2344">
            <w:r>
              <w:t>30.5%</w:t>
            </w:r>
          </w:p>
        </w:tc>
      </w:tr>
      <w:tr w:rsidR="00FA2344" w:rsidRPr="00BC48C5" w14:paraId="44194AA3" w14:textId="77777777" w:rsidTr="00FA2344">
        <w:tc>
          <w:tcPr>
            <w:tcW w:w="643" w:type="dxa"/>
          </w:tcPr>
          <w:p w14:paraId="0B99A824" w14:textId="77777777" w:rsidR="00FA2344" w:rsidRPr="00A4101D" w:rsidRDefault="00FA2344" w:rsidP="00FA2344">
            <w:r w:rsidRPr="00BC48C5">
              <w:t>5228</w:t>
            </w:r>
          </w:p>
        </w:tc>
        <w:tc>
          <w:tcPr>
            <w:tcW w:w="3192" w:type="dxa"/>
          </w:tcPr>
          <w:p w14:paraId="20D414A4" w14:textId="77777777" w:rsidR="00FA2344" w:rsidRPr="00A4101D" w:rsidRDefault="00FA2344" w:rsidP="00FA2344">
            <w:r w:rsidRPr="009F65CD">
              <w:t xml:space="preserve">Professional attendance by a medical practitioner who is not a general practitioner (other than attendance at consulting rooms, a hospital or a residential aged care facility or a service </w:t>
            </w:r>
            <w:r w:rsidRPr="00A4101D">
              <w:t>to which another item in the table applies), lasting more than 45 minutes-an attendance on one or more patients on one occasion-each patient</w:t>
            </w:r>
          </w:p>
        </w:tc>
        <w:tc>
          <w:tcPr>
            <w:tcW w:w="950" w:type="dxa"/>
          </w:tcPr>
          <w:p w14:paraId="0328ADD3" w14:textId="77777777" w:rsidR="00FA2344" w:rsidRPr="00A4101D" w:rsidRDefault="00FA2344" w:rsidP="00FA2344">
            <w:r w:rsidRPr="009F65CD">
              <w:t>An amount equal to $67.50, plus $15.50 divided by the number of patients seen, up to a maximum of six patients. For seven or more patients - an amount equal to $67.50 plus $.70 per patient</w:t>
            </w:r>
          </w:p>
        </w:tc>
        <w:tc>
          <w:tcPr>
            <w:tcW w:w="1058" w:type="dxa"/>
          </w:tcPr>
          <w:p w14:paraId="4AA12DC0" w14:textId="77777777" w:rsidR="00FA2344" w:rsidRPr="00A4101D" w:rsidRDefault="00FA2344" w:rsidP="00FA2344">
            <w:r w:rsidRPr="0084626F">
              <w:t>319</w:t>
            </w:r>
          </w:p>
        </w:tc>
        <w:tc>
          <w:tcPr>
            <w:tcW w:w="1448" w:type="dxa"/>
          </w:tcPr>
          <w:p w14:paraId="2464FE23" w14:textId="77777777" w:rsidR="00FA2344" w:rsidRPr="00A4101D" w:rsidRDefault="00FA2344" w:rsidP="00FA2344">
            <w:r>
              <w:t>$</w:t>
            </w:r>
            <w:r w:rsidRPr="00A4101D">
              <w:t>25,226</w:t>
            </w:r>
          </w:p>
        </w:tc>
        <w:tc>
          <w:tcPr>
            <w:tcW w:w="1011" w:type="dxa"/>
          </w:tcPr>
          <w:p w14:paraId="517657F6" w14:textId="77777777" w:rsidR="00FA2344" w:rsidRPr="00A4101D" w:rsidRDefault="00FA2344" w:rsidP="00FA2344">
            <w:r>
              <w:t>25.6%</w:t>
            </w:r>
          </w:p>
        </w:tc>
      </w:tr>
      <w:tr w:rsidR="00FA2344" w:rsidRPr="00BC48C5" w14:paraId="3AB30D85" w14:textId="77777777" w:rsidTr="00FA2344">
        <w:tc>
          <w:tcPr>
            <w:tcW w:w="643" w:type="dxa"/>
          </w:tcPr>
          <w:p w14:paraId="195139FE" w14:textId="77777777" w:rsidR="00FA2344" w:rsidRPr="00A4101D" w:rsidRDefault="00FA2344" w:rsidP="00FA2344">
            <w:r w:rsidRPr="00BC48C5">
              <w:t>5260</w:t>
            </w:r>
          </w:p>
        </w:tc>
        <w:tc>
          <w:tcPr>
            <w:tcW w:w="3192" w:type="dxa"/>
          </w:tcPr>
          <w:p w14:paraId="5C2A7287" w14:textId="77777777" w:rsidR="00FA2344" w:rsidRPr="00A4101D" w:rsidRDefault="00FA2344" w:rsidP="00FA2344">
            <w:r w:rsidRPr="009F65CD">
              <w:t>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of not more than 5 minutes in duration by a medical practitioner (other than a general practitioner)-an attendance on one or more patients at one residential aged care facility on one occasion-each patient</w:t>
            </w:r>
          </w:p>
        </w:tc>
        <w:tc>
          <w:tcPr>
            <w:tcW w:w="950" w:type="dxa"/>
          </w:tcPr>
          <w:p w14:paraId="63789A27" w14:textId="77777777" w:rsidR="00FA2344" w:rsidRPr="00A4101D" w:rsidRDefault="00FA2344" w:rsidP="00FA2344">
            <w:r w:rsidRPr="009F65CD">
              <w:t>An amount equal to $18.50, plus $27.95 divided by the number of patients seen, up to a maximum of six patients. For seven or more patients - an amount equal to $18.50 plus $1.25 per patient</w:t>
            </w:r>
          </w:p>
        </w:tc>
        <w:tc>
          <w:tcPr>
            <w:tcW w:w="1058" w:type="dxa"/>
          </w:tcPr>
          <w:p w14:paraId="24BEC6B3" w14:textId="77777777" w:rsidR="00FA2344" w:rsidRPr="00A4101D" w:rsidRDefault="00FA2344" w:rsidP="00FA2344">
            <w:r w:rsidRPr="0084626F">
              <w:t>151</w:t>
            </w:r>
          </w:p>
        </w:tc>
        <w:tc>
          <w:tcPr>
            <w:tcW w:w="1448" w:type="dxa"/>
          </w:tcPr>
          <w:p w14:paraId="45D99685" w14:textId="77777777" w:rsidR="00FA2344" w:rsidRPr="00A4101D" w:rsidRDefault="00FA2344" w:rsidP="00FA2344">
            <w:r>
              <w:t>$5,197</w:t>
            </w:r>
          </w:p>
        </w:tc>
        <w:tc>
          <w:tcPr>
            <w:tcW w:w="1011" w:type="dxa"/>
          </w:tcPr>
          <w:p w14:paraId="47704FD2" w14:textId="77777777" w:rsidR="00FA2344" w:rsidRPr="00A4101D" w:rsidRDefault="00FA2344" w:rsidP="00FA2344">
            <w:r>
              <w:t>25.8%</w:t>
            </w:r>
          </w:p>
        </w:tc>
      </w:tr>
      <w:tr w:rsidR="00FA2344" w:rsidRPr="00BC48C5" w14:paraId="0E149DC1" w14:textId="77777777" w:rsidTr="00FA2344">
        <w:tc>
          <w:tcPr>
            <w:tcW w:w="643" w:type="dxa"/>
          </w:tcPr>
          <w:p w14:paraId="021A862E" w14:textId="77777777" w:rsidR="00FA2344" w:rsidRPr="00A4101D" w:rsidRDefault="00FA2344" w:rsidP="00FA2344">
            <w:r w:rsidRPr="00BC48C5">
              <w:t>5263</w:t>
            </w:r>
          </w:p>
        </w:tc>
        <w:tc>
          <w:tcPr>
            <w:tcW w:w="3192" w:type="dxa"/>
          </w:tcPr>
          <w:p w14:paraId="4E9A448A" w14:textId="77777777" w:rsidR="00FA2344" w:rsidRPr="00A4101D" w:rsidRDefault="00FA2344" w:rsidP="00FA2344">
            <w:r w:rsidRPr="009F65CD">
              <w:t>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of more than 5 minutes in duration but not more than 25 minutes in duration by a medical practitioner (other than a general practitioner)-an attendance on one or more patients at one residential aged care facility on one occasion-each patient</w:t>
            </w:r>
          </w:p>
        </w:tc>
        <w:tc>
          <w:tcPr>
            <w:tcW w:w="950" w:type="dxa"/>
          </w:tcPr>
          <w:p w14:paraId="0F4433F6" w14:textId="77777777" w:rsidR="00FA2344" w:rsidRPr="00A4101D" w:rsidRDefault="00FA2344" w:rsidP="00FA2344">
            <w:r w:rsidRPr="009F65CD">
              <w:t xml:space="preserve">An amount equal to </w:t>
            </w:r>
            <w:r w:rsidRPr="00A4101D">
              <w:t>$26.00, plus $31.55 divided by the number of patients seen, up to a maximum of six patients. For seven or more patients - an amount equal to $26.00 plus $1.25 per patient</w:t>
            </w:r>
          </w:p>
        </w:tc>
        <w:tc>
          <w:tcPr>
            <w:tcW w:w="1058" w:type="dxa"/>
          </w:tcPr>
          <w:p w14:paraId="468A15F8" w14:textId="77777777" w:rsidR="00FA2344" w:rsidRPr="00A4101D" w:rsidRDefault="00FA2344" w:rsidP="00FA2344">
            <w:r w:rsidRPr="0084626F">
              <w:t>11</w:t>
            </w:r>
            <w:r w:rsidRPr="00A4101D">
              <w:t>,565</w:t>
            </w:r>
          </w:p>
        </w:tc>
        <w:tc>
          <w:tcPr>
            <w:tcW w:w="1448" w:type="dxa"/>
          </w:tcPr>
          <w:p w14:paraId="3A79AE60" w14:textId="77777777" w:rsidR="00FA2344" w:rsidRPr="00A4101D" w:rsidRDefault="00FA2344" w:rsidP="00FA2344">
            <w:r>
              <w:t>$</w:t>
            </w:r>
            <w:r w:rsidRPr="00A4101D">
              <w:t>496,443</w:t>
            </w:r>
          </w:p>
        </w:tc>
        <w:tc>
          <w:tcPr>
            <w:tcW w:w="1011" w:type="dxa"/>
          </w:tcPr>
          <w:p w14:paraId="69236633" w14:textId="77777777" w:rsidR="00FA2344" w:rsidRPr="00A4101D" w:rsidRDefault="00FA2344" w:rsidP="00FA2344">
            <w:r>
              <w:t>11.3%</w:t>
            </w:r>
          </w:p>
        </w:tc>
      </w:tr>
      <w:tr w:rsidR="00FA2344" w:rsidRPr="00BC48C5" w14:paraId="1C2B2905" w14:textId="77777777" w:rsidTr="00FA2344">
        <w:tc>
          <w:tcPr>
            <w:tcW w:w="643" w:type="dxa"/>
          </w:tcPr>
          <w:p w14:paraId="47F4A5D1" w14:textId="77777777" w:rsidR="00FA2344" w:rsidRPr="00A4101D" w:rsidRDefault="00FA2344" w:rsidP="00FA2344">
            <w:r w:rsidRPr="00BC48C5">
              <w:t>5265</w:t>
            </w:r>
          </w:p>
        </w:tc>
        <w:tc>
          <w:tcPr>
            <w:tcW w:w="3192" w:type="dxa"/>
          </w:tcPr>
          <w:p w14:paraId="0F8A1F51" w14:textId="77777777" w:rsidR="00FA2344" w:rsidRPr="00A4101D" w:rsidRDefault="00FA2344" w:rsidP="00FA2344">
            <w:r w:rsidRPr="009F65CD">
              <w:t>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of more than 25 minutes in duration but not more than 45 minutes by a medical practitioner (other than a general practitioner)-an attendance on one or more patients at one residential aged care facility on one occasion-each patient</w:t>
            </w:r>
          </w:p>
        </w:tc>
        <w:tc>
          <w:tcPr>
            <w:tcW w:w="950" w:type="dxa"/>
          </w:tcPr>
          <w:p w14:paraId="40E0187A" w14:textId="77777777" w:rsidR="00FA2344" w:rsidRPr="00A4101D" w:rsidRDefault="00FA2344" w:rsidP="00FA2344">
            <w:r w:rsidRPr="009F65CD">
              <w:t>An amount equal to $45.50, plus $27.95 divided by the number of patients seen, up to a maximum of six patients. For seven or more patients - an amount equal to $45.50 plus $1.25 per patient</w:t>
            </w:r>
          </w:p>
        </w:tc>
        <w:tc>
          <w:tcPr>
            <w:tcW w:w="1058" w:type="dxa"/>
          </w:tcPr>
          <w:p w14:paraId="7017E70B" w14:textId="77777777" w:rsidR="00FA2344" w:rsidRPr="00A4101D" w:rsidRDefault="00FA2344" w:rsidP="00FA2344">
            <w:r w:rsidRPr="0084626F">
              <w:t>1</w:t>
            </w:r>
            <w:r w:rsidRPr="00A4101D">
              <w:t>,408</w:t>
            </w:r>
          </w:p>
        </w:tc>
        <w:tc>
          <w:tcPr>
            <w:tcW w:w="1448" w:type="dxa"/>
          </w:tcPr>
          <w:p w14:paraId="60079252" w14:textId="77777777" w:rsidR="00FA2344" w:rsidRPr="00A4101D" w:rsidRDefault="00FA2344" w:rsidP="00FA2344">
            <w:r>
              <w:t>$90,544</w:t>
            </w:r>
          </w:p>
        </w:tc>
        <w:tc>
          <w:tcPr>
            <w:tcW w:w="1011" w:type="dxa"/>
          </w:tcPr>
          <w:p w14:paraId="1D854169" w14:textId="77777777" w:rsidR="00FA2344" w:rsidRPr="00A4101D" w:rsidRDefault="00FA2344" w:rsidP="00FA2344">
            <w:r>
              <w:t>-3.1%</w:t>
            </w:r>
          </w:p>
        </w:tc>
      </w:tr>
      <w:tr w:rsidR="00FA2344" w:rsidRPr="00BC48C5" w14:paraId="5912494E" w14:textId="77777777" w:rsidTr="00FA2344">
        <w:tc>
          <w:tcPr>
            <w:tcW w:w="643" w:type="dxa"/>
          </w:tcPr>
          <w:p w14:paraId="3ED1706B" w14:textId="77777777" w:rsidR="00FA2344" w:rsidRPr="00A4101D" w:rsidRDefault="00FA2344" w:rsidP="00FA2344">
            <w:r w:rsidRPr="00BC48C5">
              <w:t>5267</w:t>
            </w:r>
          </w:p>
        </w:tc>
        <w:tc>
          <w:tcPr>
            <w:tcW w:w="3192" w:type="dxa"/>
          </w:tcPr>
          <w:p w14:paraId="03D29D47" w14:textId="77777777" w:rsidR="00FA2344" w:rsidRPr="00A4101D" w:rsidRDefault="00FA2344" w:rsidP="00FA2344">
            <w:r w:rsidRPr="009F65CD">
              <w:t>Professional attendance (other than a service to which another item applies) at a residential aged care facility (other than a professional attendance at a self-contained unit) or professional attendance at consulting rooms situated within such a complex if the patient is accommodated in the residential aged care facility (other than accommodation in a self-contained unit) of more than 45 minutes in duration by a medical practitioner (other than a general practitioner)-an attendance on one or more patients at one residential aged care facility on one occasion-each patient</w:t>
            </w:r>
          </w:p>
        </w:tc>
        <w:tc>
          <w:tcPr>
            <w:tcW w:w="950" w:type="dxa"/>
          </w:tcPr>
          <w:p w14:paraId="41E86F8E" w14:textId="77777777" w:rsidR="00FA2344" w:rsidRPr="00A4101D" w:rsidRDefault="00FA2344" w:rsidP="00FA2344">
            <w:r w:rsidRPr="009F65CD">
              <w:t>An amount equal to $67.50, plus $27.95 divided by the number of patients seen, up to a maximum of six patients. For seven or more patients - an amount equal to $67.50 plus $1.25 per patient</w:t>
            </w:r>
          </w:p>
        </w:tc>
        <w:tc>
          <w:tcPr>
            <w:tcW w:w="1058" w:type="dxa"/>
          </w:tcPr>
          <w:p w14:paraId="0D0C6E5C" w14:textId="77777777" w:rsidR="00FA2344" w:rsidRPr="00A4101D" w:rsidRDefault="00FA2344" w:rsidP="00FA2344">
            <w:r w:rsidRPr="0084626F">
              <w:t>582</w:t>
            </w:r>
          </w:p>
        </w:tc>
        <w:tc>
          <w:tcPr>
            <w:tcW w:w="1448" w:type="dxa"/>
          </w:tcPr>
          <w:p w14:paraId="30F275BF" w14:textId="77777777" w:rsidR="00FA2344" w:rsidRPr="00A4101D" w:rsidRDefault="00FA2344" w:rsidP="00FA2344">
            <w:r>
              <w:t>$</w:t>
            </w:r>
            <w:r w:rsidRPr="00A4101D">
              <w:t>49,645</w:t>
            </w:r>
          </w:p>
        </w:tc>
        <w:tc>
          <w:tcPr>
            <w:tcW w:w="1011" w:type="dxa"/>
          </w:tcPr>
          <w:p w14:paraId="609BEE4F" w14:textId="77777777" w:rsidR="00FA2344" w:rsidRPr="00A4101D" w:rsidRDefault="00FA2344" w:rsidP="00FA2344">
            <w:r>
              <w:t>35.6%</w:t>
            </w:r>
          </w:p>
        </w:tc>
      </w:tr>
    </w:tbl>
    <w:p w14:paraId="2D9311CD" w14:textId="77777777" w:rsidR="00FA2344" w:rsidRDefault="00FA2344" w:rsidP="00FA2344">
      <w:pPr>
        <w:pStyle w:val="Bullet-green"/>
        <w:numPr>
          <w:ilvl w:val="0"/>
          <w:numId w:val="0"/>
        </w:numPr>
        <w:ind w:left="431"/>
      </w:pPr>
    </w:p>
    <w:p w14:paraId="04F7D333" w14:textId="77777777" w:rsidR="00FA2344" w:rsidRPr="00876D46" w:rsidRDefault="00FA2344" w:rsidP="002E40FE"/>
    <w:p w14:paraId="0156FB74" w14:textId="29962EA8" w:rsidR="00002222" w:rsidRPr="0086743C" w:rsidRDefault="00002222" w:rsidP="0086743C">
      <w:pPr>
        <w:pStyle w:val="AppendixStyle1"/>
      </w:pPr>
      <w:bookmarkStart w:id="362" w:name="_Toc15644908"/>
      <w:r w:rsidRPr="0086743C">
        <w:t xml:space="preserve">Summary </w:t>
      </w:r>
      <w:r w:rsidR="005631FB" w:rsidRPr="0086743C">
        <w:t>for consumers</w:t>
      </w:r>
      <w:bookmarkEnd w:id="362"/>
    </w:p>
    <w:p w14:paraId="736B6B45" w14:textId="77777777" w:rsidR="008565D3" w:rsidRDefault="008565D3" w:rsidP="008565D3">
      <w:r>
        <w:t>This table describes the medical service, the recommendation(s) of the clinical experts and why the recommendation(s) has been made.</w:t>
      </w:r>
    </w:p>
    <w:p w14:paraId="7AFF3584" w14:textId="77777777" w:rsidR="008565D3" w:rsidRPr="000A70EB" w:rsidRDefault="008565D3" w:rsidP="008565D3">
      <w:pPr>
        <w:pStyle w:val="Tableheading-black"/>
        <w:rPr>
          <w:sz w:val="22"/>
        </w:rPr>
      </w:pPr>
      <w:r w:rsidRPr="000A70EB">
        <w:rPr>
          <w:sz w:val="22"/>
        </w:rPr>
        <w:t>GENERAL PRACTITIONER STEWARDSHIP AND TEAM BASED CARE</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Summary for consumers Recommendation 1-3 "/>
        <w:tblDescription w:val="Appendix A Table. Summary for consumers Recommendation 1-3  consists of 5 Columns.  Column 1. Item Column 2. What it does Column 3. Committee recommendation Column 4. What would be different and Column 5 Why."/>
      </w:tblPr>
      <w:tblGrid>
        <w:gridCol w:w="1701"/>
        <w:gridCol w:w="2268"/>
        <w:gridCol w:w="2552"/>
        <w:gridCol w:w="3260"/>
        <w:gridCol w:w="3463"/>
      </w:tblGrid>
      <w:tr w:rsidR="008565D3" w:rsidRPr="005C3532" w14:paraId="38E7FDB7" w14:textId="77777777" w:rsidTr="008565D3">
        <w:trPr>
          <w:cantSplit/>
          <w:tblHeader/>
        </w:trPr>
        <w:tc>
          <w:tcPr>
            <w:tcW w:w="1701" w:type="dxa"/>
            <w:tcBorders>
              <w:top w:val="single" w:sz="4" w:space="0" w:color="B66113"/>
              <w:bottom w:val="single" w:sz="4" w:space="0" w:color="B66113"/>
            </w:tcBorders>
            <w:shd w:val="clear" w:color="auto" w:fill="B66113"/>
          </w:tcPr>
          <w:p w14:paraId="2BB5081C" w14:textId="77777777" w:rsidR="008565D3" w:rsidRPr="005C3532" w:rsidRDefault="008565D3" w:rsidP="008565D3">
            <w:pPr>
              <w:pStyle w:val="Tabletext"/>
            </w:pPr>
            <w:r w:rsidRPr="00DA1381">
              <w:t>Item</w:t>
            </w:r>
          </w:p>
        </w:tc>
        <w:tc>
          <w:tcPr>
            <w:tcW w:w="2268" w:type="dxa"/>
            <w:tcBorders>
              <w:top w:val="single" w:sz="4" w:space="0" w:color="B66113"/>
              <w:bottom w:val="single" w:sz="4" w:space="0" w:color="B66113"/>
            </w:tcBorders>
            <w:shd w:val="clear" w:color="auto" w:fill="B66113"/>
          </w:tcPr>
          <w:p w14:paraId="5B04D716" w14:textId="77777777" w:rsidR="008565D3" w:rsidRPr="005C3532" w:rsidRDefault="008565D3" w:rsidP="008565D3">
            <w:pPr>
              <w:pStyle w:val="Tabletext"/>
            </w:pPr>
            <w:r w:rsidRPr="00DA1381">
              <w:t xml:space="preserve">What </w:t>
            </w:r>
            <w:r>
              <w:t>the item</w:t>
            </w:r>
            <w:r w:rsidRPr="00DA1381">
              <w:t xml:space="preserve"> does</w:t>
            </w:r>
          </w:p>
        </w:tc>
        <w:tc>
          <w:tcPr>
            <w:tcW w:w="2552" w:type="dxa"/>
            <w:tcBorders>
              <w:top w:val="single" w:sz="4" w:space="0" w:color="B66113"/>
              <w:bottom w:val="single" w:sz="4" w:space="0" w:color="B66113"/>
            </w:tcBorders>
            <w:shd w:val="clear" w:color="auto" w:fill="B66113"/>
          </w:tcPr>
          <w:p w14:paraId="63BC5AAE" w14:textId="77777777" w:rsidR="008565D3" w:rsidRPr="005C3532" w:rsidRDefault="008565D3" w:rsidP="008565D3">
            <w:pPr>
              <w:pStyle w:val="Tabletext"/>
            </w:pPr>
            <w:r w:rsidRPr="00DA1381">
              <w:t>Committee recommendation</w:t>
            </w:r>
          </w:p>
        </w:tc>
        <w:tc>
          <w:tcPr>
            <w:tcW w:w="3260" w:type="dxa"/>
            <w:tcBorders>
              <w:top w:val="single" w:sz="4" w:space="0" w:color="B66113"/>
              <w:bottom w:val="single" w:sz="4" w:space="0" w:color="B66113"/>
            </w:tcBorders>
            <w:shd w:val="clear" w:color="auto" w:fill="B66113"/>
          </w:tcPr>
          <w:p w14:paraId="4BEFB06F" w14:textId="77777777" w:rsidR="008565D3" w:rsidRPr="005C3532" w:rsidRDefault="008565D3" w:rsidP="008565D3">
            <w:pPr>
              <w:pStyle w:val="Tabletext"/>
            </w:pPr>
            <w:r w:rsidRPr="00DA1381">
              <w:t>What would be different</w:t>
            </w:r>
          </w:p>
        </w:tc>
        <w:tc>
          <w:tcPr>
            <w:tcW w:w="3463" w:type="dxa"/>
            <w:tcBorders>
              <w:top w:val="single" w:sz="4" w:space="0" w:color="B66113"/>
              <w:bottom w:val="single" w:sz="4" w:space="0" w:color="B66113"/>
            </w:tcBorders>
            <w:shd w:val="clear" w:color="auto" w:fill="B66113"/>
          </w:tcPr>
          <w:p w14:paraId="45506964" w14:textId="77777777" w:rsidR="008565D3" w:rsidRPr="005C3532" w:rsidRDefault="008565D3" w:rsidP="008565D3">
            <w:pPr>
              <w:pStyle w:val="Tabletext"/>
            </w:pPr>
            <w:r w:rsidRPr="00DA1381">
              <w:t>Why</w:t>
            </w:r>
          </w:p>
        </w:tc>
      </w:tr>
      <w:tr w:rsidR="008565D3" w:rsidRPr="005C3532" w14:paraId="27826256" w14:textId="77777777" w:rsidTr="008565D3">
        <w:trPr>
          <w:cantSplit/>
        </w:trPr>
        <w:tc>
          <w:tcPr>
            <w:tcW w:w="13244" w:type="dxa"/>
            <w:gridSpan w:val="5"/>
            <w:tcBorders>
              <w:top w:val="single" w:sz="4" w:space="0" w:color="B66113"/>
              <w:bottom w:val="single" w:sz="4" w:space="0" w:color="B66113"/>
            </w:tcBorders>
          </w:tcPr>
          <w:p w14:paraId="36FD2DE6" w14:textId="77777777" w:rsidR="008565D3" w:rsidRPr="00961351" w:rsidRDefault="008565D3" w:rsidP="008565D3">
            <w:pPr>
              <w:pStyle w:val="Tabletext"/>
              <w:rPr>
                <w:b/>
              </w:rPr>
            </w:pPr>
            <w:r w:rsidRPr="00961351">
              <w:rPr>
                <w:b/>
              </w:rPr>
              <w:t>Recommendation 1</w:t>
            </w:r>
          </w:p>
          <w:p w14:paraId="29D690EB" w14:textId="77777777" w:rsidR="008565D3" w:rsidRDefault="008565D3" w:rsidP="008565D3">
            <w:pPr>
              <w:pStyle w:val="Tabletext"/>
            </w:pPr>
            <w:r>
              <w:t>Move to a person-centred primary care model supporting general practitioner (GP) stewardship and team based care</w:t>
            </w:r>
          </w:p>
        </w:tc>
      </w:tr>
      <w:tr w:rsidR="008565D3" w:rsidRPr="005C3532" w14:paraId="35CFA8D6" w14:textId="77777777" w:rsidTr="008565D3">
        <w:trPr>
          <w:cantSplit/>
        </w:trPr>
        <w:tc>
          <w:tcPr>
            <w:tcW w:w="1701" w:type="dxa"/>
            <w:tcBorders>
              <w:top w:val="single" w:sz="4" w:space="0" w:color="B66113"/>
              <w:bottom w:val="single" w:sz="4" w:space="0" w:color="B66113"/>
            </w:tcBorders>
          </w:tcPr>
          <w:p w14:paraId="50034459" w14:textId="77777777" w:rsidR="008565D3" w:rsidRPr="005C3532" w:rsidRDefault="008565D3" w:rsidP="008565D3">
            <w:pPr>
              <w:pStyle w:val="Tabletext"/>
            </w:pPr>
            <w:r>
              <w:rPr>
                <w:b/>
              </w:rPr>
              <w:t>-</w:t>
            </w:r>
          </w:p>
        </w:tc>
        <w:tc>
          <w:tcPr>
            <w:tcW w:w="2268" w:type="dxa"/>
            <w:tcBorders>
              <w:top w:val="single" w:sz="4" w:space="0" w:color="B66113"/>
              <w:bottom w:val="single" w:sz="4" w:space="0" w:color="B66113"/>
            </w:tcBorders>
          </w:tcPr>
          <w:p w14:paraId="2861F2A2" w14:textId="77777777" w:rsidR="008565D3" w:rsidRPr="005C3532" w:rsidRDefault="008565D3" w:rsidP="008565D3">
            <w:pPr>
              <w:pStyle w:val="Tabletext"/>
            </w:pPr>
            <w:r>
              <w:t>Puts people and their families at the cen</w:t>
            </w:r>
            <w:r w:rsidRPr="005C3532">
              <w:t>tre of decisions, working with health professionals to get the best outcomes</w:t>
            </w:r>
            <w:r>
              <w:t>.</w:t>
            </w:r>
          </w:p>
        </w:tc>
        <w:tc>
          <w:tcPr>
            <w:tcW w:w="2552" w:type="dxa"/>
            <w:tcBorders>
              <w:top w:val="single" w:sz="4" w:space="0" w:color="B66113"/>
              <w:bottom w:val="single" w:sz="4" w:space="0" w:color="B66113"/>
            </w:tcBorders>
          </w:tcPr>
          <w:p w14:paraId="50A604B2" w14:textId="77777777" w:rsidR="008565D3" w:rsidRPr="002D5F72" w:rsidRDefault="008565D3" w:rsidP="008565D3">
            <w:pPr>
              <w:pStyle w:val="Tabletext"/>
            </w:pPr>
            <w:r>
              <w:t xml:space="preserve">New model of primary care funding to support </w:t>
            </w:r>
            <w:r w:rsidRPr="005C3532">
              <w:t>high-quality, p</w:t>
            </w:r>
            <w:r>
              <w:t>erson</w:t>
            </w:r>
            <w:r w:rsidRPr="005C3532">
              <w:t xml:space="preserve">-centred care that is organised around the patient’s </w:t>
            </w:r>
            <w:r>
              <w:t>general practitioner</w:t>
            </w:r>
            <w:r w:rsidRPr="005C3532">
              <w:t xml:space="preserve"> as the steward of care</w:t>
            </w:r>
            <w:r>
              <w:t>, supported by multidisciplinary team based arrangements</w:t>
            </w:r>
            <w:r w:rsidRPr="005C3532">
              <w:t>.</w:t>
            </w:r>
            <w:r>
              <w:t xml:space="preserve"> </w:t>
            </w:r>
          </w:p>
        </w:tc>
        <w:tc>
          <w:tcPr>
            <w:tcW w:w="3260" w:type="dxa"/>
            <w:tcBorders>
              <w:top w:val="single" w:sz="4" w:space="0" w:color="B66113"/>
              <w:bottom w:val="single" w:sz="4" w:space="0" w:color="B66113"/>
            </w:tcBorders>
          </w:tcPr>
          <w:p w14:paraId="0C0F0452" w14:textId="77777777" w:rsidR="008565D3" w:rsidRPr="005C3532" w:rsidRDefault="008565D3" w:rsidP="008565D3">
            <w:pPr>
              <w:pStyle w:val="Tabletext"/>
            </w:pPr>
            <w:r>
              <w:t xml:space="preserve">A stronger focus on effective, consumer focused interaction with the health system.  This would strengthen consumer decision making, empowerment and self-management, provide better access to multidisciplinary team-based care, systems and processes to support continuous quality improvement, and new funding avenues through flexible, blended payments.  </w:t>
            </w:r>
          </w:p>
        </w:tc>
        <w:tc>
          <w:tcPr>
            <w:tcW w:w="3463" w:type="dxa"/>
            <w:tcBorders>
              <w:top w:val="single" w:sz="4" w:space="0" w:color="B66113"/>
              <w:bottom w:val="single" w:sz="4" w:space="0" w:color="B66113"/>
            </w:tcBorders>
          </w:tcPr>
          <w:p w14:paraId="37258798" w14:textId="77777777" w:rsidR="008565D3" w:rsidRPr="005C3532" w:rsidRDefault="008565D3" w:rsidP="008565D3">
            <w:pPr>
              <w:pStyle w:val="Tabletext"/>
            </w:pPr>
            <w:r>
              <w:t>This system aims to introduce greater flexibility to enable GPs to organise care that reflects patients’ needs, values and preferences.</w:t>
            </w:r>
          </w:p>
        </w:tc>
      </w:tr>
    </w:tbl>
    <w:p w14:paraId="7A8CF2AE" w14:textId="77777777" w:rsidR="008565D3" w:rsidRDefault="008565D3" w:rsidP="008565D3">
      <w:pPr>
        <w:spacing w:before="0" w:after="0" w:line="240" w:lineRule="auto"/>
        <w:rPr>
          <w:rFonts w:eastAsiaTheme="minorHAnsi" w:cs="Arial"/>
          <w:b/>
          <w:color w:val="000000" w:themeColor="text1"/>
          <w:sz w:val="20"/>
          <w:szCs w:val="22"/>
          <w:lang w:eastAsia="en-US"/>
        </w:rPr>
      </w:pPr>
      <w:r>
        <w:br w:type="page"/>
      </w:r>
    </w:p>
    <w:p w14:paraId="0C46EE5B" w14:textId="77777777" w:rsidR="008565D3" w:rsidRDefault="008565D3" w:rsidP="008565D3">
      <w:pPr>
        <w:pStyle w:val="TableCaption"/>
      </w:pPr>
      <w:r>
        <w:t>VOLUNTARY PATIENT ENROLMENT -</w:t>
      </w:r>
      <w:r w:rsidRPr="00D2588C">
        <w:t xml:space="preserve"> </w:t>
      </w:r>
      <w:r>
        <w:t>ENHANCING P</w:t>
      </w:r>
      <w:r w:rsidRPr="00D2588C">
        <w:t xml:space="preserve">ATIENT </w:t>
      </w:r>
      <w:r>
        <w:t>A</w:t>
      </w:r>
      <w:r w:rsidRPr="00D2588C">
        <w:t>CCESS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Summary for consumers Recommendation 1-3 "/>
        <w:tblDescription w:val="Appendix A Table. Summary for consumers Recommendation 1-3  consists of 5 Columns.  Column 1. Item Column 2. What it does Column 3. Committee recommendation Column 4. What would be different and Column 5 Why."/>
      </w:tblPr>
      <w:tblGrid>
        <w:gridCol w:w="1701"/>
        <w:gridCol w:w="2268"/>
        <w:gridCol w:w="2552"/>
        <w:gridCol w:w="3260"/>
        <w:gridCol w:w="3463"/>
      </w:tblGrid>
      <w:tr w:rsidR="008565D3" w:rsidRPr="005C3532" w14:paraId="0881F842" w14:textId="77777777" w:rsidTr="008565D3">
        <w:trPr>
          <w:cantSplit/>
          <w:tblHeader/>
        </w:trPr>
        <w:tc>
          <w:tcPr>
            <w:tcW w:w="1701" w:type="dxa"/>
            <w:tcBorders>
              <w:top w:val="single" w:sz="4" w:space="0" w:color="B66113"/>
              <w:bottom w:val="single" w:sz="4" w:space="0" w:color="B66113"/>
            </w:tcBorders>
            <w:shd w:val="clear" w:color="auto" w:fill="B66113"/>
          </w:tcPr>
          <w:p w14:paraId="1832D754" w14:textId="77777777" w:rsidR="008565D3" w:rsidRPr="005C3532" w:rsidRDefault="008565D3" w:rsidP="008565D3">
            <w:pPr>
              <w:pStyle w:val="Tabletext"/>
            </w:pPr>
            <w:r w:rsidRPr="00DA1381">
              <w:t>Item</w:t>
            </w:r>
          </w:p>
        </w:tc>
        <w:tc>
          <w:tcPr>
            <w:tcW w:w="2268" w:type="dxa"/>
            <w:tcBorders>
              <w:top w:val="single" w:sz="4" w:space="0" w:color="B66113"/>
              <w:bottom w:val="single" w:sz="4" w:space="0" w:color="B66113"/>
            </w:tcBorders>
            <w:shd w:val="clear" w:color="auto" w:fill="B66113"/>
          </w:tcPr>
          <w:p w14:paraId="717B62D1" w14:textId="77777777" w:rsidR="008565D3" w:rsidRPr="005C3532" w:rsidRDefault="008565D3" w:rsidP="008565D3">
            <w:pPr>
              <w:pStyle w:val="Tabletext"/>
            </w:pPr>
            <w:r w:rsidRPr="00DA1381">
              <w:t xml:space="preserve">What </w:t>
            </w:r>
            <w:r>
              <w:t>the item</w:t>
            </w:r>
            <w:r w:rsidRPr="00DA1381">
              <w:t xml:space="preserve"> does</w:t>
            </w:r>
          </w:p>
        </w:tc>
        <w:tc>
          <w:tcPr>
            <w:tcW w:w="2552" w:type="dxa"/>
            <w:tcBorders>
              <w:top w:val="single" w:sz="4" w:space="0" w:color="B66113"/>
              <w:bottom w:val="single" w:sz="4" w:space="0" w:color="B66113"/>
            </w:tcBorders>
            <w:shd w:val="clear" w:color="auto" w:fill="B66113"/>
          </w:tcPr>
          <w:p w14:paraId="258AD9B3" w14:textId="77777777" w:rsidR="008565D3" w:rsidRPr="005C3532" w:rsidRDefault="008565D3" w:rsidP="008565D3">
            <w:pPr>
              <w:pStyle w:val="Tabletext"/>
            </w:pPr>
            <w:r w:rsidRPr="00DA1381">
              <w:t>Committee recommendation</w:t>
            </w:r>
          </w:p>
        </w:tc>
        <w:tc>
          <w:tcPr>
            <w:tcW w:w="3260" w:type="dxa"/>
            <w:tcBorders>
              <w:top w:val="single" w:sz="4" w:space="0" w:color="B66113"/>
              <w:bottom w:val="single" w:sz="4" w:space="0" w:color="B66113"/>
            </w:tcBorders>
            <w:shd w:val="clear" w:color="auto" w:fill="B66113"/>
          </w:tcPr>
          <w:p w14:paraId="5ACE5F8C" w14:textId="77777777" w:rsidR="008565D3" w:rsidRPr="005C3532" w:rsidRDefault="008565D3" w:rsidP="008565D3">
            <w:pPr>
              <w:pStyle w:val="Tabletext"/>
            </w:pPr>
            <w:r w:rsidRPr="00DA1381">
              <w:t>What would be different</w:t>
            </w:r>
          </w:p>
        </w:tc>
        <w:tc>
          <w:tcPr>
            <w:tcW w:w="3463" w:type="dxa"/>
            <w:tcBorders>
              <w:top w:val="single" w:sz="4" w:space="0" w:color="B66113"/>
              <w:bottom w:val="single" w:sz="4" w:space="0" w:color="B66113"/>
            </w:tcBorders>
            <w:shd w:val="clear" w:color="auto" w:fill="B66113"/>
          </w:tcPr>
          <w:p w14:paraId="3A346E8D" w14:textId="77777777" w:rsidR="008565D3" w:rsidRPr="005C3532" w:rsidRDefault="008565D3" w:rsidP="008565D3">
            <w:pPr>
              <w:pStyle w:val="Tabletext"/>
            </w:pPr>
            <w:r w:rsidRPr="00DA1381">
              <w:t>Why</w:t>
            </w:r>
          </w:p>
        </w:tc>
      </w:tr>
      <w:tr w:rsidR="008565D3" w:rsidRPr="005C3532" w14:paraId="31D98474" w14:textId="77777777" w:rsidTr="008565D3">
        <w:trPr>
          <w:cantSplit/>
        </w:trPr>
        <w:tc>
          <w:tcPr>
            <w:tcW w:w="13244" w:type="dxa"/>
            <w:gridSpan w:val="5"/>
            <w:tcBorders>
              <w:top w:val="single" w:sz="4" w:space="0" w:color="B66113"/>
              <w:bottom w:val="single" w:sz="4" w:space="0" w:color="B66113"/>
            </w:tcBorders>
          </w:tcPr>
          <w:p w14:paraId="7D1DB811" w14:textId="77777777" w:rsidR="008565D3" w:rsidRPr="00D2588C" w:rsidRDefault="008565D3" w:rsidP="008565D3">
            <w:pPr>
              <w:pStyle w:val="Tabletext"/>
              <w:rPr>
                <w:b/>
              </w:rPr>
            </w:pPr>
            <w:r w:rsidRPr="00D2588C">
              <w:rPr>
                <w:b/>
              </w:rPr>
              <w:t>Recommendation 2</w:t>
            </w:r>
          </w:p>
          <w:p w14:paraId="782B57F0" w14:textId="77777777" w:rsidR="008565D3" w:rsidRDefault="008565D3" w:rsidP="008565D3">
            <w:pPr>
              <w:pStyle w:val="Tabletext"/>
            </w:pPr>
            <w:r w:rsidRPr="00276992">
              <w:t>Introduce a new fee for practices to enrol a patient.</w:t>
            </w:r>
          </w:p>
        </w:tc>
      </w:tr>
      <w:tr w:rsidR="008565D3" w:rsidRPr="005C3532" w14:paraId="3BA7BDD2" w14:textId="77777777" w:rsidTr="008565D3">
        <w:trPr>
          <w:cantSplit/>
        </w:trPr>
        <w:tc>
          <w:tcPr>
            <w:tcW w:w="1701" w:type="dxa"/>
            <w:tcBorders>
              <w:top w:val="single" w:sz="4" w:space="0" w:color="B66113"/>
              <w:bottom w:val="single" w:sz="4" w:space="0" w:color="B66113"/>
            </w:tcBorders>
          </w:tcPr>
          <w:p w14:paraId="00BB3022" w14:textId="77777777" w:rsidR="008565D3" w:rsidRPr="000A70EB" w:rsidDel="00C03C1F" w:rsidRDefault="008565D3" w:rsidP="008565D3">
            <w:pPr>
              <w:pStyle w:val="Tabletext"/>
            </w:pPr>
            <w:r w:rsidRPr="00D0417C">
              <w:t>-</w:t>
            </w:r>
          </w:p>
        </w:tc>
        <w:tc>
          <w:tcPr>
            <w:tcW w:w="2268" w:type="dxa"/>
            <w:tcBorders>
              <w:top w:val="single" w:sz="4" w:space="0" w:color="B66113"/>
              <w:bottom w:val="single" w:sz="4" w:space="0" w:color="B66113"/>
            </w:tcBorders>
          </w:tcPr>
          <w:p w14:paraId="28324199" w14:textId="77777777" w:rsidR="008565D3" w:rsidRDefault="008565D3" w:rsidP="008565D3">
            <w:pPr>
              <w:pStyle w:val="Tabletext"/>
            </w:pPr>
            <w:r>
              <w:t>Enables e</w:t>
            </w:r>
            <w:r w:rsidRPr="00217EB9">
              <w:t>nrolment of a patient with a practice and nominat</w:t>
            </w:r>
            <w:r>
              <w:t>ion of</w:t>
            </w:r>
            <w:r w:rsidRPr="00217EB9">
              <w:t xml:space="preserve"> a particular GP within that practice</w:t>
            </w:r>
            <w:r>
              <w:t>.</w:t>
            </w:r>
          </w:p>
        </w:tc>
        <w:tc>
          <w:tcPr>
            <w:tcW w:w="2552" w:type="dxa"/>
            <w:tcBorders>
              <w:top w:val="single" w:sz="4" w:space="0" w:color="B66113"/>
              <w:bottom w:val="single" w:sz="4" w:space="0" w:color="B66113"/>
            </w:tcBorders>
          </w:tcPr>
          <w:p w14:paraId="2B0B5BBB" w14:textId="77777777" w:rsidR="008565D3" w:rsidRDefault="008565D3" w:rsidP="008565D3">
            <w:pPr>
              <w:pStyle w:val="Tabletext"/>
            </w:pPr>
            <w:r>
              <w:t>Introduce a n</w:t>
            </w:r>
            <w:r w:rsidRPr="00217EB9">
              <w:t xml:space="preserve">ew </w:t>
            </w:r>
            <w:r>
              <w:t xml:space="preserve">reimbursement </w:t>
            </w:r>
            <w:r w:rsidRPr="00217EB9">
              <w:t>fee for practices and GPs to enrol a patient.</w:t>
            </w:r>
            <w:r w:rsidRPr="00F96842">
              <w:t xml:space="preserve"> This fee would be weighted according to characteristics such as rurality, and indigeneity</w:t>
            </w:r>
            <w:r>
              <w:t xml:space="preserve">. It would enable access to additional services available through a </w:t>
            </w:r>
            <w:r w:rsidRPr="00F96842">
              <w:t xml:space="preserve">“usual GP” </w:t>
            </w:r>
            <w:r>
              <w:t>to</w:t>
            </w:r>
            <w:r w:rsidRPr="00F96842">
              <w:t xml:space="preserve"> support continuity over a cycle of care.</w:t>
            </w:r>
          </w:p>
        </w:tc>
        <w:tc>
          <w:tcPr>
            <w:tcW w:w="3260" w:type="dxa"/>
            <w:tcBorders>
              <w:top w:val="single" w:sz="4" w:space="0" w:color="B66113"/>
              <w:bottom w:val="single" w:sz="4" w:space="0" w:color="B66113"/>
            </w:tcBorders>
          </w:tcPr>
          <w:p w14:paraId="6DCAEF68" w14:textId="77777777" w:rsidR="008565D3" w:rsidRPr="00F96842" w:rsidRDefault="008565D3" w:rsidP="008565D3">
            <w:pPr>
              <w:pStyle w:val="Tabletext"/>
            </w:pPr>
            <w:r>
              <w:t>Patients would gain access to fl</w:t>
            </w:r>
            <w:r w:rsidRPr="00F96842">
              <w:t>exible communications channels, including test results</w:t>
            </w:r>
            <w:r>
              <w:t>,</w:t>
            </w:r>
            <w:r w:rsidRPr="00F96842">
              <w:t xml:space="preserve"> repeat prescriptions or referrals.  This would particularly benefit rural and other communities where face-to-face access is difficult.</w:t>
            </w:r>
            <w:r w:rsidRPr="00F96842">
              <w:br/>
            </w:r>
            <w:r w:rsidRPr="00F96842">
              <w:br/>
              <w:t>GPs and practices would have access to resources to improve care i.e. to aid doctor-patient communications, undertake local needs assessments, and the design and delivery of services to fit the patient profile of the practice.</w:t>
            </w:r>
            <w:r w:rsidRPr="00F96842">
              <w:br/>
            </w:r>
            <w:r w:rsidRPr="00F96842">
              <w:br/>
              <w:t>Informed patient consent would be included in the enrolment process.</w:t>
            </w:r>
          </w:p>
          <w:p w14:paraId="1D4F6281" w14:textId="77777777" w:rsidR="008565D3" w:rsidRDefault="008565D3" w:rsidP="008565D3">
            <w:pPr>
              <w:pStyle w:val="Tabletext"/>
            </w:pPr>
          </w:p>
        </w:tc>
        <w:tc>
          <w:tcPr>
            <w:tcW w:w="3463" w:type="dxa"/>
            <w:tcBorders>
              <w:top w:val="single" w:sz="4" w:space="0" w:color="B66113"/>
              <w:bottom w:val="single" w:sz="4" w:space="0" w:color="B66113"/>
            </w:tcBorders>
          </w:tcPr>
          <w:p w14:paraId="0982B885" w14:textId="77777777" w:rsidR="008565D3" w:rsidRPr="00F96842" w:rsidRDefault="008565D3" w:rsidP="008565D3">
            <w:pPr>
              <w:pStyle w:val="Tabletext"/>
            </w:pPr>
            <w:r>
              <w:t>Primary care services evolving due to changes in the community</w:t>
            </w:r>
            <w:r w:rsidRPr="00F96842">
              <w:t xml:space="preserve">’s health profiles, access to information, innovation, and community expectations.  This requires primary care to adapt to deliver appropriate levels of care, and in particular to address growing chronic disease.  </w:t>
            </w:r>
          </w:p>
          <w:p w14:paraId="76ED8EFE" w14:textId="77777777" w:rsidR="008565D3" w:rsidRPr="00F96842" w:rsidRDefault="008565D3" w:rsidP="008565D3">
            <w:pPr>
              <w:pStyle w:val="Tabletext"/>
            </w:pPr>
            <w:r>
              <w:t>There is strong community support for flexible</w:t>
            </w:r>
            <w:r w:rsidRPr="00F96842">
              <w:t>, non-face-to-face communications with their GP for things like repeat prescriptions.</w:t>
            </w:r>
          </w:p>
          <w:p w14:paraId="1293ADD2" w14:textId="77777777" w:rsidR="008565D3" w:rsidRPr="00F96842" w:rsidRDefault="008565D3" w:rsidP="008565D3">
            <w:pPr>
              <w:pStyle w:val="Tabletext"/>
            </w:pPr>
            <w:r>
              <w:t>Person-</w:t>
            </w:r>
            <w:r w:rsidRPr="00F96842">
              <w:t>centred care requires the targeting of care to fit patient needs, preferences and values.</w:t>
            </w:r>
          </w:p>
          <w:p w14:paraId="46801B65" w14:textId="77777777" w:rsidR="008565D3" w:rsidRDefault="008565D3" w:rsidP="008565D3">
            <w:pPr>
              <w:pStyle w:val="Tabletext"/>
            </w:pPr>
            <w:r>
              <w:t xml:space="preserve">Voluntary Patient Enrolment provides a means of attracting additional resources to build the systems that will be required to ensure the delivery of high </w:t>
            </w:r>
            <w:r w:rsidRPr="00F96842">
              <w:t>quality care in the future</w:t>
            </w:r>
            <w:r>
              <w:t>.</w:t>
            </w:r>
          </w:p>
        </w:tc>
      </w:tr>
      <w:tr w:rsidR="008565D3" w:rsidRPr="005C3532" w14:paraId="6A4E3AC8" w14:textId="77777777" w:rsidTr="008565D3">
        <w:trPr>
          <w:cantSplit/>
        </w:trPr>
        <w:tc>
          <w:tcPr>
            <w:tcW w:w="1701" w:type="dxa"/>
            <w:tcBorders>
              <w:top w:val="single" w:sz="4" w:space="0" w:color="B66113"/>
              <w:bottom w:val="single" w:sz="4" w:space="0" w:color="B66113"/>
            </w:tcBorders>
          </w:tcPr>
          <w:p w14:paraId="2D29E9BF" w14:textId="77777777" w:rsidR="008565D3" w:rsidRPr="00F96842" w:rsidRDefault="008565D3" w:rsidP="008565D3">
            <w:pPr>
              <w:pStyle w:val="Tabletext"/>
            </w:pPr>
          </w:p>
        </w:tc>
        <w:tc>
          <w:tcPr>
            <w:tcW w:w="2268" w:type="dxa"/>
            <w:tcBorders>
              <w:top w:val="single" w:sz="4" w:space="0" w:color="B66113"/>
              <w:bottom w:val="single" w:sz="4" w:space="0" w:color="B66113"/>
            </w:tcBorders>
          </w:tcPr>
          <w:p w14:paraId="3BF910AA" w14:textId="77777777" w:rsidR="008565D3" w:rsidRPr="00F96842" w:rsidRDefault="008565D3" w:rsidP="008565D3">
            <w:pPr>
              <w:pStyle w:val="Tabletext"/>
            </w:pPr>
          </w:p>
        </w:tc>
        <w:tc>
          <w:tcPr>
            <w:tcW w:w="2552" w:type="dxa"/>
            <w:tcBorders>
              <w:top w:val="single" w:sz="4" w:space="0" w:color="B66113"/>
              <w:bottom w:val="single" w:sz="4" w:space="0" w:color="B66113"/>
            </w:tcBorders>
          </w:tcPr>
          <w:p w14:paraId="5D012026" w14:textId="77777777" w:rsidR="008565D3" w:rsidRPr="00F96842" w:rsidRDefault="008565D3" w:rsidP="008565D3">
            <w:pPr>
              <w:pStyle w:val="Tabletext"/>
            </w:pPr>
          </w:p>
        </w:tc>
        <w:tc>
          <w:tcPr>
            <w:tcW w:w="3260" w:type="dxa"/>
            <w:tcBorders>
              <w:top w:val="single" w:sz="4" w:space="0" w:color="B66113"/>
              <w:bottom w:val="single" w:sz="4" w:space="0" w:color="B66113"/>
            </w:tcBorders>
          </w:tcPr>
          <w:p w14:paraId="0F3B3C35" w14:textId="77777777" w:rsidR="008565D3" w:rsidRPr="00217EB9" w:rsidRDefault="008565D3" w:rsidP="008565D3">
            <w:pPr>
              <w:pStyle w:val="Tabletext"/>
            </w:pPr>
          </w:p>
        </w:tc>
        <w:tc>
          <w:tcPr>
            <w:tcW w:w="3463" w:type="dxa"/>
            <w:tcBorders>
              <w:top w:val="single" w:sz="4" w:space="0" w:color="B66113"/>
              <w:bottom w:val="single" w:sz="4" w:space="0" w:color="B66113"/>
            </w:tcBorders>
          </w:tcPr>
          <w:p w14:paraId="6E816E08" w14:textId="77777777" w:rsidR="008565D3" w:rsidRPr="00F96842" w:rsidRDefault="008565D3" w:rsidP="008565D3">
            <w:pPr>
              <w:pStyle w:val="Tabletext"/>
            </w:pPr>
            <w:r w:rsidRPr="00217EB9">
              <w:t xml:space="preserve">Having a usual GP is beneficial for </w:t>
            </w:r>
            <w:r w:rsidRPr="00F96842">
              <w:t>ongoing patient outcomes, patient experience and supports value for the system by reducing costs associated with fragmented care, and uncompleted and unr</w:t>
            </w:r>
            <w:r>
              <w:t>eviewed team care arrangements.</w:t>
            </w:r>
          </w:p>
          <w:p w14:paraId="76670C42" w14:textId="77777777" w:rsidR="008565D3" w:rsidRPr="00F96842" w:rsidRDefault="008565D3" w:rsidP="008565D3">
            <w:pPr>
              <w:pStyle w:val="Tabletext"/>
            </w:pPr>
            <w:r>
              <w:t>Practices would be sup</w:t>
            </w:r>
            <w:r w:rsidRPr="00F96842">
              <w:t xml:space="preserve">ported to develop services to address prevalent local health issues, and to offer more personalised assistance to patients with chronic conditions. </w:t>
            </w:r>
          </w:p>
        </w:tc>
      </w:tr>
    </w:tbl>
    <w:p w14:paraId="2808DC39" w14:textId="77777777" w:rsidR="008565D3" w:rsidRDefault="008565D3">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99"/>
        <w:gridCol w:w="3260"/>
        <w:gridCol w:w="36"/>
        <w:gridCol w:w="3427"/>
      </w:tblGrid>
      <w:tr w:rsidR="008565D3" w:rsidRPr="00DA1381" w14:paraId="058EC876" w14:textId="77777777" w:rsidTr="008565D3">
        <w:trPr>
          <w:cantSplit/>
          <w:tblHeader/>
        </w:trPr>
        <w:tc>
          <w:tcPr>
            <w:tcW w:w="1701" w:type="dxa"/>
            <w:tcBorders>
              <w:top w:val="single" w:sz="4" w:space="0" w:color="B66113"/>
              <w:bottom w:val="single" w:sz="4" w:space="0" w:color="B66113"/>
            </w:tcBorders>
            <w:shd w:val="clear" w:color="auto" w:fill="B66113"/>
          </w:tcPr>
          <w:p w14:paraId="2334E87A" w14:textId="77777777" w:rsidR="008565D3" w:rsidRPr="005C3532" w:rsidRDefault="008565D3" w:rsidP="008565D3">
            <w:pPr>
              <w:pStyle w:val="Tableheading-white"/>
            </w:pPr>
            <w:r w:rsidRPr="00DA1381">
              <w:t>Item</w:t>
            </w:r>
          </w:p>
        </w:tc>
        <w:tc>
          <w:tcPr>
            <w:tcW w:w="2268" w:type="dxa"/>
            <w:tcBorders>
              <w:top w:val="single" w:sz="4" w:space="0" w:color="B66113"/>
              <w:bottom w:val="single" w:sz="4" w:space="0" w:color="B66113"/>
            </w:tcBorders>
            <w:shd w:val="clear" w:color="auto" w:fill="B66113"/>
          </w:tcPr>
          <w:p w14:paraId="3FC7443F" w14:textId="77777777" w:rsidR="008565D3" w:rsidRPr="005C3532" w:rsidRDefault="008565D3" w:rsidP="008565D3">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5A91FA01" w14:textId="77777777" w:rsidR="008565D3" w:rsidRPr="005C3532" w:rsidRDefault="008565D3" w:rsidP="008565D3">
            <w:pPr>
              <w:pStyle w:val="Tableheading-white"/>
            </w:pPr>
            <w:r w:rsidRPr="00DA1381">
              <w:t>Committee recommendation</w:t>
            </w:r>
          </w:p>
        </w:tc>
        <w:tc>
          <w:tcPr>
            <w:tcW w:w="3395" w:type="dxa"/>
            <w:gridSpan w:val="3"/>
            <w:tcBorders>
              <w:top w:val="single" w:sz="4" w:space="0" w:color="B66113"/>
              <w:bottom w:val="single" w:sz="4" w:space="0" w:color="B66113"/>
            </w:tcBorders>
            <w:shd w:val="clear" w:color="auto" w:fill="B66113"/>
          </w:tcPr>
          <w:p w14:paraId="2D30DF64" w14:textId="77777777" w:rsidR="008565D3" w:rsidRPr="005C3532" w:rsidRDefault="008565D3" w:rsidP="008565D3">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46F6CFCD" w14:textId="77777777" w:rsidR="008565D3" w:rsidRPr="005C3532" w:rsidRDefault="008565D3" w:rsidP="008565D3">
            <w:pPr>
              <w:pStyle w:val="Tableheading-white"/>
            </w:pPr>
            <w:r w:rsidRPr="00DA1381">
              <w:t>Why</w:t>
            </w:r>
          </w:p>
        </w:tc>
      </w:tr>
      <w:tr w:rsidR="008565D3" w:rsidRPr="005C3532" w14:paraId="1A9247CB" w14:textId="77777777" w:rsidTr="008565D3">
        <w:trPr>
          <w:cantSplit/>
        </w:trPr>
        <w:tc>
          <w:tcPr>
            <w:tcW w:w="13244" w:type="dxa"/>
            <w:gridSpan w:val="7"/>
            <w:tcBorders>
              <w:top w:val="single" w:sz="4" w:space="0" w:color="B66113"/>
              <w:bottom w:val="single" w:sz="4" w:space="0" w:color="B66113"/>
            </w:tcBorders>
          </w:tcPr>
          <w:p w14:paraId="5631FFC5" w14:textId="13225AFA" w:rsidR="008565D3" w:rsidRPr="001B35B0" w:rsidRDefault="008565D3" w:rsidP="008565D3">
            <w:pPr>
              <w:pStyle w:val="Tabletext"/>
              <w:rPr>
                <w:b/>
              </w:rPr>
            </w:pPr>
            <w:r w:rsidRPr="001B35B0">
              <w:rPr>
                <w:b/>
              </w:rPr>
              <w:t>Recommendation 3</w:t>
            </w:r>
          </w:p>
          <w:p w14:paraId="572DFEBC" w14:textId="77777777" w:rsidR="008565D3" w:rsidRDefault="008565D3" w:rsidP="008565D3">
            <w:pPr>
              <w:pStyle w:val="Tabletext"/>
            </w:pPr>
            <w:r w:rsidRPr="008F0F08">
              <w:t>Introduce flexible access to primary care services for enrolled patients</w:t>
            </w:r>
          </w:p>
        </w:tc>
      </w:tr>
      <w:tr w:rsidR="008565D3" w:rsidRPr="005C3532" w14:paraId="0CCF6112" w14:textId="77777777" w:rsidTr="008565D3">
        <w:trPr>
          <w:cantSplit/>
        </w:trPr>
        <w:tc>
          <w:tcPr>
            <w:tcW w:w="1701" w:type="dxa"/>
            <w:tcBorders>
              <w:top w:val="single" w:sz="4" w:space="0" w:color="B66113"/>
              <w:bottom w:val="single" w:sz="4" w:space="0" w:color="B66113"/>
            </w:tcBorders>
          </w:tcPr>
          <w:p w14:paraId="78D8F3E2" w14:textId="77777777" w:rsidR="008565D3" w:rsidRPr="00F96842" w:rsidRDefault="008565D3" w:rsidP="008565D3">
            <w:pPr>
              <w:pStyle w:val="Tabletext"/>
            </w:pPr>
            <w:r>
              <w:t>-</w:t>
            </w:r>
          </w:p>
        </w:tc>
        <w:tc>
          <w:tcPr>
            <w:tcW w:w="2268" w:type="dxa"/>
            <w:tcBorders>
              <w:top w:val="single" w:sz="4" w:space="0" w:color="B66113"/>
              <w:bottom w:val="single" w:sz="4" w:space="0" w:color="B66113"/>
            </w:tcBorders>
          </w:tcPr>
          <w:p w14:paraId="36112DB2" w14:textId="77777777" w:rsidR="008565D3" w:rsidRPr="00F96842" w:rsidRDefault="008565D3" w:rsidP="008565D3">
            <w:pPr>
              <w:pStyle w:val="Tabletext"/>
            </w:pPr>
            <w:r>
              <w:t>Provides</w:t>
            </w:r>
            <w:r w:rsidRPr="00F96842">
              <w:t xml:space="preserve"> access to GPs for patients who are unable or not required to attend a doctor’s surgery.</w:t>
            </w:r>
          </w:p>
        </w:tc>
        <w:tc>
          <w:tcPr>
            <w:tcW w:w="2552" w:type="dxa"/>
            <w:gridSpan w:val="2"/>
            <w:tcBorders>
              <w:top w:val="single" w:sz="4" w:space="0" w:color="B66113"/>
              <w:bottom w:val="single" w:sz="4" w:space="0" w:color="B66113"/>
            </w:tcBorders>
          </w:tcPr>
          <w:p w14:paraId="4C12E499" w14:textId="77777777" w:rsidR="008565D3" w:rsidRPr="00F96842" w:rsidRDefault="008565D3" w:rsidP="008565D3">
            <w:pPr>
              <w:pStyle w:val="Tabletext"/>
            </w:pPr>
            <w:r>
              <w:t>Flexible communications i.e. te</w:t>
            </w:r>
            <w:r w:rsidRPr="00F96842">
              <w:t>lephone, email, video-consulting, telehealth etc be supported through voluntary patient enrolment.</w:t>
            </w:r>
          </w:p>
        </w:tc>
        <w:tc>
          <w:tcPr>
            <w:tcW w:w="3260" w:type="dxa"/>
            <w:tcBorders>
              <w:top w:val="single" w:sz="4" w:space="0" w:color="B66113"/>
              <w:bottom w:val="single" w:sz="4" w:space="0" w:color="B66113"/>
            </w:tcBorders>
          </w:tcPr>
          <w:p w14:paraId="0BD8A0BF" w14:textId="77777777" w:rsidR="008565D3" w:rsidRDefault="008565D3" w:rsidP="008565D3">
            <w:pPr>
              <w:pStyle w:val="Tabletext"/>
            </w:pPr>
            <w:r>
              <w:t xml:space="preserve">Voluntary Patient Enrolment will </w:t>
            </w:r>
            <w:r w:rsidRPr="00335779">
              <w:t xml:space="preserve">modernise </w:t>
            </w:r>
            <w:r>
              <w:t xml:space="preserve">the delivery of </w:t>
            </w:r>
            <w:r w:rsidRPr="00335779">
              <w:t>p</w:t>
            </w:r>
            <w:r>
              <w:t>rimary health care through introducing flexible communication and care models.</w:t>
            </w:r>
          </w:p>
          <w:p w14:paraId="109B66BA" w14:textId="77777777" w:rsidR="008565D3" w:rsidRPr="000A000F" w:rsidRDefault="008565D3" w:rsidP="008565D3">
            <w:r w:rsidRPr="00AD5BC4">
              <w:rPr>
                <w:rFonts w:eastAsia="Calibri"/>
                <w:sz w:val="18"/>
                <w:szCs w:val="18"/>
              </w:rPr>
              <w:t>It would mean people living in rural and regional areas could avoid the costs and inconvenience associated with travelling long distances to see a GP.</w:t>
            </w:r>
            <w:r>
              <w:t xml:space="preserve"> </w:t>
            </w:r>
          </w:p>
          <w:p w14:paraId="34C0AEE9" w14:textId="77777777" w:rsidR="008565D3" w:rsidRPr="00F96842" w:rsidRDefault="008565D3" w:rsidP="008565D3">
            <w:pPr>
              <w:pStyle w:val="Tabletext"/>
            </w:pPr>
            <w:r>
              <w:t>Patient</w:t>
            </w:r>
            <w:r w:rsidRPr="00F96842">
              <w:t>s living with disabilities or in aged care facilities would have easier access to some GP services that do not require face-to-face consultations</w:t>
            </w:r>
            <w:r>
              <w:t>.</w:t>
            </w:r>
          </w:p>
        </w:tc>
        <w:tc>
          <w:tcPr>
            <w:tcW w:w="3463" w:type="dxa"/>
            <w:gridSpan w:val="2"/>
            <w:tcBorders>
              <w:top w:val="single" w:sz="4" w:space="0" w:color="B66113"/>
              <w:bottom w:val="single" w:sz="4" w:space="0" w:color="B66113"/>
            </w:tcBorders>
          </w:tcPr>
          <w:p w14:paraId="5F02E31B" w14:textId="77777777" w:rsidR="008565D3" w:rsidRPr="00F96842" w:rsidRDefault="008565D3" w:rsidP="008565D3">
            <w:pPr>
              <w:pStyle w:val="Tabletext"/>
            </w:pPr>
            <w:r>
              <w:t>This measure will improve patient experience, and free up doctor time when the consultation is for something that is straightforward and does not require a face-to-face investigation.</w:t>
            </w:r>
            <w:r w:rsidRPr="00F96842">
              <w:t xml:space="preserve">  It will support rural and remote communities</w:t>
            </w:r>
            <w:r>
              <w:t xml:space="preserve"> and those with mobility issues</w:t>
            </w:r>
            <w:r w:rsidRPr="00F96842">
              <w:t>, consistent with the principle of equitable access.</w:t>
            </w:r>
          </w:p>
        </w:tc>
      </w:tr>
    </w:tbl>
    <w:p w14:paraId="0ACBB65A" w14:textId="77777777" w:rsidR="008565D3" w:rsidRDefault="008565D3" w:rsidP="008565D3">
      <w:pPr>
        <w:pStyle w:val="Tabletext"/>
        <w:rPr>
          <w:b/>
        </w:rPr>
      </w:pPr>
    </w:p>
    <w:p w14:paraId="441F40C2" w14:textId="77777777" w:rsidR="008565D3" w:rsidRDefault="008565D3" w:rsidP="008565D3">
      <w:pPr>
        <w:spacing w:before="0" w:after="0" w:line="240" w:lineRule="auto"/>
        <w:rPr>
          <w:rFonts w:eastAsia="Calibri"/>
          <w:b/>
          <w:sz w:val="18"/>
          <w:szCs w:val="18"/>
        </w:rPr>
      </w:pPr>
      <w:r>
        <w:rPr>
          <w:b/>
        </w:rPr>
        <w:br w:type="page"/>
      </w:r>
    </w:p>
    <w:p w14:paraId="7E0436CD" w14:textId="77777777" w:rsidR="008565D3" w:rsidRPr="00874A44" w:rsidRDefault="008565D3" w:rsidP="008565D3">
      <w:pPr>
        <w:pStyle w:val="Tabletext"/>
      </w:pPr>
      <w:r>
        <w:rPr>
          <w:b/>
        </w:rPr>
        <w:t>CHRONIC DISEASE MANAGEMENT - SUPPORTING C</w:t>
      </w:r>
      <w:r w:rsidRPr="00D2588C">
        <w:rPr>
          <w:b/>
        </w:rPr>
        <w:t xml:space="preserve">OORDINATED, </w:t>
      </w:r>
      <w:r>
        <w:rPr>
          <w:b/>
        </w:rPr>
        <w:t>C</w:t>
      </w:r>
      <w:r w:rsidRPr="00D2588C">
        <w:rPr>
          <w:b/>
        </w:rPr>
        <w:t xml:space="preserve">OMPREHENSIVE AND </w:t>
      </w:r>
      <w:r>
        <w:rPr>
          <w:b/>
        </w:rPr>
        <w:t>C</w:t>
      </w:r>
      <w:r w:rsidRPr="00D2588C">
        <w:rPr>
          <w:b/>
        </w:rPr>
        <w:t xml:space="preserve">ONTINUING </w:t>
      </w:r>
      <w:r>
        <w:rPr>
          <w:b/>
        </w:rPr>
        <w:t>C</w:t>
      </w:r>
      <w:r w:rsidRPr="00D2588C">
        <w:rPr>
          <w:b/>
        </w:rPr>
        <w:t>ARE</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8565D3" w:rsidRPr="00DA1381" w14:paraId="0B5DED08" w14:textId="77777777" w:rsidTr="008565D3">
        <w:trPr>
          <w:cantSplit/>
          <w:tblHeader/>
        </w:trPr>
        <w:tc>
          <w:tcPr>
            <w:tcW w:w="1701" w:type="dxa"/>
            <w:tcBorders>
              <w:top w:val="single" w:sz="4" w:space="0" w:color="B66113"/>
              <w:bottom w:val="single" w:sz="4" w:space="0" w:color="B66113"/>
            </w:tcBorders>
            <w:shd w:val="clear" w:color="auto" w:fill="B66113"/>
          </w:tcPr>
          <w:p w14:paraId="02B75EFF" w14:textId="77777777" w:rsidR="008565D3" w:rsidRPr="005C3532" w:rsidRDefault="008565D3" w:rsidP="008565D3">
            <w:pPr>
              <w:pStyle w:val="Tableheading-white"/>
            </w:pPr>
            <w:r w:rsidRPr="00DA1381">
              <w:t>Item</w:t>
            </w:r>
          </w:p>
        </w:tc>
        <w:tc>
          <w:tcPr>
            <w:tcW w:w="2268" w:type="dxa"/>
            <w:tcBorders>
              <w:top w:val="single" w:sz="4" w:space="0" w:color="B66113"/>
              <w:bottom w:val="single" w:sz="4" w:space="0" w:color="B66113"/>
            </w:tcBorders>
            <w:shd w:val="clear" w:color="auto" w:fill="B66113"/>
          </w:tcPr>
          <w:p w14:paraId="4FC40E50" w14:textId="77777777" w:rsidR="008565D3" w:rsidRPr="005C3532" w:rsidRDefault="008565D3" w:rsidP="008565D3">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2F65FD51" w14:textId="77777777" w:rsidR="008565D3" w:rsidRPr="005C3532" w:rsidRDefault="008565D3" w:rsidP="008565D3">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76B3C644" w14:textId="77777777" w:rsidR="008565D3" w:rsidRPr="005C3532" w:rsidRDefault="008565D3" w:rsidP="008565D3">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69CA2798" w14:textId="77777777" w:rsidR="008565D3" w:rsidRPr="005C3532" w:rsidRDefault="008565D3" w:rsidP="008565D3">
            <w:pPr>
              <w:pStyle w:val="Tableheading-white"/>
            </w:pPr>
            <w:r w:rsidRPr="00DA1381">
              <w:t>Why</w:t>
            </w:r>
          </w:p>
        </w:tc>
      </w:tr>
      <w:tr w:rsidR="008565D3" w:rsidRPr="00DA1381" w14:paraId="7AD41A4C" w14:textId="77777777" w:rsidTr="008565D3">
        <w:trPr>
          <w:cantSplit/>
        </w:trPr>
        <w:tc>
          <w:tcPr>
            <w:tcW w:w="13244" w:type="dxa"/>
            <w:gridSpan w:val="5"/>
            <w:tcBorders>
              <w:top w:val="single" w:sz="4" w:space="0" w:color="B66113"/>
              <w:bottom w:val="single" w:sz="4" w:space="0" w:color="B66113"/>
            </w:tcBorders>
          </w:tcPr>
          <w:p w14:paraId="2D5AF438" w14:textId="77777777" w:rsidR="008565D3" w:rsidRPr="00D2588C" w:rsidRDefault="008565D3" w:rsidP="008565D3">
            <w:pPr>
              <w:pStyle w:val="Tabletext"/>
              <w:rPr>
                <w:b/>
                <w:i/>
              </w:rPr>
            </w:pPr>
            <w:r>
              <w:rPr>
                <w:b/>
                <w:i/>
              </w:rPr>
              <w:t>Recommendation 4</w:t>
            </w:r>
          </w:p>
          <w:p w14:paraId="1557D78C" w14:textId="77777777" w:rsidR="008565D3" w:rsidRDefault="008565D3" w:rsidP="008565D3">
            <w:pPr>
              <w:pStyle w:val="Tabletext"/>
            </w:pPr>
            <w:r w:rsidRPr="000A70EB">
              <w:t xml:space="preserve">Implement a comprehensive package of longitudinal care for enrolled patients with chronic health conditions that promotes the effective use of primary care chronic disease management </w:t>
            </w:r>
            <w:r>
              <w:t xml:space="preserve">(CDM) </w:t>
            </w:r>
            <w:r w:rsidRPr="000A70EB">
              <w:t>items.</w:t>
            </w:r>
          </w:p>
          <w:p w14:paraId="65F4C91C" w14:textId="77777777" w:rsidR="008565D3" w:rsidRPr="000A70EB" w:rsidRDefault="008565D3" w:rsidP="008565D3">
            <w:pPr>
              <w:pStyle w:val="Tabletext"/>
            </w:pPr>
            <w:r>
              <w:t xml:space="preserve">This recommendation incorporates a number of changes to the MBS as outlined below. It is expected that patients will benefit from this package of recommendations as they increase high value primary care, enhance multidisciplinary care planning and coordination activities, and support increased patient involvement in chronic disease management. </w:t>
            </w:r>
          </w:p>
        </w:tc>
      </w:tr>
      <w:tr w:rsidR="008565D3" w:rsidRPr="00DA1381" w14:paraId="2C11818B" w14:textId="77777777" w:rsidTr="008565D3">
        <w:trPr>
          <w:cantSplit/>
        </w:trPr>
        <w:tc>
          <w:tcPr>
            <w:tcW w:w="13244" w:type="dxa"/>
            <w:gridSpan w:val="5"/>
            <w:tcBorders>
              <w:top w:val="single" w:sz="4" w:space="0" w:color="B66113"/>
              <w:bottom w:val="single" w:sz="4" w:space="0" w:color="B66113"/>
            </w:tcBorders>
          </w:tcPr>
          <w:p w14:paraId="3601E1BA" w14:textId="77777777" w:rsidR="008565D3" w:rsidRPr="001B35B0" w:rsidRDefault="008565D3" w:rsidP="008565D3">
            <w:pPr>
              <w:pStyle w:val="Tabletext"/>
              <w:rPr>
                <w:b/>
                <w:i/>
              </w:rPr>
            </w:pPr>
            <w:r w:rsidRPr="001B35B0">
              <w:rPr>
                <w:b/>
                <w:i/>
              </w:rPr>
              <w:t>Recommendation 4.1</w:t>
            </w:r>
          </w:p>
          <w:p w14:paraId="013D69D3" w14:textId="77777777" w:rsidR="008565D3" w:rsidRPr="00874A44" w:rsidRDefault="008565D3" w:rsidP="008565D3">
            <w:pPr>
              <w:pStyle w:val="Tabletext"/>
            </w:pPr>
            <w:r w:rsidRPr="000A70EB">
              <w:t>Combine GP Management Plans (GPMPs) and Team Care Arrangements (TCAs), and strengthen GPMPs</w:t>
            </w:r>
            <w:r>
              <w:t>.</w:t>
            </w:r>
          </w:p>
        </w:tc>
      </w:tr>
      <w:tr w:rsidR="008565D3" w:rsidRPr="00DA1381" w14:paraId="2A5E39EE" w14:textId="77777777" w:rsidTr="008565D3">
        <w:trPr>
          <w:cantSplit/>
        </w:trPr>
        <w:tc>
          <w:tcPr>
            <w:tcW w:w="1701" w:type="dxa"/>
            <w:tcBorders>
              <w:top w:val="single" w:sz="4" w:space="0" w:color="B66113"/>
              <w:bottom w:val="single" w:sz="4" w:space="0" w:color="B66113"/>
            </w:tcBorders>
          </w:tcPr>
          <w:p w14:paraId="36A38CB0" w14:textId="77777777" w:rsidR="008565D3" w:rsidRDefault="008565D3" w:rsidP="008565D3">
            <w:pPr>
              <w:pStyle w:val="Tabletext"/>
            </w:pPr>
            <w:r>
              <w:t>Item 721</w:t>
            </w:r>
          </w:p>
          <w:p w14:paraId="3B58FD17" w14:textId="77777777" w:rsidR="008565D3" w:rsidRPr="005C3532" w:rsidRDefault="008565D3" w:rsidP="008565D3">
            <w:pPr>
              <w:pStyle w:val="Tabletext"/>
            </w:pPr>
          </w:p>
        </w:tc>
        <w:tc>
          <w:tcPr>
            <w:tcW w:w="2268" w:type="dxa"/>
            <w:tcBorders>
              <w:top w:val="single" w:sz="4" w:space="0" w:color="B66113"/>
              <w:bottom w:val="single" w:sz="4" w:space="0" w:color="B66113"/>
            </w:tcBorders>
          </w:tcPr>
          <w:p w14:paraId="5FF21F8A" w14:textId="77777777" w:rsidR="008565D3" w:rsidRPr="005C3532" w:rsidRDefault="008565D3" w:rsidP="008565D3">
            <w:pPr>
              <w:pStyle w:val="Tabletext"/>
            </w:pPr>
            <w:r>
              <w:t>T</w:t>
            </w:r>
            <w:r w:rsidRPr="005C3532">
              <w:t>he preparation of a GP management plan (GPMP) for a patient by an individual medical practitioner.</w:t>
            </w:r>
          </w:p>
          <w:p w14:paraId="66B0D636" w14:textId="77777777" w:rsidR="008565D3" w:rsidRPr="001806E3" w:rsidRDefault="008565D3" w:rsidP="008565D3">
            <w:pPr>
              <w:pStyle w:val="Tabletext"/>
            </w:pPr>
            <w:r>
              <w:t>GP management plans aim to develop a targeted plan to manage a patient’s ongoing or chronic condition.  The plan can incorporate referrals to allied health services such as physiotherapy and podiatry, and the package can be reviewed to identify progress.</w:t>
            </w:r>
          </w:p>
        </w:tc>
        <w:tc>
          <w:tcPr>
            <w:tcW w:w="2453" w:type="dxa"/>
            <w:tcBorders>
              <w:top w:val="single" w:sz="4" w:space="0" w:color="B66113"/>
              <w:bottom w:val="single" w:sz="4" w:space="0" w:color="B66113"/>
            </w:tcBorders>
          </w:tcPr>
          <w:p w14:paraId="2916B0BB" w14:textId="77777777" w:rsidR="008565D3" w:rsidRPr="005C3532" w:rsidRDefault="008565D3" w:rsidP="008565D3">
            <w:pPr>
              <w:pStyle w:val="Tabletext"/>
            </w:pPr>
            <w:r>
              <w:t xml:space="preserve">Combine GPMPs and </w:t>
            </w:r>
            <w:r w:rsidRPr="005C3532">
              <w:t xml:space="preserve">team care arrangements (TCAs) into one item.  </w:t>
            </w:r>
          </w:p>
          <w:p w14:paraId="6686CAFA" w14:textId="77777777" w:rsidR="008565D3" w:rsidRPr="005C3532" w:rsidRDefault="008565D3" w:rsidP="008565D3">
            <w:pPr>
              <w:pStyle w:val="Tabletext"/>
            </w:pPr>
            <w:r>
              <w:t>S</w:t>
            </w:r>
            <w:r w:rsidRPr="005C3532">
              <w:t>trengthen the descriptor of item 721 to enhance quality</w:t>
            </w:r>
            <w:r>
              <w:t>, including making this item available at a patient’s enrolled practice, for patients who are enrolled, or through the usual GP for patients who are not enrolled</w:t>
            </w:r>
            <w:r w:rsidRPr="005C3532">
              <w:t>.</w:t>
            </w:r>
          </w:p>
        </w:tc>
        <w:tc>
          <w:tcPr>
            <w:tcW w:w="3395" w:type="dxa"/>
            <w:tcBorders>
              <w:top w:val="single" w:sz="4" w:space="0" w:color="B66113"/>
              <w:bottom w:val="single" w:sz="4" w:space="0" w:color="B66113"/>
            </w:tcBorders>
          </w:tcPr>
          <w:p w14:paraId="5C25B8E1" w14:textId="77777777" w:rsidR="008565D3" w:rsidRDefault="008565D3" w:rsidP="008565D3">
            <w:pPr>
              <w:pStyle w:val="Tabletext"/>
            </w:pPr>
            <w:r>
              <w:t xml:space="preserve">One item would be available for a GP to develop a patient’s chronic disease management plan, including all required allied health arrangements. </w:t>
            </w:r>
          </w:p>
          <w:p w14:paraId="2E326455" w14:textId="77777777" w:rsidR="008565D3" w:rsidRDefault="008565D3" w:rsidP="008565D3">
            <w:pPr>
              <w:pStyle w:val="Tabletext"/>
            </w:pPr>
            <w:r>
              <w:t>This service would be available at the enrolled practice, for patients who are enrolled, or by the usual GP for patients who are not enrolled.</w:t>
            </w:r>
          </w:p>
          <w:p w14:paraId="5E3FED7D" w14:textId="77777777" w:rsidR="008565D3" w:rsidRPr="005C3532" w:rsidRDefault="008565D3" w:rsidP="008565D3">
            <w:pPr>
              <w:pStyle w:val="Tabletext"/>
            </w:pPr>
          </w:p>
        </w:tc>
        <w:tc>
          <w:tcPr>
            <w:tcW w:w="3427" w:type="dxa"/>
            <w:tcBorders>
              <w:top w:val="single" w:sz="4" w:space="0" w:color="B66113"/>
              <w:bottom w:val="single" w:sz="4" w:space="0" w:color="B66113"/>
            </w:tcBorders>
          </w:tcPr>
          <w:p w14:paraId="5586C1BB" w14:textId="77777777" w:rsidR="008565D3" w:rsidRDefault="008565D3" w:rsidP="008565D3">
            <w:pPr>
              <w:pStyle w:val="Tabletext"/>
            </w:pPr>
            <w:r>
              <w:t>Combining these items will simplify the MBS and enhance quality of services received by patients by:</w:t>
            </w:r>
          </w:p>
          <w:p w14:paraId="2DC2FD4C" w14:textId="77777777" w:rsidR="008565D3" w:rsidRDefault="008565D3" w:rsidP="008565D3">
            <w:pPr>
              <w:pStyle w:val="Tabletext"/>
              <w:numPr>
                <w:ilvl w:val="0"/>
                <w:numId w:val="81"/>
              </w:numPr>
              <w:ind w:left="275" w:hanging="218"/>
            </w:pPr>
            <w:r>
              <w:t xml:space="preserve">reducing </w:t>
            </w:r>
            <w:r w:rsidRPr="005C3532">
              <w:t xml:space="preserve">administrative burden; </w:t>
            </w:r>
          </w:p>
          <w:p w14:paraId="2C7C28B3" w14:textId="77777777" w:rsidR="008565D3" w:rsidRDefault="008565D3" w:rsidP="008565D3">
            <w:pPr>
              <w:pStyle w:val="Tabletext"/>
              <w:numPr>
                <w:ilvl w:val="0"/>
                <w:numId w:val="81"/>
              </w:numPr>
              <w:ind w:left="275" w:hanging="218"/>
            </w:pPr>
            <w:r w:rsidRPr="005C3532">
              <w:t>enhanc</w:t>
            </w:r>
            <w:r>
              <w:t>ing</w:t>
            </w:r>
            <w:r w:rsidRPr="005C3532">
              <w:t xml:space="preserve"> care planning and regular care for patients with chronic disease</w:t>
            </w:r>
            <w:r>
              <w:t>s</w:t>
            </w:r>
            <w:r w:rsidRPr="005C3532">
              <w:t xml:space="preserve">; </w:t>
            </w:r>
          </w:p>
          <w:p w14:paraId="32321792" w14:textId="77777777" w:rsidR="008565D3" w:rsidRDefault="008565D3" w:rsidP="008565D3">
            <w:pPr>
              <w:pStyle w:val="Tabletext"/>
              <w:numPr>
                <w:ilvl w:val="0"/>
                <w:numId w:val="81"/>
              </w:numPr>
              <w:ind w:left="275" w:hanging="218"/>
            </w:pPr>
            <w:r w:rsidRPr="005C3532">
              <w:t xml:space="preserve">simplify CDM items by linking allied health services directly to a GPMP; </w:t>
            </w:r>
          </w:p>
          <w:p w14:paraId="46BF0CE3" w14:textId="77777777" w:rsidR="008565D3" w:rsidRPr="005C3532" w:rsidRDefault="008565D3" w:rsidP="008565D3">
            <w:pPr>
              <w:pStyle w:val="Tabletext"/>
              <w:numPr>
                <w:ilvl w:val="0"/>
                <w:numId w:val="81"/>
              </w:numPr>
              <w:ind w:left="275" w:hanging="218"/>
            </w:pPr>
            <w:r>
              <w:t>removing</w:t>
            </w:r>
            <w:r w:rsidRPr="005C3532">
              <w:t xml:space="preserve"> </w:t>
            </w:r>
            <w:r>
              <w:t xml:space="preserve">unnecessary </w:t>
            </w:r>
            <w:r w:rsidRPr="005C3532">
              <w:t>co-claiming of t</w:t>
            </w:r>
            <w:r>
              <w:t>eam care arrangements with GPMP</w:t>
            </w:r>
            <w:r w:rsidRPr="005C3532">
              <w:t>s.</w:t>
            </w:r>
          </w:p>
        </w:tc>
      </w:tr>
      <w:tr w:rsidR="008565D3" w:rsidRPr="00DA1381" w14:paraId="698A18D4" w14:textId="77777777" w:rsidTr="008565D3">
        <w:trPr>
          <w:cantSplit/>
        </w:trPr>
        <w:tc>
          <w:tcPr>
            <w:tcW w:w="1701" w:type="dxa"/>
            <w:tcBorders>
              <w:top w:val="single" w:sz="4" w:space="0" w:color="B66113"/>
              <w:bottom w:val="single" w:sz="4" w:space="0" w:color="B66113"/>
            </w:tcBorders>
          </w:tcPr>
          <w:p w14:paraId="7BE134A7" w14:textId="77777777" w:rsidR="008565D3" w:rsidRPr="005C3532" w:rsidRDefault="008565D3" w:rsidP="008565D3">
            <w:pPr>
              <w:pStyle w:val="Tabletext"/>
            </w:pPr>
            <w:r>
              <w:t>723</w:t>
            </w:r>
          </w:p>
        </w:tc>
        <w:tc>
          <w:tcPr>
            <w:tcW w:w="2268" w:type="dxa"/>
            <w:tcBorders>
              <w:top w:val="single" w:sz="4" w:space="0" w:color="B66113"/>
              <w:bottom w:val="single" w:sz="4" w:space="0" w:color="B66113"/>
            </w:tcBorders>
          </w:tcPr>
          <w:p w14:paraId="09ADD8AB" w14:textId="77777777" w:rsidR="008565D3" w:rsidRPr="005C3532" w:rsidRDefault="008565D3" w:rsidP="008565D3">
            <w:pPr>
              <w:pStyle w:val="Tabletext"/>
            </w:pPr>
            <w:r w:rsidRPr="00992E80">
              <w:t xml:space="preserve">Coordinate the development of team care arrangements (TCAs) for a patient by an </w:t>
            </w:r>
            <w:r w:rsidRPr="005C3532">
              <w:t xml:space="preserve">individual medical practitioner. </w:t>
            </w:r>
          </w:p>
        </w:tc>
        <w:tc>
          <w:tcPr>
            <w:tcW w:w="2453" w:type="dxa"/>
            <w:tcBorders>
              <w:top w:val="single" w:sz="4" w:space="0" w:color="B66113"/>
              <w:bottom w:val="single" w:sz="4" w:space="0" w:color="B66113"/>
            </w:tcBorders>
          </w:tcPr>
          <w:p w14:paraId="6D5DBE1B" w14:textId="77777777" w:rsidR="008565D3" w:rsidRPr="005C3532" w:rsidRDefault="008565D3" w:rsidP="008565D3">
            <w:pPr>
              <w:pStyle w:val="Tabletext"/>
            </w:pPr>
            <w:r>
              <w:t>Delete item</w:t>
            </w:r>
            <w:r w:rsidRPr="005C3532">
              <w:t xml:space="preserve"> </w:t>
            </w:r>
          </w:p>
        </w:tc>
        <w:tc>
          <w:tcPr>
            <w:tcW w:w="3395" w:type="dxa"/>
            <w:tcBorders>
              <w:top w:val="single" w:sz="4" w:space="0" w:color="B66113"/>
              <w:bottom w:val="single" w:sz="4" w:space="0" w:color="B66113"/>
            </w:tcBorders>
          </w:tcPr>
          <w:p w14:paraId="40531588" w14:textId="77777777" w:rsidR="008565D3" w:rsidRPr="005C3532" w:rsidRDefault="008565D3" w:rsidP="008565D3">
            <w:pPr>
              <w:pStyle w:val="Tabletext"/>
            </w:pPr>
            <w:r>
              <w:t>This item would be deleted</w:t>
            </w:r>
          </w:p>
        </w:tc>
        <w:tc>
          <w:tcPr>
            <w:tcW w:w="3427" w:type="dxa"/>
            <w:tcBorders>
              <w:top w:val="single" w:sz="4" w:space="0" w:color="B66113"/>
              <w:bottom w:val="single" w:sz="4" w:space="0" w:color="B66113"/>
            </w:tcBorders>
          </w:tcPr>
          <w:p w14:paraId="4E6DE8D5" w14:textId="77777777" w:rsidR="008565D3" w:rsidRPr="005C3532" w:rsidRDefault="008565D3" w:rsidP="008565D3">
            <w:pPr>
              <w:pStyle w:val="Tabletext"/>
            </w:pPr>
            <w:r>
              <w:t>Deletion of this item will r</w:t>
            </w:r>
            <w:r w:rsidRPr="005C3532">
              <w:t xml:space="preserve">educe administrative burden </w:t>
            </w:r>
            <w:r>
              <w:t xml:space="preserve">for practitioners </w:t>
            </w:r>
            <w:r w:rsidRPr="005C3532">
              <w:t>and streamline chronic disease management</w:t>
            </w:r>
            <w:r>
              <w:t xml:space="preserve"> services for patients</w:t>
            </w:r>
            <w:r w:rsidRPr="005C3532">
              <w:t xml:space="preserve">. </w:t>
            </w:r>
            <w:r>
              <w:t>Multidisciplinary t</w:t>
            </w:r>
            <w:r w:rsidRPr="005C3532">
              <w:t xml:space="preserve">eam care </w:t>
            </w:r>
            <w:r>
              <w:t>remains</w:t>
            </w:r>
            <w:r w:rsidRPr="005C3532">
              <w:t xml:space="preserve"> available through item 721.</w:t>
            </w:r>
          </w:p>
        </w:tc>
      </w:tr>
      <w:tr w:rsidR="008565D3" w:rsidRPr="00DA1381" w14:paraId="22D53E15" w14:textId="77777777" w:rsidTr="008565D3">
        <w:trPr>
          <w:cantSplit/>
        </w:trPr>
        <w:tc>
          <w:tcPr>
            <w:tcW w:w="1701" w:type="dxa"/>
            <w:tcBorders>
              <w:top w:val="single" w:sz="4" w:space="0" w:color="B66113"/>
              <w:bottom w:val="single" w:sz="4" w:space="0" w:color="B66113"/>
            </w:tcBorders>
          </w:tcPr>
          <w:p w14:paraId="71E77AF8" w14:textId="77777777" w:rsidR="008565D3" w:rsidRPr="005C3532" w:rsidRDefault="008565D3" w:rsidP="008565D3">
            <w:pPr>
              <w:pStyle w:val="Tabletext"/>
            </w:pPr>
            <w:r>
              <w:t xml:space="preserve">729 </w:t>
            </w:r>
          </w:p>
        </w:tc>
        <w:tc>
          <w:tcPr>
            <w:tcW w:w="2268" w:type="dxa"/>
            <w:tcBorders>
              <w:top w:val="single" w:sz="4" w:space="0" w:color="B66113"/>
              <w:bottom w:val="single" w:sz="4" w:space="0" w:color="B66113"/>
            </w:tcBorders>
          </w:tcPr>
          <w:p w14:paraId="586562E5" w14:textId="77777777" w:rsidR="008565D3" w:rsidRPr="005C3532" w:rsidRDefault="008565D3" w:rsidP="008565D3">
            <w:pPr>
              <w:pStyle w:val="Tabletext"/>
            </w:pPr>
            <w:r>
              <w:t xml:space="preserve">Contribution </w:t>
            </w:r>
            <w:r w:rsidRPr="005C3532">
              <w:t>by an individual medical practitioner to either a multidisciplinary care plan prepared by another provider or a review of a multidisciplinary care plan prepared by another provider.</w:t>
            </w:r>
          </w:p>
        </w:tc>
        <w:tc>
          <w:tcPr>
            <w:tcW w:w="2453" w:type="dxa"/>
            <w:tcBorders>
              <w:top w:val="single" w:sz="4" w:space="0" w:color="B66113"/>
              <w:bottom w:val="single" w:sz="4" w:space="0" w:color="B66113"/>
            </w:tcBorders>
          </w:tcPr>
          <w:p w14:paraId="448FCD1F" w14:textId="77777777" w:rsidR="008565D3" w:rsidRPr="005C3532" w:rsidRDefault="008565D3" w:rsidP="008565D3">
            <w:pPr>
              <w:pStyle w:val="Tabletext"/>
            </w:pPr>
            <w:r>
              <w:t>Delete item</w:t>
            </w:r>
          </w:p>
        </w:tc>
        <w:tc>
          <w:tcPr>
            <w:tcW w:w="3395" w:type="dxa"/>
            <w:tcBorders>
              <w:top w:val="single" w:sz="4" w:space="0" w:color="B66113"/>
              <w:bottom w:val="single" w:sz="4" w:space="0" w:color="B66113"/>
            </w:tcBorders>
          </w:tcPr>
          <w:p w14:paraId="5BBD079C" w14:textId="77777777" w:rsidR="008565D3" w:rsidRPr="005C3532" w:rsidRDefault="008565D3" w:rsidP="008565D3">
            <w:pPr>
              <w:pStyle w:val="Tabletext"/>
            </w:pPr>
            <w:r>
              <w:t>The item would be deleted</w:t>
            </w:r>
          </w:p>
        </w:tc>
        <w:tc>
          <w:tcPr>
            <w:tcW w:w="3427" w:type="dxa"/>
            <w:tcBorders>
              <w:top w:val="single" w:sz="4" w:space="0" w:color="B66113"/>
              <w:bottom w:val="single" w:sz="4" w:space="0" w:color="B66113"/>
            </w:tcBorders>
          </w:tcPr>
          <w:p w14:paraId="7DD9D458" w14:textId="77777777" w:rsidR="008565D3" w:rsidRPr="005C3532" w:rsidRDefault="008565D3" w:rsidP="008565D3">
            <w:pPr>
              <w:pStyle w:val="Tabletext"/>
            </w:pPr>
            <w:r>
              <w:t>Deletion of this item will simplify the MBS and remove an obsolete item. Deletion of this item is not expected to affect patient access to essential services</w:t>
            </w:r>
            <w:r w:rsidRPr="005C3532">
              <w:t>.</w:t>
            </w:r>
          </w:p>
          <w:p w14:paraId="28B42AA8" w14:textId="77777777" w:rsidR="008565D3" w:rsidRPr="005C3532" w:rsidRDefault="008565D3" w:rsidP="008565D3"/>
        </w:tc>
      </w:tr>
      <w:tr w:rsidR="008565D3" w:rsidRPr="00DA1381" w14:paraId="320B3FC8" w14:textId="77777777" w:rsidTr="008565D3">
        <w:trPr>
          <w:cantSplit/>
        </w:trPr>
        <w:tc>
          <w:tcPr>
            <w:tcW w:w="1701" w:type="dxa"/>
            <w:tcBorders>
              <w:top w:val="single" w:sz="4" w:space="0" w:color="B66113"/>
              <w:bottom w:val="single" w:sz="4" w:space="0" w:color="B66113"/>
            </w:tcBorders>
          </w:tcPr>
          <w:p w14:paraId="69BB774E" w14:textId="77777777" w:rsidR="008565D3" w:rsidRPr="005C3532" w:rsidRDefault="008565D3" w:rsidP="008565D3">
            <w:pPr>
              <w:pStyle w:val="Tabletext"/>
            </w:pPr>
            <w:r>
              <w:t>731</w:t>
            </w:r>
          </w:p>
        </w:tc>
        <w:tc>
          <w:tcPr>
            <w:tcW w:w="2268" w:type="dxa"/>
            <w:tcBorders>
              <w:top w:val="single" w:sz="4" w:space="0" w:color="B66113"/>
              <w:bottom w:val="single" w:sz="4" w:space="0" w:color="B66113"/>
            </w:tcBorders>
          </w:tcPr>
          <w:p w14:paraId="57DCD6B5" w14:textId="77777777" w:rsidR="008565D3" w:rsidRPr="005C3532" w:rsidRDefault="008565D3" w:rsidP="008565D3">
            <w:pPr>
              <w:pStyle w:val="Tabletext"/>
            </w:pPr>
            <w:r w:rsidRPr="005C3532">
              <w:t>Contribution by an individual medical practitioner to a multidisciplinary care plan prepared by either:</w:t>
            </w:r>
            <w:r w:rsidRPr="005C3532">
              <w:br/>
              <w:t>a) a residential aged care facility (RACF) for one of their patients, or to a review of an RACF's plan; or</w:t>
            </w:r>
            <w:r w:rsidRPr="005C3532">
              <w:br/>
              <w:t>b) another provider for a resident to be discharged from a hospital or an approved day-hospital facility, or to a review of another provider's plan.</w:t>
            </w:r>
          </w:p>
        </w:tc>
        <w:tc>
          <w:tcPr>
            <w:tcW w:w="2453" w:type="dxa"/>
            <w:tcBorders>
              <w:top w:val="single" w:sz="4" w:space="0" w:color="B66113"/>
              <w:bottom w:val="single" w:sz="4" w:space="0" w:color="B66113"/>
            </w:tcBorders>
          </w:tcPr>
          <w:p w14:paraId="4E25C2C2" w14:textId="77777777" w:rsidR="008565D3" w:rsidRPr="005C3532" w:rsidRDefault="008565D3" w:rsidP="008565D3">
            <w:pPr>
              <w:pStyle w:val="Tabletext"/>
            </w:pPr>
            <w:r>
              <w:t>No change</w:t>
            </w:r>
          </w:p>
        </w:tc>
        <w:tc>
          <w:tcPr>
            <w:tcW w:w="3395" w:type="dxa"/>
            <w:tcBorders>
              <w:top w:val="single" w:sz="4" w:space="0" w:color="B66113"/>
              <w:bottom w:val="single" w:sz="4" w:space="0" w:color="B66113"/>
            </w:tcBorders>
          </w:tcPr>
          <w:p w14:paraId="19AD60A0" w14:textId="77777777" w:rsidR="008565D3" w:rsidRPr="005C3532" w:rsidRDefault="008565D3" w:rsidP="008565D3">
            <w:pPr>
              <w:pStyle w:val="Tabletext"/>
            </w:pPr>
          </w:p>
        </w:tc>
        <w:tc>
          <w:tcPr>
            <w:tcW w:w="3427" w:type="dxa"/>
            <w:tcBorders>
              <w:top w:val="single" w:sz="4" w:space="0" w:color="B66113"/>
              <w:bottom w:val="single" w:sz="4" w:space="0" w:color="B66113"/>
            </w:tcBorders>
          </w:tcPr>
          <w:p w14:paraId="2B608CEE" w14:textId="77777777" w:rsidR="008565D3" w:rsidRPr="005C3532" w:rsidRDefault="008565D3" w:rsidP="008565D3">
            <w:pPr>
              <w:pStyle w:val="Tabletext"/>
            </w:pPr>
            <w:r>
              <w:t xml:space="preserve">The Committee identified the importance of older patients accessing the services they need. </w:t>
            </w:r>
            <w:r w:rsidRPr="005C3532">
              <w:t>The Committee agreed that in the context of Residential Aged Care Facilities, an item for GPs to contribute to or review the care plan for patients of Residential Aged Care Facilities is appropriate.  Similar provisions are recommended to guide patient transition from hospital to home and community care.</w:t>
            </w:r>
          </w:p>
        </w:tc>
      </w:tr>
    </w:tbl>
    <w:p w14:paraId="3A26505C" w14:textId="77777777" w:rsidR="008565D3" w:rsidRDefault="008565D3">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8565D3" w:rsidRPr="00DA1381" w14:paraId="12ECEC89" w14:textId="77777777" w:rsidTr="008565D3">
        <w:trPr>
          <w:cantSplit/>
          <w:tblHeader/>
        </w:trPr>
        <w:tc>
          <w:tcPr>
            <w:tcW w:w="1701" w:type="dxa"/>
            <w:tcBorders>
              <w:top w:val="single" w:sz="4" w:space="0" w:color="B66113"/>
              <w:bottom w:val="single" w:sz="4" w:space="0" w:color="B66113"/>
            </w:tcBorders>
            <w:shd w:val="clear" w:color="auto" w:fill="B66113"/>
          </w:tcPr>
          <w:p w14:paraId="2F0E3114" w14:textId="77777777" w:rsidR="008565D3" w:rsidRPr="005C3532" w:rsidRDefault="008565D3" w:rsidP="008565D3">
            <w:pPr>
              <w:pStyle w:val="Tableheading-white"/>
            </w:pPr>
            <w:r w:rsidRPr="00DA1381">
              <w:t>Item</w:t>
            </w:r>
          </w:p>
        </w:tc>
        <w:tc>
          <w:tcPr>
            <w:tcW w:w="2268" w:type="dxa"/>
            <w:tcBorders>
              <w:top w:val="single" w:sz="4" w:space="0" w:color="B66113"/>
              <w:bottom w:val="single" w:sz="4" w:space="0" w:color="B66113"/>
            </w:tcBorders>
            <w:shd w:val="clear" w:color="auto" w:fill="B66113"/>
          </w:tcPr>
          <w:p w14:paraId="4E7DA774" w14:textId="77777777" w:rsidR="008565D3" w:rsidRPr="005C3532" w:rsidRDefault="008565D3" w:rsidP="008565D3">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458DE927" w14:textId="77777777" w:rsidR="008565D3" w:rsidRPr="005C3532" w:rsidRDefault="008565D3" w:rsidP="008565D3">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7036591A" w14:textId="77777777" w:rsidR="008565D3" w:rsidRPr="005C3532" w:rsidRDefault="008565D3" w:rsidP="008565D3">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700535C6" w14:textId="77777777" w:rsidR="008565D3" w:rsidRPr="005C3532" w:rsidRDefault="008565D3" w:rsidP="008565D3">
            <w:pPr>
              <w:pStyle w:val="Tableheading-white"/>
            </w:pPr>
            <w:r w:rsidRPr="00DA1381">
              <w:t>Why</w:t>
            </w:r>
          </w:p>
        </w:tc>
      </w:tr>
      <w:tr w:rsidR="008565D3" w:rsidRPr="00DA1381" w14:paraId="17B94D2E" w14:textId="77777777" w:rsidTr="008565D3">
        <w:trPr>
          <w:cantSplit/>
        </w:trPr>
        <w:tc>
          <w:tcPr>
            <w:tcW w:w="13244" w:type="dxa"/>
            <w:gridSpan w:val="5"/>
            <w:tcBorders>
              <w:top w:val="single" w:sz="4" w:space="0" w:color="B66113"/>
              <w:bottom w:val="single" w:sz="4" w:space="0" w:color="B66113"/>
            </w:tcBorders>
          </w:tcPr>
          <w:p w14:paraId="749AB3C5" w14:textId="2BBE2F38" w:rsidR="008565D3" w:rsidRPr="000A70EB" w:rsidRDefault="008565D3" w:rsidP="008565D3">
            <w:pPr>
              <w:pStyle w:val="Tabletext"/>
              <w:rPr>
                <w:b/>
              </w:rPr>
            </w:pPr>
            <w:r w:rsidRPr="000A70EB">
              <w:rPr>
                <w:b/>
              </w:rPr>
              <w:t>Recommendation 4.2</w:t>
            </w:r>
          </w:p>
          <w:p w14:paraId="6DEF7DC8" w14:textId="77777777" w:rsidR="008565D3" w:rsidRDefault="008565D3" w:rsidP="008565D3">
            <w:pPr>
              <w:pStyle w:val="Tabletext"/>
            </w:pPr>
            <w:r>
              <w:t>Link allied health chronic disease management items to the creation of a GPMP.</w:t>
            </w:r>
          </w:p>
        </w:tc>
      </w:tr>
      <w:tr w:rsidR="008565D3" w:rsidRPr="00DA1381" w14:paraId="398669D5" w14:textId="77777777" w:rsidTr="008565D3">
        <w:trPr>
          <w:cantSplit/>
        </w:trPr>
        <w:tc>
          <w:tcPr>
            <w:tcW w:w="1701" w:type="dxa"/>
            <w:tcBorders>
              <w:top w:val="single" w:sz="4" w:space="0" w:color="B66113"/>
              <w:bottom w:val="single" w:sz="4" w:space="0" w:color="B66113"/>
            </w:tcBorders>
          </w:tcPr>
          <w:p w14:paraId="3AD2AA5D" w14:textId="77777777" w:rsidR="008565D3" w:rsidRPr="005C3532" w:rsidRDefault="008565D3" w:rsidP="008565D3">
            <w:pPr>
              <w:pStyle w:val="Tabletext"/>
            </w:pPr>
            <w:r>
              <w:t>10950-10970  81100-81125</w:t>
            </w:r>
          </w:p>
        </w:tc>
        <w:tc>
          <w:tcPr>
            <w:tcW w:w="2268" w:type="dxa"/>
            <w:tcBorders>
              <w:top w:val="single" w:sz="4" w:space="0" w:color="B66113"/>
              <w:bottom w:val="single" w:sz="4" w:space="0" w:color="B66113"/>
            </w:tcBorders>
          </w:tcPr>
          <w:p w14:paraId="3EDE84A8" w14:textId="77777777" w:rsidR="008565D3" w:rsidRPr="005C3532" w:rsidRDefault="008565D3" w:rsidP="008565D3">
            <w:pPr>
              <w:pStyle w:val="Tabletext"/>
            </w:pPr>
            <w:r>
              <w:t>Provision of allied health services for patients with complex healthcare needs.</w:t>
            </w:r>
          </w:p>
        </w:tc>
        <w:tc>
          <w:tcPr>
            <w:tcW w:w="2453" w:type="dxa"/>
            <w:tcBorders>
              <w:top w:val="single" w:sz="4" w:space="0" w:color="B66113"/>
              <w:bottom w:val="single" w:sz="4" w:space="0" w:color="B66113"/>
            </w:tcBorders>
          </w:tcPr>
          <w:p w14:paraId="7993F6D2" w14:textId="77777777" w:rsidR="008565D3" w:rsidRPr="005C3532" w:rsidRDefault="008565D3" w:rsidP="008565D3">
            <w:pPr>
              <w:pStyle w:val="Tabletext"/>
            </w:pPr>
            <w:r>
              <w:t xml:space="preserve">Link allied health items </w:t>
            </w:r>
            <w:r w:rsidRPr="005C3532">
              <w:t>to the creation of a GPMP</w:t>
            </w:r>
            <w:r>
              <w:t>, removing reference to a TCA.</w:t>
            </w:r>
            <w:r w:rsidRPr="005C3532">
              <w:t xml:space="preserve">  </w:t>
            </w:r>
          </w:p>
          <w:p w14:paraId="3C70D5AB" w14:textId="77777777" w:rsidR="008565D3" w:rsidRPr="008D1603" w:rsidRDefault="008565D3" w:rsidP="008565D3">
            <w:pPr>
              <w:pStyle w:val="Tabletext"/>
            </w:pPr>
          </w:p>
        </w:tc>
        <w:tc>
          <w:tcPr>
            <w:tcW w:w="3395" w:type="dxa"/>
            <w:tcBorders>
              <w:top w:val="single" w:sz="4" w:space="0" w:color="B66113"/>
              <w:bottom w:val="single" w:sz="4" w:space="0" w:color="B66113"/>
            </w:tcBorders>
          </w:tcPr>
          <w:p w14:paraId="4FC1D2DE" w14:textId="77777777" w:rsidR="008565D3" w:rsidRPr="005C3532" w:rsidRDefault="008565D3" w:rsidP="008565D3">
            <w:pPr>
              <w:pStyle w:val="Tabletext"/>
            </w:pPr>
            <w:r>
              <w:t>Patients’ access to allied health care coordinated through a single plan (GPMP).</w:t>
            </w:r>
          </w:p>
        </w:tc>
        <w:tc>
          <w:tcPr>
            <w:tcW w:w="3427" w:type="dxa"/>
            <w:tcBorders>
              <w:top w:val="single" w:sz="4" w:space="0" w:color="B66113"/>
              <w:bottom w:val="single" w:sz="4" w:space="0" w:color="B66113"/>
            </w:tcBorders>
          </w:tcPr>
          <w:p w14:paraId="59C36F01" w14:textId="77777777" w:rsidR="008565D3" w:rsidRPr="005C3532" w:rsidRDefault="008565D3" w:rsidP="008565D3">
            <w:pPr>
              <w:pStyle w:val="Tabletext"/>
            </w:pPr>
            <w:r>
              <w:t>This change simplifies Chronic Disease Management items</w:t>
            </w:r>
            <w:r w:rsidRPr="005C3532">
              <w:t>, while enabling care plans to include services provided by allied health professionals.</w:t>
            </w:r>
          </w:p>
        </w:tc>
      </w:tr>
      <w:tr w:rsidR="008565D3" w:rsidRPr="00DA1381" w14:paraId="4EB018ED" w14:textId="77777777" w:rsidTr="008565D3">
        <w:trPr>
          <w:cantSplit/>
        </w:trPr>
        <w:tc>
          <w:tcPr>
            <w:tcW w:w="13244" w:type="dxa"/>
            <w:gridSpan w:val="5"/>
            <w:tcBorders>
              <w:top w:val="single" w:sz="4" w:space="0" w:color="B66113"/>
              <w:bottom w:val="single" w:sz="4" w:space="0" w:color="B66113"/>
            </w:tcBorders>
          </w:tcPr>
          <w:p w14:paraId="7496DC81" w14:textId="77777777" w:rsidR="008565D3" w:rsidRPr="001B35B0" w:rsidRDefault="008565D3" w:rsidP="008565D3">
            <w:pPr>
              <w:pStyle w:val="Tabletext"/>
              <w:rPr>
                <w:b/>
              </w:rPr>
            </w:pPr>
            <w:r w:rsidRPr="001B35B0">
              <w:rPr>
                <w:b/>
              </w:rPr>
              <w:t>Recommendation 4.3</w:t>
            </w:r>
          </w:p>
          <w:p w14:paraId="5A962FAE" w14:textId="77777777" w:rsidR="008565D3" w:rsidRDefault="008565D3" w:rsidP="008565D3">
            <w:pPr>
              <w:pStyle w:val="Tabletext"/>
            </w:pPr>
            <w:r>
              <w:t>Equalise rebates for GPMP preparation and review to encourage longitudinal patient care.</w:t>
            </w:r>
          </w:p>
        </w:tc>
      </w:tr>
      <w:tr w:rsidR="008565D3" w:rsidRPr="00DA1381" w14:paraId="5CB7CCCB" w14:textId="77777777" w:rsidTr="008565D3">
        <w:trPr>
          <w:cantSplit/>
        </w:trPr>
        <w:tc>
          <w:tcPr>
            <w:tcW w:w="1701" w:type="dxa"/>
            <w:tcBorders>
              <w:top w:val="single" w:sz="4" w:space="0" w:color="B66113"/>
              <w:bottom w:val="single" w:sz="4" w:space="0" w:color="B66113"/>
            </w:tcBorders>
          </w:tcPr>
          <w:p w14:paraId="54B91975" w14:textId="77777777" w:rsidR="008565D3" w:rsidRPr="005C3532" w:rsidRDefault="008565D3" w:rsidP="008565D3">
            <w:pPr>
              <w:pStyle w:val="Tabletext"/>
            </w:pPr>
            <w:r w:rsidRPr="002B465E">
              <w:t>732</w:t>
            </w:r>
          </w:p>
        </w:tc>
        <w:tc>
          <w:tcPr>
            <w:tcW w:w="2268" w:type="dxa"/>
            <w:tcBorders>
              <w:top w:val="single" w:sz="4" w:space="0" w:color="B66113"/>
              <w:bottom w:val="single" w:sz="4" w:space="0" w:color="B66113"/>
            </w:tcBorders>
          </w:tcPr>
          <w:p w14:paraId="5C1283C8" w14:textId="77777777" w:rsidR="008565D3" w:rsidRPr="005C3532" w:rsidRDefault="008565D3" w:rsidP="008565D3">
            <w:pPr>
              <w:pStyle w:val="Tabletext"/>
            </w:pPr>
            <w:r w:rsidRPr="002B465E">
              <w:t xml:space="preserve">The review or coordination of a review </w:t>
            </w:r>
            <w:r w:rsidRPr="005C3532">
              <w:t>of a GPMP or TCA</w:t>
            </w:r>
            <w:r>
              <w:t>.</w:t>
            </w:r>
          </w:p>
        </w:tc>
        <w:tc>
          <w:tcPr>
            <w:tcW w:w="2453" w:type="dxa"/>
            <w:tcBorders>
              <w:top w:val="single" w:sz="4" w:space="0" w:color="B66113"/>
              <w:bottom w:val="single" w:sz="4" w:space="0" w:color="B66113"/>
            </w:tcBorders>
          </w:tcPr>
          <w:p w14:paraId="4D56672C" w14:textId="77777777" w:rsidR="008565D3" w:rsidRPr="005C3532" w:rsidRDefault="008565D3" w:rsidP="008565D3">
            <w:pPr>
              <w:pStyle w:val="Tabletext"/>
            </w:pPr>
            <w:r>
              <w:t xml:space="preserve">Equalise the schedule fee for creating (item 721) and subsequently reviewing a GPMP </w:t>
            </w:r>
            <w:r w:rsidRPr="005C3532">
              <w:t>and strengthen the descriptor</w:t>
            </w:r>
            <w:r>
              <w:t xml:space="preserve"> to enhance quality</w:t>
            </w:r>
            <w:r w:rsidRPr="005C3532">
              <w:t>.  Reviews would be available to enrolled patients or those with a usual GP.</w:t>
            </w:r>
          </w:p>
        </w:tc>
        <w:tc>
          <w:tcPr>
            <w:tcW w:w="3395" w:type="dxa"/>
            <w:tcBorders>
              <w:top w:val="single" w:sz="4" w:space="0" w:color="B66113"/>
              <w:bottom w:val="single" w:sz="4" w:space="0" w:color="B66113"/>
            </w:tcBorders>
          </w:tcPr>
          <w:p w14:paraId="06C0E2D2" w14:textId="77777777" w:rsidR="008565D3" w:rsidRPr="005C3532" w:rsidRDefault="008565D3" w:rsidP="008565D3">
            <w:pPr>
              <w:pStyle w:val="Tabletext"/>
            </w:pPr>
            <w:r>
              <w:t>The schedule fee for GPMP preparation and review would be the same, rather than a lower fee for review</w:t>
            </w:r>
            <w:r w:rsidRPr="005C3532">
              <w:t xml:space="preserve">.  </w:t>
            </w:r>
          </w:p>
        </w:tc>
        <w:tc>
          <w:tcPr>
            <w:tcW w:w="3427" w:type="dxa"/>
            <w:tcBorders>
              <w:top w:val="single" w:sz="4" w:space="0" w:color="B66113"/>
              <w:bottom w:val="single" w:sz="4" w:space="0" w:color="B66113"/>
            </w:tcBorders>
          </w:tcPr>
          <w:p w14:paraId="30CA51FB" w14:textId="77777777" w:rsidR="008565D3" w:rsidRPr="005C3532" w:rsidRDefault="008565D3" w:rsidP="008565D3">
            <w:pPr>
              <w:pStyle w:val="Tabletext"/>
            </w:pPr>
            <w:r>
              <w:t xml:space="preserve">Consumers would receive reviews of their GPMP more frequently and these would be of a higher quality as patients would be more involved in the planning </w:t>
            </w:r>
            <w:r w:rsidRPr="005C3532">
              <w:t>and review of their care.  Currently, 55% of patients with a GPMP never receive a review. Longitudinal care, over a cycle of care, is important for effective management of chronic disease</w:t>
            </w:r>
            <w:r>
              <w:t xml:space="preserve"> and this change would support this care</w:t>
            </w:r>
            <w:r w:rsidRPr="005C3532">
              <w:t>.</w:t>
            </w:r>
          </w:p>
        </w:tc>
      </w:tr>
    </w:tbl>
    <w:p w14:paraId="5AF894C6"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160983AB" w14:textId="77777777" w:rsidTr="00D92320">
        <w:trPr>
          <w:cantSplit/>
          <w:tblHeader/>
        </w:trPr>
        <w:tc>
          <w:tcPr>
            <w:tcW w:w="1701" w:type="dxa"/>
            <w:tcBorders>
              <w:top w:val="single" w:sz="4" w:space="0" w:color="B66113"/>
              <w:bottom w:val="single" w:sz="4" w:space="0" w:color="B66113"/>
            </w:tcBorders>
            <w:shd w:val="clear" w:color="auto" w:fill="B66113"/>
          </w:tcPr>
          <w:p w14:paraId="4DB39DE9"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7EBDCE14"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5297DEAF"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2746BE83"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60076062" w14:textId="77777777" w:rsidR="00DE1C8B" w:rsidRPr="005C3532" w:rsidRDefault="00DE1C8B" w:rsidP="00D92320">
            <w:pPr>
              <w:pStyle w:val="Tableheading-white"/>
            </w:pPr>
            <w:r w:rsidRPr="00DA1381">
              <w:t>Why</w:t>
            </w:r>
          </w:p>
        </w:tc>
      </w:tr>
      <w:tr w:rsidR="008565D3" w:rsidRPr="00DA1381" w14:paraId="0A7240DD" w14:textId="77777777" w:rsidTr="008565D3">
        <w:trPr>
          <w:cantSplit/>
        </w:trPr>
        <w:tc>
          <w:tcPr>
            <w:tcW w:w="13244" w:type="dxa"/>
            <w:gridSpan w:val="5"/>
            <w:tcBorders>
              <w:top w:val="single" w:sz="4" w:space="0" w:color="B66113"/>
              <w:bottom w:val="single" w:sz="4" w:space="0" w:color="B66113"/>
            </w:tcBorders>
          </w:tcPr>
          <w:p w14:paraId="123873F2" w14:textId="5126DCFC" w:rsidR="008565D3" w:rsidRPr="000A70EB" w:rsidRDefault="008565D3" w:rsidP="008565D3">
            <w:pPr>
              <w:pStyle w:val="Tabletext"/>
              <w:rPr>
                <w:b/>
              </w:rPr>
            </w:pPr>
            <w:r w:rsidRPr="000A70EB">
              <w:rPr>
                <w:b/>
              </w:rPr>
              <w:t>Recommendation 4.4</w:t>
            </w:r>
          </w:p>
          <w:p w14:paraId="1AC4C97B" w14:textId="77777777" w:rsidR="008565D3" w:rsidRPr="00637BD3" w:rsidRDefault="008565D3" w:rsidP="008565D3">
            <w:pPr>
              <w:pStyle w:val="Tabletext"/>
            </w:pPr>
            <w:r>
              <w:t>Increase patient access to high quality care coordination across physical, mental and social care domains.</w:t>
            </w:r>
          </w:p>
        </w:tc>
      </w:tr>
      <w:tr w:rsidR="008565D3" w:rsidRPr="00DA1381" w14:paraId="26E3BB65" w14:textId="77777777" w:rsidTr="008565D3">
        <w:trPr>
          <w:cantSplit/>
        </w:trPr>
        <w:tc>
          <w:tcPr>
            <w:tcW w:w="1701" w:type="dxa"/>
            <w:tcBorders>
              <w:top w:val="single" w:sz="4" w:space="0" w:color="B66113"/>
              <w:bottom w:val="single" w:sz="4" w:space="0" w:color="B66113"/>
            </w:tcBorders>
          </w:tcPr>
          <w:p w14:paraId="5C2F1535" w14:textId="77777777" w:rsidR="008565D3" w:rsidRDefault="008565D3" w:rsidP="008565D3">
            <w:pPr>
              <w:pStyle w:val="Tabletext"/>
            </w:pPr>
            <w:r>
              <w:t>-</w:t>
            </w:r>
          </w:p>
        </w:tc>
        <w:tc>
          <w:tcPr>
            <w:tcW w:w="2268" w:type="dxa"/>
            <w:tcBorders>
              <w:top w:val="single" w:sz="4" w:space="0" w:color="B66113"/>
              <w:bottom w:val="single" w:sz="4" w:space="0" w:color="B66113"/>
            </w:tcBorders>
          </w:tcPr>
          <w:p w14:paraId="154D7191" w14:textId="77777777" w:rsidR="008565D3" w:rsidRDefault="008565D3" w:rsidP="008565D3">
            <w:pPr>
              <w:pStyle w:val="Tabletext"/>
            </w:pPr>
            <w:r>
              <w:t>-</w:t>
            </w:r>
          </w:p>
        </w:tc>
        <w:tc>
          <w:tcPr>
            <w:tcW w:w="2453" w:type="dxa"/>
            <w:tcBorders>
              <w:top w:val="single" w:sz="4" w:space="0" w:color="B66113"/>
              <w:bottom w:val="single" w:sz="4" w:space="0" w:color="B66113"/>
            </w:tcBorders>
          </w:tcPr>
          <w:p w14:paraId="570A7CF3" w14:textId="77777777" w:rsidR="008565D3" w:rsidRDefault="008565D3" w:rsidP="008565D3">
            <w:pPr>
              <w:pStyle w:val="Tabletext"/>
            </w:pPr>
            <w:r>
              <w:t>I</w:t>
            </w:r>
            <w:r w:rsidRPr="008B2020">
              <w:t>ncreas</w:t>
            </w:r>
            <w:r>
              <w:t>e</w:t>
            </w:r>
            <w:r w:rsidRPr="008B2020">
              <w:t xml:space="preserve"> access to care coordination services that encompass bio-psycho-social models of care.</w:t>
            </w:r>
          </w:p>
        </w:tc>
        <w:tc>
          <w:tcPr>
            <w:tcW w:w="3395" w:type="dxa"/>
            <w:tcBorders>
              <w:top w:val="single" w:sz="4" w:space="0" w:color="B66113"/>
              <w:bottom w:val="single" w:sz="4" w:space="0" w:color="B66113"/>
            </w:tcBorders>
          </w:tcPr>
          <w:p w14:paraId="486855BC" w14:textId="77777777" w:rsidR="008565D3" w:rsidRDefault="008565D3" w:rsidP="008565D3">
            <w:pPr>
              <w:pStyle w:val="Tablebullet-green"/>
              <w:numPr>
                <w:ilvl w:val="0"/>
                <w:numId w:val="0"/>
              </w:numPr>
              <w:spacing w:before="140"/>
            </w:pPr>
            <w:r>
              <w:t>Consumers would experience increased support to access care and be more actively involved in their own care planning.</w:t>
            </w:r>
          </w:p>
        </w:tc>
        <w:tc>
          <w:tcPr>
            <w:tcW w:w="3427" w:type="dxa"/>
            <w:tcBorders>
              <w:top w:val="single" w:sz="4" w:space="0" w:color="B66113"/>
              <w:bottom w:val="single" w:sz="4" w:space="0" w:color="B66113"/>
            </w:tcBorders>
          </w:tcPr>
          <w:p w14:paraId="65ADF6DE" w14:textId="77777777" w:rsidR="008565D3" w:rsidRPr="00B1790B" w:rsidRDefault="008565D3" w:rsidP="008565D3">
            <w:pPr>
              <w:pStyle w:val="Tabletext"/>
            </w:pPr>
            <w:r>
              <w:t xml:space="preserve">This recommendation will support consumers accessing care, including informed choice regarding </w:t>
            </w:r>
            <w:r w:rsidRPr="00637BD3">
              <w:t xml:space="preserve">cost, quality and availability </w:t>
            </w:r>
            <w:r>
              <w:t>of services.</w:t>
            </w:r>
          </w:p>
          <w:p w14:paraId="5DE4A03A" w14:textId="77777777" w:rsidR="008565D3" w:rsidRDefault="008565D3" w:rsidP="008565D3">
            <w:pPr>
              <w:pStyle w:val="Tabletext"/>
            </w:pPr>
            <w:r w:rsidRPr="00B1790B">
              <w:t>Consumers with complex health care needs would benefit from greater assistance with care coordination and facilitation from a registered nurse, enrolled nurse or Aboriginal health practitioner or Aboriginal health worker</w:t>
            </w:r>
            <w:r>
              <w:t>.</w:t>
            </w:r>
          </w:p>
        </w:tc>
      </w:tr>
    </w:tbl>
    <w:p w14:paraId="008D59D3"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3B785866" w14:textId="77777777" w:rsidTr="00D92320">
        <w:trPr>
          <w:cantSplit/>
          <w:tblHeader/>
        </w:trPr>
        <w:tc>
          <w:tcPr>
            <w:tcW w:w="1701" w:type="dxa"/>
            <w:tcBorders>
              <w:top w:val="single" w:sz="4" w:space="0" w:color="B66113"/>
              <w:bottom w:val="single" w:sz="4" w:space="0" w:color="B66113"/>
            </w:tcBorders>
            <w:shd w:val="clear" w:color="auto" w:fill="B66113"/>
          </w:tcPr>
          <w:p w14:paraId="37126AD5"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58993E13"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09EF50CC"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3CFB592F"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119926F6" w14:textId="77777777" w:rsidR="00DE1C8B" w:rsidRPr="005C3532" w:rsidRDefault="00DE1C8B" w:rsidP="00D92320">
            <w:pPr>
              <w:pStyle w:val="Tableheading-white"/>
            </w:pPr>
            <w:r w:rsidRPr="00DA1381">
              <w:t>Why</w:t>
            </w:r>
          </w:p>
        </w:tc>
      </w:tr>
      <w:tr w:rsidR="008565D3" w:rsidRPr="00DA1381" w14:paraId="15C586C3" w14:textId="77777777" w:rsidTr="008565D3">
        <w:trPr>
          <w:cantSplit/>
        </w:trPr>
        <w:tc>
          <w:tcPr>
            <w:tcW w:w="13244" w:type="dxa"/>
            <w:gridSpan w:val="5"/>
            <w:tcBorders>
              <w:top w:val="single" w:sz="4" w:space="0" w:color="B66113"/>
              <w:bottom w:val="single" w:sz="4" w:space="0" w:color="B66113"/>
            </w:tcBorders>
          </w:tcPr>
          <w:p w14:paraId="0998E1DE" w14:textId="5733FD68" w:rsidR="008565D3" w:rsidRPr="000A70EB" w:rsidRDefault="008565D3" w:rsidP="008565D3">
            <w:pPr>
              <w:pStyle w:val="Tabletext"/>
              <w:rPr>
                <w:b/>
              </w:rPr>
            </w:pPr>
            <w:r w:rsidRPr="000A70EB">
              <w:rPr>
                <w:b/>
              </w:rPr>
              <w:t>Recommendation 4.5</w:t>
            </w:r>
          </w:p>
          <w:p w14:paraId="491DC2C3" w14:textId="77777777" w:rsidR="008565D3" w:rsidRDefault="008565D3" w:rsidP="008565D3">
            <w:pPr>
              <w:pStyle w:val="Tabletext"/>
            </w:pPr>
            <w:r>
              <w:t>Develop advice and support mechanisms to activate and engage patients in their own care planning, including the assessment and support of patient health literacy activities.</w:t>
            </w:r>
          </w:p>
        </w:tc>
      </w:tr>
      <w:tr w:rsidR="008565D3" w:rsidRPr="00DA1381" w14:paraId="56413C14" w14:textId="77777777" w:rsidTr="008565D3">
        <w:trPr>
          <w:cantSplit/>
        </w:trPr>
        <w:tc>
          <w:tcPr>
            <w:tcW w:w="1701" w:type="dxa"/>
            <w:tcBorders>
              <w:top w:val="single" w:sz="4" w:space="0" w:color="B66113"/>
              <w:bottom w:val="single" w:sz="4" w:space="0" w:color="B66113"/>
            </w:tcBorders>
          </w:tcPr>
          <w:p w14:paraId="55CFAB19" w14:textId="77777777" w:rsidR="008565D3" w:rsidRDefault="008565D3" w:rsidP="008565D3">
            <w:pPr>
              <w:pStyle w:val="Tabletext"/>
            </w:pPr>
            <w:r>
              <w:t>-</w:t>
            </w:r>
          </w:p>
        </w:tc>
        <w:tc>
          <w:tcPr>
            <w:tcW w:w="2268" w:type="dxa"/>
            <w:tcBorders>
              <w:top w:val="single" w:sz="4" w:space="0" w:color="B66113"/>
              <w:bottom w:val="single" w:sz="4" w:space="0" w:color="B66113"/>
            </w:tcBorders>
          </w:tcPr>
          <w:p w14:paraId="1AE3CA22" w14:textId="77777777" w:rsidR="008565D3" w:rsidRDefault="008565D3" w:rsidP="008565D3">
            <w:pPr>
              <w:pStyle w:val="Tabletext"/>
            </w:pPr>
            <w:r>
              <w:t>-</w:t>
            </w:r>
          </w:p>
        </w:tc>
        <w:tc>
          <w:tcPr>
            <w:tcW w:w="2453" w:type="dxa"/>
            <w:tcBorders>
              <w:top w:val="single" w:sz="4" w:space="0" w:color="B66113"/>
              <w:bottom w:val="single" w:sz="4" w:space="0" w:color="B66113"/>
            </w:tcBorders>
          </w:tcPr>
          <w:p w14:paraId="2FCE2AFB" w14:textId="77777777" w:rsidR="008565D3" w:rsidRDefault="008565D3" w:rsidP="008565D3">
            <w:pPr>
              <w:pStyle w:val="Tabletext"/>
            </w:pPr>
            <w:r w:rsidRPr="00F96842">
              <w:t xml:space="preserve">Develop advice and support mechanisms to activate and engage patients in their own care planning. </w:t>
            </w:r>
          </w:p>
        </w:tc>
        <w:tc>
          <w:tcPr>
            <w:tcW w:w="3395" w:type="dxa"/>
            <w:tcBorders>
              <w:top w:val="single" w:sz="4" w:space="0" w:color="B66113"/>
              <w:bottom w:val="single" w:sz="4" w:space="0" w:color="B66113"/>
            </w:tcBorders>
          </w:tcPr>
          <w:p w14:paraId="1353B49B" w14:textId="77777777" w:rsidR="008565D3" w:rsidRPr="00F96842" w:rsidRDefault="008565D3" w:rsidP="008565D3">
            <w:pPr>
              <w:pStyle w:val="Tabletext"/>
            </w:pPr>
            <w:r>
              <w:t>Patient engagement and information would be available to support joint decision making.</w:t>
            </w:r>
          </w:p>
          <w:p w14:paraId="0D44547C" w14:textId="77777777" w:rsidR="008565D3" w:rsidRPr="00F96842" w:rsidRDefault="008565D3" w:rsidP="008565D3">
            <w:pPr>
              <w:pStyle w:val="Tabletext"/>
            </w:pPr>
            <w:r>
              <w:t>Improved care co-ordination</w:t>
            </w:r>
            <w:r w:rsidRPr="00F96842">
              <w:t xml:space="preserve"> can help patients manage their conditions.</w:t>
            </w:r>
          </w:p>
          <w:p w14:paraId="1169D90A" w14:textId="77777777" w:rsidR="008565D3" w:rsidRDefault="008565D3" w:rsidP="008565D3">
            <w:pPr>
              <w:pStyle w:val="Tabletext"/>
            </w:pPr>
          </w:p>
        </w:tc>
        <w:tc>
          <w:tcPr>
            <w:tcW w:w="3427" w:type="dxa"/>
            <w:tcBorders>
              <w:top w:val="single" w:sz="4" w:space="0" w:color="B66113"/>
              <w:bottom w:val="single" w:sz="4" w:space="0" w:color="B66113"/>
            </w:tcBorders>
          </w:tcPr>
          <w:p w14:paraId="24B80CC2" w14:textId="77777777" w:rsidR="008565D3" w:rsidRDefault="008565D3" w:rsidP="008565D3">
            <w:pPr>
              <w:pStyle w:val="Tabletext"/>
            </w:pPr>
            <w:r>
              <w:t xml:space="preserve">Evidence demonstrates a link between outcomes and patient satisfaction when patients are </w:t>
            </w:r>
            <w:r w:rsidRPr="00F96842">
              <w:t>actively involved in making decisions about their health car</w:t>
            </w:r>
            <w:r>
              <w:t xml:space="preserve">e. </w:t>
            </w:r>
            <w:r w:rsidRPr="00F96842">
              <w:t>Improved health literacy can be strengthened through better doctor-patient communication and through a commitment to informed patient consent.</w:t>
            </w:r>
            <w:r>
              <w:t xml:space="preserve"> </w:t>
            </w:r>
          </w:p>
          <w:p w14:paraId="43CE23D3" w14:textId="77777777" w:rsidR="008565D3" w:rsidRDefault="008565D3" w:rsidP="008565D3">
            <w:pPr>
              <w:pStyle w:val="Tabletext"/>
            </w:pPr>
            <w:r>
              <w:t>Developing advice and support mechanisms will assist consumers engaging in their own care planning and improve health outcomes for consumers.</w:t>
            </w:r>
          </w:p>
        </w:tc>
      </w:tr>
    </w:tbl>
    <w:p w14:paraId="081E335A"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25F8C895" w14:textId="77777777" w:rsidTr="00D92320">
        <w:trPr>
          <w:cantSplit/>
          <w:tblHeader/>
        </w:trPr>
        <w:tc>
          <w:tcPr>
            <w:tcW w:w="1701" w:type="dxa"/>
            <w:tcBorders>
              <w:top w:val="single" w:sz="4" w:space="0" w:color="B66113"/>
              <w:bottom w:val="single" w:sz="4" w:space="0" w:color="B66113"/>
            </w:tcBorders>
            <w:shd w:val="clear" w:color="auto" w:fill="B66113"/>
          </w:tcPr>
          <w:p w14:paraId="345BB614"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3D64FDC6"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66686CF8"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4F295057"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7EFC092C" w14:textId="77777777" w:rsidR="00DE1C8B" w:rsidRPr="005C3532" w:rsidRDefault="00DE1C8B" w:rsidP="00D92320">
            <w:pPr>
              <w:pStyle w:val="Tableheading-white"/>
            </w:pPr>
            <w:r w:rsidRPr="00DA1381">
              <w:t>Why</w:t>
            </w:r>
          </w:p>
        </w:tc>
      </w:tr>
      <w:tr w:rsidR="008565D3" w:rsidRPr="0022256C" w14:paraId="297C3B21" w14:textId="77777777" w:rsidTr="008565D3">
        <w:trPr>
          <w:cantSplit/>
        </w:trPr>
        <w:tc>
          <w:tcPr>
            <w:tcW w:w="13244" w:type="dxa"/>
            <w:gridSpan w:val="5"/>
            <w:tcBorders>
              <w:top w:val="single" w:sz="4" w:space="0" w:color="B66113"/>
              <w:bottom w:val="single" w:sz="4" w:space="0" w:color="B66113"/>
            </w:tcBorders>
          </w:tcPr>
          <w:p w14:paraId="1FAAB0B9" w14:textId="04172CCC" w:rsidR="008565D3" w:rsidRPr="006E6DC2" w:rsidRDefault="008565D3" w:rsidP="008565D3">
            <w:pPr>
              <w:pStyle w:val="Tabletext"/>
              <w:rPr>
                <w:b/>
              </w:rPr>
            </w:pPr>
            <w:r w:rsidRPr="006E6DC2">
              <w:rPr>
                <w:b/>
              </w:rPr>
              <w:t>Recommendation 4.6</w:t>
            </w:r>
            <w:r>
              <w:rPr>
                <w:b/>
              </w:rPr>
              <w:t xml:space="preserve"> </w:t>
            </w:r>
          </w:p>
          <w:p w14:paraId="724A5A6F" w14:textId="77777777" w:rsidR="008565D3" w:rsidRPr="0022256C" w:rsidRDefault="008565D3" w:rsidP="008565D3">
            <w:pPr>
              <w:pStyle w:val="Tabletext"/>
            </w:pPr>
            <w:r w:rsidRPr="00555CD4">
              <w:t>Encourage increased patient participation and rebate attendance of non-medical health professionals at case conferences.</w:t>
            </w:r>
          </w:p>
        </w:tc>
      </w:tr>
      <w:tr w:rsidR="008565D3" w:rsidRPr="005C3532" w14:paraId="201AD697" w14:textId="77777777" w:rsidTr="008565D3">
        <w:trPr>
          <w:cantSplit/>
        </w:trPr>
        <w:tc>
          <w:tcPr>
            <w:tcW w:w="1701" w:type="dxa"/>
            <w:tcBorders>
              <w:top w:val="single" w:sz="4" w:space="0" w:color="B66113"/>
              <w:bottom w:val="single" w:sz="4" w:space="0" w:color="B66113"/>
            </w:tcBorders>
          </w:tcPr>
          <w:p w14:paraId="1DF51C8F" w14:textId="77777777" w:rsidR="008565D3" w:rsidRPr="005C3532" w:rsidRDefault="008565D3" w:rsidP="008565D3">
            <w:pPr>
              <w:pStyle w:val="Tabletext"/>
            </w:pPr>
            <w:r w:rsidRPr="00506714">
              <w:t>735</w:t>
            </w:r>
            <w:r>
              <w:t xml:space="preserve">, 739, 743, </w:t>
            </w:r>
            <w:r w:rsidRPr="00506714">
              <w:t>747</w:t>
            </w:r>
            <w:r>
              <w:t>, 750, 758</w:t>
            </w:r>
          </w:p>
        </w:tc>
        <w:tc>
          <w:tcPr>
            <w:tcW w:w="2268" w:type="dxa"/>
            <w:tcBorders>
              <w:top w:val="single" w:sz="4" w:space="0" w:color="B66113"/>
              <w:bottom w:val="single" w:sz="4" w:space="0" w:color="B66113"/>
            </w:tcBorders>
          </w:tcPr>
          <w:p w14:paraId="5F555CEF" w14:textId="77777777" w:rsidR="008565D3" w:rsidRPr="005C3532" w:rsidRDefault="008565D3" w:rsidP="008565D3">
            <w:pPr>
              <w:pStyle w:val="Tabletext"/>
            </w:pPr>
            <w:r>
              <w:t>O</w:t>
            </w:r>
            <w:r w:rsidRPr="00506714">
              <w:t>rganisation</w:t>
            </w:r>
            <w:r>
              <w:t>,</w:t>
            </w:r>
            <w:r w:rsidRPr="00506714">
              <w:t xml:space="preserve"> </w:t>
            </w:r>
            <w:r w:rsidRPr="005C3532">
              <w:t>coordination</w:t>
            </w:r>
            <w:r>
              <w:t xml:space="preserve"> and attendance</w:t>
            </w:r>
            <w:r w:rsidRPr="005C3532">
              <w:t xml:space="preserve"> by a medical practitioner, of a</w:t>
            </w:r>
            <w:r>
              <w:t xml:space="preserve"> multidisciplinary case conference in the community or after a patient is discharged from hospital</w:t>
            </w:r>
          </w:p>
          <w:p w14:paraId="68DB257F" w14:textId="77777777" w:rsidR="008565D3" w:rsidRPr="005C3532" w:rsidRDefault="008565D3" w:rsidP="008565D3">
            <w:pPr>
              <w:pStyle w:val="Tabletext"/>
            </w:pPr>
            <w:r>
              <w:t xml:space="preserve"> </w:t>
            </w:r>
          </w:p>
        </w:tc>
        <w:tc>
          <w:tcPr>
            <w:tcW w:w="2453" w:type="dxa"/>
            <w:tcBorders>
              <w:top w:val="single" w:sz="4" w:space="0" w:color="B66113"/>
              <w:bottom w:val="single" w:sz="4" w:space="0" w:color="B66113"/>
            </w:tcBorders>
          </w:tcPr>
          <w:p w14:paraId="3A3A6FD3" w14:textId="77777777" w:rsidR="008565D3" w:rsidRDefault="008565D3" w:rsidP="008565D3">
            <w:pPr>
              <w:pStyle w:val="Tabletext"/>
            </w:pPr>
            <w:r w:rsidRPr="00506714">
              <w:t xml:space="preserve">Patients to be </w:t>
            </w:r>
            <w:r>
              <w:t>invited</w:t>
            </w:r>
            <w:r w:rsidRPr="00506714">
              <w:t xml:space="preserve"> to attend the case conference</w:t>
            </w:r>
            <w:r>
              <w:t>.</w:t>
            </w:r>
            <w:r w:rsidRPr="00506714">
              <w:t xml:space="preserve"> </w:t>
            </w:r>
          </w:p>
          <w:p w14:paraId="6EE0C0B3" w14:textId="77777777" w:rsidR="008565D3" w:rsidRDefault="008565D3" w:rsidP="008565D3">
            <w:pPr>
              <w:pStyle w:val="Tabletext"/>
            </w:pPr>
            <w:r>
              <w:t>N</w:t>
            </w:r>
            <w:r w:rsidRPr="00506714">
              <w:t>on-</w:t>
            </w:r>
            <w:r>
              <w:t>medical</w:t>
            </w:r>
            <w:r w:rsidRPr="00506714">
              <w:t xml:space="preserve"> health practitioners should </w:t>
            </w:r>
            <w:r>
              <w:t>receive</w:t>
            </w:r>
            <w:r w:rsidRPr="00506714">
              <w:t xml:space="preserve"> rebate</w:t>
            </w:r>
            <w:r>
              <w:t>s</w:t>
            </w:r>
            <w:r w:rsidRPr="00506714">
              <w:t xml:space="preserve"> for attendance at case conferences</w:t>
            </w:r>
            <w:r>
              <w:t>.</w:t>
            </w:r>
          </w:p>
          <w:p w14:paraId="3F4D8512" w14:textId="77777777" w:rsidR="008565D3" w:rsidRPr="005C3532" w:rsidRDefault="008565D3" w:rsidP="008565D3">
            <w:pPr>
              <w:pStyle w:val="Tabletext"/>
            </w:pPr>
            <w:r>
              <w:t>O</w:t>
            </w:r>
            <w:r w:rsidRPr="00506714">
              <w:t>utcomes of the case conference to be uploaded to the patient's My Health Record</w:t>
            </w:r>
            <w:r>
              <w:t>, with the patient’s consent</w:t>
            </w:r>
            <w:r w:rsidRPr="00506714">
              <w:t>.</w:t>
            </w:r>
          </w:p>
          <w:p w14:paraId="1BF6C8B3" w14:textId="77777777" w:rsidR="008565D3" w:rsidRPr="00267BD2" w:rsidRDefault="008565D3" w:rsidP="008565D3">
            <w:pPr>
              <w:pStyle w:val="Tabletext"/>
            </w:pPr>
          </w:p>
        </w:tc>
        <w:tc>
          <w:tcPr>
            <w:tcW w:w="3395" w:type="dxa"/>
            <w:tcBorders>
              <w:top w:val="single" w:sz="4" w:space="0" w:color="B66113"/>
              <w:bottom w:val="single" w:sz="4" w:space="0" w:color="B66113"/>
            </w:tcBorders>
          </w:tcPr>
          <w:p w14:paraId="657E479A" w14:textId="77777777" w:rsidR="008565D3" w:rsidRDefault="008565D3" w:rsidP="008565D3">
            <w:pPr>
              <w:pStyle w:val="Tabletext"/>
            </w:pPr>
            <w:r w:rsidRPr="00506714">
              <w:t xml:space="preserve">Patients </w:t>
            </w:r>
            <w:r>
              <w:t>would</w:t>
            </w:r>
            <w:r w:rsidRPr="00506714">
              <w:t xml:space="preserve"> be encouraged to be actively involved in goal setting and decision-making</w:t>
            </w:r>
            <w:r>
              <w:t xml:space="preserve"> through a person-centred approach. Informed patient consent included in the development of the plan.</w:t>
            </w:r>
          </w:p>
          <w:p w14:paraId="388DD136" w14:textId="77777777" w:rsidR="008565D3" w:rsidRPr="005C3532" w:rsidRDefault="008565D3" w:rsidP="008565D3">
            <w:pPr>
              <w:pStyle w:val="Tabletext"/>
            </w:pPr>
            <w:r>
              <w:t>Non-medical health practitioners would receive funding to attend case-conferences.</w:t>
            </w:r>
            <w:r w:rsidRPr="005C3532">
              <w:t xml:space="preserve"> </w:t>
            </w:r>
            <w:r>
              <w:t>C</w:t>
            </w:r>
            <w:r w:rsidRPr="00506714">
              <w:t>ase conferencing would be more widely accessed.</w:t>
            </w:r>
          </w:p>
        </w:tc>
        <w:tc>
          <w:tcPr>
            <w:tcW w:w="3427" w:type="dxa"/>
            <w:tcBorders>
              <w:top w:val="single" w:sz="4" w:space="0" w:color="B66113"/>
              <w:bottom w:val="single" w:sz="4" w:space="0" w:color="B66113"/>
            </w:tcBorders>
          </w:tcPr>
          <w:p w14:paraId="339FDE88" w14:textId="77777777" w:rsidR="008565D3" w:rsidRPr="00925E06" w:rsidRDefault="008565D3" w:rsidP="008565D3">
            <w:pPr>
              <w:pStyle w:val="Tabletext"/>
            </w:pPr>
            <w:r w:rsidRPr="00506714">
              <w:t>This will improve access to case conferencing as part of effective chronic disease management</w:t>
            </w:r>
            <w:r>
              <w:t>,</w:t>
            </w:r>
            <w:r w:rsidRPr="00506714">
              <w:t xml:space="preserve"> and will support </w:t>
            </w:r>
            <w:r w:rsidRPr="005C3532">
              <w:t xml:space="preserve">doctor-patient communication and patient self-management of their health.  </w:t>
            </w:r>
          </w:p>
          <w:p w14:paraId="1728E00D" w14:textId="77777777" w:rsidR="008565D3" w:rsidRDefault="008565D3" w:rsidP="008565D3">
            <w:pPr>
              <w:pStyle w:val="Tabletext"/>
            </w:pPr>
            <w:r w:rsidRPr="005C3532">
              <w:t xml:space="preserve">It will allow the GP and relevant service providers to consider </w:t>
            </w:r>
            <w:r>
              <w:t xml:space="preserve">and coordinate </w:t>
            </w:r>
            <w:r w:rsidRPr="005C3532">
              <w:t>an individual patient’s circumstances (including needs, preferences and values), in the development of an appropriate plan to co-ordinate and manage their care.</w:t>
            </w:r>
          </w:p>
          <w:p w14:paraId="162801A1" w14:textId="77777777" w:rsidR="008565D3" w:rsidRPr="005C3532" w:rsidRDefault="008565D3" w:rsidP="008565D3">
            <w:pPr>
              <w:pStyle w:val="Tabletext"/>
            </w:pPr>
            <w:r w:rsidRPr="005C3532">
              <w:t>Case conferencing by phone or video supports patient convenience and access.</w:t>
            </w:r>
          </w:p>
          <w:p w14:paraId="17D34C17" w14:textId="77777777" w:rsidR="008565D3" w:rsidRPr="005C3532" w:rsidRDefault="008565D3" w:rsidP="008565D3"/>
        </w:tc>
      </w:tr>
      <w:tr w:rsidR="008565D3" w:rsidRPr="005C3532" w14:paraId="13769306" w14:textId="77777777" w:rsidTr="008565D3">
        <w:trPr>
          <w:cantSplit/>
        </w:trPr>
        <w:tc>
          <w:tcPr>
            <w:tcW w:w="1701" w:type="dxa"/>
            <w:tcBorders>
              <w:top w:val="single" w:sz="4" w:space="0" w:color="B66113"/>
              <w:bottom w:val="single" w:sz="4" w:space="0" w:color="B66113"/>
            </w:tcBorders>
          </w:tcPr>
          <w:p w14:paraId="40A7163A" w14:textId="77777777" w:rsidR="008565D3" w:rsidRDefault="008565D3" w:rsidP="008565D3">
            <w:pPr>
              <w:pStyle w:val="Tabletext"/>
            </w:pPr>
            <w:r>
              <w:t>Three new items for case conferences lasting:</w:t>
            </w:r>
          </w:p>
          <w:p w14:paraId="650C91D3" w14:textId="77777777" w:rsidR="008565D3" w:rsidRDefault="008565D3" w:rsidP="008565D3">
            <w:pPr>
              <w:pStyle w:val="Tabletext"/>
              <w:numPr>
                <w:ilvl w:val="0"/>
                <w:numId w:val="81"/>
              </w:numPr>
              <w:ind w:left="175" w:hanging="218"/>
            </w:pPr>
            <w:r>
              <w:t>from 15-20 mins.</w:t>
            </w:r>
          </w:p>
          <w:p w14:paraId="2E4334EE" w14:textId="77777777" w:rsidR="008565D3" w:rsidRDefault="008565D3" w:rsidP="008565D3">
            <w:pPr>
              <w:pStyle w:val="Tabletext"/>
              <w:numPr>
                <w:ilvl w:val="0"/>
                <w:numId w:val="81"/>
              </w:numPr>
              <w:ind w:left="175" w:hanging="218"/>
            </w:pPr>
            <w:r>
              <w:t>from 20-40 mins.</w:t>
            </w:r>
          </w:p>
          <w:p w14:paraId="635249CD" w14:textId="77777777" w:rsidR="008565D3" w:rsidRDefault="008565D3" w:rsidP="008565D3">
            <w:pPr>
              <w:pStyle w:val="Tabletext"/>
              <w:numPr>
                <w:ilvl w:val="0"/>
                <w:numId w:val="81"/>
              </w:numPr>
              <w:ind w:left="175" w:hanging="218"/>
            </w:pPr>
            <w:r>
              <w:t>at least 40 mins.</w:t>
            </w:r>
          </w:p>
          <w:p w14:paraId="66E63847" w14:textId="77777777" w:rsidR="008565D3" w:rsidRPr="003B56C7" w:rsidRDefault="008565D3" w:rsidP="008565D3"/>
        </w:tc>
        <w:tc>
          <w:tcPr>
            <w:tcW w:w="2268" w:type="dxa"/>
            <w:tcBorders>
              <w:top w:val="single" w:sz="4" w:space="0" w:color="B66113"/>
              <w:bottom w:val="single" w:sz="4" w:space="0" w:color="B66113"/>
            </w:tcBorders>
          </w:tcPr>
          <w:p w14:paraId="2909F0D5" w14:textId="77777777" w:rsidR="008565D3" w:rsidRPr="005C3532" w:rsidRDefault="008565D3" w:rsidP="008565D3">
            <w:pPr>
              <w:pStyle w:val="Tabletext"/>
            </w:pPr>
            <w:r>
              <w:t xml:space="preserve">Attendance by a </w:t>
            </w:r>
            <w:r w:rsidRPr="005C3532">
              <w:t>non-</w:t>
            </w:r>
            <w:r>
              <w:t>medical</w:t>
            </w:r>
            <w:r w:rsidRPr="005C3532">
              <w:t xml:space="preserve"> health practitioner</w:t>
            </w:r>
            <w:r>
              <w:t xml:space="preserve"> at a case conference</w:t>
            </w:r>
            <w:r w:rsidRPr="005C3532">
              <w:t>.</w:t>
            </w:r>
          </w:p>
        </w:tc>
        <w:tc>
          <w:tcPr>
            <w:tcW w:w="2453" w:type="dxa"/>
            <w:tcBorders>
              <w:top w:val="single" w:sz="4" w:space="0" w:color="B66113"/>
              <w:bottom w:val="single" w:sz="4" w:space="0" w:color="B66113"/>
            </w:tcBorders>
          </w:tcPr>
          <w:p w14:paraId="7D68EA93" w14:textId="77777777" w:rsidR="008565D3" w:rsidRPr="005C3532" w:rsidRDefault="008565D3" w:rsidP="008565D3">
            <w:pPr>
              <w:pStyle w:val="Tabletext"/>
            </w:pPr>
            <w:r>
              <w:t>Create new items to provide a rebate for non-medical health practitioners to attend a case conference organised and coordinated by a medical practitioner.</w:t>
            </w:r>
          </w:p>
        </w:tc>
        <w:tc>
          <w:tcPr>
            <w:tcW w:w="3395" w:type="dxa"/>
            <w:tcBorders>
              <w:top w:val="single" w:sz="4" w:space="0" w:color="B66113"/>
              <w:bottom w:val="single" w:sz="4" w:space="0" w:color="B66113"/>
            </w:tcBorders>
          </w:tcPr>
          <w:p w14:paraId="3CFC0961" w14:textId="77777777" w:rsidR="008565D3" w:rsidRPr="005C3532" w:rsidRDefault="008565D3" w:rsidP="008565D3">
            <w:pPr>
              <w:pStyle w:val="Tabletext"/>
            </w:pPr>
            <w:r>
              <w:t>Non-medical health practitioners would receive funding to attend case-conferences in addition to medical practitioners</w:t>
            </w:r>
            <w:r w:rsidRPr="005C3532">
              <w:t>.</w:t>
            </w:r>
          </w:p>
        </w:tc>
        <w:tc>
          <w:tcPr>
            <w:tcW w:w="3427" w:type="dxa"/>
            <w:tcBorders>
              <w:top w:val="single" w:sz="4" w:space="0" w:color="B66113"/>
              <w:bottom w:val="single" w:sz="4" w:space="0" w:color="B66113"/>
            </w:tcBorders>
          </w:tcPr>
          <w:p w14:paraId="2C00B15F" w14:textId="77777777" w:rsidR="008565D3" w:rsidRDefault="008565D3" w:rsidP="008565D3">
            <w:pPr>
              <w:pStyle w:val="Tabletext"/>
            </w:pPr>
            <w:r>
              <w:t>Enabling non-medical health practitioners to participate in a case conference may increase uptake of case conferences</w:t>
            </w:r>
            <w:r w:rsidRPr="005C3532">
              <w:t xml:space="preserve"> and</w:t>
            </w:r>
            <w:r>
              <w:t xml:space="preserve"> improve coordination and management of patient’s care.</w:t>
            </w:r>
          </w:p>
          <w:p w14:paraId="31A148E7" w14:textId="77777777" w:rsidR="008565D3" w:rsidRPr="005C3532" w:rsidRDefault="008565D3" w:rsidP="008565D3">
            <w:pPr>
              <w:pStyle w:val="Tabletext"/>
            </w:pPr>
            <w:r w:rsidRPr="005C3532">
              <w:t xml:space="preserve">This </w:t>
            </w:r>
            <w:r>
              <w:t>recommendation will</w:t>
            </w:r>
            <w:r w:rsidRPr="005C3532">
              <w:t xml:space="preserve"> support the ongoing management of the patient’s health</w:t>
            </w:r>
            <w:r>
              <w:t>, supporting increased participation of relevant health practitioners involved in the patient’s care</w:t>
            </w:r>
            <w:r w:rsidRPr="005C3532">
              <w:t>.</w:t>
            </w:r>
          </w:p>
        </w:tc>
      </w:tr>
    </w:tbl>
    <w:p w14:paraId="46F2FD22" w14:textId="61C79FB9" w:rsidR="00DE1C8B" w:rsidRDefault="00DE1C8B" w:rsidP="008565D3">
      <w:pPr>
        <w:pStyle w:val="Tabletext"/>
      </w:pPr>
    </w:p>
    <w:p w14:paraId="42475CF1" w14:textId="77777777" w:rsidR="00DE1C8B" w:rsidRDefault="00DE1C8B">
      <w:pPr>
        <w:spacing w:before="0" w:after="0" w:line="240" w:lineRule="auto"/>
        <w:rPr>
          <w:rFonts w:eastAsia="Calibri"/>
          <w:sz w:val="18"/>
          <w:szCs w:val="18"/>
        </w:rPr>
      </w:pPr>
      <w:r>
        <w:br w:type="page"/>
      </w:r>
    </w:p>
    <w:p w14:paraId="74CFC50E" w14:textId="77777777" w:rsidR="008565D3" w:rsidRDefault="008565D3" w:rsidP="008565D3">
      <w:pPr>
        <w:pStyle w:val="Tabletext"/>
      </w:pP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19"/>
        <w:gridCol w:w="2888"/>
        <w:gridCol w:w="2373"/>
        <w:gridCol w:w="3223"/>
        <w:gridCol w:w="62"/>
        <w:gridCol w:w="3179"/>
      </w:tblGrid>
      <w:tr w:rsidR="008565D3" w:rsidRPr="002B465E" w14:paraId="1D6E5BB1" w14:textId="77777777" w:rsidTr="008565D3">
        <w:trPr>
          <w:cantSplit/>
          <w:tblHeader/>
        </w:trPr>
        <w:tc>
          <w:tcPr>
            <w:tcW w:w="1519" w:type="dxa"/>
            <w:tcBorders>
              <w:top w:val="single" w:sz="4" w:space="0" w:color="B66113"/>
              <w:bottom w:val="single" w:sz="4" w:space="0" w:color="B66113"/>
            </w:tcBorders>
            <w:shd w:val="clear" w:color="auto" w:fill="B66113"/>
          </w:tcPr>
          <w:p w14:paraId="72E5E4C7" w14:textId="77777777" w:rsidR="008565D3" w:rsidRPr="005C3532" w:rsidRDefault="008565D3" w:rsidP="008565D3">
            <w:pPr>
              <w:pStyle w:val="Tableheading-white"/>
            </w:pPr>
            <w:r w:rsidRPr="002B465E">
              <w:t>Item</w:t>
            </w:r>
          </w:p>
        </w:tc>
        <w:tc>
          <w:tcPr>
            <w:tcW w:w="2888" w:type="dxa"/>
            <w:tcBorders>
              <w:top w:val="single" w:sz="4" w:space="0" w:color="B66113"/>
              <w:bottom w:val="single" w:sz="4" w:space="0" w:color="B66113"/>
            </w:tcBorders>
            <w:shd w:val="clear" w:color="auto" w:fill="B66113"/>
          </w:tcPr>
          <w:p w14:paraId="7886A7EA" w14:textId="77777777" w:rsidR="008565D3" w:rsidRPr="005C3532" w:rsidRDefault="008565D3" w:rsidP="008565D3">
            <w:pPr>
              <w:pStyle w:val="Tableheading-white"/>
            </w:pPr>
            <w:r w:rsidRPr="002B465E">
              <w:t>What it does</w:t>
            </w:r>
          </w:p>
        </w:tc>
        <w:tc>
          <w:tcPr>
            <w:tcW w:w="2373" w:type="dxa"/>
            <w:tcBorders>
              <w:top w:val="single" w:sz="4" w:space="0" w:color="B66113"/>
              <w:bottom w:val="single" w:sz="4" w:space="0" w:color="B66113"/>
            </w:tcBorders>
            <w:shd w:val="clear" w:color="auto" w:fill="B66113"/>
          </w:tcPr>
          <w:p w14:paraId="60E4C580" w14:textId="77777777" w:rsidR="008565D3" w:rsidRPr="005C3532" w:rsidRDefault="008565D3" w:rsidP="008565D3">
            <w:pPr>
              <w:pStyle w:val="Tableheading-white"/>
            </w:pPr>
            <w:r w:rsidRPr="002B465E">
              <w:t>Committee recommendation</w:t>
            </w:r>
          </w:p>
        </w:tc>
        <w:tc>
          <w:tcPr>
            <w:tcW w:w="3223" w:type="dxa"/>
            <w:tcBorders>
              <w:top w:val="single" w:sz="4" w:space="0" w:color="B66113"/>
              <w:bottom w:val="single" w:sz="4" w:space="0" w:color="B66113"/>
            </w:tcBorders>
            <w:shd w:val="clear" w:color="auto" w:fill="B66113"/>
          </w:tcPr>
          <w:p w14:paraId="4379A554" w14:textId="77777777" w:rsidR="008565D3" w:rsidRPr="005C3532" w:rsidRDefault="008565D3" w:rsidP="008565D3">
            <w:pPr>
              <w:pStyle w:val="Tableheading-white"/>
            </w:pPr>
            <w:r w:rsidRPr="002B465E">
              <w:t xml:space="preserve">What would be </w:t>
            </w:r>
            <w:r w:rsidRPr="005C3532">
              <w:t>different</w:t>
            </w:r>
          </w:p>
        </w:tc>
        <w:tc>
          <w:tcPr>
            <w:tcW w:w="3241" w:type="dxa"/>
            <w:gridSpan w:val="2"/>
            <w:tcBorders>
              <w:top w:val="single" w:sz="4" w:space="0" w:color="B66113"/>
              <w:bottom w:val="single" w:sz="4" w:space="0" w:color="B66113"/>
            </w:tcBorders>
            <w:shd w:val="clear" w:color="auto" w:fill="B66113"/>
          </w:tcPr>
          <w:p w14:paraId="2CC85B96" w14:textId="77777777" w:rsidR="008565D3" w:rsidRPr="005C3532" w:rsidRDefault="008565D3" w:rsidP="008565D3">
            <w:pPr>
              <w:pStyle w:val="Tableheading-white"/>
            </w:pPr>
            <w:r w:rsidRPr="002B465E">
              <w:t>Why</w:t>
            </w:r>
          </w:p>
        </w:tc>
      </w:tr>
      <w:tr w:rsidR="008565D3" w:rsidRPr="002B465E" w14:paraId="31969F94" w14:textId="77777777" w:rsidTr="008565D3">
        <w:trPr>
          <w:cantSplit/>
          <w:trHeight w:val="1084"/>
        </w:trPr>
        <w:tc>
          <w:tcPr>
            <w:tcW w:w="13244" w:type="dxa"/>
            <w:gridSpan w:val="6"/>
            <w:tcBorders>
              <w:top w:val="single" w:sz="4" w:space="0" w:color="B66113"/>
              <w:bottom w:val="single" w:sz="4" w:space="0" w:color="B66113"/>
            </w:tcBorders>
          </w:tcPr>
          <w:p w14:paraId="2DC052BE" w14:textId="77777777" w:rsidR="008565D3" w:rsidRPr="001B35B0" w:rsidRDefault="008565D3" w:rsidP="008565D3">
            <w:pPr>
              <w:pStyle w:val="Tabletext"/>
              <w:rPr>
                <w:b/>
              </w:rPr>
            </w:pPr>
            <w:r w:rsidRPr="001B35B0">
              <w:rPr>
                <w:b/>
              </w:rPr>
              <w:t>Recommendation 4.7</w:t>
            </w:r>
          </w:p>
          <w:p w14:paraId="46331AC4" w14:textId="77777777" w:rsidR="008565D3" w:rsidRDefault="008565D3" w:rsidP="008565D3">
            <w:pPr>
              <w:pStyle w:val="Tabletext"/>
            </w:pPr>
            <w:r>
              <w:t>Link Medication Management Reviews (MMR) to GPMP and ensure the rebate accurately reflects GP activity.</w:t>
            </w:r>
          </w:p>
        </w:tc>
      </w:tr>
      <w:tr w:rsidR="008565D3" w:rsidRPr="002B465E" w14:paraId="006C4E75" w14:textId="77777777" w:rsidTr="008565D3">
        <w:trPr>
          <w:cantSplit/>
        </w:trPr>
        <w:tc>
          <w:tcPr>
            <w:tcW w:w="1519" w:type="dxa"/>
            <w:tcBorders>
              <w:top w:val="single" w:sz="4" w:space="0" w:color="B66113"/>
              <w:bottom w:val="single" w:sz="4" w:space="0" w:color="B66113"/>
            </w:tcBorders>
          </w:tcPr>
          <w:p w14:paraId="7A74CA74" w14:textId="77777777" w:rsidR="008565D3" w:rsidRPr="005C3532" w:rsidRDefault="008565D3" w:rsidP="008565D3">
            <w:pPr>
              <w:pStyle w:val="Tabletext"/>
            </w:pPr>
            <w:r>
              <w:t>900, 903</w:t>
            </w:r>
          </w:p>
        </w:tc>
        <w:tc>
          <w:tcPr>
            <w:tcW w:w="2888" w:type="dxa"/>
            <w:tcBorders>
              <w:top w:val="single" w:sz="4" w:space="0" w:color="B66113"/>
              <w:bottom w:val="single" w:sz="4" w:space="0" w:color="B66113"/>
            </w:tcBorders>
          </w:tcPr>
          <w:p w14:paraId="6D87AE3D" w14:textId="77777777" w:rsidR="008565D3" w:rsidRDefault="008565D3" w:rsidP="008565D3">
            <w:pPr>
              <w:pStyle w:val="Tabletext"/>
            </w:pPr>
            <w:r>
              <w:t>Participation by a medical practitioner in a medication review for patients who will benefit from a review, including patients on multiple medications, those who have complex medical conditions, have recently been discharged from hospital or require assistance in managing their medications effectively.</w:t>
            </w:r>
          </w:p>
          <w:p w14:paraId="09343BCC" w14:textId="77777777" w:rsidR="008565D3" w:rsidRDefault="008565D3" w:rsidP="008565D3">
            <w:pPr>
              <w:pStyle w:val="Tabletext"/>
            </w:pPr>
            <w:r>
              <w:t>Certain patients are able to have the pharmacist portion funded through a Community Pharmacy Agreement program, i.e. Department of Veterans’ Affairs card holders.</w:t>
            </w:r>
          </w:p>
          <w:p w14:paraId="33E6A84C" w14:textId="77777777" w:rsidR="008565D3" w:rsidRPr="005C3532" w:rsidRDefault="008565D3" w:rsidP="008565D3">
            <w:pPr>
              <w:pStyle w:val="Tabletext"/>
            </w:pPr>
          </w:p>
          <w:p w14:paraId="32D34560" w14:textId="77777777" w:rsidR="008565D3" w:rsidRPr="0034064A" w:rsidRDefault="008565D3" w:rsidP="008565D3">
            <w:pPr>
              <w:pStyle w:val="Tabletext"/>
            </w:pPr>
          </w:p>
        </w:tc>
        <w:tc>
          <w:tcPr>
            <w:tcW w:w="2373" w:type="dxa"/>
            <w:tcBorders>
              <w:top w:val="single" w:sz="4" w:space="0" w:color="B66113"/>
              <w:bottom w:val="single" w:sz="4" w:space="0" w:color="B66113"/>
            </w:tcBorders>
          </w:tcPr>
          <w:p w14:paraId="6E193E93" w14:textId="77777777" w:rsidR="008565D3" w:rsidRDefault="008565D3" w:rsidP="008565D3">
            <w:pPr>
              <w:pStyle w:val="Tabletext"/>
            </w:pPr>
            <w:r>
              <w:t>The MMR would be conducted for a patient at risk of medication misadventure</w:t>
            </w:r>
            <w:r w:rsidRPr="005C3532">
              <w:t xml:space="preserve"> in conjunction with a GPMP or review of a GPMP.  </w:t>
            </w:r>
          </w:p>
          <w:p w14:paraId="59829146" w14:textId="77777777" w:rsidR="008565D3" w:rsidRDefault="008565D3" w:rsidP="008565D3">
            <w:pPr>
              <w:pStyle w:val="Tabletext"/>
            </w:pPr>
            <w:r w:rsidRPr="005C3532">
              <w:t xml:space="preserve">Upload the MMR to My Health Record. </w:t>
            </w:r>
          </w:p>
          <w:p w14:paraId="010C1EA6" w14:textId="77777777" w:rsidR="008565D3" w:rsidRDefault="008565D3" w:rsidP="008565D3">
            <w:pPr>
              <w:pStyle w:val="Tabletext"/>
            </w:pPr>
            <w:r w:rsidRPr="005C3532">
              <w:t>Reduce the schedule fee</w:t>
            </w:r>
            <w:r>
              <w:t xml:space="preserve"> and reinvest in GP chronic disease management services</w:t>
            </w:r>
            <w:r w:rsidRPr="005C3532">
              <w:t xml:space="preserve">.  </w:t>
            </w:r>
          </w:p>
          <w:p w14:paraId="49006F37" w14:textId="77777777" w:rsidR="008565D3" w:rsidRPr="005C3532" w:rsidRDefault="008565D3" w:rsidP="008565D3">
            <w:pPr>
              <w:pStyle w:val="Tabletext"/>
            </w:pPr>
          </w:p>
        </w:tc>
        <w:tc>
          <w:tcPr>
            <w:tcW w:w="3223" w:type="dxa"/>
            <w:tcBorders>
              <w:top w:val="single" w:sz="4" w:space="0" w:color="B66113"/>
              <w:bottom w:val="single" w:sz="4" w:space="0" w:color="B66113"/>
            </w:tcBorders>
          </w:tcPr>
          <w:p w14:paraId="30B77191" w14:textId="77777777" w:rsidR="008565D3" w:rsidRDefault="008565D3" w:rsidP="008565D3">
            <w:pPr>
              <w:pStyle w:val="Tabletext"/>
            </w:pPr>
            <w:r>
              <w:t>MMRs would have a reduced schedule fee and be linked to GPMPs</w:t>
            </w:r>
            <w:r w:rsidRPr="005C3532">
              <w:t>.</w:t>
            </w:r>
          </w:p>
          <w:p w14:paraId="088C8BCA" w14:textId="77777777" w:rsidR="008565D3" w:rsidRPr="005C3532" w:rsidRDefault="008565D3" w:rsidP="008565D3">
            <w:pPr>
              <w:pStyle w:val="Tabletext"/>
            </w:pPr>
            <w:r>
              <w:t>MMRs would be uploaded to My Health Record with a patient’s consent.</w:t>
            </w:r>
          </w:p>
        </w:tc>
        <w:tc>
          <w:tcPr>
            <w:tcW w:w="3241" w:type="dxa"/>
            <w:gridSpan w:val="2"/>
            <w:tcBorders>
              <w:top w:val="single" w:sz="4" w:space="0" w:color="B66113"/>
              <w:bottom w:val="single" w:sz="4" w:space="0" w:color="B66113"/>
            </w:tcBorders>
          </w:tcPr>
          <w:p w14:paraId="12DB7C22" w14:textId="77777777" w:rsidR="008565D3" w:rsidRDefault="008565D3" w:rsidP="008565D3">
            <w:pPr>
              <w:pStyle w:val="Tabletext"/>
            </w:pPr>
            <w:r>
              <w:t xml:space="preserve">MMRs have the greatest benefit for patients with chronic diseases or </w:t>
            </w:r>
            <w:r w:rsidRPr="005C3532">
              <w:t>on complex medication</w:t>
            </w:r>
            <w:r>
              <w:t xml:space="preserve">. Linking MMRs to GPMPs will </w:t>
            </w:r>
            <w:r w:rsidRPr="005C3532">
              <w:t>maximise patients</w:t>
            </w:r>
            <w:r>
              <w:t>’</w:t>
            </w:r>
            <w:r w:rsidRPr="005C3532">
              <w:t xml:space="preserve"> benefit from their medication regimen, and prevent medication-related problems through a team approach involving patients</w:t>
            </w:r>
            <w:r>
              <w:t>’</w:t>
            </w:r>
            <w:r w:rsidRPr="005C3532">
              <w:t xml:space="preserve"> GP and pharmacist.</w:t>
            </w:r>
            <w:r>
              <w:t xml:space="preserve"> </w:t>
            </w:r>
          </w:p>
          <w:p w14:paraId="0935DD3A" w14:textId="77777777" w:rsidR="008565D3" w:rsidRPr="005C3532" w:rsidRDefault="008565D3" w:rsidP="008565D3">
            <w:pPr>
              <w:pStyle w:val="Tabletext"/>
            </w:pPr>
            <w:r>
              <w:t xml:space="preserve">The reduced fee reflects </w:t>
            </w:r>
            <w:r w:rsidRPr="005C3532">
              <w:t>the streaml</w:t>
            </w:r>
            <w:r>
              <w:t>i</w:t>
            </w:r>
            <w:r w:rsidRPr="005C3532">
              <w:t xml:space="preserve">ning of the item by linking medication reviews to management plans for patients with chronic medical conditions or a complex medication regimen.  </w:t>
            </w:r>
          </w:p>
          <w:p w14:paraId="7274A860" w14:textId="77777777" w:rsidR="008565D3" w:rsidRPr="005C3532" w:rsidRDefault="008565D3" w:rsidP="008565D3">
            <w:pPr>
              <w:pStyle w:val="Tabletext"/>
            </w:pPr>
            <w:r w:rsidRPr="005C3532">
              <w:t>Including a current medication management plan on My Health Record will facilitate increased patient awareness and data sharing between health practitioners.</w:t>
            </w:r>
          </w:p>
        </w:tc>
      </w:tr>
      <w:tr w:rsidR="008565D3" w:rsidRPr="00B71B17" w14:paraId="3FD5BAE4" w14:textId="77777777" w:rsidTr="008565D3">
        <w:trPr>
          <w:cantSplit/>
        </w:trPr>
        <w:tc>
          <w:tcPr>
            <w:tcW w:w="13244" w:type="dxa"/>
            <w:gridSpan w:val="6"/>
            <w:tcBorders>
              <w:top w:val="single" w:sz="4" w:space="0" w:color="B66113"/>
              <w:bottom w:val="single" w:sz="4" w:space="0" w:color="B66113"/>
            </w:tcBorders>
          </w:tcPr>
          <w:p w14:paraId="560AA16A" w14:textId="77777777" w:rsidR="008565D3" w:rsidRPr="001B35B0" w:rsidRDefault="008565D3" w:rsidP="008565D3">
            <w:pPr>
              <w:pStyle w:val="Tabletext"/>
              <w:rPr>
                <w:b/>
              </w:rPr>
            </w:pPr>
            <w:r w:rsidRPr="001B35B0">
              <w:rPr>
                <w:b/>
              </w:rPr>
              <w:t>Recommendation 4.8</w:t>
            </w:r>
          </w:p>
          <w:p w14:paraId="70DF4136" w14:textId="77777777" w:rsidR="008565D3" w:rsidRPr="0010257C" w:rsidRDefault="008565D3" w:rsidP="008565D3">
            <w:pPr>
              <w:pStyle w:val="Tabletext"/>
            </w:pPr>
            <w:r>
              <w:t>Increase the scheduled fee for home visits for enrolled patients.</w:t>
            </w:r>
          </w:p>
        </w:tc>
      </w:tr>
      <w:tr w:rsidR="008565D3" w:rsidRPr="00B71B17" w14:paraId="45471D44" w14:textId="77777777" w:rsidTr="008565D3">
        <w:trPr>
          <w:cantSplit/>
        </w:trPr>
        <w:tc>
          <w:tcPr>
            <w:tcW w:w="1519" w:type="dxa"/>
            <w:tcBorders>
              <w:top w:val="single" w:sz="4" w:space="0" w:color="B66113"/>
              <w:bottom w:val="single" w:sz="4" w:space="0" w:color="B66113"/>
            </w:tcBorders>
          </w:tcPr>
          <w:p w14:paraId="056F837D" w14:textId="77777777" w:rsidR="008565D3" w:rsidRPr="005C3532" w:rsidRDefault="008565D3" w:rsidP="008565D3">
            <w:pPr>
              <w:pStyle w:val="Tabletext"/>
            </w:pPr>
            <w:r>
              <w:t>4, 24, 37, 47</w:t>
            </w:r>
          </w:p>
        </w:tc>
        <w:tc>
          <w:tcPr>
            <w:tcW w:w="2888" w:type="dxa"/>
            <w:tcBorders>
              <w:top w:val="single" w:sz="4" w:space="0" w:color="B66113"/>
              <w:bottom w:val="single" w:sz="4" w:space="0" w:color="B66113"/>
            </w:tcBorders>
          </w:tcPr>
          <w:p w14:paraId="221410E7" w14:textId="77777777" w:rsidR="008565D3" w:rsidRPr="005C3532" w:rsidRDefault="008565D3" w:rsidP="008565D3">
            <w:pPr>
              <w:pStyle w:val="Tabletext"/>
            </w:pPr>
            <w:r w:rsidRPr="0004610B">
              <w:t xml:space="preserve">These items are for a </w:t>
            </w:r>
            <w:r>
              <w:t>GP c</w:t>
            </w:r>
            <w:r w:rsidRPr="005C3532">
              <w:t>onsultations somewhere other than consulting rooms or</w:t>
            </w:r>
            <w:r>
              <w:t xml:space="preserve"> a</w:t>
            </w:r>
            <w:r w:rsidRPr="005C3532">
              <w:t xml:space="preserve"> residential aged care facility.</w:t>
            </w:r>
          </w:p>
        </w:tc>
        <w:tc>
          <w:tcPr>
            <w:tcW w:w="2373" w:type="dxa"/>
            <w:tcBorders>
              <w:top w:val="single" w:sz="4" w:space="0" w:color="B66113"/>
              <w:bottom w:val="single" w:sz="4" w:space="0" w:color="B66113"/>
            </w:tcBorders>
          </w:tcPr>
          <w:p w14:paraId="76D9341F" w14:textId="77777777" w:rsidR="008565D3" w:rsidRPr="005C3532" w:rsidRDefault="008565D3" w:rsidP="008565D3">
            <w:pPr>
              <w:pStyle w:val="Tabletext"/>
            </w:pPr>
            <w:r w:rsidRPr="00D2588C">
              <w:t>Increase the schedule fee for a home visit for patient when attended by a GP from the practice where the patient is enrolled.</w:t>
            </w:r>
            <w:r w:rsidRPr="005C3532">
              <w:t xml:space="preserve"> </w:t>
            </w:r>
          </w:p>
        </w:tc>
        <w:tc>
          <w:tcPr>
            <w:tcW w:w="3285" w:type="dxa"/>
            <w:gridSpan w:val="2"/>
            <w:tcBorders>
              <w:top w:val="single" w:sz="4" w:space="0" w:color="B66113"/>
              <w:bottom w:val="single" w:sz="4" w:space="0" w:color="B66113"/>
            </w:tcBorders>
          </w:tcPr>
          <w:p w14:paraId="05B19109" w14:textId="77777777" w:rsidR="008565D3" w:rsidRPr="005C3532" w:rsidRDefault="008565D3" w:rsidP="008565D3">
            <w:pPr>
              <w:pStyle w:val="Tabletext"/>
            </w:pPr>
            <w:r>
              <w:t>Patients enrolled with a practice will receive more support in their homes</w:t>
            </w:r>
            <w:r w:rsidRPr="005C3532">
              <w:t xml:space="preserve">; </w:t>
            </w:r>
          </w:p>
        </w:tc>
        <w:tc>
          <w:tcPr>
            <w:tcW w:w="3179" w:type="dxa"/>
            <w:tcBorders>
              <w:top w:val="single" w:sz="4" w:space="0" w:color="B66113"/>
              <w:bottom w:val="single" w:sz="4" w:space="0" w:color="B66113"/>
            </w:tcBorders>
          </w:tcPr>
          <w:p w14:paraId="0815BED8" w14:textId="77777777" w:rsidR="008565D3" w:rsidRPr="005C3532" w:rsidRDefault="008565D3" w:rsidP="008565D3">
            <w:pPr>
              <w:pStyle w:val="Tabletext"/>
            </w:pPr>
            <w:r w:rsidRPr="0010257C">
              <w:t xml:space="preserve">With an ageing population, it is important to </w:t>
            </w:r>
            <w:r w:rsidRPr="005C3532">
              <w:t>help older people stay at home; ensuring high value care and consistency across items</w:t>
            </w:r>
          </w:p>
        </w:tc>
      </w:tr>
    </w:tbl>
    <w:p w14:paraId="543A8767" w14:textId="12A0D2E0" w:rsidR="00DE1C8B" w:rsidRDefault="00DE1C8B" w:rsidP="008565D3">
      <w:pPr>
        <w:pStyle w:val="Tableheading"/>
      </w:pPr>
    </w:p>
    <w:p w14:paraId="3EC69DD6" w14:textId="77777777" w:rsidR="00DE1C8B" w:rsidRDefault="00DE1C8B">
      <w:pPr>
        <w:spacing w:before="0" w:after="0" w:line="240" w:lineRule="auto"/>
        <w:rPr>
          <w:rFonts w:eastAsiaTheme="minorHAnsi" w:cstheme="minorHAnsi"/>
          <w:b/>
          <w:sz w:val="18"/>
          <w:szCs w:val="22"/>
          <w:lang w:val="en-GB" w:eastAsia="en-US"/>
        </w:rPr>
      </w:pPr>
      <w:r>
        <w:br w:type="page"/>
      </w:r>
    </w:p>
    <w:p w14:paraId="75171C2D" w14:textId="77777777" w:rsidR="008565D3" w:rsidRPr="002B465E" w:rsidRDefault="008565D3" w:rsidP="008565D3">
      <w:pPr>
        <w:pStyle w:val="Tableheading"/>
      </w:pP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Summary for consuers recommendation 10-11"/>
        <w:tblDescription w:val="Appendix A Table. Summary for consumers Recommendation 10-11 consists of 5 Columns.  Column 1. Item Column 2. What it does Column 3. Committee recommendation Column 4. What would be different and Column 5 Why."/>
      </w:tblPr>
      <w:tblGrid>
        <w:gridCol w:w="1557"/>
        <w:gridCol w:w="2412"/>
        <w:gridCol w:w="2453"/>
        <w:gridCol w:w="3395"/>
        <w:gridCol w:w="3427"/>
      </w:tblGrid>
      <w:tr w:rsidR="008565D3" w:rsidRPr="002B465E" w14:paraId="0581C7CE" w14:textId="77777777" w:rsidTr="008565D3">
        <w:trPr>
          <w:cantSplit/>
          <w:tblHeader/>
        </w:trPr>
        <w:tc>
          <w:tcPr>
            <w:tcW w:w="1557" w:type="dxa"/>
            <w:tcBorders>
              <w:top w:val="single" w:sz="4" w:space="0" w:color="B66113"/>
              <w:bottom w:val="single" w:sz="4" w:space="0" w:color="B66113"/>
            </w:tcBorders>
            <w:shd w:val="clear" w:color="auto" w:fill="B66113"/>
          </w:tcPr>
          <w:p w14:paraId="6469621E" w14:textId="77777777" w:rsidR="008565D3" w:rsidRPr="005C3532" w:rsidRDefault="008565D3" w:rsidP="008565D3">
            <w:pPr>
              <w:pStyle w:val="Tabletext"/>
            </w:pPr>
            <w:r w:rsidRPr="002B465E">
              <w:t>Item</w:t>
            </w:r>
          </w:p>
        </w:tc>
        <w:tc>
          <w:tcPr>
            <w:tcW w:w="2412" w:type="dxa"/>
            <w:tcBorders>
              <w:top w:val="single" w:sz="4" w:space="0" w:color="B66113"/>
              <w:bottom w:val="single" w:sz="4" w:space="0" w:color="B66113"/>
            </w:tcBorders>
            <w:shd w:val="clear" w:color="auto" w:fill="B66113"/>
          </w:tcPr>
          <w:p w14:paraId="39E601B9" w14:textId="77777777" w:rsidR="008565D3" w:rsidRPr="005C3532" w:rsidRDefault="008565D3" w:rsidP="008565D3">
            <w:pPr>
              <w:pStyle w:val="Tabletext"/>
            </w:pPr>
            <w:r w:rsidRPr="002B465E">
              <w:t>What it does</w:t>
            </w:r>
          </w:p>
        </w:tc>
        <w:tc>
          <w:tcPr>
            <w:tcW w:w="2453" w:type="dxa"/>
            <w:tcBorders>
              <w:top w:val="single" w:sz="4" w:space="0" w:color="B66113"/>
              <w:bottom w:val="single" w:sz="4" w:space="0" w:color="B66113"/>
            </w:tcBorders>
            <w:shd w:val="clear" w:color="auto" w:fill="B66113"/>
          </w:tcPr>
          <w:p w14:paraId="47DCF477" w14:textId="77777777" w:rsidR="008565D3" w:rsidRPr="005C3532" w:rsidRDefault="008565D3" w:rsidP="008565D3">
            <w:pPr>
              <w:pStyle w:val="Tabletext"/>
            </w:pPr>
            <w:r w:rsidRPr="002B465E">
              <w:t>Committee recommendation</w:t>
            </w:r>
          </w:p>
        </w:tc>
        <w:tc>
          <w:tcPr>
            <w:tcW w:w="3395" w:type="dxa"/>
            <w:tcBorders>
              <w:top w:val="single" w:sz="4" w:space="0" w:color="B66113"/>
              <w:bottom w:val="single" w:sz="4" w:space="0" w:color="B66113"/>
            </w:tcBorders>
            <w:shd w:val="clear" w:color="auto" w:fill="B66113"/>
          </w:tcPr>
          <w:p w14:paraId="029B6668" w14:textId="77777777" w:rsidR="008565D3" w:rsidRPr="005C3532" w:rsidRDefault="008565D3" w:rsidP="008565D3">
            <w:pPr>
              <w:pStyle w:val="Tabletext"/>
            </w:pPr>
            <w:r w:rsidRPr="002B465E">
              <w:t>What would be different</w:t>
            </w:r>
          </w:p>
        </w:tc>
        <w:tc>
          <w:tcPr>
            <w:tcW w:w="3427" w:type="dxa"/>
            <w:tcBorders>
              <w:top w:val="single" w:sz="4" w:space="0" w:color="B66113"/>
              <w:bottom w:val="single" w:sz="4" w:space="0" w:color="B66113"/>
            </w:tcBorders>
            <w:shd w:val="clear" w:color="auto" w:fill="B66113"/>
          </w:tcPr>
          <w:p w14:paraId="1EB449D9" w14:textId="77777777" w:rsidR="008565D3" w:rsidRPr="005C3532" w:rsidRDefault="008565D3" w:rsidP="008565D3">
            <w:pPr>
              <w:pStyle w:val="Tabletext"/>
            </w:pPr>
            <w:r w:rsidRPr="002B465E">
              <w:t>Why</w:t>
            </w:r>
          </w:p>
        </w:tc>
      </w:tr>
      <w:tr w:rsidR="008565D3" w:rsidRPr="002B465E" w14:paraId="15E57EF8" w14:textId="77777777" w:rsidTr="008565D3">
        <w:trPr>
          <w:cantSplit/>
        </w:trPr>
        <w:tc>
          <w:tcPr>
            <w:tcW w:w="13244" w:type="dxa"/>
            <w:gridSpan w:val="5"/>
            <w:tcBorders>
              <w:top w:val="single" w:sz="4" w:space="0" w:color="B66113"/>
              <w:bottom w:val="single" w:sz="4" w:space="0" w:color="B66113"/>
            </w:tcBorders>
          </w:tcPr>
          <w:p w14:paraId="5EDAD644" w14:textId="77777777" w:rsidR="008565D3" w:rsidRPr="000A70EB" w:rsidRDefault="008565D3" w:rsidP="008565D3">
            <w:pPr>
              <w:pStyle w:val="Tabletext"/>
              <w:rPr>
                <w:b/>
              </w:rPr>
            </w:pPr>
            <w:r w:rsidRPr="000A70EB">
              <w:rPr>
                <w:b/>
              </w:rPr>
              <w:t>Recommendation 5</w:t>
            </w:r>
          </w:p>
          <w:p w14:paraId="0C5AE3E5" w14:textId="77777777" w:rsidR="008565D3" w:rsidRPr="005C3532" w:rsidRDefault="008565D3" w:rsidP="008565D3">
            <w:pPr>
              <w:pStyle w:val="Tabletext"/>
            </w:pPr>
            <w:r>
              <w:t>Build the evidence base for Health Assessments and ensure that the content of Health Assessments conforms to appropriate clinical practice guidelines.</w:t>
            </w:r>
          </w:p>
        </w:tc>
      </w:tr>
      <w:tr w:rsidR="008565D3" w:rsidRPr="002B465E" w14:paraId="60DE8A3E" w14:textId="77777777" w:rsidTr="008565D3">
        <w:trPr>
          <w:cantSplit/>
        </w:trPr>
        <w:tc>
          <w:tcPr>
            <w:tcW w:w="1557" w:type="dxa"/>
            <w:tcBorders>
              <w:top w:val="single" w:sz="4" w:space="0" w:color="B66113"/>
              <w:bottom w:val="single" w:sz="4" w:space="0" w:color="B66113"/>
            </w:tcBorders>
          </w:tcPr>
          <w:p w14:paraId="20449B1B" w14:textId="77777777" w:rsidR="008565D3" w:rsidRDefault="008565D3" w:rsidP="008565D3">
            <w:pPr>
              <w:pStyle w:val="Tabletext"/>
            </w:pPr>
            <w:r>
              <w:t>701, 703, 705, 707, 715</w:t>
            </w:r>
          </w:p>
        </w:tc>
        <w:tc>
          <w:tcPr>
            <w:tcW w:w="2412" w:type="dxa"/>
            <w:tcBorders>
              <w:top w:val="single" w:sz="4" w:space="0" w:color="B66113"/>
              <w:bottom w:val="single" w:sz="4" w:space="0" w:color="B66113"/>
            </w:tcBorders>
          </w:tcPr>
          <w:p w14:paraId="02FF1854" w14:textId="77777777" w:rsidR="008565D3" w:rsidRDefault="008565D3" w:rsidP="008565D3">
            <w:pPr>
              <w:pStyle w:val="Tabletext"/>
            </w:pPr>
            <w:r w:rsidRPr="0004610B">
              <w:t xml:space="preserve">These items are for a medical practitioner to perform a </w:t>
            </w:r>
            <w:r>
              <w:t>H</w:t>
            </w:r>
            <w:r w:rsidRPr="0004610B">
              <w:t xml:space="preserve">ealth </w:t>
            </w:r>
            <w:r>
              <w:t>A</w:t>
            </w:r>
            <w:r w:rsidRPr="0004610B">
              <w:t>ssessment for certain patient groups</w:t>
            </w:r>
            <w:r w:rsidRPr="0004610B" w:rsidDel="0004610B">
              <w:t xml:space="preserve"> </w:t>
            </w:r>
          </w:p>
          <w:p w14:paraId="0F5506DD" w14:textId="77777777" w:rsidR="008565D3" w:rsidRPr="005C3532" w:rsidRDefault="008565D3" w:rsidP="008565D3">
            <w:pPr>
              <w:pStyle w:val="Tabletext"/>
            </w:pPr>
            <w:r w:rsidRPr="005C3532">
              <w:t xml:space="preserve">A </w:t>
            </w:r>
            <w:r>
              <w:t>H</w:t>
            </w:r>
            <w:r w:rsidRPr="005C3532">
              <w:t xml:space="preserve">ealth </w:t>
            </w:r>
            <w:r>
              <w:t>A</w:t>
            </w:r>
            <w:r w:rsidRPr="005C3532">
              <w:t>ssessment means the assessment of a patient's health and physical, psychological and social function and consideration of whether preventive health care and education should be offered to the patient, to improve that patient's health and physical, psychological and social function.</w:t>
            </w:r>
          </w:p>
          <w:p w14:paraId="4BF5168B" w14:textId="77777777" w:rsidR="008565D3" w:rsidRDefault="008565D3" w:rsidP="008565D3">
            <w:pPr>
              <w:pStyle w:val="Tabletext"/>
            </w:pPr>
          </w:p>
        </w:tc>
        <w:tc>
          <w:tcPr>
            <w:tcW w:w="2453" w:type="dxa"/>
            <w:tcBorders>
              <w:top w:val="single" w:sz="4" w:space="0" w:color="B66113"/>
              <w:bottom w:val="single" w:sz="4" w:space="0" w:color="B66113"/>
            </w:tcBorders>
          </w:tcPr>
          <w:p w14:paraId="146E9D34" w14:textId="77777777" w:rsidR="008565D3" w:rsidRDefault="008565D3" w:rsidP="008565D3">
            <w:pPr>
              <w:pStyle w:val="Tabletext"/>
            </w:pPr>
            <w:r>
              <w:t xml:space="preserve">Set up processes to gather evidence on the effectiveness of Health Assessments with a focus on at-risk populations, including using data at a PHN level based on existing groups </w:t>
            </w:r>
            <w:r w:rsidRPr="005C3532">
              <w:t>eligible for Health Assessments, and commissioning studies on the evidence for Health Assessments for new at-risk groups.</w:t>
            </w:r>
          </w:p>
        </w:tc>
        <w:tc>
          <w:tcPr>
            <w:tcW w:w="3395" w:type="dxa"/>
            <w:tcBorders>
              <w:top w:val="single" w:sz="4" w:space="0" w:color="B66113"/>
              <w:bottom w:val="single" w:sz="4" w:space="0" w:color="B66113"/>
            </w:tcBorders>
          </w:tcPr>
          <w:p w14:paraId="72918B09" w14:textId="77777777" w:rsidR="008565D3" w:rsidRDefault="008565D3" w:rsidP="008565D3">
            <w:pPr>
              <w:pStyle w:val="Tabletext"/>
            </w:pPr>
            <w:r>
              <w:t>E</w:t>
            </w:r>
            <w:r w:rsidRPr="005C3532">
              <w:t xml:space="preserve">vidence </w:t>
            </w:r>
            <w:r>
              <w:t xml:space="preserve">would be available to guide </w:t>
            </w:r>
            <w:r w:rsidRPr="005C3532">
              <w:t xml:space="preserve">prevention and early intervention </w:t>
            </w:r>
            <w:r>
              <w:t>and</w:t>
            </w:r>
            <w:r w:rsidRPr="005C3532">
              <w:t xml:space="preserve"> promote quality health outcomes for high risk patients. </w:t>
            </w:r>
          </w:p>
          <w:p w14:paraId="548FCC7B" w14:textId="77777777" w:rsidR="008565D3" w:rsidRPr="002B465E" w:rsidRDefault="008565D3" w:rsidP="008565D3">
            <w:pPr>
              <w:pStyle w:val="Tabletext"/>
            </w:pPr>
            <w:r>
              <w:t>This would enable</w:t>
            </w:r>
            <w:r w:rsidRPr="005C3532">
              <w:t xml:space="preserve"> consideration of expanding entitlement to Health Assessments based on evidence of </w:t>
            </w:r>
            <w:r>
              <w:t xml:space="preserve">their </w:t>
            </w:r>
            <w:r w:rsidRPr="005C3532">
              <w:t xml:space="preserve">effectiveness and benefit to patients.   </w:t>
            </w:r>
          </w:p>
        </w:tc>
        <w:tc>
          <w:tcPr>
            <w:tcW w:w="3427" w:type="dxa"/>
            <w:tcBorders>
              <w:top w:val="single" w:sz="4" w:space="0" w:color="B66113"/>
              <w:bottom w:val="single" w:sz="4" w:space="0" w:color="B66113"/>
            </w:tcBorders>
          </w:tcPr>
          <w:p w14:paraId="2BA48066" w14:textId="77777777" w:rsidR="008565D3" w:rsidRDefault="008565D3" w:rsidP="008565D3">
            <w:pPr>
              <w:pStyle w:val="Tabletext"/>
            </w:pPr>
            <w:r w:rsidRPr="005C3532">
              <w:t>T</w:t>
            </w:r>
            <w:r>
              <w:t>his recommendation will</w:t>
            </w:r>
            <w:r w:rsidRPr="005C3532">
              <w:t xml:space="preserve"> generate better health outcomes through</w:t>
            </w:r>
            <w:r>
              <w:t xml:space="preserve"> evidence-based</w:t>
            </w:r>
            <w:r w:rsidRPr="005C3532">
              <w:t xml:space="preserve"> prevention,</w:t>
            </w:r>
            <w:r>
              <w:t xml:space="preserve"> assessment</w:t>
            </w:r>
            <w:r w:rsidRPr="005C3532">
              <w:t xml:space="preserve"> and self-management strategies</w:t>
            </w:r>
            <w:r>
              <w:t>.</w:t>
            </w:r>
          </w:p>
        </w:tc>
      </w:tr>
    </w:tbl>
    <w:p w14:paraId="4830B9B9" w14:textId="77777777" w:rsidR="00DE1C8B" w:rsidRDefault="00DE1C8B">
      <w:bookmarkStart w:id="363" w:name="_Toc15054704"/>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557"/>
        <w:gridCol w:w="144"/>
        <w:gridCol w:w="2268"/>
        <w:gridCol w:w="2453"/>
        <w:gridCol w:w="3395"/>
        <w:gridCol w:w="3427"/>
      </w:tblGrid>
      <w:tr w:rsidR="00DE1C8B" w:rsidRPr="00DA1381" w14:paraId="2E688C82" w14:textId="77777777" w:rsidTr="00D92320">
        <w:trPr>
          <w:cantSplit/>
          <w:tblHeader/>
        </w:trPr>
        <w:tc>
          <w:tcPr>
            <w:tcW w:w="1701" w:type="dxa"/>
            <w:gridSpan w:val="2"/>
            <w:tcBorders>
              <w:top w:val="single" w:sz="4" w:space="0" w:color="B66113"/>
              <w:bottom w:val="single" w:sz="4" w:space="0" w:color="B66113"/>
            </w:tcBorders>
            <w:shd w:val="clear" w:color="auto" w:fill="B66113"/>
          </w:tcPr>
          <w:p w14:paraId="04791BAC"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35274C68"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3FAB1117"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20BB7AFF"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536A41BB" w14:textId="77777777" w:rsidR="00DE1C8B" w:rsidRPr="005C3532" w:rsidRDefault="00DE1C8B" w:rsidP="00D92320">
            <w:pPr>
              <w:pStyle w:val="Tableheading-white"/>
            </w:pPr>
            <w:r w:rsidRPr="00DA1381">
              <w:t>Why</w:t>
            </w:r>
          </w:p>
        </w:tc>
      </w:tr>
      <w:tr w:rsidR="008565D3" w:rsidRPr="002B465E" w14:paraId="6B753F5C" w14:textId="77777777" w:rsidTr="008565D3">
        <w:trPr>
          <w:cantSplit/>
        </w:trPr>
        <w:tc>
          <w:tcPr>
            <w:tcW w:w="13244" w:type="dxa"/>
            <w:gridSpan w:val="6"/>
            <w:tcBorders>
              <w:top w:val="single" w:sz="4" w:space="0" w:color="B66113"/>
              <w:bottom w:val="single" w:sz="4" w:space="0" w:color="B66113"/>
            </w:tcBorders>
          </w:tcPr>
          <w:p w14:paraId="546A4769" w14:textId="5A4FF32C" w:rsidR="008565D3" w:rsidRPr="008B2020" w:rsidRDefault="008565D3" w:rsidP="008565D3">
            <w:pPr>
              <w:pStyle w:val="Tabletext"/>
              <w:rPr>
                <w:b/>
                <w:bCs/>
                <w:iCs/>
                <w:lang w:val="en-US"/>
              </w:rPr>
            </w:pPr>
            <w:r w:rsidRPr="008B2020">
              <w:rPr>
                <w:b/>
                <w:bCs/>
                <w:iCs/>
                <w:lang w:val="en-US"/>
              </w:rPr>
              <w:t>Recommendation 6</w:t>
            </w:r>
            <w:bookmarkEnd w:id="363"/>
          </w:p>
          <w:p w14:paraId="0C426DA6" w14:textId="77777777" w:rsidR="008565D3" w:rsidRDefault="008565D3" w:rsidP="008565D3">
            <w:pPr>
              <w:pStyle w:val="Tabletext"/>
            </w:pPr>
            <w:r w:rsidRPr="008B2020">
              <w:t xml:space="preserve">Strengthen the quality of current Health Assessments and expand at-risk groups who are eligible for Health Assessments. </w:t>
            </w:r>
          </w:p>
        </w:tc>
      </w:tr>
      <w:tr w:rsidR="008565D3" w:rsidRPr="002B465E" w14:paraId="751365D9" w14:textId="77777777" w:rsidTr="008565D3">
        <w:trPr>
          <w:cantSplit/>
        </w:trPr>
        <w:tc>
          <w:tcPr>
            <w:tcW w:w="1557" w:type="dxa"/>
            <w:tcBorders>
              <w:top w:val="single" w:sz="4" w:space="0" w:color="B66113"/>
              <w:bottom w:val="single" w:sz="4" w:space="0" w:color="B66113"/>
            </w:tcBorders>
          </w:tcPr>
          <w:p w14:paraId="0C0CA642" w14:textId="77777777" w:rsidR="008565D3" w:rsidRPr="005C3532" w:rsidRDefault="008565D3" w:rsidP="008565D3">
            <w:pPr>
              <w:pStyle w:val="Tabletext"/>
            </w:pPr>
            <w:r>
              <w:t>701, 703, 705, 707</w:t>
            </w:r>
          </w:p>
        </w:tc>
        <w:tc>
          <w:tcPr>
            <w:tcW w:w="2412" w:type="dxa"/>
            <w:gridSpan w:val="2"/>
            <w:tcBorders>
              <w:top w:val="single" w:sz="4" w:space="0" w:color="B66113"/>
              <w:bottom w:val="single" w:sz="4" w:space="0" w:color="B66113"/>
            </w:tcBorders>
          </w:tcPr>
          <w:p w14:paraId="5C52F2F0" w14:textId="77777777" w:rsidR="008565D3" w:rsidRDefault="008565D3" w:rsidP="008565D3">
            <w:pPr>
              <w:pStyle w:val="Tabletext"/>
            </w:pPr>
            <w:r>
              <w:t xml:space="preserve">These items are for a medical practitioner to perform a Health Assessment for certain patient groups. </w:t>
            </w:r>
          </w:p>
          <w:p w14:paraId="753ECD88" w14:textId="77777777" w:rsidR="008565D3" w:rsidRPr="005C3532" w:rsidRDefault="008565D3" w:rsidP="008565D3">
            <w:pPr>
              <w:pStyle w:val="Tabletext"/>
            </w:pPr>
          </w:p>
        </w:tc>
        <w:tc>
          <w:tcPr>
            <w:tcW w:w="2453" w:type="dxa"/>
            <w:tcBorders>
              <w:top w:val="single" w:sz="4" w:space="0" w:color="B66113"/>
              <w:bottom w:val="single" w:sz="4" w:space="0" w:color="B66113"/>
            </w:tcBorders>
          </w:tcPr>
          <w:p w14:paraId="055FCD46" w14:textId="77777777" w:rsidR="008565D3" w:rsidRDefault="008565D3" w:rsidP="008565D3">
            <w:pPr>
              <w:pStyle w:val="Tabletext"/>
            </w:pPr>
            <w:r>
              <w:t xml:space="preserve">Expand eligibility to new at-risk populations and modify existing populations to </w:t>
            </w:r>
            <w:r w:rsidRPr="005C3532">
              <w:t>better align with clinical and service needs</w:t>
            </w:r>
            <w:r>
              <w:t>.</w:t>
            </w:r>
            <w:r w:rsidRPr="005C3532">
              <w:t xml:space="preserve"> </w:t>
            </w:r>
          </w:p>
          <w:p w14:paraId="4752BB70" w14:textId="77777777" w:rsidR="008565D3" w:rsidRDefault="008565D3" w:rsidP="008565D3">
            <w:pPr>
              <w:pStyle w:val="Tabletext"/>
            </w:pPr>
            <w:r>
              <w:t>T</w:t>
            </w:r>
            <w:r w:rsidRPr="005C3532">
              <w:t xml:space="preserve">he content of </w:t>
            </w:r>
            <w:r>
              <w:t>Health Assessments</w:t>
            </w:r>
            <w:r w:rsidRPr="005C3532">
              <w:t xml:space="preserve"> should conform to professional guidelines</w:t>
            </w:r>
            <w:r>
              <w:t>.</w:t>
            </w:r>
            <w:r w:rsidRPr="005C3532">
              <w:t xml:space="preserve"> </w:t>
            </w:r>
          </w:p>
          <w:p w14:paraId="3F0681E0" w14:textId="77777777" w:rsidR="00595AEF" w:rsidRDefault="008565D3" w:rsidP="00595AEF">
            <w:pPr>
              <w:pStyle w:val="Tabletext"/>
            </w:pPr>
            <w:r>
              <w:t>U</w:t>
            </w:r>
            <w:r w:rsidRPr="005C3532">
              <w:t>pload the management plan Health Assessment to My Health Record; GP to spend a reasonable time reviewing the H</w:t>
            </w:r>
            <w:r>
              <w:t xml:space="preserve">ealth </w:t>
            </w:r>
            <w:r w:rsidRPr="005C3532">
              <w:t>A</w:t>
            </w:r>
            <w:r>
              <w:t>ssessment</w:t>
            </w:r>
            <w:r w:rsidRPr="005C3532">
              <w:t xml:space="preserve"> with the patient. </w:t>
            </w:r>
          </w:p>
          <w:p w14:paraId="75A10671" w14:textId="67944ACD" w:rsidR="008565D3" w:rsidRPr="005C3532" w:rsidRDefault="008565D3" w:rsidP="00595AEF">
            <w:pPr>
              <w:pStyle w:val="Tabletext"/>
            </w:pPr>
            <w:r w:rsidRPr="005C3532">
              <w:t>Th</w:t>
            </w:r>
            <w:r>
              <w:t>e</w:t>
            </w:r>
            <w:r w:rsidRPr="005C3532">
              <w:t>s</w:t>
            </w:r>
            <w:r>
              <w:t>e</w:t>
            </w:r>
            <w:r w:rsidRPr="005C3532">
              <w:t xml:space="preserve"> items </w:t>
            </w:r>
            <w:r>
              <w:t>would be</w:t>
            </w:r>
            <w:r w:rsidRPr="005C3532">
              <w:t xml:space="preserve"> available to enrolled patients or from the usual GP, and include interventions and referrals, and a preventive health management plan as agreed by the patient.</w:t>
            </w:r>
          </w:p>
        </w:tc>
        <w:tc>
          <w:tcPr>
            <w:tcW w:w="3395" w:type="dxa"/>
            <w:tcBorders>
              <w:top w:val="single" w:sz="4" w:space="0" w:color="B66113"/>
              <w:bottom w:val="single" w:sz="4" w:space="0" w:color="B66113"/>
            </w:tcBorders>
          </w:tcPr>
          <w:p w14:paraId="3D811C94" w14:textId="77777777" w:rsidR="008565D3" w:rsidRPr="005C3532" w:rsidRDefault="008565D3" w:rsidP="008565D3">
            <w:pPr>
              <w:pStyle w:val="Tabletext"/>
            </w:pPr>
            <w:r>
              <w:t>Health Assessments would now</w:t>
            </w:r>
            <w:r w:rsidRPr="005C3532">
              <w:t xml:space="preserve"> be available</w:t>
            </w:r>
            <w:r>
              <w:t xml:space="preserve"> </w:t>
            </w:r>
            <w:r w:rsidRPr="005C3532">
              <w:t>to new at-risk populations, enrolled patients or from the usual GP, and include interventions and referrals, and a preventive health management plan as agreed by the patient.</w:t>
            </w:r>
          </w:p>
          <w:p w14:paraId="1D32399A" w14:textId="77777777" w:rsidR="008565D3" w:rsidRPr="005C3532" w:rsidRDefault="008565D3" w:rsidP="008565D3">
            <w:pPr>
              <w:pStyle w:val="Tabletext"/>
            </w:pPr>
            <w:r>
              <w:t>Health Assessment items are targeted to specific at-risk groups including people aged 40-49 who are at risk of developing Type 2 diabetes, people aged 75 years or other, residents of aged care facilities, people with severe intellectual disabilities, refugees, former serving members of the Australian Defence Force, children in out-of-home care, and prisoners on discharge.</w:t>
            </w:r>
          </w:p>
        </w:tc>
        <w:tc>
          <w:tcPr>
            <w:tcW w:w="3427" w:type="dxa"/>
            <w:tcBorders>
              <w:top w:val="single" w:sz="4" w:space="0" w:color="B66113"/>
              <w:bottom w:val="single" w:sz="4" w:space="0" w:color="B66113"/>
            </w:tcBorders>
          </w:tcPr>
          <w:p w14:paraId="2AD888A3" w14:textId="77777777" w:rsidR="008565D3" w:rsidRDefault="008565D3" w:rsidP="008565D3">
            <w:pPr>
              <w:pStyle w:val="Tabletext"/>
            </w:pPr>
            <w:r w:rsidRPr="000B015D">
              <w:t>These changes improve the quality of H</w:t>
            </w:r>
            <w:r>
              <w:t xml:space="preserve">ealth </w:t>
            </w:r>
            <w:r w:rsidRPr="000B015D">
              <w:t>A</w:t>
            </w:r>
            <w:r>
              <w:t>ssessment</w:t>
            </w:r>
            <w:r w:rsidRPr="000B015D">
              <w:t>s and provide better health support to at-risk populations.</w:t>
            </w:r>
          </w:p>
          <w:p w14:paraId="4FFE97D3" w14:textId="77777777" w:rsidR="008565D3" w:rsidRPr="005C3532" w:rsidRDefault="008565D3" w:rsidP="008565D3">
            <w:pPr>
              <w:pStyle w:val="Tabletext"/>
            </w:pPr>
            <w:r w:rsidRPr="000B015D">
              <w:t xml:space="preserve">Planning and uploading onto My Health Record will support coordination and continuity of care, and improved patient health literacy. </w:t>
            </w:r>
          </w:p>
        </w:tc>
      </w:tr>
      <w:tr w:rsidR="008565D3" w:rsidRPr="002B465E" w14:paraId="76B0A9E1" w14:textId="77777777" w:rsidTr="008565D3">
        <w:trPr>
          <w:cantSplit/>
        </w:trPr>
        <w:tc>
          <w:tcPr>
            <w:tcW w:w="1557" w:type="dxa"/>
            <w:tcBorders>
              <w:top w:val="single" w:sz="4" w:space="0" w:color="B66113"/>
            </w:tcBorders>
          </w:tcPr>
          <w:p w14:paraId="04371AC4" w14:textId="77777777" w:rsidR="008565D3" w:rsidRPr="005C3532" w:rsidRDefault="008565D3" w:rsidP="008565D3">
            <w:pPr>
              <w:pStyle w:val="Tabletext"/>
            </w:pPr>
            <w:r w:rsidRPr="00126641">
              <w:t>715</w:t>
            </w:r>
          </w:p>
        </w:tc>
        <w:tc>
          <w:tcPr>
            <w:tcW w:w="2412" w:type="dxa"/>
            <w:gridSpan w:val="2"/>
            <w:tcBorders>
              <w:top w:val="single" w:sz="4" w:space="0" w:color="B66113"/>
            </w:tcBorders>
          </w:tcPr>
          <w:p w14:paraId="510A7817" w14:textId="77777777" w:rsidR="008565D3" w:rsidRPr="005C3532" w:rsidRDefault="008565D3" w:rsidP="008565D3">
            <w:pPr>
              <w:pStyle w:val="Tabletext"/>
            </w:pPr>
            <w:r w:rsidRPr="00126641">
              <w:t xml:space="preserve">Attendance by a medical practitioner to perform a </w:t>
            </w:r>
            <w:r>
              <w:t>H</w:t>
            </w:r>
            <w:r w:rsidRPr="00126641">
              <w:t xml:space="preserve">ealth </w:t>
            </w:r>
            <w:r>
              <w:t>A</w:t>
            </w:r>
            <w:r w:rsidRPr="00126641">
              <w:t>ssessment for a patient who is of Aboriginal or Torres Strait Islander descent at consulting rooms or a place other than a hospital or residential aged care facility. This can only be performed once every 9 months</w:t>
            </w:r>
            <w:r w:rsidRPr="005C3532">
              <w:t>.</w:t>
            </w:r>
          </w:p>
        </w:tc>
        <w:tc>
          <w:tcPr>
            <w:tcW w:w="2453" w:type="dxa"/>
            <w:tcBorders>
              <w:top w:val="single" w:sz="4" w:space="0" w:color="B66113"/>
            </w:tcBorders>
          </w:tcPr>
          <w:p w14:paraId="19ADEE9D" w14:textId="77777777" w:rsidR="008565D3" w:rsidRPr="005C3532" w:rsidRDefault="008565D3" w:rsidP="008565D3">
            <w:pPr>
              <w:pStyle w:val="Tabletext"/>
            </w:pPr>
            <w:r>
              <w:t xml:space="preserve">The </w:t>
            </w:r>
            <w:r w:rsidRPr="005C3532">
              <w:t>content of H</w:t>
            </w:r>
            <w:r>
              <w:t xml:space="preserve">ealth </w:t>
            </w:r>
            <w:r w:rsidRPr="005C3532">
              <w:t>As</w:t>
            </w:r>
            <w:r>
              <w:t>sessments</w:t>
            </w:r>
            <w:r w:rsidRPr="005C3532">
              <w:t xml:space="preserve"> should conform to professional guidelines; upload the Health Assessment to My Health Record; GP to spend a reasonable time reviewing the H</w:t>
            </w:r>
            <w:r>
              <w:t xml:space="preserve">ealth </w:t>
            </w:r>
            <w:r w:rsidRPr="005C3532">
              <w:t>A</w:t>
            </w:r>
            <w:r>
              <w:t>ssessment</w:t>
            </w:r>
            <w:r w:rsidRPr="005C3532">
              <w:t xml:space="preserve"> with the patient.  </w:t>
            </w:r>
          </w:p>
        </w:tc>
        <w:tc>
          <w:tcPr>
            <w:tcW w:w="3395" w:type="dxa"/>
            <w:tcBorders>
              <w:top w:val="single" w:sz="4" w:space="0" w:color="B66113"/>
            </w:tcBorders>
          </w:tcPr>
          <w:p w14:paraId="40A7B1DC" w14:textId="77777777" w:rsidR="008565D3" w:rsidRPr="005C3532" w:rsidRDefault="008565D3" w:rsidP="008565D3">
            <w:pPr>
              <w:pStyle w:val="Tabletext"/>
            </w:pPr>
            <w:r w:rsidRPr="00126641">
              <w:t>Health Assessment</w:t>
            </w:r>
            <w:r>
              <w:t>s</w:t>
            </w:r>
            <w:r w:rsidRPr="00126641">
              <w:t xml:space="preserve"> available to</w:t>
            </w:r>
            <w:r w:rsidRPr="005C3532">
              <w:t xml:space="preserve"> Aboriginal and Torres Strait Islanders</w:t>
            </w:r>
            <w:r>
              <w:t xml:space="preserve"> updated to reflect </w:t>
            </w:r>
            <w:r w:rsidRPr="0043767B">
              <w:t>Guidelines for preventive activities in general practice 9th edition (Red Book) and the National guide to a preventive health assessment for Aboriginal and Torres Strait Islander people, or future editions where appropriate</w:t>
            </w:r>
          </w:p>
        </w:tc>
        <w:tc>
          <w:tcPr>
            <w:tcW w:w="3427" w:type="dxa"/>
            <w:tcBorders>
              <w:top w:val="single" w:sz="4" w:space="0" w:color="B66113"/>
            </w:tcBorders>
          </w:tcPr>
          <w:p w14:paraId="7C5F20EE" w14:textId="77777777" w:rsidR="008565D3" w:rsidRDefault="008565D3" w:rsidP="008565D3">
            <w:pPr>
              <w:pStyle w:val="Tabletext"/>
            </w:pPr>
            <w:r w:rsidRPr="00126641">
              <w:t>These changes improve the quality of H</w:t>
            </w:r>
            <w:r>
              <w:t xml:space="preserve">ealth </w:t>
            </w:r>
            <w:r w:rsidRPr="00126641">
              <w:t>As</w:t>
            </w:r>
            <w:r>
              <w:t>sessments</w:t>
            </w:r>
            <w:r w:rsidRPr="00126641">
              <w:t xml:space="preserve"> and provide better health support </w:t>
            </w:r>
            <w:r w:rsidRPr="005C3532">
              <w:t xml:space="preserve">for Aboriginal and Torres Strait Islander populations. </w:t>
            </w:r>
          </w:p>
          <w:p w14:paraId="687F4CC2" w14:textId="77777777" w:rsidR="008565D3" w:rsidRPr="003D66AD" w:rsidRDefault="008565D3" w:rsidP="008565D3">
            <w:r w:rsidRPr="000B015D">
              <w:rPr>
                <w:rFonts w:eastAsia="Calibri"/>
                <w:sz w:val="18"/>
                <w:szCs w:val="18"/>
              </w:rPr>
              <w:t>Planning and uploading onto My Health Record will support coordination and continuity of care, and improved patient health literacy.</w:t>
            </w:r>
          </w:p>
        </w:tc>
      </w:tr>
    </w:tbl>
    <w:p w14:paraId="1FBBB0A4" w14:textId="0CF8B1BE" w:rsidR="00DE1C8B" w:rsidRDefault="00DE1C8B" w:rsidP="008565D3">
      <w:pPr>
        <w:rPr>
          <w:rFonts w:eastAsiaTheme="minorHAnsi" w:cs="Arial"/>
          <w:b/>
          <w:color w:val="000000" w:themeColor="text1"/>
          <w:sz w:val="20"/>
          <w:szCs w:val="22"/>
          <w:lang w:eastAsia="en-US"/>
        </w:rPr>
      </w:pPr>
    </w:p>
    <w:p w14:paraId="3BC77920" w14:textId="77777777" w:rsidR="00DE1C8B" w:rsidRDefault="00DE1C8B">
      <w:pPr>
        <w:spacing w:before="0" w:after="0" w:line="240" w:lineRule="auto"/>
        <w:rPr>
          <w:rFonts w:eastAsiaTheme="minorHAnsi" w:cs="Arial"/>
          <w:b/>
          <w:color w:val="000000" w:themeColor="text1"/>
          <w:sz w:val="20"/>
          <w:szCs w:val="22"/>
          <w:lang w:eastAsia="en-US"/>
        </w:rPr>
      </w:pPr>
      <w:r>
        <w:rPr>
          <w:rFonts w:eastAsiaTheme="minorHAnsi" w:cs="Arial"/>
          <w:b/>
          <w:color w:val="000000" w:themeColor="text1"/>
          <w:sz w:val="20"/>
          <w:szCs w:val="22"/>
          <w:lang w:eastAsia="en-US"/>
        </w:rPr>
        <w:br w:type="page"/>
      </w:r>
    </w:p>
    <w:p w14:paraId="3C470E34" w14:textId="77777777" w:rsidR="008565D3" w:rsidRDefault="008565D3" w:rsidP="008565D3"/>
    <w:p w14:paraId="7E7447D6" w14:textId="16B66863" w:rsidR="008565D3" w:rsidRDefault="008565D3" w:rsidP="008565D3">
      <w:pPr>
        <w:pStyle w:val="TableCaption"/>
      </w:pPr>
      <w:r>
        <w:t>Consu</w:t>
      </w:r>
      <w:r w:rsidR="00595AEF">
        <w:t>ltation items (recommendations 7</w:t>
      </w:r>
      <w:r>
        <w:t>-</w:t>
      </w:r>
      <w:r w:rsidR="00595AEF">
        <w:t>9</w:t>
      </w:r>
      <w:r>
        <w:t>)</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Summary for consultation items Recommendation 13-16 "/>
        <w:tblDescription w:val="Appendix A Table. Summary for consultation items Recommendation 13-16 consists of 5 Columns.  Column 1. Item Column 2. What it does Column 3. Committee recommendation Column 4. What would be different and Column 5 Why."/>
      </w:tblPr>
      <w:tblGrid>
        <w:gridCol w:w="1557"/>
        <w:gridCol w:w="2412"/>
        <w:gridCol w:w="2410"/>
        <w:gridCol w:w="2843"/>
        <w:gridCol w:w="3961"/>
      </w:tblGrid>
      <w:tr w:rsidR="008565D3" w:rsidRPr="002B465E" w14:paraId="739799F3" w14:textId="77777777" w:rsidTr="00595AEF">
        <w:trPr>
          <w:cantSplit/>
          <w:tblHeader/>
        </w:trPr>
        <w:tc>
          <w:tcPr>
            <w:tcW w:w="1557" w:type="dxa"/>
            <w:tcBorders>
              <w:top w:val="single" w:sz="4" w:space="0" w:color="B66113"/>
              <w:bottom w:val="single" w:sz="4" w:space="0" w:color="B66113"/>
            </w:tcBorders>
            <w:shd w:val="clear" w:color="auto" w:fill="B66113"/>
          </w:tcPr>
          <w:p w14:paraId="4DF4C8CA" w14:textId="77777777" w:rsidR="008565D3" w:rsidRPr="005C3532" w:rsidRDefault="008565D3" w:rsidP="008565D3">
            <w:pPr>
              <w:pStyle w:val="Tableheading-white"/>
            </w:pPr>
            <w:r w:rsidRPr="002B465E">
              <w:t>Item</w:t>
            </w:r>
          </w:p>
        </w:tc>
        <w:tc>
          <w:tcPr>
            <w:tcW w:w="2412" w:type="dxa"/>
            <w:tcBorders>
              <w:top w:val="single" w:sz="4" w:space="0" w:color="B66113"/>
              <w:bottom w:val="single" w:sz="4" w:space="0" w:color="B66113"/>
            </w:tcBorders>
            <w:shd w:val="clear" w:color="auto" w:fill="B66113"/>
          </w:tcPr>
          <w:p w14:paraId="42C7C486" w14:textId="77777777" w:rsidR="008565D3" w:rsidRPr="005C3532" w:rsidRDefault="008565D3" w:rsidP="008565D3">
            <w:pPr>
              <w:pStyle w:val="Tableheading-white"/>
            </w:pPr>
            <w:r w:rsidRPr="002B465E">
              <w:t>What it does</w:t>
            </w:r>
          </w:p>
        </w:tc>
        <w:tc>
          <w:tcPr>
            <w:tcW w:w="2410" w:type="dxa"/>
            <w:tcBorders>
              <w:top w:val="single" w:sz="4" w:space="0" w:color="B66113"/>
              <w:bottom w:val="single" w:sz="4" w:space="0" w:color="B66113"/>
            </w:tcBorders>
            <w:shd w:val="clear" w:color="auto" w:fill="B66113"/>
          </w:tcPr>
          <w:p w14:paraId="04CB2C0A" w14:textId="77777777" w:rsidR="008565D3" w:rsidRPr="005C3532" w:rsidRDefault="008565D3" w:rsidP="008565D3">
            <w:pPr>
              <w:pStyle w:val="Tableheading-white"/>
            </w:pPr>
            <w:r w:rsidRPr="002B465E">
              <w:t>Committee recommendation</w:t>
            </w:r>
          </w:p>
        </w:tc>
        <w:tc>
          <w:tcPr>
            <w:tcW w:w="2843" w:type="dxa"/>
            <w:tcBorders>
              <w:top w:val="single" w:sz="4" w:space="0" w:color="B66113"/>
              <w:bottom w:val="single" w:sz="4" w:space="0" w:color="B66113"/>
            </w:tcBorders>
            <w:shd w:val="clear" w:color="auto" w:fill="B66113"/>
          </w:tcPr>
          <w:p w14:paraId="01652991" w14:textId="77777777" w:rsidR="008565D3" w:rsidRPr="005C3532" w:rsidRDefault="008565D3" w:rsidP="008565D3">
            <w:pPr>
              <w:pStyle w:val="Tableheading-white"/>
            </w:pPr>
            <w:r w:rsidRPr="002B465E">
              <w:t>What would be different</w:t>
            </w:r>
          </w:p>
        </w:tc>
        <w:tc>
          <w:tcPr>
            <w:tcW w:w="3961" w:type="dxa"/>
            <w:tcBorders>
              <w:top w:val="single" w:sz="4" w:space="0" w:color="B66113"/>
              <w:bottom w:val="single" w:sz="4" w:space="0" w:color="B66113"/>
            </w:tcBorders>
            <w:shd w:val="clear" w:color="auto" w:fill="B66113"/>
          </w:tcPr>
          <w:p w14:paraId="20F8606B" w14:textId="77777777" w:rsidR="008565D3" w:rsidRPr="005C3532" w:rsidRDefault="008565D3" w:rsidP="008565D3">
            <w:pPr>
              <w:pStyle w:val="Tableheading-white"/>
            </w:pPr>
            <w:r w:rsidRPr="002B465E">
              <w:t>Why</w:t>
            </w:r>
          </w:p>
        </w:tc>
      </w:tr>
      <w:tr w:rsidR="008565D3" w:rsidRPr="00B71B17" w14:paraId="4953B900" w14:textId="77777777" w:rsidTr="00595AEF">
        <w:trPr>
          <w:cantSplit/>
        </w:trPr>
        <w:tc>
          <w:tcPr>
            <w:tcW w:w="13183" w:type="dxa"/>
            <w:gridSpan w:val="5"/>
            <w:tcBorders>
              <w:top w:val="single" w:sz="4" w:space="0" w:color="B66113"/>
              <w:bottom w:val="single" w:sz="4" w:space="0" w:color="B66113"/>
            </w:tcBorders>
          </w:tcPr>
          <w:p w14:paraId="19F9E3A5" w14:textId="77777777" w:rsidR="008565D3" w:rsidRPr="000A70EB" w:rsidRDefault="008565D3" w:rsidP="008565D3">
            <w:pPr>
              <w:pStyle w:val="Tabletext"/>
              <w:rPr>
                <w:b/>
              </w:rPr>
            </w:pPr>
            <w:r w:rsidRPr="000A70EB">
              <w:rPr>
                <w:b/>
              </w:rPr>
              <w:t>Recommendation 7</w:t>
            </w:r>
          </w:p>
          <w:p w14:paraId="229F0371" w14:textId="77777777" w:rsidR="008565D3" w:rsidRDefault="008565D3" w:rsidP="008565D3">
            <w:pPr>
              <w:pStyle w:val="Tabletext"/>
            </w:pPr>
            <w:r>
              <w:t>Undertake additional research regarding the appropriateness of the current length, content and minimum quality metrics for GP MBS consultation items (Levels A-D).</w:t>
            </w:r>
          </w:p>
        </w:tc>
      </w:tr>
      <w:tr w:rsidR="008565D3" w:rsidRPr="002B465E" w14:paraId="09215406" w14:textId="77777777" w:rsidTr="00595AEF">
        <w:trPr>
          <w:cantSplit/>
        </w:trPr>
        <w:tc>
          <w:tcPr>
            <w:tcW w:w="1557" w:type="dxa"/>
            <w:tcBorders>
              <w:top w:val="single" w:sz="4" w:space="0" w:color="B66113"/>
              <w:bottom w:val="single" w:sz="4" w:space="0" w:color="B66113"/>
            </w:tcBorders>
          </w:tcPr>
          <w:p w14:paraId="2BED229F" w14:textId="77777777" w:rsidR="008565D3" w:rsidRDefault="008565D3" w:rsidP="008565D3">
            <w:pPr>
              <w:pStyle w:val="Tabletext"/>
            </w:pPr>
            <w:r>
              <w:t>All GP consultation items</w:t>
            </w:r>
          </w:p>
        </w:tc>
        <w:tc>
          <w:tcPr>
            <w:tcW w:w="2412" w:type="dxa"/>
            <w:tcBorders>
              <w:top w:val="single" w:sz="4" w:space="0" w:color="B66113"/>
              <w:bottom w:val="single" w:sz="4" w:space="0" w:color="B66113"/>
            </w:tcBorders>
          </w:tcPr>
          <w:p w14:paraId="4355FDA3" w14:textId="77777777" w:rsidR="008565D3" w:rsidRDefault="008565D3" w:rsidP="008565D3">
            <w:pPr>
              <w:pStyle w:val="Tabletext"/>
            </w:pPr>
            <w:r>
              <w:t xml:space="preserve">These items are consultation by a GP in various settings. </w:t>
            </w:r>
          </w:p>
          <w:p w14:paraId="54F021D1" w14:textId="77777777" w:rsidR="008565D3" w:rsidRDefault="008565D3" w:rsidP="008565D3">
            <w:pPr>
              <w:pStyle w:val="Tabletext"/>
            </w:pPr>
          </w:p>
        </w:tc>
        <w:tc>
          <w:tcPr>
            <w:tcW w:w="2410" w:type="dxa"/>
            <w:tcBorders>
              <w:top w:val="single" w:sz="4" w:space="0" w:color="B66113"/>
              <w:bottom w:val="single" w:sz="4" w:space="0" w:color="B66113"/>
            </w:tcBorders>
          </w:tcPr>
          <w:p w14:paraId="1B4E3355" w14:textId="31FA2B96" w:rsidR="008565D3" w:rsidRDefault="008565D3" w:rsidP="00595AEF">
            <w:pPr>
              <w:pStyle w:val="Tabletext"/>
            </w:pPr>
            <w:r>
              <w:t>Set up processes to gather evidence on the appropriate length, content and minimum quality metrics for GP consultation items (Levels A</w:t>
            </w:r>
            <w:r w:rsidR="00595AEF">
              <w:noBreakHyphen/>
            </w:r>
            <w:r>
              <w:t>D).</w:t>
            </w:r>
          </w:p>
        </w:tc>
        <w:tc>
          <w:tcPr>
            <w:tcW w:w="2843" w:type="dxa"/>
            <w:tcBorders>
              <w:top w:val="single" w:sz="4" w:space="0" w:color="B66113"/>
              <w:bottom w:val="single" w:sz="4" w:space="0" w:color="B66113"/>
            </w:tcBorders>
          </w:tcPr>
          <w:p w14:paraId="221406A4" w14:textId="77777777" w:rsidR="008565D3" w:rsidRPr="002B465E" w:rsidRDefault="008565D3" w:rsidP="008565D3">
            <w:pPr>
              <w:pStyle w:val="Tabletext"/>
            </w:pPr>
            <w:r>
              <w:t>E</w:t>
            </w:r>
            <w:r w:rsidRPr="005C3532">
              <w:t xml:space="preserve">vidence </w:t>
            </w:r>
            <w:r>
              <w:t>would be available to guide duration and minimum requirements for face-to-face encounters with a patient.</w:t>
            </w:r>
          </w:p>
        </w:tc>
        <w:tc>
          <w:tcPr>
            <w:tcW w:w="3961" w:type="dxa"/>
            <w:tcBorders>
              <w:top w:val="single" w:sz="4" w:space="0" w:color="B66113"/>
              <w:bottom w:val="single" w:sz="4" w:space="0" w:color="B66113"/>
            </w:tcBorders>
          </w:tcPr>
          <w:p w14:paraId="754F9558" w14:textId="77777777" w:rsidR="008565D3" w:rsidRDefault="008565D3" w:rsidP="008565D3">
            <w:pPr>
              <w:pStyle w:val="Tabletext"/>
            </w:pPr>
            <w:r>
              <w:t xml:space="preserve">Ensuring the appropriateness of the duration and minimum requirements for the face-to-face encounters with a patient that are indicative of the total amount of work and promote a more appropriate balance of procedural and consultative work. </w:t>
            </w:r>
          </w:p>
        </w:tc>
      </w:tr>
    </w:tbl>
    <w:p w14:paraId="4ACDDE33"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498B2336" w14:textId="77777777" w:rsidTr="00595AEF">
        <w:trPr>
          <w:cantSplit/>
          <w:tblHeader/>
        </w:trPr>
        <w:tc>
          <w:tcPr>
            <w:tcW w:w="1701" w:type="dxa"/>
            <w:tcBorders>
              <w:top w:val="single" w:sz="4" w:space="0" w:color="B66113"/>
              <w:bottom w:val="single" w:sz="4" w:space="0" w:color="B66113"/>
            </w:tcBorders>
            <w:shd w:val="clear" w:color="auto" w:fill="B66113"/>
          </w:tcPr>
          <w:p w14:paraId="14A85E51"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1A371541"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4E37318F"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367517B6"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451B7603" w14:textId="77777777" w:rsidR="00DE1C8B" w:rsidRPr="005C3532" w:rsidRDefault="00DE1C8B" w:rsidP="00D92320">
            <w:pPr>
              <w:pStyle w:val="Tableheading-white"/>
            </w:pPr>
            <w:r w:rsidRPr="00DA1381">
              <w:t>Why</w:t>
            </w:r>
          </w:p>
        </w:tc>
      </w:tr>
      <w:tr w:rsidR="008565D3" w:rsidRPr="00B71B17" w14:paraId="6E1C830E" w14:textId="77777777" w:rsidTr="008565D3">
        <w:trPr>
          <w:cantSplit/>
        </w:trPr>
        <w:tc>
          <w:tcPr>
            <w:tcW w:w="13244" w:type="dxa"/>
            <w:gridSpan w:val="5"/>
            <w:tcBorders>
              <w:top w:val="single" w:sz="4" w:space="0" w:color="B66113"/>
              <w:bottom w:val="single" w:sz="4" w:space="0" w:color="B66113"/>
            </w:tcBorders>
          </w:tcPr>
          <w:p w14:paraId="5EA111D1" w14:textId="38485ABD" w:rsidR="008565D3" w:rsidRPr="000A70EB" w:rsidRDefault="008565D3" w:rsidP="008565D3">
            <w:pPr>
              <w:pStyle w:val="Tabletext"/>
              <w:rPr>
                <w:b/>
              </w:rPr>
            </w:pPr>
            <w:r w:rsidRPr="000A70EB">
              <w:rPr>
                <w:b/>
              </w:rPr>
              <w:t>Recommendation 8</w:t>
            </w:r>
          </w:p>
          <w:p w14:paraId="64355C22" w14:textId="77777777" w:rsidR="008565D3" w:rsidRDefault="008565D3" w:rsidP="008565D3">
            <w:pPr>
              <w:pStyle w:val="Tabletext"/>
            </w:pPr>
            <w:r>
              <w:t>Introduce a new Level E consultation item for consultations of 60 minutes or more by a GP.</w:t>
            </w:r>
          </w:p>
        </w:tc>
      </w:tr>
      <w:tr w:rsidR="008565D3" w:rsidRPr="00B71B17" w14:paraId="560B2C2A" w14:textId="77777777" w:rsidTr="00595AEF">
        <w:trPr>
          <w:cantSplit/>
        </w:trPr>
        <w:tc>
          <w:tcPr>
            <w:tcW w:w="1701" w:type="dxa"/>
            <w:tcBorders>
              <w:top w:val="single" w:sz="4" w:space="0" w:color="B66113"/>
              <w:bottom w:val="single" w:sz="4" w:space="0" w:color="B66113"/>
            </w:tcBorders>
          </w:tcPr>
          <w:p w14:paraId="56DC8FD8" w14:textId="77777777" w:rsidR="008565D3" w:rsidRPr="005C3532" w:rsidRDefault="008565D3" w:rsidP="008565D3">
            <w:pPr>
              <w:pStyle w:val="Tabletext"/>
            </w:pPr>
            <w:r w:rsidRPr="00217EB9">
              <w:t>New item</w:t>
            </w:r>
            <w:r w:rsidRPr="005C3532">
              <w:t xml:space="preserve"> (for each setting - RACF, consulting rooms and other)</w:t>
            </w:r>
            <w:r>
              <w:t>.</w:t>
            </w:r>
          </w:p>
        </w:tc>
        <w:tc>
          <w:tcPr>
            <w:tcW w:w="2268" w:type="dxa"/>
            <w:tcBorders>
              <w:top w:val="single" w:sz="4" w:space="0" w:color="B66113"/>
              <w:bottom w:val="single" w:sz="4" w:space="0" w:color="B66113"/>
            </w:tcBorders>
          </w:tcPr>
          <w:p w14:paraId="668730B3" w14:textId="77777777" w:rsidR="008565D3" w:rsidRPr="005C3532" w:rsidRDefault="008565D3" w:rsidP="008565D3">
            <w:pPr>
              <w:pStyle w:val="Tabletext"/>
            </w:pPr>
            <w:r w:rsidRPr="00217EB9">
              <w:t xml:space="preserve">Level E - Consultation by a general practitioner </w:t>
            </w:r>
            <w:r w:rsidRPr="005C3532">
              <w:t>lasting at least 60 minutes.  The rebate would have the same per-minute rate as a level D consultation.</w:t>
            </w:r>
          </w:p>
        </w:tc>
        <w:tc>
          <w:tcPr>
            <w:tcW w:w="2453" w:type="dxa"/>
            <w:tcBorders>
              <w:top w:val="single" w:sz="4" w:space="0" w:color="B66113"/>
              <w:bottom w:val="single" w:sz="4" w:space="0" w:color="B66113"/>
            </w:tcBorders>
          </w:tcPr>
          <w:p w14:paraId="6B643E0F" w14:textId="77777777" w:rsidR="008565D3" w:rsidRPr="005C3532" w:rsidRDefault="008565D3" w:rsidP="008565D3">
            <w:pPr>
              <w:pStyle w:val="Tabletext"/>
            </w:pPr>
            <w:r w:rsidRPr="00217EB9">
              <w:t>Create a new item for consultation of 60 minutes or more by a GP</w:t>
            </w:r>
            <w:r w:rsidRPr="005C3532">
              <w:t xml:space="preserve"> requiring: an extended patient history, clinical examination, arranging an investigation, implementing a management plan or providing preventive health care.</w:t>
            </w:r>
          </w:p>
          <w:p w14:paraId="7FADA906" w14:textId="77777777" w:rsidR="008565D3" w:rsidRPr="00971453" w:rsidRDefault="008565D3" w:rsidP="008565D3"/>
        </w:tc>
        <w:tc>
          <w:tcPr>
            <w:tcW w:w="3395" w:type="dxa"/>
            <w:tcBorders>
              <w:top w:val="single" w:sz="4" w:space="0" w:color="B66113"/>
              <w:bottom w:val="single" w:sz="4" w:space="0" w:color="B66113"/>
            </w:tcBorders>
          </w:tcPr>
          <w:p w14:paraId="443A5AD1" w14:textId="77777777" w:rsidR="008565D3" w:rsidRPr="005C3532" w:rsidRDefault="008565D3" w:rsidP="008565D3">
            <w:pPr>
              <w:pStyle w:val="Tabletext"/>
            </w:pPr>
            <w:r w:rsidRPr="00217EB9">
              <w:t>GPs would be compensated appropriately for longer consultations, where they are required.</w:t>
            </w:r>
          </w:p>
        </w:tc>
        <w:tc>
          <w:tcPr>
            <w:tcW w:w="3427" w:type="dxa"/>
            <w:tcBorders>
              <w:top w:val="single" w:sz="4" w:space="0" w:color="B66113"/>
              <w:bottom w:val="single" w:sz="4" w:space="0" w:color="B66113"/>
            </w:tcBorders>
          </w:tcPr>
          <w:p w14:paraId="0DBAE5B6" w14:textId="77777777" w:rsidR="008565D3" w:rsidRPr="005C3532" w:rsidRDefault="008565D3" w:rsidP="008565D3">
            <w:pPr>
              <w:pStyle w:val="Tabletext"/>
            </w:pPr>
            <w:r>
              <w:t>Provides i</w:t>
            </w:r>
            <w:r w:rsidRPr="005C3532">
              <w:t>ncreased support for long consultation</w:t>
            </w:r>
            <w:r>
              <w:t>s</w:t>
            </w:r>
            <w:r w:rsidRPr="005C3532">
              <w:t xml:space="preserve"> where they are required</w:t>
            </w:r>
            <w:r>
              <w:t>,</w:t>
            </w:r>
            <w:r w:rsidRPr="005C3532">
              <w:t xml:space="preserve"> and appropriate compensation to GPs for time spent with patients.</w:t>
            </w:r>
          </w:p>
        </w:tc>
      </w:tr>
    </w:tbl>
    <w:p w14:paraId="30C0AC08"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7EEAD913" w14:textId="77777777" w:rsidTr="00D92320">
        <w:trPr>
          <w:cantSplit/>
          <w:tblHeader/>
        </w:trPr>
        <w:tc>
          <w:tcPr>
            <w:tcW w:w="1701" w:type="dxa"/>
            <w:tcBorders>
              <w:top w:val="single" w:sz="4" w:space="0" w:color="B66113"/>
              <w:bottom w:val="single" w:sz="4" w:space="0" w:color="B66113"/>
            </w:tcBorders>
            <w:shd w:val="clear" w:color="auto" w:fill="B66113"/>
          </w:tcPr>
          <w:p w14:paraId="5C3C412E"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0E9D6D76"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487D02FC"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7EE86372"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343C0DD1" w14:textId="77777777" w:rsidR="00DE1C8B" w:rsidRPr="005C3532" w:rsidRDefault="00DE1C8B" w:rsidP="00D92320">
            <w:pPr>
              <w:pStyle w:val="Tableheading-white"/>
            </w:pPr>
            <w:r w:rsidRPr="00DA1381">
              <w:t>Why</w:t>
            </w:r>
          </w:p>
        </w:tc>
      </w:tr>
      <w:tr w:rsidR="008565D3" w:rsidRPr="00B71B17" w14:paraId="3E3664D4" w14:textId="77777777" w:rsidTr="008565D3">
        <w:trPr>
          <w:cantSplit/>
        </w:trPr>
        <w:tc>
          <w:tcPr>
            <w:tcW w:w="13244" w:type="dxa"/>
            <w:gridSpan w:val="5"/>
            <w:tcBorders>
              <w:top w:val="single" w:sz="4" w:space="0" w:color="B66113"/>
              <w:bottom w:val="single" w:sz="4" w:space="0" w:color="B66113"/>
            </w:tcBorders>
          </w:tcPr>
          <w:p w14:paraId="05AA382E" w14:textId="153BC351" w:rsidR="008565D3" w:rsidRPr="000A70EB" w:rsidRDefault="008565D3" w:rsidP="008565D3">
            <w:pPr>
              <w:pStyle w:val="Tabletext"/>
              <w:rPr>
                <w:b/>
              </w:rPr>
            </w:pPr>
            <w:r w:rsidRPr="000A70EB">
              <w:rPr>
                <w:b/>
              </w:rPr>
              <w:t>Recommendation 9</w:t>
            </w:r>
          </w:p>
          <w:p w14:paraId="6E39E5EB" w14:textId="77777777" w:rsidR="008565D3" w:rsidRPr="00217EB9" w:rsidRDefault="008565D3" w:rsidP="008565D3">
            <w:pPr>
              <w:pStyle w:val="Tabletext"/>
            </w:pPr>
            <w:r>
              <w:t>Change the schedule fee for attendances at Residential Aged Care Facilities (RACF) to reflect an initial flag fall rebate with a stable fee for each consultation completed at the RACF.</w:t>
            </w:r>
          </w:p>
        </w:tc>
      </w:tr>
      <w:tr w:rsidR="008565D3" w:rsidRPr="00B71B17" w14:paraId="2AD82987" w14:textId="77777777" w:rsidTr="00595AEF">
        <w:trPr>
          <w:cantSplit/>
        </w:trPr>
        <w:tc>
          <w:tcPr>
            <w:tcW w:w="1701" w:type="dxa"/>
            <w:tcBorders>
              <w:top w:val="single" w:sz="4" w:space="0" w:color="B66113"/>
              <w:bottom w:val="single" w:sz="4" w:space="0" w:color="B66113"/>
            </w:tcBorders>
          </w:tcPr>
          <w:p w14:paraId="47C6E79E" w14:textId="77777777" w:rsidR="008565D3" w:rsidRPr="005C3532" w:rsidRDefault="008565D3" w:rsidP="008565D3">
            <w:pPr>
              <w:pStyle w:val="Tabletext"/>
            </w:pPr>
            <w:r>
              <w:t xml:space="preserve">20, 35, 47, 51, </w:t>
            </w:r>
            <w:r w:rsidRPr="00217EB9">
              <w:t>92</w:t>
            </w:r>
            <w:r>
              <w:t xml:space="preserve">, </w:t>
            </w:r>
            <w:r w:rsidRPr="002F75A6">
              <w:t>93</w:t>
            </w:r>
            <w:r>
              <w:t>, 95, 96</w:t>
            </w:r>
          </w:p>
        </w:tc>
        <w:tc>
          <w:tcPr>
            <w:tcW w:w="2268" w:type="dxa"/>
            <w:tcBorders>
              <w:top w:val="single" w:sz="4" w:space="0" w:color="B66113"/>
              <w:bottom w:val="single" w:sz="4" w:space="0" w:color="B66113"/>
            </w:tcBorders>
          </w:tcPr>
          <w:p w14:paraId="34B060A1" w14:textId="77777777" w:rsidR="008565D3" w:rsidRPr="005C3532" w:rsidRDefault="008565D3" w:rsidP="008565D3">
            <w:pPr>
              <w:pStyle w:val="Tabletext"/>
            </w:pPr>
            <w:r>
              <w:t>These items are for a medical practitioner a</w:t>
            </w:r>
            <w:r w:rsidRPr="002F75A6">
              <w:t>ttendance at a residential aged care facility.</w:t>
            </w:r>
          </w:p>
        </w:tc>
        <w:tc>
          <w:tcPr>
            <w:tcW w:w="2453" w:type="dxa"/>
            <w:tcBorders>
              <w:top w:val="single" w:sz="4" w:space="0" w:color="B66113"/>
              <w:bottom w:val="single" w:sz="4" w:space="0" w:color="B66113"/>
            </w:tcBorders>
          </w:tcPr>
          <w:p w14:paraId="6D77DE39" w14:textId="77777777" w:rsidR="008565D3" w:rsidRPr="005C3532" w:rsidRDefault="008565D3" w:rsidP="008565D3">
            <w:pPr>
              <w:pStyle w:val="Tabletext"/>
            </w:pPr>
            <w:r w:rsidRPr="00217EB9">
              <w:t>Change the schedule fee to reflect an initial flag fall rebate for attendance at a RACF, with a stable fee for each consultation</w:t>
            </w:r>
          </w:p>
        </w:tc>
        <w:tc>
          <w:tcPr>
            <w:tcW w:w="3395" w:type="dxa"/>
            <w:tcBorders>
              <w:top w:val="single" w:sz="4" w:space="0" w:color="B66113"/>
              <w:bottom w:val="single" w:sz="4" w:space="0" w:color="B66113"/>
            </w:tcBorders>
          </w:tcPr>
          <w:p w14:paraId="2A951377" w14:textId="77777777" w:rsidR="008565D3" w:rsidRPr="005C3532" w:rsidRDefault="008565D3" w:rsidP="008565D3">
            <w:pPr>
              <w:pStyle w:val="Tabletext"/>
            </w:pPr>
            <w:r w:rsidRPr="00217EB9">
              <w:t xml:space="preserve">GPs who attend RACFs will be paid an initial flag fall plus a stable fee for each consultation, irrespective of the number of consultations </w:t>
            </w:r>
          </w:p>
        </w:tc>
        <w:tc>
          <w:tcPr>
            <w:tcW w:w="3427" w:type="dxa"/>
            <w:tcBorders>
              <w:top w:val="single" w:sz="4" w:space="0" w:color="B66113"/>
              <w:bottom w:val="single" w:sz="4" w:space="0" w:color="B66113"/>
            </w:tcBorders>
          </w:tcPr>
          <w:p w14:paraId="34187F4B" w14:textId="77777777" w:rsidR="008565D3" w:rsidRPr="005C3532" w:rsidRDefault="008565D3" w:rsidP="008565D3">
            <w:pPr>
              <w:pStyle w:val="Tabletext"/>
            </w:pPr>
            <w:r w:rsidRPr="00217EB9">
              <w:t>This will increase access to RACFs</w:t>
            </w:r>
            <w:r w:rsidRPr="005C3532">
              <w:t xml:space="preserve"> and address stakeholder concerns about the level of GP remuneration, and concerns about GP visits to aged care facilities.  Note that all consultations (including after hours) in RACFs increased from 15 per resident in 2009/10 to 23 per resident in 2016/17 with an average time of approx. 16 minutes.</w:t>
            </w:r>
          </w:p>
        </w:tc>
      </w:tr>
    </w:tbl>
    <w:p w14:paraId="41BDEC3F" w14:textId="77777777" w:rsidR="008565D3" w:rsidRDefault="008565D3" w:rsidP="008565D3">
      <w:pPr>
        <w:pStyle w:val="Tableheading-black"/>
      </w:pPr>
    </w:p>
    <w:p w14:paraId="1537D7CA" w14:textId="77777777" w:rsidR="00DE1C8B" w:rsidRDefault="00DE1C8B">
      <w:pPr>
        <w:spacing w:before="0" w:after="0" w:line="240" w:lineRule="auto"/>
        <w:rPr>
          <w:rFonts w:eastAsiaTheme="minorHAnsi" w:cstheme="minorHAnsi"/>
          <w:b/>
          <w:sz w:val="18"/>
          <w:szCs w:val="22"/>
          <w:lang w:val="en-GB" w:eastAsia="en-US"/>
        </w:rPr>
      </w:pPr>
      <w:r>
        <w:br w:type="page"/>
      </w:r>
    </w:p>
    <w:p w14:paraId="2E1CFC50" w14:textId="17D65998" w:rsidR="008565D3" w:rsidRDefault="008565D3" w:rsidP="008565D3">
      <w:pPr>
        <w:pStyle w:val="Tableheading-black"/>
      </w:pPr>
      <w:r>
        <w:t>Other Recommendations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3395"/>
        <w:gridCol w:w="3427"/>
      </w:tblGrid>
      <w:tr w:rsidR="00DE1C8B" w:rsidRPr="00DA1381" w14:paraId="0A366F1D" w14:textId="77777777" w:rsidTr="00D92320">
        <w:trPr>
          <w:cantSplit/>
          <w:tblHeader/>
        </w:trPr>
        <w:tc>
          <w:tcPr>
            <w:tcW w:w="1701" w:type="dxa"/>
            <w:tcBorders>
              <w:top w:val="single" w:sz="4" w:space="0" w:color="B66113"/>
              <w:bottom w:val="single" w:sz="4" w:space="0" w:color="B66113"/>
            </w:tcBorders>
            <w:shd w:val="clear" w:color="auto" w:fill="B66113"/>
          </w:tcPr>
          <w:p w14:paraId="7B908A1A"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730EF9A2"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208BB52A" w14:textId="77777777" w:rsidR="00DE1C8B" w:rsidRPr="005C3532" w:rsidRDefault="00DE1C8B" w:rsidP="00D92320">
            <w:pPr>
              <w:pStyle w:val="Tableheading-white"/>
            </w:pPr>
            <w:r w:rsidRPr="00DA1381">
              <w:t>Committee recommendation</w:t>
            </w:r>
          </w:p>
        </w:tc>
        <w:tc>
          <w:tcPr>
            <w:tcW w:w="3395" w:type="dxa"/>
            <w:tcBorders>
              <w:top w:val="single" w:sz="4" w:space="0" w:color="B66113"/>
              <w:bottom w:val="single" w:sz="4" w:space="0" w:color="B66113"/>
            </w:tcBorders>
            <w:shd w:val="clear" w:color="auto" w:fill="B66113"/>
          </w:tcPr>
          <w:p w14:paraId="2AB1C2BB"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00885BCD" w14:textId="77777777" w:rsidR="00DE1C8B" w:rsidRPr="005C3532" w:rsidRDefault="00DE1C8B" w:rsidP="00D92320">
            <w:pPr>
              <w:pStyle w:val="Tableheading-white"/>
            </w:pPr>
            <w:r w:rsidRPr="00DA1381">
              <w:t>Why</w:t>
            </w:r>
          </w:p>
        </w:tc>
      </w:tr>
      <w:tr w:rsidR="008565D3" w14:paraId="62DE210C" w14:textId="77777777" w:rsidTr="008565D3">
        <w:trPr>
          <w:cantSplit/>
        </w:trPr>
        <w:tc>
          <w:tcPr>
            <w:tcW w:w="13244" w:type="dxa"/>
            <w:gridSpan w:val="5"/>
            <w:tcBorders>
              <w:top w:val="single" w:sz="4" w:space="0" w:color="B66113"/>
              <w:bottom w:val="single" w:sz="4" w:space="0" w:color="B66113"/>
            </w:tcBorders>
          </w:tcPr>
          <w:p w14:paraId="29085138" w14:textId="77777777" w:rsidR="008565D3" w:rsidRPr="000A70EB" w:rsidRDefault="008565D3" w:rsidP="008565D3">
            <w:pPr>
              <w:pStyle w:val="Tabletext"/>
              <w:rPr>
                <w:b/>
              </w:rPr>
            </w:pPr>
            <w:r w:rsidRPr="000A70EB">
              <w:rPr>
                <w:b/>
              </w:rPr>
              <w:t>Recommendation 10</w:t>
            </w:r>
          </w:p>
          <w:p w14:paraId="3F20A81C" w14:textId="77777777" w:rsidR="008565D3" w:rsidRDefault="008565D3" w:rsidP="008565D3">
            <w:pPr>
              <w:pStyle w:val="Tabletext"/>
            </w:pPr>
            <w:r>
              <w:t>Modernise the terminology currently used in the MBS to describe registered and enrolled nurses and their role to reflect the important role these health professionals play as members of the practice team.</w:t>
            </w:r>
          </w:p>
        </w:tc>
      </w:tr>
      <w:tr w:rsidR="008565D3" w14:paraId="061FFE97" w14:textId="77777777" w:rsidTr="00595AEF">
        <w:trPr>
          <w:cantSplit/>
        </w:trPr>
        <w:tc>
          <w:tcPr>
            <w:tcW w:w="1701" w:type="dxa"/>
            <w:tcBorders>
              <w:top w:val="single" w:sz="4" w:space="0" w:color="B66113"/>
              <w:bottom w:val="single" w:sz="4" w:space="0" w:color="B66113"/>
            </w:tcBorders>
          </w:tcPr>
          <w:p w14:paraId="7EA6B241" w14:textId="77777777" w:rsidR="008565D3" w:rsidRPr="00217EB9" w:rsidRDefault="008565D3" w:rsidP="008565D3">
            <w:pPr>
              <w:pStyle w:val="Tabletext"/>
            </w:pPr>
            <w:r>
              <w:t>-</w:t>
            </w:r>
          </w:p>
        </w:tc>
        <w:tc>
          <w:tcPr>
            <w:tcW w:w="2268" w:type="dxa"/>
            <w:tcBorders>
              <w:top w:val="single" w:sz="4" w:space="0" w:color="B66113"/>
              <w:bottom w:val="single" w:sz="4" w:space="0" w:color="B66113"/>
            </w:tcBorders>
          </w:tcPr>
          <w:p w14:paraId="5C117334" w14:textId="77777777" w:rsidR="008565D3" w:rsidRPr="00217EB9" w:rsidRDefault="008565D3" w:rsidP="008565D3">
            <w:pPr>
              <w:pStyle w:val="Tabletext"/>
            </w:pPr>
            <w:r>
              <w:t>-</w:t>
            </w:r>
          </w:p>
        </w:tc>
        <w:tc>
          <w:tcPr>
            <w:tcW w:w="2453" w:type="dxa"/>
            <w:tcBorders>
              <w:top w:val="single" w:sz="4" w:space="0" w:color="B66113"/>
              <w:bottom w:val="single" w:sz="4" w:space="0" w:color="B66113"/>
            </w:tcBorders>
          </w:tcPr>
          <w:p w14:paraId="247D7B04" w14:textId="77777777" w:rsidR="008565D3" w:rsidRDefault="008565D3" w:rsidP="008565D3">
            <w:pPr>
              <w:pStyle w:val="Tabletext"/>
            </w:pPr>
            <w:r>
              <w:t>The Committee recommends that the terminology currently used in the MBS to describe registered and enrolled nurses and their role be modernised to reflect the important role these members play as a member of the practice.</w:t>
            </w:r>
          </w:p>
        </w:tc>
        <w:tc>
          <w:tcPr>
            <w:tcW w:w="3395" w:type="dxa"/>
            <w:tcBorders>
              <w:top w:val="single" w:sz="4" w:space="0" w:color="B66113"/>
              <w:bottom w:val="single" w:sz="4" w:space="0" w:color="B66113"/>
            </w:tcBorders>
          </w:tcPr>
          <w:p w14:paraId="7CE51C38" w14:textId="77777777" w:rsidR="008565D3" w:rsidRDefault="008565D3" w:rsidP="008565D3">
            <w:pPr>
              <w:pStyle w:val="Tabletext"/>
            </w:pPr>
            <w:r>
              <w:t>Language across the MBS would more appropriately reflect the role played by registered and enrolled nurses.</w:t>
            </w:r>
          </w:p>
        </w:tc>
        <w:tc>
          <w:tcPr>
            <w:tcW w:w="3427" w:type="dxa"/>
            <w:tcBorders>
              <w:top w:val="single" w:sz="4" w:space="0" w:color="B66113"/>
              <w:bottom w:val="single" w:sz="4" w:space="0" w:color="B66113"/>
            </w:tcBorders>
          </w:tcPr>
          <w:p w14:paraId="7C789364" w14:textId="77777777" w:rsidR="008565D3" w:rsidRDefault="008565D3" w:rsidP="008565D3">
            <w:pPr>
              <w:pStyle w:val="Tabletext"/>
            </w:pPr>
            <w:r>
              <w:t>The term 'practice nurse' conflates the distinct groups of registered nurses and enrolled nurses.</w:t>
            </w:r>
          </w:p>
          <w:p w14:paraId="38BB57B1" w14:textId="77777777" w:rsidR="008565D3" w:rsidRDefault="008565D3" w:rsidP="008565D3">
            <w:pPr>
              <w:pStyle w:val="Tabletext"/>
            </w:pPr>
            <w:r>
              <w:t>The language of</w:t>
            </w:r>
            <w:r w:rsidRPr="00F75078">
              <w:t xml:space="preserve"> ‘for and on behalf of’ </w:t>
            </w:r>
            <w:r>
              <w:t>does not appropriately reflect the role played by registered and enrolled nurses.</w:t>
            </w:r>
          </w:p>
        </w:tc>
      </w:tr>
    </w:tbl>
    <w:p w14:paraId="1A7DFB17" w14:textId="77777777" w:rsidR="00DE1C8B" w:rsidRDefault="00DE1C8B">
      <w:r>
        <w:br w:type="page"/>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Table. Chronic disease management items. Recommendations 4-9"/>
        <w:tblDescription w:val="Appendix A Table. Summary for consumers Recommendation 4-9  consists of 5 Columns.  Column 1. Item Column 2. What it does Column 3. Committee recommendation Column 4. What would be different and Column 5 Why."/>
      </w:tblPr>
      <w:tblGrid>
        <w:gridCol w:w="1701"/>
        <w:gridCol w:w="2268"/>
        <w:gridCol w:w="2453"/>
        <w:gridCol w:w="99"/>
        <w:gridCol w:w="3296"/>
        <w:gridCol w:w="3427"/>
      </w:tblGrid>
      <w:tr w:rsidR="00DE1C8B" w:rsidRPr="00DA1381" w14:paraId="368E9D3C" w14:textId="77777777" w:rsidTr="00D92320">
        <w:trPr>
          <w:cantSplit/>
          <w:tblHeader/>
        </w:trPr>
        <w:tc>
          <w:tcPr>
            <w:tcW w:w="1701" w:type="dxa"/>
            <w:tcBorders>
              <w:top w:val="single" w:sz="4" w:space="0" w:color="B66113"/>
              <w:bottom w:val="single" w:sz="4" w:space="0" w:color="B66113"/>
            </w:tcBorders>
            <w:shd w:val="clear" w:color="auto" w:fill="B66113"/>
          </w:tcPr>
          <w:p w14:paraId="1142FE50" w14:textId="77777777" w:rsidR="00DE1C8B" w:rsidRPr="005C3532" w:rsidRDefault="00DE1C8B" w:rsidP="00D92320">
            <w:pPr>
              <w:pStyle w:val="Tableheading-white"/>
            </w:pPr>
            <w:r w:rsidRPr="00DA1381">
              <w:t>Item</w:t>
            </w:r>
          </w:p>
        </w:tc>
        <w:tc>
          <w:tcPr>
            <w:tcW w:w="2268" w:type="dxa"/>
            <w:tcBorders>
              <w:top w:val="single" w:sz="4" w:space="0" w:color="B66113"/>
              <w:bottom w:val="single" w:sz="4" w:space="0" w:color="B66113"/>
            </w:tcBorders>
            <w:shd w:val="clear" w:color="auto" w:fill="B66113"/>
          </w:tcPr>
          <w:p w14:paraId="5222F377" w14:textId="77777777" w:rsidR="00DE1C8B" w:rsidRPr="005C3532" w:rsidRDefault="00DE1C8B" w:rsidP="00D92320">
            <w:pPr>
              <w:pStyle w:val="Tableheading-white"/>
            </w:pPr>
            <w:r w:rsidRPr="00DA1381">
              <w:t>What</w:t>
            </w:r>
            <w:r>
              <w:t xml:space="preserve"> the items</w:t>
            </w:r>
            <w:r w:rsidRPr="00DA1381">
              <w:t xml:space="preserve"> does</w:t>
            </w:r>
          </w:p>
        </w:tc>
        <w:tc>
          <w:tcPr>
            <w:tcW w:w="2453" w:type="dxa"/>
            <w:tcBorders>
              <w:top w:val="single" w:sz="4" w:space="0" w:color="B66113"/>
              <w:bottom w:val="single" w:sz="4" w:space="0" w:color="B66113"/>
            </w:tcBorders>
            <w:shd w:val="clear" w:color="auto" w:fill="B66113"/>
          </w:tcPr>
          <w:p w14:paraId="21E3031C" w14:textId="77777777" w:rsidR="00DE1C8B" w:rsidRPr="005C3532" w:rsidRDefault="00DE1C8B" w:rsidP="00D92320">
            <w:pPr>
              <w:pStyle w:val="Tableheading-white"/>
            </w:pPr>
            <w:r w:rsidRPr="00DA1381">
              <w:t>Committee recommendation</w:t>
            </w:r>
          </w:p>
        </w:tc>
        <w:tc>
          <w:tcPr>
            <w:tcW w:w="3395" w:type="dxa"/>
            <w:gridSpan w:val="2"/>
            <w:tcBorders>
              <w:top w:val="single" w:sz="4" w:space="0" w:color="B66113"/>
              <w:bottom w:val="single" w:sz="4" w:space="0" w:color="B66113"/>
            </w:tcBorders>
            <w:shd w:val="clear" w:color="auto" w:fill="B66113"/>
          </w:tcPr>
          <w:p w14:paraId="1CFB0BB6" w14:textId="77777777" w:rsidR="00DE1C8B" w:rsidRPr="005C3532" w:rsidRDefault="00DE1C8B" w:rsidP="00D92320">
            <w:pPr>
              <w:pStyle w:val="Tableheading-white"/>
            </w:pPr>
            <w:r w:rsidRPr="00DA1381">
              <w:t>What would be different</w:t>
            </w:r>
          </w:p>
        </w:tc>
        <w:tc>
          <w:tcPr>
            <w:tcW w:w="3427" w:type="dxa"/>
            <w:tcBorders>
              <w:top w:val="single" w:sz="4" w:space="0" w:color="B66113"/>
              <w:bottom w:val="single" w:sz="4" w:space="0" w:color="B66113"/>
            </w:tcBorders>
            <w:shd w:val="clear" w:color="auto" w:fill="B66113"/>
          </w:tcPr>
          <w:p w14:paraId="65FD03FB" w14:textId="77777777" w:rsidR="00DE1C8B" w:rsidRPr="005C3532" w:rsidRDefault="00DE1C8B" w:rsidP="00D92320">
            <w:pPr>
              <w:pStyle w:val="Tableheading-white"/>
            </w:pPr>
            <w:r w:rsidRPr="00DA1381">
              <w:t>Why</w:t>
            </w:r>
          </w:p>
        </w:tc>
      </w:tr>
      <w:tr w:rsidR="008565D3" w14:paraId="3763ACA2" w14:textId="77777777" w:rsidTr="008565D3">
        <w:trPr>
          <w:cantSplit/>
        </w:trPr>
        <w:tc>
          <w:tcPr>
            <w:tcW w:w="13244" w:type="dxa"/>
            <w:gridSpan w:val="6"/>
            <w:tcBorders>
              <w:top w:val="single" w:sz="4" w:space="0" w:color="B66113"/>
              <w:bottom w:val="single" w:sz="4" w:space="0" w:color="B66113"/>
            </w:tcBorders>
          </w:tcPr>
          <w:p w14:paraId="14769FCE" w14:textId="490D3383" w:rsidR="008565D3" w:rsidRPr="000A70EB" w:rsidRDefault="008565D3" w:rsidP="008565D3">
            <w:pPr>
              <w:pStyle w:val="Tabletext"/>
              <w:rPr>
                <w:b/>
              </w:rPr>
            </w:pPr>
            <w:r w:rsidRPr="000A70EB">
              <w:rPr>
                <w:b/>
              </w:rPr>
              <w:t>Recommendation 11</w:t>
            </w:r>
          </w:p>
          <w:p w14:paraId="25DD571D" w14:textId="77777777" w:rsidR="008565D3" w:rsidRPr="00D47952" w:rsidRDefault="008565D3" w:rsidP="008565D3">
            <w:pPr>
              <w:pStyle w:val="Tabletext"/>
            </w:pPr>
            <w:r>
              <w:t>Enable GP telehealth consultations and expand GP telehealth eligibility to patients with mobility concerns who cannot easily be seen face-to-face.</w:t>
            </w:r>
          </w:p>
        </w:tc>
      </w:tr>
      <w:tr w:rsidR="008565D3" w14:paraId="00B690CD" w14:textId="77777777" w:rsidTr="00595AEF">
        <w:trPr>
          <w:cantSplit/>
        </w:trPr>
        <w:tc>
          <w:tcPr>
            <w:tcW w:w="1701" w:type="dxa"/>
            <w:tcBorders>
              <w:top w:val="single" w:sz="4" w:space="0" w:color="B66113"/>
              <w:bottom w:val="single" w:sz="4" w:space="0" w:color="B66113"/>
            </w:tcBorders>
          </w:tcPr>
          <w:p w14:paraId="05E28611" w14:textId="77777777" w:rsidR="008565D3" w:rsidRDefault="008565D3" w:rsidP="008565D3">
            <w:pPr>
              <w:pStyle w:val="Tabletext"/>
            </w:pPr>
            <w:r>
              <w:t>99, 82220-82222</w:t>
            </w:r>
          </w:p>
        </w:tc>
        <w:tc>
          <w:tcPr>
            <w:tcW w:w="2268" w:type="dxa"/>
            <w:tcBorders>
              <w:top w:val="single" w:sz="4" w:space="0" w:color="B66113"/>
              <w:bottom w:val="single" w:sz="4" w:space="0" w:color="B66113"/>
            </w:tcBorders>
          </w:tcPr>
          <w:p w14:paraId="5E3DEB07" w14:textId="77777777" w:rsidR="008565D3" w:rsidRDefault="008565D3" w:rsidP="008565D3">
            <w:pPr>
              <w:pStyle w:val="Tabletext"/>
            </w:pPr>
            <w:r>
              <w:t>-</w:t>
            </w:r>
          </w:p>
        </w:tc>
        <w:tc>
          <w:tcPr>
            <w:tcW w:w="2552" w:type="dxa"/>
            <w:gridSpan w:val="2"/>
            <w:tcBorders>
              <w:top w:val="single" w:sz="4" w:space="0" w:color="B66113"/>
              <w:bottom w:val="single" w:sz="4" w:space="0" w:color="B66113"/>
            </w:tcBorders>
          </w:tcPr>
          <w:p w14:paraId="086E55DF" w14:textId="77777777" w:rsidR="008565D3" w:rsidRPr="00D47952" w:rsidRDefault="008565D3" w:rsidP="008565D3">
            <w:pPr>
              <w:pStyle w:val="Tabletext"/>
            </w:pPr>
            <w:r w:rsidRPr="00D47952">
              <w:t>The Committee recommends that the descriptors of item</w:t>
            </w:r>
            <w:r>
              <w:t>s</w:t>
            </w:r>
            <w:r w:rsidRPr="002157E8">
              <w:t xml:space="preserve"> 99 and </w:t>
            </w:r>
            <w:r w:rsidRPr="00D47952">
              <w:t>82220-82222 be expanded to</w:t>
            </w:r>
            <w:r>
              <w:t xml:space="preserve"> </w:t>
            </w:r>
            <w:r w:rsidRPr="00D47952">
              <w:t>make GPs eligible to provide a telehealth consultation, in addition to specialists and consultants.</w:t>
            </w:r>
          </w:p>
          <w:p w14:paraId="0BE0F5D3" w14:textId="77777777" w:rsidR="008565D3" w:rsidRPr="00D47952" w:rsidRDefault="008565D3" w:rsidP="008565D3">
            <w:pPr>
              <w:pStyle w:val="Tabletext"/>
            </w:pPr>
            <w:r w:rsidRPr="00D47952">
              <w:rPr>
                <w:rStyle w:val="IntenseEmphasis"/>
                <w:b w:val="0"/>
                <w:bCs w:val="0"/>
                <w:i w:val="0"/>
                <w:iCs w:val="0"/>
                <w:color w:val="auto"/>
              </w:rPr>
              <w:t>The Committee recommends that new items be created to</w:t>
            </w:r>
            <w:r>
              <w:rPr>
                <w:rStyle w:val="IntenseEmphasis"/>
                <w:b w:val="0"/>
                <w:bCs w:val="0"/>
                <w:i w:val="0"/>
                <w:iCs w:val="0"/>
                <w:color w:val="auto"/>
              </w:rPr>
              <w:t xml:space="preserve"> </w:t>
            </w:r>
            <w:r w:rsidRPr="005B2D2E">
              <w:rPr>
                <w:rStyle w:val="IntenseEmphasis"/>
                <w:b w:val="0"/>
                <w:bCs w:val="0"/>
                <w:i w:val="0"/>
                <w:iCs w:val="0"/>
                <w:color w:val="auto"/>
              </w:rPr>
              <w:t>reimburse GPs for their time for telehealth consultations (similar to items which currently exist to reimburse other specialists) to support Nurse Practitioners and Aboriginal and Torres Strait Islander Health Practitioners consulting with patients in remote and rural settings.</w:t>
            </w:r>
            <w:r w:rsidRPr="00D47952">
              <w:rPr>
                <w:rStyle w:val="IntenseEmphasis"/>
                <w:b w:val="0"/>
                <w:bCs w:val="0"/>
                <w:i w:val="0"/>
                <w:iCs w:val="0"/>
                <w:color w:val="auto"/>
              </w:rPr>
              <w:t xml:space="preserve"> </w:t>
            </w:r>
          </w:p>
        </w:tc>
        <w:tc>
          <w:tcPr>
            <w:tcW w:w="3296" w:type="dxa"/>
            <w:tcBorders>
              <w:top w:val="single" w:sz="4" w:space="0" w:color="B66113"/>
              <w:bottom w:val="single" w:sz="4" w:space="0" w:color="B66113"/>
            </w:tcBorders>
          </w:tcPr>
          <w:p w14:paraId="504360C4" w14:textId="77777777" w:rsidR="008565D3" w:rsidRPr="00C307F7" w:rsidRDefault="008565D3" w:rsidP="008565D3">
            <w:pPr>
              <w:pStyle w:val="Tabletext"/>
            </w:pPr>
            <w:r>
              <w:t>GPs would be able to provide telehealth consultations in rural and regional areas, and patients with mobility concerns.</w:t>
            </w:r>
          </w:p>
          <w:p w14:paraId="43E4131F" w14:textId="77777777" w:rsidR="008565D3" w:rsidRPr="009A1E77" w:rsidRDefault="008565D3" w:rsidP="008565D3"/>
        </w:tc>
        <w:tc>
          <w:tcPr>
            <w:tcW w:w="3427" w:type="dxa"/>
            <w:tcBorders>
              <w:top w:val="single" w:sz="4" w:space="0" w:color="B66113"/>
              <w:bottom w:val="single" w:sz="4" w:space="0" w:color="B66113"/>
            </w:tcBorders>
          </w:tcPr>
          <w:p w14:paraId="1FBE76E3" w14:textId="77777777" w:rsidR="008565D3" w:rsidRPr="00D47952" w:rsidRDefault="008565D3" w:rsidP="008565D3">
            <w:pPr>
              <w:pStyle w:val="Tabletext"/>
            </w:pPr>
            <w:r w:rsidRPr="00D47952">
              <w:t xml:space="preserve">The requirement for telehealth services to take place with specialists/consultations limits patient access to telehealth items. </w:t>
            </w:r>
          </w:p>
          <w:p w14:paraId="68E3A825" w14:textId="77777777" w:rsidR="008565D3" w:rsidRDefault="008565D3" w:rsidP="008565D3">
            <w:pPr>
              <w:pStyle w:val="Tabletext"/>
            </w:pPr>
            <w:r w:rsidRPr="00D47952">
              <w:t>The addition of GPs as eligible telehealth providers will increase patient access to GPs, particularly in remote areas where GP access is more limited</w:t>
            </w:r>
            <w:r>
              <w:t>.</w:t>
            </w:r>
          </w:p>
        </w:tc>
      </w:tr>
    </w:tbl>
    <w:p w14:paraId="76DDB786" w14:textId="77777777" w:rsidR="008565D3" w:rsidRDefault="008565D3" w:rsidP="00DE1C8B"/>
    <w:sectPr w:rsidR="008565D3" w:rsidSect="009A7BA2">
      <w:headerReference w:type="default" r:id="rId2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36694" w14:textId="77777777" w:rsidR="008565D3" w:rsidRDefault="008565D3" w:rsidP="000D1CF6">
      <w:r>
        <w:separator/>
      </w:r>
    </w:p>
    <w:p w14:paraId="2542FE3B" w14:textId="77777777" w:rsidR="008565D3" w:rsidRDefault="008565D3" w:rsidP="000D1CF6"/>
    <w:p w14:paraId="161FD555" w14:textId="77777777" w:rsidR="008565D3" w:rsidRDefault="008565D3"/>
  </w:endnote>
  <w:endnote w:type="continuationSeparator" w:id="0">
    <w:p w14:paraId="071D005E" w14:textId="77777777" w:rsidR="008565D3" w:rsidRDefault="008565D3" w:rsidP="000D1CF6">
      <w:r>
        <w:continuationSeparator/>
      </w:r>
    </w:p>
    <w:p w14:paraId="7EA3D41C" w14:textId="77777777" w:rsidR="008565D3" w:rsidRDefault="008565D3" w:rsidP="000D1CF6"/>
    <w:p w14:paraId="6E0D3EB0" w14:textId="77777777" w:rsidR="008565D3" w:rsidRDefault="008565D3"/>
  </w:endnote>
  <w:endnote w:id="1">
    <w:p w14:paraId="7735D717" w14:textId="77777777" w:rsidR="008565D3" w:rsidRPr="00C35E80" w:rsidRDefault="008565D3" w:rsidP="00C35E80">
      <w:pPr>
        <w:pStyle w:val="Heading1"/>
        <w:numPr>
          <w:ilvl w:val="0"/>
          <w:numId w:val="0"/>
        </w:numPr>
      </w:pPr>
      <w:r>
        <w:t xml:space="preserve">7. </w:t>
      </w:r>
      <w:r w:rsidRPr="00C35E80">
        <w:t>References</w:t>
      </w:r>
    </w:p>
    <w:p w14:paraId="678984DD" w14:textId="77777777" w:rsidR="008565D3" w:rsidRDefault="008565D3" w:rsidP="00C35E80">
      <w:r w:rsidRPr="009D0EED">
        <w:t>This contains references to sources and materials referenced in this report.</w:t>
      </w:r>
    </w:p>
    <w:p w14:paraId="21BB07B3" w14:textId="77777777" w:rsidR="008565D3" w:rsidRDefault="008565D3" w:rsidP="001B1197">
      <w:pPr>
        <w:pStyle w:val="EndNoteBibliography"/>
      </w:pPr>
      <w:r>
        <w:endnoteRef/>
      </w:r>
      <w:r>
        <w:t xml:space="preserve"> </w:t>
      </w:r>
      <w:r>
        <w:tab/>
      </w:r>
      <w:r w:rsidRPr="00106A87">
        <w:t>The George Institute for Global Health (2015) Investing in healthier lives: Pathways to healthcare financing reform in Australia. The George Institute for Global Health, Sydney.</w:t>
      </w:r>
      <w:r w:rsidRPr="00C37928">
        <w:t xml:space="preserve"> </w:t>
      </w:r>
    </w:p>
  </w:endnote>
  <w:endnote w:id="2">
    <w:p w14:paraId="1F2329B5" w14:textId="77777777" w:rsidR="008565D3" w:rsidRDefault="008565D3" w:rsidP="001B1197">
      <w:pPr>
        <w:pStyle w:val="EndNoteBibliography"/>
      </w:pPr>
      <w:r>
        <w:endnoteRef/>
      </w:r>
      <w:r>
        <w:t xml:space="preserve"> </w:t>
      </w:r>
      <w:r>
        <w:tab/>
      </w:r>
      <w:r w:rsidRPr="00C37928">
        <w:t xml:space="preserve">Starfield B, Shi L, Macinko J. </w:t>
      </w:r>
      <w:r>
        <w:t xml:space="preserve">(2005) </w:t>
      </w:r>
      <w:r w:rsidRPr="00C37928">
        <w:t xml:space="preserve">Contribution of Primary Care to Health Systems and Health. The Milbank Quarterly. </w:t>
      </w:r>
      <w:r w:rsidRPr="00C37928">
        <w:rPr>
          <w:lang w:val="en"/>
        </w:rPr>
        <w:t xml:space="preserve">83(3): 457–502. </w:t>
      </w:r>
      <w:r w:rsidRPr="00C37928">
        <w:t xml:space="preserve">Available from: </w:t>
      </w:r>
      <w:hyperlink r:id="rId1" w:history="1">
        <w:r w:rsidRPr="00C37928">
          <w:t>https://www.ncbi.nlm.nih.gov/pmc/articles/PMC2690145/</w:t>
        </w:r>
      </w:hyperlink>
      <w:r>
        <w:t xml:space="preserve">  </w:t>
      </w:r>
    </w:p>
  </w:endnote>
  <w:endnote w:id="3">
    <w:p w14:paraId="2303C9C4" w14:textId="77777777" w:rsidR="008565D3" w:rsidRDefault="008565D3" w:rsidP="001B1197">
      <w:pPr>
        <w:pStyle w:val="EndNoteBibliography"/>
      </w:pPr>
      <w:r>
        <w:endnoteRef/>
      </w:r>
      <w:r>
        <w:t xml:space="preserve"> </w:t>
      </w:r>
      <w:r>
        <w:tab/>
        <w:t xml:space="preserve">Department of Health. Evaluation Report of the Diabetes Care Project.  </w:t>
      </w:r>
      <w:r w:rsidRPr="002C20EC">
        <w:t xml:space="preserve">[Cited 2018 July 24]. </w:t>
      </w:r>
      <w:r>
        <w:t xml:space="preserve">Available from: </w:t>
      </w:r>
      <w:r w:rsidRPr="00085D6F">
        <w:t>https://www.health.gov.au/internet/main/publishing.nsf/Content/302DF0372F537A43CA257E35000138E8/$File/DCP%20Evaluation%20Report.pdf</w:t>
      </w:r>
    </w:p>
  </w:endnote>
  <w:endnote w:id="4">
    <w:p w14:paraId="636022D7" w14:textId="77777777" w:rsidR="008565D3" w:rsidRDefault="008565D3" w:rsidP="001B1197">
      <w:pPr>
        <w:pStyle w:val="EndNoteBibliography"/>
      </w:pPr>
      <w:r>
        <w:endnoteRef/>
      </w:r>
      <w:r>
        <w:t xml:space="preserve"> </w:t>
      </w:r>
      <w:r>
        <w:tab/>
        <w:t xml:space="preserve">Primary Health Care Advisory Group Report:  </w:t>
      </w:r>
      <w:r w:rsidRPr="00AF362D">
        <w:t>Better Outcomes for people with Chronic and Complex Health Conditions</w:t>
      </w:r>
      <w:r>
        <w:t xml:space="preserve">. December 2015. </w:t>
      </w:r>
      <w:r w:rsidRPr="002C20EC">
        <w:t xml:space="preserve">[Cited 2018 July 24]. </w:t>
      </w:r>
      <w:r>
        <w:t xml:space="preserve">Available from: </w:t>
      </w:r>
      <w:hyperlink r:id="rId2" w:history="1">
        <w:r w:rsidRPr="002614A2">
          <w:t>http://www.health.gov.au/internet/main/publishing.nsf/Content/primary-phcag-report</w:t>
        </w:r>
      </w:hyperlink>
    </w:p>
  </w:endnote>
  <w:endnote w:id="5">
    <w:p w14:paraId="7A258C9C" w14:textId="77777777" w:rsidR="008565D3" w:rsidRDefault="008565D3" w:rsidP="00F53626">
      <w:pPr>
        <w:pStyle w:val="EndNoteBibliography"/>
      </w:pPr>
      <w:r>
        <w:endnoteRef/>
      </w:r>
      <w:r>
        <w:t xml:space="preserve"> </w:t>
      </w:r>
      <w:r>
        <w:tab/>
      </w:r>
      <w:r w:rsidRPr="00F53626">
        <w:t>Health Innovation Network – South London</w:t>
      </w:r>
      <w:r>
        <w:t xml:space="preserve">. </w:t>
      </w:r>
      <w:r w:rsidRPr="00666A69">
        <w:t xml:space="preserve">What is person-centred care and why is it important? </w:t>
      </w:r>
      <w:r>
        <w:t xml:space="preserve">[Cited 2018 August 14] Available from: </w:t>
      </w:r>
      <w:r w:rsidRPr="00F53626">
        <w:t>https://healthinnovationnetwork.com/system/ckeditor_assets/attachments/41/what_is_person-centred_care_and_why_is_it_important.pdf</w:t>
      </w:r>
    </w:p>
  </w:endnote>
  <w:endnote w:id="6">
    <w:p w14:paraId="0D903C34" w14:textId="77777777" w:rsidR="008565D3" w:rsidRDefault="008565D3" w:rsidP="001B1197">
      <w:pPr>
        <w:pStyle w:val="EndNoteBibliography"/>
      </w:pPr>
      <w:r>
        <w:endnoteRef/>
      </w:r>
      <w:r>
        <w:t xml:space="preserve"> </w:t>
      </w:r>
      <w:r>
        <w:tab/>
      </w:r>
      <w:hyperlink r:id="rId3" w:tooltip="Donald M. Berwick" w:history="1">
        <w:r w:rsidRPr="00BE352C">
          <w:t>Berwick</w:t>
        </w:r>
      </w:hyperlink>
      <w:r>
        <w:t xml:space="preserve"> DM, Nolan TW, Whittington J. </w:t>
      </w:r>
      <w:r w:rsidRPr="00BE352C">
        <w:t xml:space="preserve"> </w:t>
      </w:r>
      <w:r>
        <w:t>(2008) The Triple Aim: Care, Health, a</w:t>
      </w:r>
      <w:r w:rsidRPr="00BE352C">
        <w:t>nd Cost</w:t>
      </w:r>
      <w:r>
        <w:t>. Health Affairs. V</w:t>
      </w:r>
      <w:hyperlink r:id="rId4" w:history="1">
        <w:r w:rsidRPr="00BE352C">
          <w:t>ol. 27, No. 3</w:t>
        </w:r>
      </w:hyperlink>
      <w:r w:rsidRPr="00BE352C">
        <w:t>: Health Reform Revisited</w:t>
      </w:r>
      <w:r>
        <w:t xml:space="preserve">. Available from: </w:t>
      </w:r>
      <w:hyperlink r:id="rId5" w:history="1">
        <w:r w:rsidRPr="002F5424">
          <w:t>https://www.healthaffairs.org/doi/10.1377/hlthaff.27.3.759</w:t>
        </w:r>
      </w:hyperlink>
    </w:p>
  </w:endnote>
  <w:endnote w:id="7">
    <w:p w14:paraId="7162505C" w14:textId="77777777" w:rsidR="008565D3" w:rsidRDefault="008565D3" w:rsidP="001B1197">
      <w:pPr>
        <w:pStyle w:val="EndNoteBibliography"/>
      </w:pPr>
      <w:r>
        <w:endnoteRef/>
      </w:r>
      <w:r>
        <w:t xml:space="preserve"> </w:t>
      </w:r>
      <w:r>
        <w:tab/>
      </w:r>
      <w:hyperlink r:id="rId6" w:history="1">
        <w:r w:rsidRPr="00835919">
          <w:t>Bodenheimer</w:t>
        </w:r>
      </w:hyperlink>
      <w:r>
        <w:t xml:space="preserve"> T, Sinsky C. </w:t>
      </w:r>
      <w:r w:rsidRPr="00835919">
        <w:t xml:space="preserve"> </w:t>
      </w:r>
      <w:r>
        <w:t xml:space="preserve">(2014) </w:t>
      </w:r>
      <w:r w:rsidRPr="00835919">
        <w:t>From Triple to Quadruple Aim: Care of the Patient Requires Care of the Provider</w:t>
      </w:r>
      <w:r>
        <w:t xml:space="preserve">. </w:t>
      </w:r>
      <w:r w:rsidRPr="00835919">
        <w:t xml:space="preserve"> </w:t>
      </w:r>
      <w:r>
        <w:t xml:space="preserve">Annals of Family Medicine. </w:t>
      </w:r>
      <w:r w:rsidRPr="00835919">
        <w:t xml:space="preserve">November/December </w:t>
      </w:r>
      <w:r>
        <w:t>vol. 12(</w:t>
      </w:r>
      <w:r w:rsidRPr="00835919">
        <w:t>6</w:t>
      </w:r>
      <w:r>
        <w:t>)</w:t>
      </w:r>
      <w:r w:rsidRPr="00835919">
        <w:t xml:space="preserve"> 573-576</w:t>
      </w:r>
      <w:r>
        <w:t>.</w:t>
      </w:r>
      <w:r w:rsidRPr="00835919">
        <w:t xml:space="preserve"> </w:t>
      </w:r>
      <w:r>
        <w:t xml:space="preserve">Available from: </w:t>
      </w:r>
      <w:hyperlink r:id="rId7" w:history="1">
        <w:r w:rsidRPr="002F5424">
          <w:t>http://www.annfammed.org/content/12/6/573.full</w:t>
        </w:r>
      </w:hyperlink>
    </w:p>
  </w:endnote>
  <w:endnote w:id="8">
    <w:p w14:paraId="63B1BF79" w14:textId="77777777" w:rsidR="008565D3" w:rsidRDefault="008565D3" w:rsidP="001B1197">
      <w:pPr>
        <w:pStyle w:val="EndNoteBibliography"/>
      </w:pPr>
      <w:r>
        <w:endnoteRef/>
      </w:r>
      <w:r>
        <w:t xml:space="preserve"> </w:t>
      </w:r>
      <w:r>
        <w:tab/>
        <w:t>World Health Organisation. [Cited 2018 July 24]. World Health Report, Primary Care: Putting People First. Chapter 3.  Available from:  http://</w:t>
      </w:r>
      <w:hyperlink r:id="rId8" w:history="1">
        <w:r w:rsidRPr="002F5424">
          <w:t>www.who.int/whr/2008/chapter3/en/</w:t>
        </w:r>
      </w:hyperlink>
    </w:p>
  </w:endnote>
  <w:endnote w:id="9">
    <w:p w14:paraId="350B6E15" w14:textId="77777777" w:rsidR="008565D3" w:rsidRDefault="008565D3" w:rsidP="001B1197">
      <w:pPr>
        <w:pStyle w:val="EndNoteBibliography"/>
      </w:pPr>
      <w:r>
        <w:endnoteRef/>
      </w:r>
      <w:r>
        <w:t xml:space="preserve"> </w:t>
      </w:r>
      <w:r>
        <w:tab/>
      </w:r>
      <w:r w:rsidRPr="002F5424">
        <w:t>RACGP</w:t>
      </w:r>
      <w:r>
        <w:t xml:space="preserve"> - What is general practice.  [Cited 2018 July 24]. Available from</w:t>
      </w:r>
      <w:r w:rsidRPr="002F5424">
        <w:t xml:space="preserve">: </w:t>
      </w:r>
      <w:hyperlink r:id="rId9" w:history="1">
        <w:r w:rsidRPr="002F5424">
          <w:t>www.racgp.org.au/becomingagp/what-is-a-gp/what-is-general-practice/</w:t>
        </w:r>
      </w:hyperlink>
    </w:p>
  </w:endnote>
  <w:endnote w:id="10">
    <w:p w14:paraId="128AEF67" w14:textId="77777777" w:rsidR="008565D3" w:rsidRDefault="008565D3" w:rsidP="001B1197">
      <w:pPr>
        <w:pStyle w:val="EndNoteBibliography"/>
      </w:pPr>
      <w:r>
        <w:endnoteRef/>
      </w:r>
      <w:r>
        <w:t xml:space="preserve"> </w:t>
      </w:r>
      <w:r>
        <w:tab/>
        <w:t>Australian College of Rural and Remote Medicine - Definition of General Practice. Available from:  http://</w:t>
      </w:r>
      <w:hyperlink r:id="rId10" w:history="1">
        <w:r w:rsidRPr="002F5424">
          <w:t>www.acrrm.org.au/about-the-college/about-rural-and-remote-medicine/college-definition-of-general-practice</w:t>
        </w:r>
      </w:hyperlink>
    </w:p>
  </w:endnote>
  <w:endnote w:id="11">
    <w:p w14:paraId="770EF8BD" w14:textId="77777777" w:rsidR="008565D3" w:rsidRDefault="008565D3" w:rsidP="001B1197">
      <w:pPr>
        <w:pStyle w:val="EndNoteBibliography"/>
      </w:pPr>
      <w:r>
        <w:endnoteRef/>
      </w:r>
      <w:r>
        <w:t xml:space="preserve"> </w:t>
      </w:r>
      <w:r>
        <w:tab/>
      </w:r>
      <w:r w:rsidRPr="00835919">
        <w:t>Primary Health Care Advisory Group</w:t>
      </w:r>
      <w:r>
        <w:t>.</w:t>
      </w:r>
      <w:r w:rsidRPr="002F5424">
        <w:t xml:space="preserve"> Final Report: Better Outcomes for People with Chronic and Complex Health Conditions, 2015</w:t>
      </w:r>
      <w:r>
        <w:t xml:space="preserve">. </w:t>
      </w:r>
      <w:r w:rsidRPr="002C20EC">
        <w:t xml:space="preserve">[Cited 2018 July 24]. Available from: </w:t>
      </w:r>
      <w:hyperlink r:id="rId11" w:history="1">
        <w:r w:rsidRPr="002C20EC">
          <w:t>http://www.health.gov.au/internet/main/publishing.nsf/Content/primary-phcag-report</w:t>
        </w:r>
      </w:hyperlink>
    </w:p>
  </w:endnote>
  <w:endnote w:id="12">
    <w:p w14:paraId="14695EF4" w14:textId="77777777" w:rsidR="008565D3" w:rsidRDefault="008565D3" w:rsidP="001B1197">
      <w:pPr>
        <w:pStyle w:val="EndNoteBibliography"/>
      </w:pPr>
      <w:r>
        <w:endnoteRef/>
      </w:r>
      <w:r>
        <w:t xml:space="preserve"> </w:t>
      </w:r>
      <w:r>
        <w:tab/>
      </w:r>
      <w:r w:rsidRPr="00835919">
        <w:t xml:space="preserve">Starfield B, Shi L, Macinko J. Contribution of Primary Care to Health Systems and Health. The Milbank Quarterly. </w:t>
      </w:r>
      <w:r w:rsidRPr="00835919">
        <w:rPr>
          <w:lang w:val="en"/>
        </w:rPr>
        <w:t xml:space="preserve">2005 Sep; 83(3): 457–502. </w:t>
      </w:r>
      <w:r w:rsidRPr="00835919">
        <w:t xml:space="preserve">Available from: </w:t>
      </w:r>
      <w:hyperlink r:id="rId12" w:history="1">
        <w:r w:rsidRPr="00835919">
          <w:t>https://www.ncbi.nlm.nih.gov/pmc/articles/PMC2690145/</w:t>
        </w:r>
      </w:hyperlink>
      <w:r>
        <w:t xml:space="preserve"> </w:t>
      </w:r>
    </w:p>
  </w:endnote>
  <w:endnote w:id="13">
    <w:p w14:paraId="296C6686" w14:textId="77777777" w:rsidR="008565D3" w:rsidRDefault="008565D3" w:rsidP="001B1197">
      <w:pPr>
        <w:pStyle w:val="EndNoteBibliography"/>
      </w:pPr>
      <w:r>
        <w:endnoteRef/>
      </w:r>
      <w:r>
        <w:t xml:space="preserve"> </w:t>
      </w:r>
      <w:r>
        <w:tab/>
      </w:r>
      <w:r w:rsidRPr="002328D0">
        <w:t>Primary Health Care Advisory Group. Final Report: Better Outcomes for People with Chronic and Complex Health Conditions.</w:t>
      </w:r>
      <w:r>
        <w:t xml:space="preserve"> Available from: </w:t>
      </w:r>
      <w:r w:rsidRPr="00622BCC">
        <w:t>https://www.health.gov.au/internet/main/publishing.nsf/Content/76B2BDC12AE54540CA257F72001102B9/$File/Primary-Health-Care-Advisory-Group_Final-Report.pdf</w:t>
      </w:r>
    </w:p>
  </w:endnote>
  <w:endnote w:id="14">
    <w:p w14:paraId="3EA5D8C7" w14:textId="77777777" w:rsidR="008565D3" w:rsidRDefault="008565D3" w:rsidP="001B1197">
      <w:pPr>
        <w:pStyle w:val="EndNoteBibliography"/>
      </w:pPr>
      <w:r>
        <w:endnoteRef/>
      </w:r>
      <w:r>
        <w:t xml:space="preserve"> </w:t>
      </w:r>
      <w:r>
        <w:tab/>
      </w:r>
      <w:r w:rsidRPr="00835919">
        <w:t xml:space="preserve">World Health Organisation. World Health Report, Primary Care: Putting People First. Chapter 3.  </w:t>
      </w:r>
      <w:r>
        <w:t>Available from</w:t>
      </w:r>
      <w:r w:rsidRPr="00F85D0E">
        <w:t xml:space="preserve">: </w:t>
      </w:r>
      <w:hyperlink r:id="rId13" w:history="1">
        <w:r w:rsidRPr="00F85D0E">
          <w:t>http://www.who.int/whr/2008/chapter3/en/</w:t>
        </w:r>
      </w:hyperlink>
    </w:p>
  </w:endnote>
  <w:endnote w:id="15">
    <w:p w14:paraId="7B7A29AC" w14:textId="77777777" w:rsidR="008565D3" w:rsidRDefault="008565D3" w:rsidP="001B1197">
      <w:pPr>
        <w:pStyle w:val="EndNoteBibliography"/>
      </w:pPr>
      <w:r>
        <w:endnoteRef/>
      </w:r>
      <w:r>
        <w:t xml:space="preserve"> </w:t>
      </w:r>
      <w:r>
        <w:tab/>
      </w:r>
      <w:r w:rsidRPr="00835919">
        <w:t xml:space="preserve">RACGP - What is general practice.  </w:t>
      </w:r>
      <w:r w:rsidRPr="002C20EC">
        <w:t xml:space="preserve">[Cited 2018 July 24]. </w:t>
      </w:r>
      <w:r w:rsidRPr="00835919">
        <w:t>Available from:</w:t>
      </w:r>
      <w:r w:rsidRPr="00F85D0E">
        <w:t xml:space="preserve"> </w:t>
      </w:r>
      <w:hyperlink r:id="rId14" w:history="1">
        <w:r w:rsidRPr="00F85D0E">
          <w:t>https://www.racgp.org.au/becomingagp/what-is-a-gp/what-is-general-practice/</w:t>
        </w:r>
      </w:hyperlink>
    </w:p>
  </w:endnote>
  <w:endnote w:id="16">
    <w:p w14:paraId="189DB475" w14:textId="77777777" w:rsidR="008565D3" w:rsidRDefault="008565D3" w:rsidP="001B1197">
      <w:pPr>
        <w:pStyle w:val="EndNoteBibliography"/>
      </w:pPr>
      <w:r>
        <w:endnoteRef/>
      </w:r>
      <w:r>
        <w:t xml:space="preserve"> </w:t>
      </w:r>
      <w:r>
        <w:tab/>
      </w:r>
      <w:r w:rsidRPr="00835919">
        <w:t xml:space="preserve">Australian College of Rural and Remote Medicine - Definition of General Practice. </w:t>
      </w:r>
      <w:r w:rsidRPr="002C20EC">
        <w:t xml:space="preserve">[Cited 2018 July 24]. </w:t>
      </w:r>
      <w:r w:rsidRPr="00835919">
        <w:t>Available from</w:t>
      </w:r>
      <w:r w:rsidRPr="00F85D0E">
        <w:t>:</w:t>
      </w:r>
      <w:r w:rsidRPr="00F85D0E">
        <w:br/>
      </w:r>
      <w:hyperlink r:id="rId15" w:history="1">
        <w:r w:rsidRPr="00F85D0E">
          <w:t>http://www.acrrm.org.au/about-the-college/about-rural-and-remote-medicine/college-definition-of-general-practice</w:t>
        </w:r>
      </w:hyperlink>
    </w:p>
  </w:endnote>
  <w:endnote w:id="17">
    <w:p w14:paraId="7520A17A" w14:textId="77777777" w:rsidR="008565D3" w:rsidRDefault="008565D3" w:rsidP="001B1197">
      <w:pPr>
        <w:pStyle w:val="EndNoteBibliography"/>
      </w:pPr>
      <w:r>
        <w:endnoteRef/>
      </w:r>
      <w:r>
        <w:t xml:space="preserve"> </w:t>
      </w:r>
      <w:r>
        <w:tab/>
      </w:r>
      <w:r w:rsidRPr="00835919">
        <w:t xml:space="preserve">RACGP - What is general practice.  </w:t>
      </w:r>
      <w:r w:rsidRPr="002C20EC">
        <w:t xml:space="preserve">[Cited 2018 July 24]. </w:t>
      </w:r>
      <w:r w:rsidRPr="00835919">
        <w:t>Available from</w:t>
      </w:r>
      <w:r w:rsidRPr="002328D0">
        <w:t xml:space="preserve">: </w:t>
      </w:r>
      <w:hyperlink r:id="rId16" w:history="1">
        <w:r w:rsidRPr="002328D0">
          <w:t>www.racgp.org.au/becomingagp/what-is-a-gp/what-is-general-practice/</w:t>
        </w:r>
      </w:hyperlink>
    </w:p>
  </w:endnote>
  <w:endnote w:id="18">
    <w:p w14:paraId="7FDFAF44" w14:textId="77777777" w:rsidR="008565D3" w:rsidRPr="00C41161" w:rsidRDefault="008565D3" w:rsidP="00091FB9">
      <w:pPr>
        <w:pStyle w:val="EndNoteBibliography"/>
        <w:rPr>
          <w:lang w:val="en"/>
        </w:rPr>
      </w:pPr>
      <w:r>
        <w:endnoteRef/>
      </w:r>
      <w:r>
        <w:t xml:space="preserve"> </w:t>
      </w:r>
      <w:r>
        <w:tab/>
      </w:r>
      <w:r w:rsidRPr="00C41161">
        <w:rPr>
          <w:lang w:val="en"/>
        </w:rPr>
        <w:t>Pereira Gray DJ, Sidaway-Lee K, White E, et al</w:t>
      </w:r>
      <w:r>
        <w:t xml:space="preserve">. (2018) </w:t>
      </w:r>
      <w:r w:rsidRPr="00C41161">
        <w:rPr>
          <w:lang w:val="en"/>
        </w:rPr>
        <w:t>Continuity of care with doctors—a matter of life and death? A systematic review of continuity of care and mortality</w:t>
      </w:r>
      <w:r>
        <w:t xml:space="preserve">. </w:t>
      </w:r>
      <w:r w:rsidRPr="00C41161">
        <w:rPr>
          <w:lang w:val="en"/>
        </w:rPr>
        <w:t xml:space="preserve">BMJ Open 2018;8:e021161. doi: 10.1136/bmjopen-2017-021161 </w:t>
      </w:r>
    </w:p>
  </w:endnote>
  <w:endnote w:id="19">
    <w:p w14:paraId="4353BDE9" w14:textId="77777777" w:rsidR="008565D3" w:rsidRDefault="008565D3" w:rsidP="00091FB9">
      <w:pPr>
        <w:pStyle w:val="EndNoteBibliography"/>
      </w:pPr>
      <w:r>
        <w:endnoteRef/>
      </w:r>
      <w:r>
        <w:t xml:space="preserve"> </w:t>
      </w:r>
      <w:r>
        <w:tab/>
      </w:r>
      <w:r w:rsidRPr="00B975F5">
        <w:t>Barker I, Steventon A, Deeny SR. </w:t>
      </w:r>
      <w:r>
        <w:t xml:space="preserve">(2017) </w:t>
      </w:r>
      <w:r w:rsidRPr="00B975F5">
        <w:t>Association between continuity of care in general practice and hospital admissions for ambulatory care sensitive conditions: cross sectional study of routinely collected, person level data</w:t>
      </w:r>
      <w:r>
        <w:t>.</w:t>
      </w:r>
      <w:r w:rsidRPr="00B975F5">
        <w:t> BMJ 2017;356 :j84</w:t>
      </w:r>
    </w:p>
  </w:endnote>
  <w:endnote w:id="20">
    <w:p w14:paraId="7EA9775F" w14:textId="77777777" w:rsidR="008565D3" w:rsidRDefault="008565D3" w:rsidP="00091FB9">
      <w:pPr>
        <w:pStyle w:val="EndNoteBibliography"/>
      </w:pPr>
      <w:r>
        <w:endnoteRef/>
      </w:r>
      <w:r>
        <w:t xml:space="preserve"> </w:t>
      </w:r>
      <w:r>
        <w:tab/>
        <w:t>Mainous</w:t>
      </w:r>
      <w:r w:rsidRPr="00B975F5">
        <w:t xml:space="preserve"> AG, Baker R, Love MM, Gray</w:t>
      </w:r>
      <w:r>
        <w:t xml:space="preserve"> DP,</w:t>
      </w:r>
      <w:r w:rsidRPr="00B975F5">
        <w:t xml:space="preserve"> Gill JM</w:t>
      </w:r>
      <w:r>
        <w:t xml:space="preserve">.  </w:t>
      </w:r>
      <w:r w:rsidRPr="00B975F5">
        <w:t>Continuity of care and trust in one's physician: evidence from primary care in the United States and the United Kingd</w:t>
      </w:r>
      <w:r>
        <w:t>om</w:t>
      </w:r>
      <w:r w:rsidRPr="00B975F5">
        <w:t>, Family Medicine, </w:t>
      </w:r>
      <w:r w:rsidRPr="009167AB">
        <w:t>2001,</w:t>
      </w:r>
      <w:r w:rsidRPr="00B975F5">
        <w:t>vol. 33, no. 1, pp. 22–7.</w:t>
      </w:r>
    </w:p>
  </w:endnote>
  <w:endnote w:id="21">
    <w:p w14:paraId="46556EA6" w14:textId="77777777" w:rsidR="008565D3" w:rsidRDefault="008565D3" w:rsidP="00091FB9">
      <w:pPr>
        <w:pStyle w:val="EndNoteBibliography"/>
      </w:pPr>
      <w:r>
        <w:endnoteRef/>
      </w:r>
      <w:r>
        <w:t xml:space="preserve"> </w:t>
      </w:r>
      <w:r>
        <w:tab/>
      </w:r>
      <w:r w:rsidRPr="00B975F5">
        <w:t>Schers H, van den Hoogen H, Bor H, Grol R</w:t>
      </w:r>
      <w:r>
        <w:t>,</w:t>
      </w:r>
      <w:r w:rsidRPr="00B975F5">
        <w:t xml:space="preserve"> van den Bosch, W</w:t>
      </w:r>
      <w:r>
        <w:t>.</w:t>
      </w:r>
      <w:r w:rsidRPr="00B975F5">
        <w:t xml:space="preserve"> Familiarity with a GP and patients' evaluations o</w:t>
      </w:r>
      <w:r>
        <w:t>f care. A cross-sectional study.</w:t>
      </w:r>
      <w:r w:rsidRPr="00B975F5">
        <w:t xml:space="preserve"> Family practice</w:t>
      </w:r>
      <w:r>
        <w:t xml:space="preserve">. </w:t>
      </w:r>
      <w:r w:rsidRPr="009167AB">
        <w:t>2005,</w:t>
      </w:r>
      <w:r>
        <w:t xml:space="preserve"> </w:t>
      </w:r>
      <w:r w:rsidRPr="00B975F5">
        <w:t>vol. 22, no. 1, pp. 15–9.</w:t>
      </w:r>
    </w:p>
  </w:endnote>
  <w:endnote w:id="22">
    <w:p w14:paraId="5682A8F3" w14:textId="77777777" w:rsidR="008565D3" w:rsidRDefault="008565D3" w:rsidP="00091FB9">
      <w:pPr>
        <w:pStyle w:val="EndNoteBibliography"/>
      </w:pPr>
      <w:r>
        <w:endnoteRef/>
      </w:r>
      <w:r>
        <w:t xml:space="preserve"> </w:t>
      </w:r>
      <w:r>
        <w:tab/>
      </w:r>
      <w:r w:rsidRPr="00B975F5">
        <w:t>Atlas SJ, Grant RW, Ferris TG, Chang Y, Barry MJ. Patient–Physician Connectedness and Quality of Primary Care. Annals of internal medicine. 2009;150(5):325-335</w:t>
      </w:r>
      <w:r>
        <w:t>.</w:t>
      </w:r>
    </w:p>
  </w:endnote>
  <w:endnote w:id="23">
    <w:p w14:paraId="6D985987" w14:textId="77777777" w:rsidR="008565D3" w:rsidRDefault="008565D3" w:rsidP="00091FB9">
      <w:pPr>
        <w:pStyle w:val="EndNoteBibliography"/>
      </w:pPr>
      <w:r>
        <w:endnoteRef/>
      </w:r>
      <w:r>
        <w:t xml:space="preserve"> </w:t>
      </w:r>
      <w:r>
        <w:tab/>
      </w:r>
      <w:r w:rsidRPr="00B975F5">
        <w:t>Maarsingh</w:t>
      </w:r>
      <w:r>
        <w:t xml:space="preserve"> OR</w:t>
      </w:r>
      <w:r w:rsidRPr="00B975F5">
        <w:t>, Y. Henry</w:t>
      </w:r>
      <w:r>
        <w:t xml:space="preserve"> Y, </w:t>
      </w:r>
      <w:r w:rsidRPr="00B975F5">
        <w:t xml:space="preserve">van de Ven </w:t>
      </w:r>
      <w:r>
        <w:t>PM,</w:t>
      </w:r>
      <w:r w:rsidRPr="00B975F5">
        <w:t xml:space="preserve"> Deeg</w:t>
      </w:r>
      <w:r>
        <w:t xml:space="preserve"> DJ.</w:t>
      </w:r>
      <w:r w:rsidRPr="00B975F5">
        <w:t xml:space="preserve"> Continuity of care in primary care and association with survival in older people: a 17-year prospective cohort study, British Journal of General Practice, 66, 649, (e531), (2016).</w:t>
      </w:r>
    </w:p>
  </w:endnote>
  <w:endnote w:id="24">
    <w:p w14:paraId="08AF756D" w14:textId="77777777" w:rsidR="008565D3" w:rsidRDefault="008565D3" w:rsidP="00091FB9">
      <w:pPr>
        <w:pStyle w:val="EndNoteBibliography"/>
      </w:pPr>
      <w:r>
        <w:endnoteRef/>
      </w:r>
      <w:r>
        <w:t xml:space="preserve"> </w:t>
      </w:r>
      <w:r>
        <w:tab/>
      </w:r>
      <w:r w:rsidRPr="00985F43">
        <w:t>The Nous Group. The Menzies–Nous Australian H</w:t>
      </w:r>
      <w:r>
        <w:t xml:space="preserve">ealth Survey 2012, October 2012. Available from: </w:t>
      </w:r>
      <w:r w:rsidRPr="004A5146">
        <w:t>http://sydney.edu.au/medicine/public-health/menzies-health-policy/research/mchpnous.php</w:t>
      </w:r>
    </w:p>
  </w:endnote>
  <w:endnote w:id="25">
    <w:p w14:paraId="4E3880EE" w14:textId="77777777" w:rsidR="008565D3" w:rsidRDefault="008565D3" w:rsidP="00091FB9">
      <w:pPr>
        <w:pStyle w:val="EndNoteBibliography"/>
      </w:pPr>
      <w:r>
        <w:endnoteRef/>
      </w:r>
      <w:r>
        <w:t xml:space="preserve"> </w:t>
      </w:r>
      <w:r>
        <w:tab/>
      </w:r>
      <w:r w:rsidRPr="009167AB">
        <w:t xml:space="preserve">Wright </w:t>
      </w:r>
      <w:r>
        <w:t>M, </w:t>
      </w:r>
      <w:r w:rsidRPr="009167AB">
        <w:t xml:space="preserve">Hall </w:t>
      </w:r>
      <w:r>
        <w:t>J, </w:t>
      </w:r>
      <w:r w:rsidRPr="009167AB">
        <w:t>van Gool</w:t>
      </w:r>
      <w:r>
        <w:t xml:space="preserve"> K,</w:t>
      </w:r>
      <w:r w:rsidRPr="009167AB">
        <w:t xml:space="preserve"> Haas </w:t>
      </w:r>
      <w:r>
        <w:t>M.</w:t>
      </w:r>
      <w:r w:rsidRPr="009167AB">
        <w:t>  How common is multiple general practice attendance in Australia?</w:t>
      </w:r>
      <w:r>
        <w:t xml:space="preserve"> Australian Journal of General Practice. </w:t>
      </w:r>
      <w:r w:rsidRPr="009167AB">
        <w:t>Volume 47, No. 5, May 2018</w:t>
      </w:r>
      <w:r>
        <w:t xml:space="preserve">. Available from:  </w:t>
      </w:r>
      <w:hyperlink r:id="rId17" w:history="1">
        <w:r w:rsidRPr="00E56076">
          <w:t>https://www.racgp.org.au/AJGP/2018/May/How-common-is-multiple-general-practice</w:t>
        </w:r>
      </w:hyperlink>
    </w:p>
  </w:endnote>
  <w:endnote w:id="26">
    <w:p w14:paraId="68B71C5A" w14:textId="77777777" w:rsidR="008565D3" w:rsidRDefault="008565D3">
      <w:r>
        <w:endnoteRef/>
      </w:r>
      <w:r>
        <w:t xml:space="preserve"> </w:t>
      </w:r>
      <w:r>
        <w:tab/>
      </w:r>
      <w:r w:rsidRPr="002121BE">
        <w:rPr>
          <w:rFonts w:eastAsiaTheme="minorEastAsia"/>
        </w:rPr>
        <w:t>Polinski 2015</w:t>
      </w:r>
      <w:r>
        <w:rPr>
          <w:rFonts w:eastAsiaTheme="minorEastAsia"/>
        </w:rPr>
        <w:t xml:space="preserve"> - </w:t>
      </w:r>
      <w:hyperlink r:id="rId18" w:history="1">
        <w:r w:rsidRPr="00305629">
          <w:t>https://www.ncbi.nlm.nih.gov/pmc/articles/PMC4762824/</w:t>
        </w:r>
      </w:hyperlink>
      <w:r>
        <w:t xml:space="preserve"> </w:t>
      </w:r>
      <w:r>
        <w:rPr>
          <w:rFonts w:eastAsiaTheme="minorEastAsia"/>
        </w:rPr>
        <w:t xml:space="preserve">, McGrail 2017 - </w:t>
      </w:r>
      <w:r w:rsidRPr="0059712E">
        <w:t>https://human-resources-health.biomedcentral.com/articles/10.1186/s12960-017-0250-z</w:t>
      </w:r>
    </w:p>
  </w:endnote>
  <w:endnote w:id="27">
    <w:p w14:paraId="53C78621" w14:textId="77777777" w:rsidR="008565D3" w:rsidRPr="00600BD0" w:rsidRDefault="008565D3">
      <w:pPr>
        <w:rPr>
          <w:rFonts w:eastAsiaTheme="minorEastAsia"/>
        </w:rPr>
      </w:pPr>
      <w:r>
        <w:endnoteRef/>
      </w:r>
      <w:r>
        <w:t xml:space="preserve"> </w:t>
      </w:r>
      <w:r>
        <w:tab/>
      </w:r>
      <w:r w:rsidRPr="0049511D">
        <w:rPr>
          <w:rFonts w:eastAsiaTheme="minorEastAsia"/>
        </w:rPr>
        <w:t>Bradford</w:t>
      </w:r>
      <w:r>
        <w:rPr>
          <w:rFonts w:eastAsiaTheme="minorEastAsia"/>
        </w:rPr>
        <w:t>, N. K., Caffery, L. J., Smith, A. C.</w:t>
      </w:r>
      <w:r w:rsidRPr="0049511D">
        <w:rPr>
          <w:rFonts w:eastAsiaTheme="minorEastAsia"/>
        </w:rPr>
        <w:t xml:space="preserve"> </w:t>
      </w:r>
      <w:r>
        <w:rPr>
          <w:rFonts w:eastAsiaTheme="minorEastAsia"/>
        </w:rPr>
        <w:t>(</w:t>
      </w:r>
      <w:r w:rsidRPr="0049511D">
        <w:rPr>
          <w:rFonts w:eastAsiaTheme="minorEastAsia"/>
        </w:rPr>
        <w:t>2016</w:t>
      </w:r>
      <w:r>
        <w:rPr>
          <w:rFonts w:eastAsiaTheme="minorEastAsia"/>
        </w:rPr>
        <w:t xml:space="preserve">) </w:t>
      </w:r>
      <w:r w:rsidRPr="00730798">
        <w:t>Telehealth services in rural and remote Australia: a systematic review of models of care and factors influencing success and sustainability.</w:t>
      </w:r>
      <w:r>
        <w:t xml:space="preserve"> Rural Remote Health. </w:t>
      </w:r>
      <w:r w:rsidRPr="00730798">
        <w:t>16(4):3808</w:t>
      </w:r>
      <w:r>
        <w:t>.</w:t>
      </w:r>
      <w:r>
        <w:rPr>
          <w:rFonts w:eastAsiaTheme="minorEastAsia"/>
        </w:rPr>
        <w:t xml:space="preserve"> Available from: </w:t>
      </w:r>
      <w:hyperlink r:id="rId19" w:history="1">
        <w:r w:rsidRPr="00305629">
          <w:t>https://www.ncbi.nlm.nih.gov/pubmed/27744708</w:t>
        </w:r>
      </w:hyperlink>
      <w:r>
        <w:rPr>
          <w:rFonts w:eastAsiaTheme="minorEastAsia"/>
        </w:rPr>
        <w:t xml:space="preserve"> </w:t>
      </w:r>
    </w:p>
  </w:endnote>
  <w:endnote w:id="28">
    <w:p w14:paraId="28718D3C" w14:textId="77777777" w:rsidR="008565D3" w:rsidRDefault="008565D3">
      <w:r>
        <w:endnoteRef/>
      </w:r>
      <w:r>
        <w:t xml:space="preserve"> </w:t>
      </w:r>
      <w:r>
        <w:tab/>
      </w:r>
      <w:r w:rsidRPr="00600BD0">
        <w:t>Nilsson C, Skär L, Söderberg S. Swedish District Nurses' experiences on the use of information and communication technology for supporting people with serious chronic illness living at home—a case study. Scandinavian Journal of Caring Science. 2010;24:259–265. [</w:t>
      </w:r>
      <w:hyperlink r:id="rId20" w:tgtFrame="pmc_ext" w:history="1">
        <w:r w:rsidRPr="00600BD0">
          <w:t>PubMed</w:t>
        </w:r>
      </w:hyperlink>
      <w:r w:rsidRPr="00600BD0">
        <w:t>]</w:t>
      </w:r>
    </w:p>
  </w:endnote>
  <w:endnote w:id="29">
    <w:p w14:paraId="27440A32" w14:textId="77777777" w:rsidR="008565D3" w:rsidRDefault="008565D3" w:rsidP="008B7078">
      <w:pPr>
        <w:pStyle w:val="EndNoteBibliography"/>
      </w:pPr>
      <w:r>
        <w:endnoteRef/>
      </w:r>
      <w:r>
        <w:t>.</w:t>
      </w:r>
      <w:r>
        <w:tab/>
        <w:t xml:space="preserve"> </w:t>
      </w:r>
      <w:r w:rsidRPr="00C41161">
        <w:t>The Department of Health. Chronic Conditions. Available from</w:t>
      </w:r>
      <w:r>
        <w:t>:</w:t>
      </w:r>
      <w:r w:rsidRPr="00C41161">
        <w:t xml:space="preserve"> </w:t>
      </w:r>
      <w:hyperlink r:id="rId21" w:history="1">
        <w:r w:rsidRPr="00C436F4">
          <w:t>http://www.health.gov.au/internet/main/publishing.nsf/content/chronic-disease</w:t>
        </w:r>
      </w:hyperlink>
      <w:r>
        <w:t>.</w:t>
      </w:r>
    </w:p>
  </w:endnote>
  <w:endnote w:id="30">
    <w:p w14:paraId="7847DA01" w14:textId="77777777" w:rsidR="008565D3" w:rsidRDefault="008565D3" w:rsidP="008B7078">
      <w:pPr>
        <w:pStyle w:val="EndNoteBibliography"/>
      </w:pPr>
      <w:r>
        <w:endnoteRef/>
      </w:r>
      <w:r>
        <w:t xml:space="preserve">  </w:t>
      </w:r>
      <w:r>
        <w:tab/>
        <w:t xml:space="preserve">The Department of Health. Chronic Conditions. Available from: </w:t>
      </w:r>
      <w:hyperlink r:id="rId22" w:history="1">
        <w:r w:rsidRPr="004A02C3">
          <w:t>http://www.health.gov.au/internet/main/publishing.nsf/content/chronic-disease</w:t>
        </w:r>
      </w:hyperlink>
    </w:p>
  </w:endnote>
  <w:endnote w:id="31">
    <w:p w14:paraId="77836141" w14:textId="77777777" w:rsidR="008565D3" w:rsidRDefault="008565D3" w:rsidP="008B7078">
      <w:pPr>
        <w:pStyle w:val="EndNoteBibliography"/>
      </w:pPr>
      <w:r>
        <w:endnoteRef/>
      </w:r>
      <w:r>
        <w:t xml:space="preserve">  </w:t>
      </w:r>
      <w:r>
        <w:tab/>
      </w:r>
      <w:r w:rsidRPr="00905ACE">
        <w:t>World Health Organisation</w:t>
      </w:r>
      <w:r>
        <w:t>.</w:t>
      </w:r>
      <w:r w:rsidRPr="00905ACE">
        <w:t xml:space="preserve"> </w:t>
      </w:r>
      <w:r>
        <w:t>The World Health Report 2008 - P</w:t>
      </w:r>
      <w:r w:rsidRPr="00905ACE">
        <w:t>rimary Health Care (Now More Than Ever)</w:t>
      </w:r>
      <w:r>
        <w:t xml:space="preserve">. [Cited 2018 July 24]. Available from:  </w:t>
      </w:r>
      <w:hyperlink r:id="rId23" w:history="1">
        <w:r w:rsidRPr="004A02C3">
          <w:t>http://www.who.int/whr/2008/en/</w:t>
        </w:r>
      </w:hyperlink>
    </w:p>
  </w:endnote>
  <w:endnote w:id="32">
    <w:p w14:paraId="0636F56D" w14:textId="77777777" w:rsidR="008565D3" w:rsidRDefault="008565D3" w:rsidP="008B7078">
      <w:pPr>
        <w:pStyle w:val="EndNoteBibliography"/>
      </w:pPr>
      <w:r>
        <w:endnoteRef/>
      </w:r>
      <w:r>
        <w:t xml:space="preserve">  </w:t>
      </w:r>
      <w:r>
        <w:tab/>
        <w:t xml:space="preserve">World Health Organisation.  </w:t>
      </w:r>
      <w:r w:rsidRPr="009B7D52">
        <w:t>What are integrated people-centred health services?</w:t>
      </w:r>
      <w:r>
        <w:t xml:space="preserve">  [Cited 2018 July 24].  Available from:  </w:t>
      </w:r>
      <w:hyperlink r:id="rId24" w:history="1">
        <w:r w:rsidRPr="004A02C3">
          <w:t>http://www.who.int/servicedeliverysafety/areas/people-centred-care/ipchs-what/en/</w:t>
        </w:r>
      </w:hyperlink>
    </w:p>
  </w:endnote>
  <w:endnote w:id="33">
    <w:p w14:paraId="0571FEFD" w14:textId="77777777" w:rsidR="008565D3" w:rsidRPr="002867BE" w:rsidRDefault="008565D3" w:rsidP="008B7078">
      <w:pPr>
        <w:pStyle w:val="EndNoteBibliography"/>
        <w:rPr>
          <w:lang w:val="en"/>
        </w:rPr>
      </w:pPr>
      <w:r>
        <w:endnoteRef/>
      </w:r>
      <w:r>
        <w:t xml:space="preserve"> </w:t>
      </w:r>
      <w:r>
        <w:tab/>
        <w:t>Smith S</w:t>
      </w:r>
      <w:r w:rsidRPr="002867BE">
        <w:rPr>
          <w:lang w:val="en"/>
        </w:rPr>
        <w:t>M,</w:t>
      </w:r>
      <w:r>
        <w:t xml:space="preserve"> Soubhi H</w:t>
      </w:r>
      <w:r w:rsidRPr="002867BE">
        <w:rPr>
          <w:lang w:val="en"/>
        </w:rPr>
        <w:t xml:space="preserve">, </w:t>
      </w:r>
      <w:r>
        <w:t xml:space="preserve">Fortin M, Hudon C, O'Dowd, T. </w:t>
      </w:r>
      <w:r w:rsidRPr="002867BE">
        <w:t>Managing patients with multimorbidity: systematic review of interventions in primary care and community settings</w:t>
      </w:r>
      <w:r>
        <w:t xml:space="preserve">.  </w:t>
      </w:r>
      <w:r w:rsidRPr="002867BE">
        <w:rPr>
          <w:lang w:val="en"/>
        </w:rPr>
        <w:t>BMJ 2012;345:e5205</w:t>
      </w:r>
    </w:p>
  </w:endnote>
  <w:endnote w:id="34">
    <w:p w14:paraId="014FDFB8" w14:textId="77777777" w:rsidR="008565D3" w:rsidRDefault="008565D3" w:rsidP="008B7078">
      <w:pPr>
        <w:pStyle w:val="EndNoteBibliography"/>
      </w:pPr>
      <w:r>
        <w:endnoteRef/>
      </w:r>
      <w:r>
        <w:t xml:space="preserve"> </w:t>
      </w:r>
      <w:r>
        <w:tab/>
        <w:t xml:space="preserve">The Department of Health. </w:t>
      </w:r>
      <w:r w:rsidRPr="002867BE">
        <w:t xml:space="preserve">Better Outcomes </w:t>
      </w:r>
      <w:r>
        <w:t xml:space="preserve">for People </w:t>
      </w:r>
      <w:r w:rsidRPr="002867BE">
        <w:t>with Chronic and Complex Health Conditions</w:t>
      </w:r>
      <w:r>
        <w:t xml:space="preserve">. December 2015. [Cited 2018 July 24].  Available from: </w:t>
      </w:r>
      <w:hyperlink r:id="rId25" w:history="1">
        <w:r w:rsidRPr="00E90944">
          <w:t>http://www.health.gov.au/internet/main/publishing.nsf/Content/76B2BDC12AE54540CA257F72001102B9/$File/Primary-Health-Care-Advisory-Group_Final-Report.pdf</w:t>
        </w:r>
      </w:hyperlink>
    </w:p>
  </w:endnote>
  <w:endnote w:id="35">
    <w:p w14:paraId="704644F9" w14:textId="77777777" w:rsidR="008565D3" w:rsidRDefault="008565D3" w:rsidP="008B7078">
      <w:pPr>
        <w:pStyle w:val="EndNoteBibliography"/>
      </w:pPr>
      <w:r>
        <w:endnoteRef/>
      </w:r>
      <w:r>
        <w:t xml:space="preserve"> </w:t>
      </w:r>
      <w:r>
        <w:tab/>
      </w:r>
      <w:hyperlink r:id="rId26" w:history="1">
        <w:r w:rsidRPr="002867BE">
          <w:t>Reed RL</w:t>
        </w:r>
      </w:hyperlink>
      <w:r w:rsidRPr="002867BE">
        <w:t xml:space="preserve">, </w:t>
      </w:r>
      <w:hyperlink r:id="rId27" w:history="1">
        <w:r w:rsidRPr="002867BE">
          <w:t>Roeger L</w:t>
        </w:r>
      </w:hyperlink>
      <w:r w:rsidRPr="002867BE">
        <w:t xml:space="preserve">, </w:t>
      </w:r>
      <w:hyperlink r:id="rId28" w:history="1">
        <w:r w:rsidRPr="002867BE">
          <w:t>Howard S</w:t>
        </w:r>
      </w:hyperlink>
      <w:r w:rsidRPr="002867BE">
        <w:t xml:space="preserve">, </w:t>
      </w:r>
      <w:hyperlink r:id="rId29" w:history="1">
        <w:r w:rsidRPr="002867BE">
          <w:t>Oliver-Baxter JM</w:t>
        </w:r>
      </w:hyperlink>
      <w:r w:rsidRPr="002867BE">
        <w:t xml:space="preserve">, </w:t>
      </w:r>
      <w:hyperlink r:id="rId30" w:history="1">
        <w:r w:rsidRPr="002867BE">
          <w:t>Battersby MW</w:t>
        </w:r>
      </w:hyperlink>
      <w:r w:rsidRPr="002867BE">
        <w:t xml:space="preserve">, </w:t>
      </w:r>
      <w:hyperlink r:id="rId31" w:history="1">
        <w:r w:rsidRPr="002867BE">
          <w:t>Bond M</w:t>
        </w:r>
      </w:hyperlink>
      <w:r w:rsidRPr="002867BE">
        <w:t xml:space="preserve">, </w:t>
      </w:r>
      <w:hyperlink r:id="rId32" w:history="1">
        <w:r w:rsidRPr="002867BE">
          <w:t>Osborne RH</w:t>
        </w:r>
      </w:hyperlink>
      <w:r w:rsidRPr="002867BE">
        <w:t>.</w:t>
      </w:r>
      <w:r>
        <w:t xml:space="preserve"> </w:t>
      </w:r>
      <w:r w:rsidRPr="002867BE">
        <w:t>A self-management support program for older Australians with multiple chronic conditions: a randomised controlled trial</w:t>
      </w:r>
      <w:r>
        <w:t>.</w:t>
      </w:r>
      <w:r w:rsidRPr="002867BE">
        <w:t xml:space="preserve"> </w:t>
      </w:r>
      <w:hyperlink r:id="rId33" w:tooltip="The Medical journal of Australia." w:history="1">
        <w:r w:rsidRPr="002867BE">
          <w:t>Medical Journal of Australia</w:t>
        </w:r>
      </w:hyperlink>
      <w:r>
        <w:t>,</w:t>
      </w:r>
      <w:r w:rsidRPr="002867BE">
        <w:t xml:space="preserve"> 2018 Feb 5;208(2):69-74. </w:t>
      </w:r>
    </w:p>
  </w:endnote>
  <w:endnote w:id="36">
    <w:p w14:paraId="52D0E7F6" w14:textId="77777777" w:rsidR="008565D3" w:rsidRDefault="008565D3" w:rsidP="008B7078">
      <w:pPr>
        <w:pStyle w:val="EndNoteBibliography"/>
      </w:pPr>
      <w:r>
        <w:endnoteRef/>
      </w:r>
      <w:r>
        <w:t xml:space="preserve"> </w:t>
      </w:r>
      <w:r>
        <w:tab/>
        <w:t xml:space="preserve">McKinsey &amp; Company. The evidence for integrated care. March 2015. [Cited 2018 July 24]. Available from:  </w:t>
      </w:r>
      <w:hyperlink r:id="rId34" w:history="1">
        <w:r w:rsidRPr="00D87AAD">
          <w:t>https://www.mckinsey.com/~/media/McKinsey/Industries/Healthcare%20Systems%20and%20Services/Our%20Insights/The%20evidence%20for%20integrated%20care/The%20evidence%20for%20integrated%20care.ashx</w:t>
        </w:r>
      </w:hyperlink>
    </w:p>
  </w:endnote>
  <w:endnote w:id="37">
    <w:p w14:paraId="335FB623" w14:textId="77777777" w:rsidR="008565D3" w:rsidRDefault="008565D3">
      <w:r>
        <w:endnoteRef/>
      </w:r>
      <w:r>
        <w:t xml:space="preserve"> </w:t>
      </w:r>
      <w:r>
        <w:tab/>
      </w:r>
      <w:r w:rsidRPr="00D45B2D">
        <w:t>McWhinney</w:t>
      </w:r>
      <w:r>
        <w:t>,</w:t>
      </w:r>
      <w:r w:rsidRPr="00D45B2D">
        <w:t xml:space="preserve"> I</w:t>
      </w:r>
      <w:r>
        <w:t>.</w:t>
      </w:r>
      <w:r w:rsidRPr="00D45B2D">
        <w:t xml:space="preserve">R. </w:t>
      </w:r>
      <w:r>
        <w:t xml:space="preserve">(1981) </w:t>
      </w:r>
      <w:r w:rsidRPr="00D45B2D">
        <w:t>Teaching the principles of family medicine. Can Fam Physician. 27:801–804.</w:t>
      </w:r>
      <w:r>
        <w:t xml:space="preserve"> Available from: </w:t>
      </w:r>
      <w:r w:rsidRPr="00D45B2D">
        <w:t>https://www.ncbi.nlm.nih.gov/pmc/articles/PMC2305997/</w:t>
      </w:r>
    </w:p>
  </w:endnote>
  <w:endnote w:id="38">
    <w:p w14:paraId="79DB3A86" w14:textId="77777777" w:rsidR="008565D3" w:rsidRDefault="008565D3">
      <w:r>
        <w:endnoteRef/>
      </w:r>
      <w:r>
        <w:t xml:space="preserve"> </w:t>
      </w:r>
      <w:r>
        <w:tab/>
      </w:r>
      <w:r w:rsidRPr="00715FA1">
        <w:t>Silverman, J.; Kurtz, S.; Draper, J.</w:t>
      </w:r>
      <w:r>
        <w:t>(2013).</w:t>
      </w:r>
      <w:r w:rsidRPr="00715FA1">
        <w:t xml:space="preserve"> Skills for Communicating with Patients, 3rd ed.; CRC Press, Taylor &amp; Fr</w:t>
      </w:r>
      <w:r>
        <w:t>ancis: Boca Raton, Fl, USA</w:t>
      </w:r>
    </w:p>
  </w:endnote>
  <w:endnote w:id="39">
    <w:p w14:paraId="6A611067" w14:textId="77777777" w:rsidR="008565D3" w:rsidRDefault="008565D3" w:rsidP="008B7078">
      <w:pPr>
        <w:pStyle w:val="EndNoteBibliography"/>
      </w:pPr>
      <w:r>
        <w:endnoteRef/>
      </w:r>
      <w:r>
        <w:t xml:space="preserve"> </w:t>
      </w:r>
      <w:r>
        <w:tab/>
        <w:t xml:space="preserve">The Department of Health.  Diabetes Care Project.  [Cited 2018 July 24].  Available from:  </w:t>
      </w:r>
      <w:hyperlink r:id="rId35" w:history="1">
        <w:r w:rsidRPr="00986973">
          <w:t>http://www.health.gov.au/internet/main/publishing.nsf/Content/eval-rep-dcp</w:t>
        </w:r>
      </w:hyperlink>
    </w:p>
  </w:endnote>
  <w:endnote w:id="40">
    <w:p w14:paraId="28BF24A6" w14:textId="77777777" w:rsidR="008565D3" w:rsidRDefault="008565D3" w:rsidP="008B7078">
      <w:pPr>
        <w:pStyle w:val="EndNoteBibliography"/>
      </w:pPr>
      <w:r>
        <w:endnoteRef/>
      </w:r>
      <w:r>
        <w:t xml:space="preserve"> </w:t>
      </w:r>
      <w:r>
        <w:tab/>
        <w:t xml:space="preserve">Makeham MAB, Mira M, Kidd, MR. </w:t>
      </w:r>
      <w:r w:rsidRPr="00B021A3">
        <w:t>Lessons from the TAPS study - Communication failures between hospitals and general practices</w:t>
      </w:r>
      <w:r>
        <w:t xml:space="preserve">. </w:t>
      </w:r>
      <w:r w:rsidRPr="00B021A3">
        <w:t xml:space="preserve">Australian Family Physician.  </w:t>
      </w:r>
      <w:r>
        <w:t xml:space="preserve">Available from:  </w:t>
      </w:r>
      <w:hyperlink r:id="rId36" w:history="1">
        <w:r w:rsidRPr="00CD7356">
          <w:t>https://www.racgp.org.au/afp/200809/26761</w:t>
        </w:r>
      </w:hyperlink>
    </w:p>
  </w:endnote>
  <w:endnote w:id="41">
    <w:p w14:paraId="47EDB6FE" w14:textId="77777777" w:rsidR="008565D3" w:rsidRDefault="008565D3">
      <w:r>
        <w:endnoteRef/>
      </w:r>
      <w:r>
        <w:t xml:space="preserve"> </w:t>
      </w:r>
      <w:r>
        <w:tab/>
        <w:t>Analysis of MBS data 2016-17.</w:t>
      </w:r>
    </w:p>
  </w:endnote>
  <w:endnote w:id="42">
    <w:p w14:paraId="0591FB14" w14:textId="77777777" w:rsidR="008565D3" w:rsidRDefault="008565D3">
      <w:r>
        <w:endnoteRef/>
      </w:r>
      <w:r>
        <w:t xml:space="preserve"> </w:t>
      </w:r>
      <w:r>
        <w:tab/>
        <w:t>Analysis of MBS data 2016-17.</w:t>
      </w:r>
    </w:p>
  </w:endnote>
  <w:endnote w:id="43">
    <w:p w14:paraId="4C59E8B6" w14:textId="77777777" w:rsidR="008565D3" w:rsidRDefault="008565D3">
      <w:r>
        <w:endnoteRef/>
      </w:r>
      <w:r>
        <w:t xml:space="preserve"> </w:t>
      </w:r>
      <w:r>
        <w:tab/>
        <w:t>Analysis of MBS data 2016-17.</w:t>
      </w:r>
    </w:p>
  </w:endnote>
  <w:endnote w:id="44">
    <w:p w14:paraId="30415BAB" w14:textId="77777777" w:rsidR="008565D3" w:rsidRDefault="008565D3">
      <w:r>
        <w:endnoteRef/>
      </w:r>
      <w:r>
        <w:t xml:space="preserve"> </w:t>
      </w:r>
      <w:r>
        <w:tab/>
        <w:t>Analysis of MBS data 2016-17.</w:t>
      </w:r>
    </w:p>
  </w:endnote>
  <w:endnote w:id="45">
    <w:p w14:paraId="566688E2" w14:textId="77777777" w:rsidR="008565D3" w:rsidRDefault="008565D3">
      <w:r>
        <w:endnoteRef/>
      </w:r>
      <w:r>
        <w:t xml:space="preserve"> </w:t>
      </w:r>
      <w:r>
        <w:tab/>
      </w:r>
      <w:r w:rsidRPr="00FC0913">
        <w:t>A</w:t>
      </w:r>
      <w:r>
        <w:t xml:space="preserve">ustralian </w:t>
      </w:r>
      <w:r w:rsidRPr="00FC0913">
        <w:t>M</w:t>
      </w:r>
      <w:r>
        <w:t xml:space="preserve">edical </w:t>
      </w:r>
      <w:r w:rsidRPr="00FC0913">
        <w:t>A</w:t>
      </w:r>
      <w:r>
        <w:t>ssociation</w:t>
      </w:r>
      <w:r w:rsidRPr="00FC0913">
        <w:t xml:space="preserve"> (2010) Primary Health Care 2010 position statement. </w:t>
      </w:r>
      <w:r>
        <w:t xml:space="preserve">Available from: </w:t>
      </w:r>
      <w:r w:rsidRPr="00FC0913">
        <w:t>https://ama.com.au/position-statement/primaryhealth-care-2010</w:t>
      </w:r>
    </w:p>
  </w:endnote>
  <w:endnote w:id="46">
    <w:p w14:paraId="369E372B" w14:textId="77777777" w:rsidR="008565D3" w:rsidRDefault="008565D3">
      <w:r>
        <w:endnoteRef/>
      </w:r>
      <w:r>
        <w:t xml:space="preserve"> </w:t>
      </w:r>
      <w:r>
        <w:tab/>
        <w:t>Analysis of MBS data 2016-17.</w:t>
      </w:r>
    </w:p>
  </w:endnote>
  <w:endnote w:id="47">
    <w:p w14:paraId="272BFAC3" w14:textId="77777777" w:rsidR="008565D3" w:rsidRDefault="008565D3">
      <w:r>
        <w:endnoteRef/>
      </w:r>
      <w:r>
        <w:t xml:space="preserve"> </w:t>
      </w:r>
      <w:r>
        <w:tab/>
      </w:r>
      <w:r w:rsidRPr="00352F4C">
        <w:rPr>
          <w:rFonts w:eastAsiaTheme="minorEastAsia"/>
        </w:rPr>
        <w:t xml:space="preserve">Australian Primary Health Care Research Institute, 2007; </w:t>
      </w:r>
      <w:r w:rsidRPr="00352F4C">
        <w:t xml:space="preserve">AMA (2010) Primary Health Care 2010 position statement. </w:t>
      </w:r>
      <w:r>
        <w:t xml:space="preserve">Available from: </w:t>
      </w:r>
      <w:r w:rsidRPr="00352F4C">
        <w:t>https://ama.com.au/position-statement/primaryhealth-care-2010</w:t>
      </w:r>
    </w:p>
  </w:endnote>
  <w:endnote w:id="48">
    <w:p w14:paraId="5D3FE068" w14:textId="77777777" w:rsidR="008565D3" w:rsidRDefault="008565D3" w:rsidP="008B7078">
      <w:pPr>
        <w:pStyle w:val="EndNoteBibliography"/>
      </w:pPr>
      <w:r>
        <w:endnoteRef/>
      </w:r>
      <w:r>
        <w:t xml:space="preserve"> </w:t>
      </w:r>
      <w:r>
        <w:tab/>
        <w:t xml:space="preserve">The Department of Health.  Chronic Conditions. [Cited 2018 July 24]. Available from: </w:t>
      </w:r>
      <w:hyperlink r:id="rId37" w:history="1">
        <w:r w:rsidRPr="00A76ECE">
          <w:t>http://www.health.gov.au/internet/main/publishing.nsf/content/chronic-disease</w:t>
        </w:r>
      </w:hyperlink>
    </w:p>
  </w:endnote>
  <w:endnote w:id="49">
    <w:p w14:paraId="7690E040" w14:textId="77777777" w:rsidR="008565D3" w:rsidRDefault="008565D3" w:rsidP="008B7078">
      <w:pPr>
        <w:pStyle w:val="EndNoteBibliography"/>
      </w:pPr>
      <w:r>
        <w:endnoteRef/>
      </w:r>
      <w:r>
        <w:t xml:space="preserve"> </w:t>
      </w:r>
      <w:r>
        <w:tab/>
      </w:r>
      <w:r w:rsidRPr="00B021A3">
        <w:rPr>
          <w:lang w:val="en"/>
        </w:rPr>
        <w:t>Smith</w:t>
      </w:r>
      <w:r>
        <w:t xml:space="preserve"> SM</w:t>
      </w:r>
      <w:r w:rsidRPr="00B021A3">
        <w:rPr>
          <w:lang w:val="en"/>
        </w:rPr>
        <w:t xml:space="preserve">, </w:t>
      </w:r>
      <w:r>
        <w:t>Soubhi H, Fortin M, Hudon C, O'Dowd T,</w:t>
      </w:r>
      <w:r w:rsidRPr="00B021A3">
        <w:t xml:space="preserve"> Managing patients with multimorbidity: systematic review of interventions in primary care and community settings. </w:t>
      </w:r>
      <w:r w:rsidRPr="00B021A3">
        <w:rPr>
          <w:lang w:val="en"/>
        </w:rPr>
        <w:t>BMJ 2012;345:e5205</w:t>
      </w:r>
      <w:r>
        <w:t xml:space="preserve">.  Available from:  </w:t>
      </w:r>
      <w:hyperlink r:id="rId38" w:history="1">
        <w:r w:rsidRPr="00A76ECE">
          <w:t>http://www.bmj.com/content/345/bmj.e5205.long</w:t>
        </w:r>
      </w:hyperlink>
      <w:r>
        <w:t xml:space="preserve">  </w:t>
      </w:r>
    </w:p>
  </w:endnote>
  <w:endnote w:id="50">
    <w:p w14:paraId="2EF7FBB9" w14:textId="77777777" w:rsidR="008565D3" w:rsidRDefault="008565D3" w:rsidP="008B7078">
      <w:pPr>
        <w:pStyle w:val="EndNoteBibliography"/>
      </w:pPr>
      <w:r>
        <w:endnoteRef/>
      </w:r>
      <w:r>
        <w:t xml:space="preserve"> </w:t>
      </w:r>
      <w:r>
        <w:tab/>
      </w:r>
      <w:r w:rsidRPr="00B021A3">
        <w:t xml:space="preserve">The Department of Health. Better Outcomes for People with Chronic and Complex Health Conditions. December 2015. [cited 2018 July 24].  Available from: </w:t>
      </w:r>
      <w:hyperlink r:id="rId39" w:history="1">
        <w:r w:rsidRPr="00B021A3">
          <w:t>http://www.health.gov.au/internet/main/publishing.nsf/Content/76B2BDC12AE54540CA257F72001102B9/$File/Primary-Health-Care-Advisory-Group_Final-Report.pdf</w:t>
        </w:r>
      </w:hyperlink>
    </w:p>
  </w:endnote>
  <w:endnote w:id="51">
    <w:p w14:paraId="7A80C770" w14:textId="77777777" w:rsidR="008565D3" w:rsidRDefault="008565D3" w:rsidP="008B7078">
      <w:pPr>
        <w:pStyle w:val="EndNoteBibliography"/>
      </w:pPr>
      <w:r>
        <w:endnoteRef/>
      </w:r>
      <w:r>
        <w:t xml:space="preserve"> </w:t>
      </w:r>
      <w:r>
        <w:tab/>
      </w:r>
      <w:hyperlink r:id="rId40" w:history="1">
        <w:r w:rsidRPr="00B021A3">
          <w:t>Reed RL</w:t>
        </w:r>
      </w:hyperlink>
      <w:r w:rsidRPr="00B021A3">
        <w:t xml:space="preserve">, </w:t>
      </w:r>
      <w:hyperlink r:id="rId41" w:history="1">
        <w:r w:rsidRPr="00B021A3">
          <w:t>Roeger L</w:t>
        </w:r>
      </w:hyperlink>
      <w:r w:rsidRPr="00B021A3">
        <w:t xml:space="preserve">, </w:t>
      </w:r>
      <w:hyperlink r:id="rId42" w:history="1">
        <w:r w:rsidRPr="00B021A3">
          <w:t>Howard S</w:t>
        </w:r>
      </w:hyperlink>
      <w:r w:rsidRPr="00B021A3">
        <w:t xml:space="preserve">, </w:t>
      </w:r>
      <w:hyperlink r:id="rId43" w:history="1">
        <w:r w:rsidRPr="00B021A3">
          <w:t>Oliver-Baxter JM</w:t>
        </w:r>
      </w:hyperlink>
      <w:r w:rsidRPr="00B021A3">
        <w:t xml:space="preserve">, </w:t>
      </w:r>
      <w:hyperlink r:id="rId44" w:history="1">
        <w:r w:rsidRPr="00B021A3">
          <w:t>Battersby MW</w:t>
        </w:r>
      </w:hyperlink>
      <w:r w:rsidRPr="00B021A3">
        <w:t xml:space="preserve">, </w:t>
      </w:r>
      <w:hyperlink r:id="rId45" w:history="1">
        <w:r w:rsidRPr="00B021A3">
          <w:t>Bond M</w:t>
        </w:r>
      </w:hyperlink>
      <w:r w:rsidRPr="00B021A3">
        <w:t xml:space="preserve">, </w:t>
      </w:r>
      <w:hyperlink r:id="rId46" w:history="1">
        <w:r w:rsidRPr="00B021A3">
          <w:t>Osborne RH</w:t>
        </w:r>
      </w:hyperlink>
      <w:r w:rsidRPr="00B021A3">
        <w:t>.</w:t>
      </w:r>
      <w:r>
        <w:t xml:space="preserve"> (2018). </w:t>
      </w:r>
      <w:r w:rsidRPr="00B021A3">
        <w:t>A self-management support program for older Australians with multiple chronic conditions: a randomised controlled trial.</w:t>
      </w:r>
      <w:r>
        <w:t xml:space="preserve"> </w:t>
      </w:r>
      <w:hyperlink r:id="rId47" w:tooltip="The Medical journal of Australia." w:history="1">
        <w:r w:rsidRPr="00B021A3">
          <w:t>Med J Aust.</w:t>
        </w:r>
      </w:hyperlink>
      <w:r w:rsidRPr="00B021A3">
        <w:t xml:space="preserve"> 208(2):69-74.</w:t>
      </w:r>
      <w:r>
        <w:t xml:space="preserve"> Available from: </w:t>
      </w:r>
      <w:hyperlink r:id="rId48" w:history="1">
        <w:r w:rsidRPr="00A76ECE">
          <w:t>https://www.ncbi.nlm.nih.gov/pubmed/29385967</w:t>
        </w:r>
      </w:hyperlink>
    </w:p>
  </w:endnote>
  <w:endnote w:id="52">
    <w:p w14:paraId="39700EB8" w14:textId="77777777" w:rsidR="008565D3" w:rsidRDefault="008565D3" w:rsidP="008B7078">
      <w:pPr>
        <w:pStyle w:val="EndNoteBibliography"/>
      </w:pPr>
      <w:r>
        <w:endnoteRef/>
      </w:r>
      <w:r>
        <w:t xml:space="preserve">  </w:t>
      </w:r>
      <w:r>
        <w:tab/>
      </w:r>
      <w:r w:rsidRPr="00B021A3">
        <w:t xml:space="preserve">McKinsey &amp; Company. The evidence for integrated care. March 2015. [Cited 2018 July 24]. Available from:  </w:t>
      </w:r>
      <w:hyperlink r:id="rId49" w:history="1">
        <w:r w:rsidRPr="00A76C81">
          <w:t>https://www.mckinsey.com/~/media/McKinsey/Industries/Healthcare%20Systems%20and%20Services/Our%20Insights/The%20evidence%20for%20integrated%20care/The%20evidence%20for%20integrated%20care.ashx</w:t>
        </w:r>
      </w:hyperlink>
    </w:p>
  </w:endnote>
  <w:endnote w:id="53">
    <w:p w14:paraId="1AF18C93" w14:textId="77777777" w:rsidR="008565D3" w:rsidRDefault="008565D3" w:rsidP="008B7078">
      <w:pPr>
        <w:pStyle w:val="EndNoteBibliography"/>
      </w:pPr>
      <w:r>
        <w:endnoteRef/>
      </w:r>
      <w:r>
        <w:t xml:space="preserve"> </w:t>
      </w:r>
      <w:r>
        <w:tab/>
        <w:t xml:space="preserve">The Department of Health. Diabetes Care Project.  [Cited 2018 July 24].  Available from:  </w:t>
      </w:r>
      <w:hyperlink r:id="rId50" w:history="1">
        <w:r w:rsidRPr="00C26E5D">
          <w:t>http://www.health.gov.au/internet/main/publishing.nsf/Content/eval-rep-dcp</w:t>
        </w:r>
      </w:hyperlink>
    </w:p>
  </w:endnote>
  <w:endnote w:id="54">
    <w:p w14:paraId="3FAAB42D" w14:textId="77777777" w:rsidR="008565D3" w:rsidRDefault="008565D3" w:rsidP="008B7078">
      <w:pPr>
        <w:pStyle w:val="EndNoteBibliography"/>
      </w:pPr>
      <w:r>
        <w:endnoteRef/>
      </w:r>
      <w:r>
        <w:t xml:space="preserve"> </w:t>
      </w:r>
      <w:r>
        <w:tab/>
      </w:r>
      <w:r w:rsidRPr="00B021A3">
        <w:t xml:space="preserve">Makeham MAB, Mira M, Kidd, MR. Lessons from the TAPS study - Communication failures between hospitals and general practices. Australian Family Physician.  Available from:  </w:t>
      </w:r>
      <w:hyperlink r:id="rId51" w:history="1">
        <w:r w:rsidRPr="00C26E5D">
          <w:t>https://www.racgp.org.au/afp/200809/26761</w:t>
        </w:r>
      </w:hyperlink>
    </w:p>
  </w:endnote>
  <w:endnote w:id="55">
    <w:p w14:paraId="12CEF4D9" w14:textId="77777777" w:rsidR="008565D3" w:rsidRDefault="008565D3" w:rsidP="008B7078">
      <w:pPr>
        <w:pStyle w:val="EndNoteBibliography"/>
      </w:pPr>
      <w:r>
        <w:endnoteRef/>
      </w:r>
      <w:r>
        <w:t xml:space="preserve"> </w:t>
      </w:r>
      <w:r>
        <w:tab/>
      </w:r>
      <w:hyperlink r:id="rId52" w:history="1">
        <w:r w:rsidRPr="00B021A3">
          <w:t>Lo C</w:t>
        </w:r>
      </w:hyperlink>
      <w:r w:rsidRPr="00B021A3">
        <w:t xml:space="preserve">, </w:t>
      </w:r>
      <w:hyperlink r:id="rId53" w:history="1">
        <w:r w:rsidRPr="00B021A3">
          <w:t>Zimbudzi E</w:t>
        </w:r>
      </w:hyperlink>
      <w:r w:rsidRPr="00B021A3">
        <w:t xml:space="preserve">, </w:t>
      </w:r>
      <w:hyperlink r:id="rId54" w:history="1">
        <w:r w:rsidRPr="00B021A3">
          <w:t>Teede H</w:t>
        </w:r>
      </w:hyperlink>
      <w:r w:rsidRPr="00B021A3">
        <w:t xml:space="preserve">, </w:t>
      </w:r>
      <w:hyperlink r:id="rId55" w:history="1">
        <w:r w:rsidRPr="00B021A3">
          <w:t>Cass A</w:t>
        </w:r>
      </w:hyperlink>
      <w:r w:rsidRPr="00B021A3">
        <w:t xml:space="preserve">, </w:t>
      </w:r>
      <w:hyperlink r:id="rId56" w:history="1">
        <w:r w:rsidRPr="00B021A3">
          <w:t>Fulcher G</w:t>
        </w:r>
      </w:hyperlink>
      <w:r w:rsidRPr="00B021A3">
        <w:t xml:space="preserve">, </w:t>
      </w:r>
      <w:hyperlink r:id="rId57" w:history="1">
        <w:r w:rsidRPr="00B021A3">
          <w:t>Gallagher M</w:t>
        </w:r>
      </w:hyperlink>
      <w:r w:rsidRPr="00B021A3">
        <w:t xml:space="preserve">, </w:t>
      </w:r>
      <w:hyperlink r:id="rId58" w:history="1">
        <w:r w:rsidRPr="00B021A3">
          <w:t>Kerr PG</w:t>
        </w:r>
      </w:hyperlink>
      <w:r w:rsidRPr="00B021A3">
        <w:t xml:space="preserve">, </w:t>
      </w:r>
      <w:r>
        <w:t>et al</w:t>
      </w:r>
      <w:r w:rsidRPr="00B021A3">
        <w:t>.</w:t>
      </w:r>
      <w:r>
        <w:t xml:space="preserve"> </w:t>
      </w:r>
      <w:r w:rsidRPr="00B021A3">
        <w:t>Review: An Australian model of care for co-morbid diabetes and chronic kidney disease.</w:t>
      </w:r>
      <w:r>
        <w:t xml:space="preserve"> </w:t>
      </w:r>
      <w:hyperlink r:id="rId59" w:tooltip="Nephrology (Carlton, Vic.)." w:history="1">
        <w:r w:rsidRPr="00B021A3">
          <w:t>Nephrology (Carlton).</w:t>
        </w:r>
      </w:hyperlink>
      <w:r w:rsidRPr="00B021A3">
        <w:t xml:space="preserve"> 2018 Feb 5. doi: 10.1111/nep.13232.</w:t>
      </w:r>
      <w:r>
        <w:t xml:space="preserve"> Available from: </w:t>
      </w:r>
      <w:hyperlink r:id="rId60" w:history="1">
        <w:r w:rsidRPr="00C26E5D">
          <w:t>https://www.ncbi.nlm.nih.gov/pubmed/29405503</w:t>
        </w:r>
      </w:hyperlink>
    </w:p>
  </w:endnote>
  <w:endnote w:id="56">
    <w:p w14:paraId="2893DBC9" w14:textId="77777777" w:rsidR="008565D3" w:rsidRDefault="008565D3">
      <w:r>
        <w:endnoteRef/>
      </w:r>
      <w:r>
        <w:t xml:space="preserve"> </w:t>
      </w:r>
      <w:r>
        <w:tab/>
        <w:t>Analysis of MBS data 2016-17.</w:t>
      </w:r>
    </w:p>
  </w:endnote>
  <w:endnote w:id="57">
    <w:p w14:paraId="4B637547" w14:textId="77777777" w:rsidR="008565D3" w:rsidRDefault="008565D3">
      <w:r>
        <w:endnoteRef/>
      </w:r>
      <w:r>
        <w:t xml:space="preserve"> </w:t>
      </w:r>
      <w:r>
        <w:tab/>
        <w:t>Analysis of MBS data 2016-17.</w:t>
      </w:r>
    </w:p>
  </w:endnote>
  <w:endnote w:id="58">
    <w:p w14:paraId="4196F4AB" w14:textId="77777777" w:rsidR="008565D3" w:rsidRDefault="008565D3" w:rsidP="00DF0E15">
      <w:r>
        <w:endnoteRef/>
      </w:r>
      <w:r>
        <w:t xml:space="preserve"> </w:t>
      </w:r>
      <w:r>
        <w:tab/>
      </w:r>
      <w:r w:rsidRPr="00E2599A">
        <w:rPr>
          <w:rFonts w:eastAsiaTheme="minorEastAsia"/>
        </w:rPr>
        <w:t>Hatah</w:t>
      </w:r>
      <w:r>
        <w:rPr>
          <w:rFonts w:eastAsiaTheme="minorEastAsia"/>
        </w:rPr>
        <w:t>, E., Braund, R., Tordoff, J., Duffull, S. B.</w:t>
      </w:r>
      <w:r w:rsidRPr="00E2599A">
        <w:rPr>
          <w:rFonts w:eastAsiaTheme="minorEastAsia"/>
        </w:rPr>
        <w:t xml:space="preserve"> </w:t>
      </w:r>
      <w:r>
        <w:rPr>
          <w:rFonts w:eastAsiaTheme="minorEastAsia"/>
        </w:rPr>
        <w:t>(</w:t>
      </w:r>
      <w:r w:rsidRPr="00E2599A">
        <w:rPr>
          <w:rFonts w:eastAsiaTheme="minorEastAsia"/>
        </w:rPr>
        <w:t>2014</w:t>
      </w:r>
      <w:r>
        <w:rPr>
          <w:rFonts w:eastAsiaTheme="minorEastAsia"/>
        </w:rPr>
        <w:t xml:space="preserve">). </w:t>
      </w:r>
      <w:r w:rsidRPr="00BF282C">
        <w:t>A systematic review and meta-analysis of pharmacist-led fee-for-services medication review</w:t>
      </w:r>
      <w:r>
        <w:t xml:space="preserve">. British Journal of Clinical Pharmacology. </w:t>
      </w:r>
      <w:r w:rsidRPr="00BF282C">
        <w:t>77(1): 102–115.</w:t>
      </w:r>
      <w:r>
        <w:t xml:space="preserve"> DOI</w:t>
      </w:r>
      <w:r w:rsidRPr="00BF282C">
        <w:t>:  10.1111/bcp.12140</w:t>
      </w:r>
      <w:r>
        <w:t xml:space="preserve">. </w:t>
      </w:r>
      <w:r>
        <w:rPr>
          <w:rFonts w:eastAsiaTheme="minorEastAsia"/>
        </w:rPr>
        <w:t>Available from:</w:t>
      </w:r>
      <w:r w:rsidRPr="00C55342">
        <w:t xml:space="preserve"> https://www.ncbi.nlm.nih.gov/pmc/articles/PMC3895351/</w:t>
      </w:r>
    </w:p>
  </w:endnote>
  <w:endnote w:id="59">
    <w:p w14:paraId="57350FB9" w14:textId="77777777" w:rsidR="008565D3" w:rsidRDefault="008565D3" w:rsidP="00DF0E15">
      <w:r>
        <w:endnoteRef/>
      </w:r>
      <w:r>
        <w:t xml:space="preserve"> </w:t>
      </w:r>
      <w:r>
        <w:tab/>
        <w:t>Kripalani, S.</w:t>
      </w:r>
      <w:r w:rsidRPr="00CF5D72">
        <w:t>, Jackson</w:t>
      </w:r>
      <w:r>
        <w:t>,</w:t>
      </w:r>
      <w:r w:rsidRPr="00CF5D72">
        <w:t xml:space="preserve"> A</w:t>
      </w:r>
      <w:r>
        <w:t xml:space="preserve">. </w:t>
      </w:r>
      <w:r w:rsidRPr="00CF5D72">
        <w:t>T</w:t>
      </w:r>
      <w:r>
        <w:t>.</w:t>
      </w:r>
      <w:r w:rsidRPr="00CF5D72">
        <w:t>, Schnipper</w:t>
      </w:r>
      <w:r>
        <w:t>,</w:t>
      </w:r>
      <w:r w:rsidRPr="00CF5D72">
        <w:t xml:space="preserve"> J</w:t>
      </w:r>
      <w:r>
        <w:t xml:space="preserve">. </w:t>
      </w:r>
      <w:r w:rsidRPr="00CF5D72">
        <w:t>L</w:t>
      </w:r>
      <w:r>
        <w:t>.</w:t>
      </w:r>
      <w:r w:rsidRPr="00CF5D72">
        <w:t>, Coleman</w:t>
      </w:r>
      <w:r>
        <w:t>,</w:t>
      </w:r>
      <w:r w:rsidRPr="00CF5D72">
        <w:t xml:space="preserve"> E</w:t>
      </w:r>
      <w:r>
        <w:t xml:space="preserve">. </w:t>
      </w:r>
      <w:r w:rsidRPr="00CF5D72">
        <w:t>A.</w:t>
      </w:r>
      <w:r w:rsidRPr="00BF282C">
        <w:rPr>
          <w:rFonts w:eastAsiaTheme="minorEastAsia"/>
        </w:rPr>
        <w:t xml:space="preserve"> </w:t>
      </w:r>
      <w:r>
        <w:rPr>
          <w:rFonts w:eastAsiaTheme="minorEastAsia"/>
        </w:rPr>
        <w:t>(</w:t>
      </w:r>
      <w:r w:rsidRPr="00BF282C">
        <w:rPr>
          <w:rFonts w:eastAsiaTheme="minorEastAsia"/>
        </w:rPr>
        <w:t>2007</w:t>
      </w:r>
      <w:r>
        <w:rPr>
          <w:rFonts w:eastAsiaTheme="minorEastAsia"/>
        </w:rPr>
        <w:t>)</w:t>
      </w:r>
      <w:r w:rsidRPr="00BF282C">
        <w:rPr>
          <w:rFonts w:eastAsiaTheme="minorEastAsia"/>
        </w:rPr>
        <w:t xml:space="preserve"> </w:t>
      </w:r>
      <w:r w:rsidRPr="00CF5D72">
        <w:t>Promoting effective transitions of care at hospital discharge: a review of key issues for hospitalists.</w:t>
      </w:r>
      <w:r>
        <w:t xml:space="preserve"> Journal of Hospital Medicine. </w:t>
      </w:r>
      <w:r w:rsidRPr="00CF5D72">
        <w:t>2(5):314-23</w:t>
      </w:r>
      <w:r>
        <w:t xml:space="preserve">. </w:t>
      </w:r>
      <w:r w:rsidRPr="00CF5D72">
        <w:t>DOI: 10.1002/jhm.228</w:t>
      </w:r>
      <w:r>
        <w:t xml:space="preserve">. Available from: </w:t>
      </w:r>
      <w:r w:rsidRPr="00C55342">
        <w:t>https://www.ncbi.nlm.nih.gov/pubmed/17935242</w:t>
      </w:r>
    </w:p>
  </w:endnote>
  <w:endnote w:id="60">
    <w:p w14:paraId="29A9109D" w14:textId="77777777" w:rsidR="008565D3" w:rsidRDefault="008565D3" w:rsidP="00A614CE">
      <w:r>
        <w:endnoteRef/>
      </w:r>
      <w:r>
        <w:t xml:space="preserve"> </w:t>
      </w:r>
      <w:r>
        <w:tab/>
        <w:t xml:space="preserve">Doctorportal. (2017). </w:t>
      </w:r>
      <w:r w:rsidRPr="0093569E">
        <w:t>Has healthcare’s Uber moment arrived?</w:t>
      </w:r>
      <w:r>
        <w:t xml:space="preserve">. Available from: </w:t>
      </w:r>
      <w:hyperlink r:id="rId61" w:history="1">
        <w:r w:rsidRPr="00864CCF">
          <w:rPr>
            <w:rFonts w:eastAsiaTheme="minorEastAsia"/>
          </w:rPr>
          <w:t>https://www.doctorportal.com.au/has-healthcares-uber-moment-arrived/</w:t>
        </w:r>
      </w:hyperlink>
      <w:r>
        <w:rPr>
          <w:rFonts w:eastAsiaTheme="minorEastAsia"/>
        </w:rPr>
        <w:t xml:space="preserve"> </w:t>
      </w:r>
    </w:p>
  </w:endnote>
  <w:endnote w:id="61">
    <w:p w14:paraId="55EF19CC" w14:textId="77777777" w:rsidR="008565D3" w:rsidRDefault="008565D3">
      <w:r>
        <w:endnoteRef/>
      </w:r>
      <w:r>
        <w:t xml:space="preserve"> </w:t>
      </w:r>
      <w:r>
        <w:rPr>
          <w:rFonts w:eastAsiaTheme="minorEastAsia"/>
        </w:rPr>
        <w:tab/>
      </w:r>
      <w:r w:rsidRPr="001E75A5">
        <w:t>Jacqueline H. Byrne, Nicholas G. Lennox &amp; Robert S. Ware (2016) Systematic review and meta-analysis of primary healthcare interventions on health actions in people with intellectual disability, Journal of Intellectual &amp; Developmental Disability, 41:1, 66-74, DOI: 10.3109/13668250.2015.1105939</w:t>
      </w:r>
      <w:r w:rsidRPr="00352F4C">
        <w:rPr>
          <w:rFonts w:eastAsiaTheme="minorEastAsia"/>
        </w:rPr>
        <w:t xml:space="preserve"> </w:t>
      </w:r>
    </w:p>
  </w:endnote>
  <w:endnote w:id="62">
    <w:p w14:paraId="50BD7AE1" w14:textId="77777777" w:rsidR="008565D3" w:rsidRDefault="008565D3">
      <w:r>
        <w:endnoteRef/>
      </w:r>
      <w:r>
        <w:t xml:space="preserve"> </w:t>
      </w:r>
      <w:r>
        <w:tab/>
      </w:r>
      <w:r w:rsidRPr="001E75A5">
        <w:t xml:space="preserve">Robertson J, Hatton C, Emerson E, Baines S. The impact of health checks for people with intellectual disabilities: an updated systematic review of evidence. Res Dev Disabil. 2014;35(10):2450–2462. </w:t>
      </w:r>
      <w:r>
        <w:t xml:space="preserve">Available from: </w:t>
      </w:r>
      <w:r w:rsidRPr="00997A56">
        <w:t>http://eprints.lancs.ac.uk/70696/1/RIDD_2014_Health_Checks_Updated_Review.pdf</w:t>
      </w:r>
      <w:r w:rsidRPr="00C8123A">
        <w:rPr>
          <w:rFonts w:eastAsiaTheme="minorEastAsia"/>
        </w:rPr>
        <w:t>;</w:t>
      </w:r>
    </w:p>
  </w:endnote>
  <w:endnote w:id="63">
    <w:p w14:paraId="101FE66E" w14:textId="77777777" w:rsidR="008565D3" w:rsidRDefault="008565D3" w:rsidP="001E75A5">
      <w:r>
        <w:endnoteRef/>
      </w:r>
      <w:r>
        <w:t xml:space="preserve"> </w:t>
      </w:r>
      <w:r>
        <w:tab/>
      </w:r>
      <w:r w:rsidRPr="00C8123A">
        <w:rPr>
          <w:rFonts w:eastAsiaTheme="minorEastAsia"/>
        </w:rPr>
        <w:t xml:space="preserve">Lennox </w:t>
      </w:r>
      <w:r>
        <w:rPr>
          <w:rFonts w:eastAsiaTheme="minorEastAsia"/>
        </w:rPr>
        <w:t>(</w:t>
      </w:r>
      <w:r w:rsidRPr="00C8123A">
        <w:rPr>
          <w:rFonts w:eastAsiaTheme="minorEastAsia"/>
        </w:rPr>
        <w:t>2011</w:t>
      </w:r>
      <w:r>
        <w:rPr>
          <w:rFonts w:eastAsiaTheme="minorEastAsia"/>
        </w:rPr>
        <w:t>)</w:t>
      </w:r>
      <w:r w:rsidRPr="00C8123A">
        <w:rPr>
          <w:rFonts w:eastAsiaTheme="minorEastAsia"/>
        </w:rPr>
        <w:t xml:space="preserve"> </w:t>
      </w:r>
      <w:r w:rsidRPr="001E75A5">
        <w:t>Effects of health screening for adults with intellectual disability: a pooled analysis</w:t>
      </w:r>
      <w:r>
        <w:t xml:space="preserve">. British Journal of General Practice. 61(584): 193–196. </w:t>
      </w:r>
      <w:r w:rsidRPr="001E75A5">
        <w:t>doi:  10.3399/bjgp11X561186</w:t>
      </w:r>
      <w:r>
        <w:t>.</w:t>
      </w:r>
      <w:r w:rsidRPr="00C8123A">
        <w:rPr>
          <w:rFonts w:eastAsiaTheme="minorEastAsia"/>
        </w:rPr>
        <w:t xml:space="preserve"> </w:t>
      </w:r>
      <w:r>
        <w:rPr>
          <w:rFonts w:eastAsiaTheme="minorEastAsia"/>
        </w:rPr>
        <w:t xml:space="preserve">Available from: </w:t>
      </w:r>
      <w:r w:rsidRPr="00997A56">
        <w:t>https://www.ncbi.nlm.nih.gov/pmc/articles/PMC3047312/</w:t>
      </w:r>
      <w:r w:rsidRPr="00C8123A">
        <w:rPr>
          <w:rFonts w:eastAsiaTheme="minorEastAsia"/>
        </w:rPr>
        <w:t>.</w:t>
      </w:r>
    </w:p>
  </w:endnote>
  <w:endnote w:id="64">
    <w:p w14:paraId="32D7B186" w14:textId="77777777" w:rsidR="008565D3" w:rsidRDefault="008565D3">
      <w:r>
        <w:endnoteRef/>
      </w:r>
      <w:r>
        <w:t xml:space="preserve"> </w:t>
      </w:r>
      <w:r>
        <w:rPr>
          <w:rFonts w:eastAsiaTheme="minorEastAsia"/>
        </w:rPr>
        <w:tab/>
      </w:r>
      <w:r w:rsidRPr="00592DD1">
        <w:t>Felce, D., Baxter, H., Lowe, K., Dunstan, F., Houston, H., Jones, G., Felce, J. and Kerr, M. (2008). The Impact of Repeated Health Checks for Adults with Intellectual Disabilities. Journal of Applied Research in Intellectual Disabilities, 21(6), pp.585-596.</w:t>
      </w:r>
      <w:r>
        <w:t xml:space="preserve"> Available from: </w:t>
      </w:r>
      <w:r w:rsidRPr="00F0259F">
        <w:t>https://onlinelibrary.wiley.com/doi/abs/10.1111/j.1468-3148.2008.00441.x</w:t>
      </w:r>
    </w:p>
  </w:endnote>
  <w:endnote w:id="65">
    <w:p w14:paraId="17C237ED" w14:textId="77777777" w:rsidR="008565D3" w:rsidRDefault="008565D3">
      <w:r>
        <w:endnoteRef/>
      </w:r>
      <w:r>
        <w:t xml:space="preserve"> </w:t>
      </w:r>
      <w:r>
        <w:rPr>
          <w:rFonts w:eastAsiaTheme="minorEastAsia"/>
        </w:rPr>
        <w:tab/>
      </w:r>
      <w:r w:rsidRPr="00942531">
        <w:rPr>
          <w:rFonts w:eastAsiaTheme="minorEastAsia"/>
        </w:rPr>
        <w:t>Byles</w:t>
      </w:r>
      <w:r>
        <w:rPr>
          <w:rFonts w:eastAsiaTheme="minorEastAsia"/>
        </w:rPr>
        <w:t xml:space="preserve">, </w:t>
      </w:r>
      <w:r>
        <w:t>J</w:t>
      </w:r>
      <w:r w:rsidRPr="00592DD1">
        <w:t>.</w:t>
      </w:r>
      <w:r>
        <w:t xml:space="preserve"> (</w:t>
      </w:r>
      <w:r w:rsidRPr="00942531">
        <w:rPr>
          <w:rFonts w:eastAsiaTheme="minorEastAsia"/>
        </w:rPr>
        <w:t>2000)</w:t>
      </w:r>
      <w:r>
        <w:rPr>
          <w:rFonts w:eastAsiaTheme="minorEastAsia"/>
        </w:rPr>
        <w:t xml:space="preserve">. </w:t>
      </w:r>
      <w:r w:rsidRPr="00592DD1">
        <w:t>A thorough going over: evidence for health assessments for older persons</w:t>
      </w:r>
      <w:r>
        <w:t xml:space="preserve">. </w:t>
      </w:r>
      <w:r w:rsidRPr="00592DD1">
        <w:t>Australian and New Zealand Journal of Public Health</w:t>
      </w:r>
      <w:r>
        <w:t xml:space="preserve">, 24(6), pp. </w:t>
      </w:r>
      <w:r w:rsidRPr="00592DD1">
        <w:t>117-123</w:t>
      </w:r>
      <w:r>
        <w:t xml:space="preserve">. Available from: </w:t>
      </w:r>
      <w:r w:rsidRPr="00F0259F">
        <w:t>https://onlinelibrary.wiley.com/doi/abs/10.1111/j.1467-842X.2000.tb00131.x</w:t>
      </w:r>
    </w:p>
  </w:endnote>
  <w:endnote w:id="66">
    <w:p w14:paraId="10E83533" w14:textId="77777777" w:rsidR="008565D3" w:rsidRDefault="008565D3">
      <w:r>
        <w:endnoteRef/>
      </w:r>
      <w:r>
        <w:t xml:space="preserve"> </w:t>
      </w:r>
      <w:r>
        <w:tab/>
      </w:r>
      <w:r w:rsidRPr="00512C40">
        <w:t xml:space="preserve">German PS, Burton LC, Shapiro S, et al. </w:t>
      </w:r>
      <w:r>
        <w:t xml:space="preserve">(1995) </w:t>
      </w:r>
      <w:r w:rsidRPr="00512C40">
        <w:t>Extended coverage for preventive services for the elderly: Response and results in a demonstration population. Am. 85(3):379-386.</w:t>
      </w:r>
    </w:p>
  </w:endnote>
  <w:endnote w:id="67">
    <w:p w14:paraId="374D9E8C" w14:textId="77777777" w:rsidR="008565D3" w:rsidRDefault="008565D3">
      <w:r>
        <w:endnoteRef/>
      </w:r>
      <w:r>
        <w:t xml:space="preserve"> </w:t>
      </w:r>
      <w:r>
        <w:rPr>
          <w:rFonts w:eastAsiaTheme="minorEastAsia"/>
        </w:rPr>
        <w:tab/>
      </w:r>
      <w:r w:rsidRPr="00F0259F">
        <w:t>Krogsboll, L., Jorgensen, K., Gronhoj Larsen, C. and Gotzsche, P. (2012). General health checks in adults for reducing morbidity and mortality from disease: Cochrane systematic review and meta-analysis. BMJ, 345(nov20 3), pp.e7191-e7191.</w:t>
      </w:r>
      <w:r>
        <w:t xml:space="preserve"> Available from:</w:t>
      </w:r>
      <w:r>
        <w:rPr>
          <w:rFonts w:eastAsiaTheme="minorEastAsia"/>
        </w:rPr>
        <w:t xml:space="preserve"> </w:t>
      </w:r>
      <w:r w:rsidRPr="00195794">
        <w:t>https://www.bmj.com/content/345/bmj.e7191</w:t>
      </w:r>
    </w:p>
  </w:endnote>
  <w:endnote w:id="68">
    <w:p w14:paraId="37C84377" w14:textId="77777777" w:rsidR="008565D3" w:rsidRDefault="008565D3">
      <w:r>
        <w:endnoteRef/>
      </w:r>
      <w:r>
        <w:t xml:space="preserve"> </w:t>
      </w:r>
      <w:r>
        <w:tab/>
      </w:r>
      <w:hyperlink r:id="rId62" w:tgtFrame="_blank" w:history="1">
        <w:r w:rsidRPr="00195794">
          <w:t xml:space="preserve">Kaulback K. </w:t>
        </w:r>
        <w:r>
          <w:t xml:space="preserve">(2012). </w:t>
        </w:r>
        <w:r w:rsidRPr="00195794">
          <w:t xml:space="preserve">Periodic health examinations: a rapid review. </w:t>
        </w:r>
        <w:r>
          <w:t>Health Quality Ontario.</w:t>
        </w:r>
        <w:r w:rsidRPr="00195794">
          <w:t xml:space="preserve"> p</w:t>
        </w:r>
        <w:r>
          <w:t>p</w:t>
        </w:r>
        <w:r w:rsidRPr="00195794">
          <w:t>.</w:t>
        </w:r>
      </w:hyperlink>
      <w:r>
        <w:t xml:space="preserve"> 1-26 Available from: </w:t>
      </w:r>
      <w:r w:rsidRPr="00F0259F">
        <w:t>http://www.hqontario.ca/Portals/0/Documents/evidence/rapid-reviews/periodic-health-exams-121130-en.pdf</w:t>
      </w:r>
    </w:p>
  </w:endnote>
  <w:endnote w:id="69">
    <w:p w14:paraId="18D10792" w14:textId="77777777" w:rsidR="008565D3" w:rsidRDefault="008565D3">
      <w:r>
        <w:endnoteRef/>
      </w:r>
      <w:r>
        <w:t xml:space="preserve"> </w:t>
      </w:r>
      <w:r>
        <w:tab/>
      </w:r>
      <w:r w:rsidRPr="005942C5">
        <w:t>Bloomfield, H. E.</w:t>
      </w:r>
      <w:r>
        <w:t>, Wilt, T. J.</w:t>
      </w:r>
      <w:r w:rsidRPr="005942C5">
        <w:t xml:space="preserve"> (</w:t>
      </w:r>
      <w:r>
        <w:t>2011</w:t>
      </w:r>
      <w:r w:rsidRPr="005942C5">
        <w:t xml:space="preserve">). Evidence Brief: Role of the Annual Comprehensive Physical Examination in the Asymptomatic Adult. </w:t>
      </w:r>
      <w:r>
        <w:rPr>
          <w:rFonts w:eastAsiaTheme="minorEastAsia"/>
        </w:rPr>
        <w:t xml:space="preserve">Available from: </w:t>
      </w:r>
      <w:r w:rsidRPr="00195794">
        <w:t>https://www.ncbi.nlm.nih.gov/books/NBK82767/</w:t>
      </w:r>
      <w:r>
        <w:rPr>
          <w:rFonts w:eastAsiaTheme="minorEastAsia"/>
        </w:rPr>
        <w:t xml:space="preserve"> </w:t>
      </w:r>
    </w:p>
  </w:endnote>
  <w:endnote w:id="70">
    <w:p w14:paraId="261C2FA0" w14:textId="77777777" w:rsidR="008565D3" w:rsidRPr="006065CD" w:rsidRDefault="008565D3">
      <w:pPr>
        <w:rPr>
          <w:rFonts w:eastAsiaTheme="minorEastAsia"/>
        </w:rPr>
      </w:pPr>
      <w:r>
        <w:endnoteRef/>
      </w:r>
      <w:r>
        <w:t xml:space="preserve"> </w:t>
      </w:r>
      <w:r>
        <w:tab/>
      </w:r>
      <w:r w:rsidRPr="005942C5">
        <w:t>Dyakova, M., Shantikumar, S., Colquitt, J. L., Drew, C. M., Sime, M., MacIver, J</w:t>
      </w:r>
      <w:r>
        <w:t>. et al</w:t>
      </w:r>
      <w:r w:rsidRPr="005942C5">
        <w:t>. (2016). Systematic versus opportunistic risk assessment for the primary prevention of cardiovascular disease. The Cochrane Database of Sytematic Reviews. Available from https://www.ncbi.nlm.nih.gov/pubmed/26824223</w:t>
      </w:r>
      <w:r w:rsidRPr="00195794">
        <w:rPr>
          <w:rFonts w:eastAsiaTheme="minorEastAsia"/>
        </w:rPr>
        <w:t xml:space="preserve"> </w:t>
      </w:r>
    </w:p>
  </w:endnote>
  <w:endnote w:id="71">
    <w:p w14:paraId="225BE0D2" w14:textId="77777777" w:rsidR="008565D3" w:rsidRDefault="008565D3">
      <w:r>
        <w:endnoteRef/>
      </w:r>
      <w:r>
        <w:t xml:space="preserve"> </w:t>
      </w:r>
      <w:r>
        <w:tab/>
      </w:r>
      <w:r w:rsidRPr="006065CD">
        <w:rPr>
          <w:rFonts w:eastAsiaTheme="minorEastAsia"/>
        </w:rPr>
        <w:t>Geue</w:t>
      </w:r>
      <w:r>
        <w:rPr>
          <w:rFonts w:eastAsiaTheme="minorEastAsia"/>
        </w:rPr>
        <w:t>, C., Lewsey, J. D., MacKay, D. F., Antony, G., FischBacher, C. M., Muirie, J., McCartney, G.</w:t>
      </w:r>
      <w:r w:rsidRPr="006065CD">
        <w:rPr>
          <w:rFonts w:eastAsiaTheme="minorEastAsia"/>
        </w:rPr>
        <w:t xml:space="preserve"> </w:t>
      </w:r>
      <w:r>
        <w:rPr>
          <w:rFonts w:eastAsiaTheme="minorEastAsia"/>
        </w:rPr>
        <w:t>(</w:t>
      </w:r>
      <w:r w:rsidRPr="006065CD">
        <w:rPr>
          <w:rFonts w:eastAsiaTheme="minorEastAsia"/>
        </w:rPr>
        <w:t>2016</w:t>
      </w:r>
      <w:r>
        <w:rPr>
          <w:rFonts w:eastAsiaTheme="minorEastAsia"/>
        </w:rPr>
        <w:t xml:space="preserve">). </w:t>
      </w:r>
      <w:r w:rsidRPr="006065CD">
        <w:t>Scottish Keep Well health check programme: an interrupted time series analysis</w:t>
      </w:r>
      <w:r>
        <w:t xml:space="preserve">. </w:t>
      </w:r>
      <w:r w:rsidRPr="006065CD">
        <w:t xml:space="preserve"> Journal of Epidemiology &amp; Community Health</w:t>
      </w:r>
      <w:r>
        <w:t xml:space="preserve">. Available from: </w:t>
      </w:r>
      <w:r w:rsidRPr="006065CD">
        <w:t>https://jech.bmj.com/content/early/2016/04/12/jech-2015-206926.short</w:t>
      </w:r>
      <w:r w:rsidRPr="006065CD">
        <w:rPr>
          <w:rFonts w:eastAsiaTheme="minorEastAsia"/>
        </w:rPr>
        <w:t>)</w:t>
      </w:r>
    </w:p>
  </w:endnote>
  <w:endnote w:id="72">
    <w:p w14:paraId="14A0513B" w14:textId="77777777" w:rsidR="008565D3" w:rsidRDefault="008565D3" w:rsidP="008B7078">
      <w:pPr>
        <w:pStyle w:val="EndNoteBibliography"/>
      </w:pPr>
      <w:r>
        <w:endnoteRef/>
      </w:r>
      <w:r>
        <w:t xml:space="preserve"> </w:t>
      </w:r>
      <w:r>
        <w:tab/>
      </w:r>
      <w:hyperlink r:id="rId63" w:history="1">
        <w:r w:rsidRPr="00B021A3">
          <w:t>Fazel S</w:t>
        </w:r>
      </w:hyperlink>
      <w:r w:rsidRPr="00B021A3">
        <w:t xml:space="preserve">, </w:t>
      </w:r>
      <w:hyperlink r:id="rId64" w:history="1">
        <w:r w:rsidRPr="00B021A3">
          <w:t>Baillargeon J</w:t>
        </w:r>
      </w:hyperlink>
      <w:r w:rsidRPr="00B021A3">
        <w:t>.</w:t>
      </w:r>
      <w:r>
        <w:t xml:space="preserve"> </w:t>
      </w:r>
      <w:r w:rsidRPr="00B021A3">
        <w:t>The health of prisoners.</w:t>
      </w:r>
      <w:r>
        <w:t xml:space="preserve"> </w:t>
      </w:r>
      <w:hyperlink r:id="rId65" w:tooltip="Lancet (London, England)." w:history="1">
        <w:r w:rsidRPr="00B021A3">
          <w:t>Lancet.</w:t>
        </w:r>
      </w:hyperlink>
      <w:r w:rsidRPr="00B021A3">
        <w:t xml:space="preserve"> 2011 Mar 12;377(9769):956-65. doi: 10.1016/S0140-6736(10)61053-7. Epub 2010 Nov 18.</w:t>
      </w:r>
      <w:r>
        <w:t xml:space="preserve"> Available from: </w:t>
      </w:r>
      <w:hyperlink r:id="rId66" w:history="1">
        <w:r w:rsidRPr="009775A3">
          <w:t>https://www.ncbi.nlm.nih.gov/pubmed/21093904</w:t>
        </w:r>
      </w:hyperlink>
    </w:p>
  </w:endnote>
  <w:endnote w:id="73">
    <w:p w14:paraId="6558F86F" w14:textId="77777777" w:rsidR="008565D3" w:rsidRDefault="008565D3" w:rsidP="008B7078">
      <w:pPr>
        <w:pStyle w:val="EndNoteBibliography"/>
      </w:pPr>
      <w:r>
        <w:endnoteRef/>
      </w:r>
      <w:r>
        <w:t xml:space="preserve"> </w:t>
      </w:r>
      <w:r>
        <w:tab/>
      </w:r>
      <w:hyperlink r:id="rId67" w:history="1">
        <w:r w:rsidRPr="00B021A3">
          <w:t>Abbott P</w:t>
        </w:r>
      </w:hyperlink>
      <w:r w:rsidRPr="00B021A3">
        <w:t xml:space="preserve">, </w:t>
      </w:r>
      <w:hyperlink r:id="rId68" w:history="1">
        <w:r w:rsidRPr="00B021A3">
          <w:t>Magin P</w:t>
        </w:r>
      </w:hyperlink>
      <w:r w:rsidRPr="00B021A3">
        <w:t xml:space="preserve">, </w:t>
      </w:r>
      <w:hyperlink r:id="rId69" w:history="1">
        <w:r w:rsidRPr="00B021A3">
          <w:t>Hu W</w:t>
        </w:r>
      </w:hyperlink>
      <w:r w:rsidRPr="00B021A3">
        <w:t>.</w:t>
      </w:r>
      <w:r>
        <w:t xml:space="preserve"> </w:t>
      </w:r>
      <w:r w:rsidRPr="00B021A3">
        <w:t>Healthcare delivery for women in prison: a medical record review.</w:t>
      </w:r>
      <w:r>
        <w:t xml:space="preserve"> </w:t>
      </w:r>
      <w:hyperlink r:id="rId70" w:tooltip="Australian journal of primary health." w:history="1">
        <w:r w:rsidRPr="00B021A3">
          <w:t>Aust J Prim Health.</w:t>
        </w:r>
      </w:hyperlink>
      <w:r w:rsidRPr="00B021A3">
        <w:t xml:space="preserve"> 2016 Feb;22(6):523-529. doi: 10.1071/PY15110.</w:t>
      </w:r>
      <w:r>
        <w:t xml:space="preserve"> Available from: </w:t>
      </w:r>
      <w:hyperlink r:id="rId71" w:history="1">
        <w:r w:rsidRPr="009775A3">
          <w:t>https://www.ncbi.nlm.nih.gov/pubmed/27157887</w:t>
        </w:r>
      </w:hyperlink>
    </w:p>
  </w:endnote>
  <w:endnote w:id="74">
    <w:p w14:paraId="213F966A" w14:textId="77777777" w:rsidR="008565D3" w:rsidRPr="006C1AB1" w:rsidRDefault="008565D3" w:rsidP="008B7078">
      <w:pPr>
        <w:pStyle w:val="EndNoteBibliography"/>
        <w:rPr>
          <w:lang w:val="en"/>
        </w:rPr>
      </w:pPr>
      <w:r>
        <w:endnoteRef/>
      </w:r>
      <w:r>
        <w:t xml:space="preserve"> </w:t>
      </w:r>
      <w:r>
        <w:tab/>
        <w:t xml:space="preserve">Kariminia A, Butler TG, Corben SP, Levy MH, Grant L, et al. </w:t>
      </w:r>
      <w:r w:rsidRPr="006C1AB1">
        <w:t>Extreme cause-specific mortality in a cohort of adult prisoners—1988 to 2002: a data-linkage study</w:t>
      </w:r>
      <w:r>
        <w:t xml:space="preserve">. International Journal of Epidemiology.  </w:t>
      </w:r>
      <w:r w:rsidRPr="006C1AB1">
        <w:t xml:space="preserve">International Journal of Epidemiology, Volume 36, Issue 2, 1 April 2007, Pages 310–316, </w:t>
      </w:r>
      <w:hyperlink r:id="rId72" w:history="1">
        <w:r w:rsidRPr="006C1AB1">
          <w:t>https://doi.org/10.1093/ije/dyl225</w:t>
        </w:r>
      </w:hyperlink>
    </w:p>
  </w:endnote>
  <w:endnote w:id="75">
    <w:p w14:paraId="1F7A1D0D" w14:textId="77777777" w:rsidR="008565D3" w:rsidRDefault="008565D3" w:rsidP="008B7078">
      <w:pPr>
        <w:pStyle w:val="EndNoteBibliography"/>
      </w:pPr>
      <w:r>
        <w:endnoteRef/>
      </w:r>
      <w:r>
        <w:t xml:space="preserve"> </w:t>
      </w:r>
      <w:r>
        <w:tab/>
      </w:r>
      <w:hyperlink r:id="rId73" w:history="1">
        <w:r w:rsidRPr="006C1AB1">
          <w:t>van Dooren K</w:t>
        </w:r>
      </w:hyperlink>
      <w:r w:rsidRPr="006C1AB1">
        <w:t xml:space="preserve">, </w:t>
      </w:r>
      <w:hyperlink r:id="rId74" w:history="1">
        <w:r w:rsidRPr="006C1AB1">
          <w:t>Kinner SA</w:t>
        </w:r>
      </w:hyperlink>
      <w:r w:rsidRPr="006C1AB1">
        <w:t xml:space="preserve">, </w:t>
      </w:r>
      <w:hyperlink r:id="rId75" w:history="1">
        <w:r w:rsidRPr="006C1AB1">
          <w:t>Forsyth S</w:t>
        </w:r>
      </w:hyperlink>
      <w:r w:rsidRPr="006C1AB1">
        <w:t>.</w:t>
      </w:r>
      <w:r>
        <w:t xml:space="preserve"> </w:t>
      </w:r>
      <w:r w:rsidRPr="006C1AB1">
        <w:t>Risk of death for young ex-prisoners in the year following release from adult prison.</w:t>
      </w:r>
      <w:r>
        <w:t xml:space="preserve"> Australian and New Zealand Journal of Public Health. </w:t>
      </w:r>
      <w:r w:rsidRPr="006C1AB1">
        <w:t>2013 Aug;37(4):377-82. doi: 10.1111/1753-6405.12087.</w:t>
      </w:r>
      <w:r>
        <w:t xml:space="preserve"> Available from:  </w:t>
      </w:r>
      <w:hyperlink r:id="rId76" w:history="1">
        <w:r w:rsidRPr="009775A3">
          <w:t>https://www.ncbi.nlm.nih.gov/pubmed/23895482</w:t>
        </w:r>
      </w:hyperlink>
    </w:p>
  </w:endnote>
  <w:endnote w:id="76">
    <w:p w14:paraId="2AB94C92" w14:textId="77777777" w:rsidR="008565D3" w:rsidRDefault="008565D3" w:rsidP="008B7078">
      <w:pPr>
        <w:pStyle w:val="EndNoteBibliography"/>
      </w:pPr>
      <w:r>
        <w:endnoteRef/>
      </w:r>
      <w:r>
        <w:t xml:space="preserve"> </w:t>
      </w:r>
      <w:r>
        <w:tab/>
      </w:r>
      <w:hyperlink r:id="rId77" w:history="1">
        <w:r w:rsidRPr="006C1AB1">
          <w:t>Abbott P</w:t>
        </w:r>
      </w:hyperlink>
      <w:r w:rsidRPr="006C1AB1">
        <w:t xml:space="preserve">, </w:t>
      </w:r>
      <w:hyperlink r:id="rId78" w:history="1">
        <w:r w:rsidRPr="006C1AB1">
          <w:t>Magin P</w:t>
        </w:r>
      </w:hyperlink>
      <w:r w:rsidRPr="006C1AB1">
        <w:t xml:space="preserve">, </w:t>
      </w:r>
      <w:hyperlink r:id="rId79" w:history="1">
        <w:r w:rsidRPr="006C1AB1">
          <w:t>Lujic S</w:t>
        </w:r>
      </w:hyperlink>
      <w:r w:rsidRPr="006C1AB1">
        <w:t xml:space="preserve">, </w:t>
      </w:r>
      <w:hyperlink r:id="rId80" w:history="1">
        <w:r w:rsidRPr="006C1AB1">
          <w:t>Hu W</w:t>
        </w:r>
      </w:hyperlink>
      <w:r w:rsidRPr="006C1AB1">
        <w:t>.</w:t>
      </w:r>
      <w:r>
        <w:t xml:space="preserve"> </w:t>
      </w:r>
      <w:r w:rsidRPr="006C1AB1">
        <w:t>Supporting continuity of care between prison and the community for women in prison: a medical record review.</w:t>
      </w:r>
      <w:r>
        <w:t xml:space="preserve"> Australian Health Review. </w:t>
      </w:r>
      <w:r w:rsidRPr="006C1AB1">
        <w:t>2017 Jul;41(3):268-276. doi: 10.1071/AH16007.</w:t>
      </w:r>
      <w:r>
        <w:t xml:space="preserve"> Available from: </w:t>
      </w:r>
      <w:hyperlink r:id="rId81" w:history="1">
        <w:r w:rsidRPr="009775A3">
          <w:t>https://www.ncbi.nlm.nih.gov/pubmed/27467100</w:t>
        </w:r>
      </w:hyperlink>
    </w:p>
  </w:endnote>
  <w:endnote w:id="77">
    <w:p w14:paraId="21BB5681" w14:textId="77777777" w:rsidR="008565D3" w:rsidRDefault="008565D3" w:rsidP="008B7078">
      <w:pPr>
        <w:pStyle w:val="EndNoteBibliography"/>
      </w:pPr>
      <w:r>
        <w:endnoteRef/>
      </w:r>
      <w:r>
        <w:t xml:space="preserve"> </w:t>
      </w:r>
      <w:r>
        <w:tab/>
      </w:r>
      <w:hyperlink r:id="rId82" w:history="1">
        <w:r w:rsidRPr="006C1AB1">
          <w:t>Abbott P</w:t>
        </w:r>
      </w:hyperlink>
      <w:r w:rsidRPr="006C1AB1">
        <w:t xml:space="preserve">, </w:t>
      </w:r>
      <w:hyperlink r:id="rId83" w:history="1">
        <w:r w:rsidRPr="006C1AB1">
          <w:t>Magin P</w:t>
        </w:r>
      </w:hyperlink>
      <w:r w:rsidRPr="006C1AB1">
        <w:t xml:space="preserve">, </w:t>
      </w:r>
      <w:hyperlink r:id="rId84" w:history="1">
        <w:r w:rsidRPr="006C1AB1">
          <w:t>Hu W</w:t>
        </w:r>
      </w:hyperlink>
      <w:r w:rsidRPr="006C1AB1">
        <w:t>.</w:t>
      </w:r>
      <w:r>
        <w:t xml:space="preserve"> </w:t>
      </w:r>
      <w:r w:rsidRPr="006C1AB1">
        <w:t>Healthcare delivery for women in prison: a medical record review.</w:t>
      </w:r>
      <w:r>
        <w:t xml:space="preserve"> Australian Journal of Primary Health. </w:t>
      </w:r>
      <w:r w:rsidRPr="006C1AB1">
        <w:t>2016 Feb;22(6):523-529. doi: 10.1071/PY15110</w:t>
      </w:r>
      <w:r>
        <w:t xml:space="preserve">. Available from:  </w:t>
      </w:r>
      <w:hyperlink r:id="rId85" w:history="1">
        <w:r w:rsidRPr="009775A3">
          <w:t>https://www.ncbi.nlm.nih.gov/pubmed/27157887</w:t>
        </w:r>
      </w:hyperlink>
    </w:p>
  </w:endnote>
  <w:endnote w:id="78">
    <w:p w14:paraId="2AF2680F" w14:textId="77777777" w:rsidR="008565D3" w:rsidRDefault="008565D3" w:rsidP="008B7078">
      <w:pPr>
        <w:pStyle w:val="EndNoteBibliography"/>
      </w:pPr>
      <w:r>
        <w:endnoteRef/>
      </w:r>
      <w:r>
        <w:t xml:space="preserve"> </w:t>
      </w:r>
      <w:r>
        <w:tab/>
      </w:r>
      <w:hyperlink r:id="rId86" w:history="1">
        <w:r w:rsidRPr="009D5A21">
          <w:t>Abbott P</w:t>
        </w:r>
      </w:hyperlink>
      <w:r w:rsidRPr="009D5A21">
        <w:t xml:space="preserve">, </w:t>
      </w:r>
      <w:hyperlink r:id="rId87" w:history="1">
        <w:r w:rsidRPr="009D5A21">
          <w:t>Davison J</w:t>
        </w:r>
      </w:hyperlink>
      <w:r w:rsidRPr="009D5A21">
        <w:t xml:space="preserve">, </w:t>
      </w:r>
      <w:hyperlink r:id="rId88" w:history="1">
        <w:r w:rsidRPr="009D5A21">
          <w:t>Magin PJ</w:t>
        </w:r>
      </w:hyperlink>
      <w:r w:rsidRPr="009D5A21">
        <w:t xml:space="preserve">, </w:t>
      </w:r>
      <w:hyperlink r:id="rId89" w:history="1">
        <w:r w:rsidRPr="009D5A21">
          <w:t>Hu W</w:t>
        </w:r>
      </w:hyperlink>
      <w:r w:rsidRPr="009D5A21">
        <w:t>.</w:t>
      </w:r>
      <w:r>
        <w:t xml:space="preserve"> </w:t>
      </w:r>
      <w:r w:rsidRPr="009D5A21">
        <w:t>'If they're your doctor, they should care about you': Women on release from prison and general practitioners.</w:t>
      </w:r>
      <w:r>
        <w:t xml:space="preserve"> Australian Family Physician. </w:t>
      </w:r>
      <w:r w:rsidRPr="009D5A21">
        <w:t>2016 Oct;45(10):728-732.</w:t>
      </w:r>
      <w:r>
        <w:t xml:space="preserve"> Available from: </w:t>
      </w:r>
      <w:hyperlink r:id="rId90" w:history="1">
        <w:r w:rsidRPr="009775A3">
          <w:t>https://www.ncbi.nlm.nih.gov/pubmed/27695723</w:t>
        </w:r>
      </w:hyperlink>
    </w:p>
  </w:endnote>
  <w:endnote w:id="79">
    <w:p w14:paraId="308ECF15" w14:textId="77777777" w:rsidR="008565D3" w:rsidRDefault="008565D3" w:rsidP="008B7078">
      <w:pPr>
        <w:pStyle w:val="EndNoteBibliography"/>
      </w:pPr>
      <w:r>
        <w:endnoteRef/>
      </w:r>
      <w:r>
        <w:t xml:space="preserve"> </w:t>
      </w:r>
      <w:r>
        <w:tab/>
      </w:r>
      <w:hyperlink r:id="rId91" w:history="1">
        <w:r w:rsidRPr="00C209A6">
          <w:t>Abbott P</w:t>
        </w:r>
      </w:hyperlink>
      <w:r w:rsidRPr="00C209A6">
        <w:t xml:space="preserve">, </w:t>
      </w:r>
      <w:hyperlink r:id="rId92" w:history="1">
        <w:r w:rsidRPr="00C209A6">
          <w:t>Magin P</w:t>
        </w:r>
      </w:hyperlink>
      <w:r w:rsidRPr="00C209A6">
        <w:t xml:space="preserve">, </w:t>
      </w:r>
      <w:hyperlink r:id="rId93" w:history="1">
        <w:r w:rsidRPr="00C209A6">
          <w:t>Davison J</w:t>
        </w:r>
      </w:hyperlink>
      <w:r w:rsidRPr="00C209A6">
        <w:t xml:space="preserve">, </w:t>
      </w:r>
      <w:hyperlink r:id="rId94" w:history="1">
        <w:r w:rsidRPr="00C209A6">
          <w:t>Hu W</w:t>
        </w:r>
      </w:hyperlink>
      <w:r w:rsidRPr="00C209A6">
        <w:t>.</w:t>
      </w:r>
      <w:r>
        <w:t xml:space="preserve"> </w:t>
      </w:r>
      <w:r w:rsidRPr="00C209A6">
        <w:t>Medical homelessness and candidacy: women transiting between prison and community health care.</w:t>
      </w:r>
      <w:r>
        <w:t xml:space="preserve"> International Journal for Equity in Health. </w:t>
      </w:r>
      <w:r w:rsidRPr="00C209A6">
        <w:t>2017 Jul 20;16(1):130. doi: 10.1186/s12939-017-0627-6.</w:t>
      </w:r>
      <w:r>
        <w:t xml:space="preserve"> Available from: </w:t>
      </w:r>
      <w:hyperlink r:id="rId95" w:history="1">
        <w:r w:rsidRPr="009775A3">
          <w:t>https://www.ncbi.nlm.nih.gov/pubmed/28728555</w:t>
        </w:r>
      </w:hyperlink>
    </w:p>
  </w:endnote>
  <w:endnote w:id="80">
    <w:p w14:paraId="71AB24FA" w14:textId="77777777" w:rsidR="008565D3" w:rsidRDefault="008565D3" w:rsidP="008B7078">
      <w:pPr>
        <w:pStyle w:val="EndNoteBibliography"/>
      </w:pPr>
      <w:r>
        <w:endnoteRef/>
      </w:r>
      <w:r>
        <w:t xml:space="preserve"> </w:t>
      </w:r>
      <w:r>
        <w:tab/>
        <w:t>Young JT,</w:t>
      </w:r>
      <w:r w:rsidRPr="00C209A6">
        <w:t xml:space="preserve"> </w:t>
      </w:r>
      <w:hyperlink r:id="rId96" w:history="1">
        <w:r w:rsidRPr="00C209A6">
          <w:t>Arnold-Reed</w:t>
        </w:r>
      </w:hyperlink>
      <w:r>
        <w:t xml:space="preserve"> D,</w:t>
      </w:r>
      <w:r w:rsidRPr="00C209A6">
        <w:t xml:space="preserve"> </w:t>
      </w:r>
      <w:hyperlink r:id="rId97" w:history="1">
        <w:r w:rsidRPr="00C209A6">
          <w:t>Preen</w:t>
        </w:r>
      </w:hyperlink>
      <w:r>
        <w:t xml:space="preserve"> D</w:t>
      </w:r>
      <w:r w:rsidRPr="00C209A6">
        <w:t xml:space="preserve">, </w:t>
      </w:r>
      <w:hyperlink r:id="rId98" w:history="1">
        <w:r w:rsidRPr="00C209A6">
          <w:t>Bulsara</w:t>
        </w:r>
      </w:hyperlink>
      <w:r>
        <w:t xml:space="preserve"> M,</w:t>
      </w:r>
      <w:r w:rsidRPr="00C209A6">
        <w:t xml:space="preserve"> </w:t>
      </w:r>
      <w:hyperlink r:id="rId99" w:history="1">
        <w:r w:rsidRPr="00C209A6">
          <w:t>Lennox</w:t>
        </w:r>
      </w:hyperlink>
      <w:r>
        <w:t xml:space="preserve"> N, </w:t>
      </w:r>
      <w:hyperlink r:id="rId100" w:history="1">
        <w:r w:rsidRPr="00C209A6">
          <w:t>Kinner</w:t>
        </w:r>
      </w:hyperlink>
      <w:r>
        <w:t xml:space="preserve"> SA. </w:t>
      </w:r>
      <w:r w:rsidRPr="00C209A6">
        <w:t>Early primary care physician contact and health service utilisation in a large sample of recently released ex-prisoners in Australia: prospective cohort study</w:t>
      </w:r>
      <w:r>
        <w:t xml:space="preserve">. Bmj Open. </w:t>
      </w:r>
      <w:r w:rsidRPr="00C209A6">
        <w:rPr>
          <w:lang w:val="en"/>
        </w:rPr>
        <w:t xml:space="preserve">2015; 5(6): e008021. </w:t>
      </w:r>
      <w:r>
        <w:t xml:space="preserve">Available from:  </w:t>
      </w:r>
      <w:hyperlink r:id="rId101" w:history="1">
        <w:r w:rsidRPr="009775A3">
          <w:t>https://www.ncbi.nlm.nih.gov/pmc/articles/PMC4466622/</w:t>
        </w:r>
      </w:hyperlink>
    </w:p>
  </w:endnote>
  <w:endnote w:id="81">
    <w:p w14:paraId="4DB68E8B" w14:textId="77777777" w:rsidR="008565D3" w:rsidRDefault="008565D3" w:rsidP="008B7078">
      <w:pPr>
        <w:pStyle w:val="EndNoteBibliography"/>
      </w:pPr>
      <w:r>
        <w:endnoteRef/>
      </w:r>
      <w:r>
        <w:t xml:space="preserve"> </w:t>
      </w:r>
      <w:r>
        <w:tab/>
      </w:r>
      <w:hyperlink r:id="rId102" w:history="1">
        <w:r w:rsidRPr="00A94AA8">
          <w:t>Janssen PA</w:t>
        </w:r>
      </w:hyperlink>
      <w:r w:rsidRPr="00A94AA8">
        <w:t xml:space="preserve">, </w:t>
      </w:r>
      <w:hyperlink r:id="rId103" w:history="1">
        <w:r w:rsidRPr="00A94AA8">
          <w:t>Korchinski M</w:t>
        </w:r>
      </w:hyperlink>
      <w:r w:rsidRPr="00A94AA8">
        <w:t xml:space="preserve">, </w:t>
      </w:r>
      <w:hyperlink r:id="rId104" w:history="1">
        <w:r w:rsidRPr="00A94AA8">
          <w:t>Desmarais SL</w:t>
        </w:r>
      </w:hyperlink>
      <w:r w:rsidRPr="00A94AA8">
        <w:t xml:space="preserve">, </w:t>
      </w:r>
      <w:hyperlink r:id="rId105" w:history="1">
        <w:r w:rsidRPr="00A94AA8">
          <w:t>Albert AYK</w:t>
        </w:r>
      </w:hyperlink>
      <w:r w:rsidRPr="00A94AA8">
        <w:t xml:space="preserve">, </w:t>
      </w:r>
      <w:hyperlink r:id="rId106" w:history="1">
        <w:r w:rsidRPr="00A94AA8">
          <w:t>Condello LL</w:t>
        </w:r>
      </w:hyperlink>
      <w:r w:rsidRPr="00A94AA8">
        <w:t xml:space="preserve">, </w:t>
      </w:r>
      <w:hyperlink r:id="rId107" w:history="1">
        <w:r w:rsidRPr="00A94AA8">
          <w:t>Buchanan M</w:t>
        </w:r>
      </w:hyperlink>
      <w:r w:rsidRPr="00A94AA8">
        <w:t>,</w:t>
      </w:r>
      <w:r>
        <w:t xml:space="preserve"> et al. </w:t>
      </w:r>
      <w:r w:rsidRPr="00A94AA8">
        <w:t>Factors that support successful transition to the community among women leaving prison in British Columbia: a prospective cohort study using participatory action research.</w:t>
      </w:r>
      <w:r>
        <w:t xml:space="preserve"> CMAJ Open. </w:t>
      </w:r>
      <w:r w:rsidRPr="00A94AA8">
        <w:t>2017 Sep 13;5(3):E717-E723. doi: 10.9778/cmajo.20160165.</w:t>
      </w:r>
      <w:r>
        <w:t xml:space="preserve"> Available from: </w:t>
      </w:r>
      <w:hyperlink r:id="rId108" w:history="1">
        <w:r w:rsidRPr="009775A3">
          <w:t>https://www.ncbi.nlm.nih.gov/pubmed/28928168</w:t>
        </w:r>
      </w:hyperlink>
    </w:p>
  </w:endnote>
  <w:endnote w:id="82">
    <w:p w14:paraId="36312316" w14:textId="77777777" w:rsidR="008565D3" w:rsidRDefault="008565D3" w:rsidP="008B7078">
      <w:pPr>
        <w:pStyle w:val="EndNoteBibliography"/>
      </w:pPr>
      <w:r>
        <w:endnoteRef/>
      </w:r>
      <w:r>
        <w:t xml:space="preserve"> </w:t>
      </w:r>
      <w:r>
        <w:tab/>
        <w:t>Analysis of MBS data 2016-17.</w:t>
      </w:r>
    </w:p>
  </w:endnote>
  <w:endnote w:id="83">
    <w:p w14:paraId="161BDCAF" w14:textId="77777777" w:rsidR="008565D3" w:rsidRDefault="008565D3" w:rsidP="008B7078">
      <w:pPr>
        <w:pStyle w:val="EndNoteBibliography"/>
      </w:pPr>
      <w:r>
        <w:endnoteRef/>
      </w:r>
      <w:r>
        <w:t xml:space="preserve"> </w:t>
      </w:r>
      <w:r>
        <w:tab/>
        <w:t>Australian Medical Association. (</w:t>
      </w:r>
      <w:r w:rsidRPr="001C0C67">
        <w:t>2012</w:t>
      </w:r>
      <w:r>
        <w:t xml:space="preserve">). </w:t>
      </w:r>
      <w:r w:rsidRPr="001C0C67">
        <w:t>AMA Aged Care Survey Report</w:t>
      </w:r>
      <w:r>
        <w:t xml:space="preserve">. Available from: </w:t>
      </w:r>
      <w:r w:rsidRPr="001E75A5">
        <w:t>https://ama.com.au/sites/default/files/documents/report_on_the_AMA_aged_care_survey_0.pdf</w:t>
      </w:r>
      <w:r>
        <w:t>.</w:t>
      </w:r>
    </w:p>
  </w:endnote>
  <w:endnote w:id="84">
    <w:p w14:paraId="45EDE94F" w14:textId="77777777" w:rsidR="008565D3" w:rsidRDefault="008565D3" w:rsidP="008B7078">
      <w:pPr>
        <w:pStyle w:val="EndNoteBibliography"/>
      </w:pPr>
      <w:r>
        <w:endnoteRef/>
      </w:r>
      <w:r>
        <w:t xml:space="preserve"> </w:t>
      </w:r>
      <w:r>
        <w:tab/>
        <w:t>Analysis of MBS data 2006-07 to 2016-17.</w:t>
      </w:r>
    </w:p>
  </w:endnote>
  <w:endnote w:id="85">
    <w:p w14:paraId="531C5D54" w14:textId="77777777" w:rsidR="008565D3" w:rsidRDefault="008565D3">
      <w:r>
        <w:endnoteRef/>
      </w:r>
      <w:r>
        <w:t xml:space="preserve">  </w:t>
      </w:r>
      <w:r>
        <w:tab/>
      </w:r>
      <w:r w:rsidRPr="000A0588">
        <w:t>Currie et al.,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50AD914-B05A-447A-AD6B-7FA3AE018E8A}"/>
    <w:embedBold r:id="rId2" w:fontKey="{877B8508-4A5C-4CA0-B40A-D3420B629B3B}"/>
    <w:embedItalic r:id="rId3" w:fontKey="{0CDA7B9E-DFCE-4A8A-A7AE-EC928F95860A}"/>
    <w:embedBoldItalic r:id="rId4" w:fontKey="{2194F882-308D-47B8-87C1-946DBBB25BA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B8BE" w14:textId="62E7B3C7" w:rsidR="008565D3" w:rsidRPr="00602688" w:rsidRDefault="008565D3" w:rsidP="00684AA4">
    <w:pPr>
      <w:pStyle w:val="Footer"/>
    </w:pPr>
    <w:r>
      <w:t>R</w:t>
    </w:r>
    <w:r w:rsidRPr="00655CD2">
      <w:t xml:space="preserve">eport from the </w:t>
    </w:r>
    <w:r>
      <w:t>General Practice and Primary Care</w:t>
    </w:r>
    <w:r w:rsidRPr="00655CD2">
      <w:t xml:space="preserve">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9A6E3D">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9F5C" w14:textId="3DEEB8F9" w:rsidR="008565D3" w:rsidRPr="00CB3EB0" w:rsidRDefault="008565D3" w:rsidP="009917D1">
    <w:pPr>
      <w:pStyle w:val="Footer"/>
      <w:tabs>
        <w:tab w:val="clear" w:pos="4513"/>
        <w:tab w:val="center" w:pos="7230"/>
      </w:tabs>
    </w:pPr>
    <w:r w:rsidRPr="00655CD2">
      <w:t xml:space="preserve">Report from the </w:t>
    </w:r>
    <w:r>
      <w:t>General Practice and Primary Care</w:t>
    </w:r>
    <w:r w:rsidRPr="00655CD2">
      <w:t xml:space="preserve"> Clinical Committee</w:t>
    </w:r>
    <w:r>
      <w:t>, 2019</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9A6E3D" w:rsidRPr="009A6E3D">
      <w:rPr>
        <w:rFonts w:eastAsiaTheme="majorEastAsia"/>
        <w:noProof/>
      </w:rPr>
      <w:t>3</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67141" w14:textId="77777777" w:rsidR="008565D3" w:rsidRDefault="008565D3" w:rsidP="000D1CF6">
      <w:r>
        <w:separator/>
      </w:r>
    </w:p>
    <w:p w14:paraId="750396F6" w14:textId="77777777" w:rsidR="008565D3" w:rsidRDefault="008565D3" w:rsidP="000D1CF6"/>
    <w:p w14:paraId="25C35F18" w14:textId="77777777" w:rsidR="008565D3" w:rsidRDefault="008565D3"/>
  </w:footnote>
  <w:footnote w:type="continuationSeparator" w:id="0">
    <w:p w14:paraId="21B36D1D" w14:textId="77777777" w:rsidR="008565D3" w:rsidRDefault="008565D3" w:rsidP="000D1CF6">
      <w:r>
        <w:continuationSeparator/>
      </w:r>
    </w:p>
    <w:p w14:paraId="7B6DA2C2" w14:textId="77777777" w:rsidR="008565D3" w:rsidRDefault="008565D3" w:rsidP="000D1CF6"/>
    <w:p w14:paraId="3809F9A4" w14:textId="77777777" w:rsidR="008565D3" w:rsidRDefault="008565D3"/>
  </w:footnote>
  <w:footnote w:id="1">
    <w:p w14:paraId="6FB33209" w14:textId="77777777" w:rsidR="008565D3" w:rsidRPr="006B6F05" w:rsidRDefault="008565D3" w:rsidP="0041688C">
      <w:pPr>
        <w:pStyle w:val="FootnoteText"/>
        <w:rPr>
          <w:rStyle w:val="FootnoteReference"/>
        </w:rPr>
      </w:pPr>
      <w:r w:rsidRPr="006B6F05">
        <w:rPr>
          <w:rStyle w:val="FootnoteReference"/>
        </w:rPr>
        <w:footnoteRef/>
      </w:r>
      <w:r w:rsidRPr="006B6F05">
        <w:rPr>
          <w:rStyle w:val="FootnoteReference"/>
        </w:rPr>
        <w:t xml:space="preserve"> Note that the number of items does not include “NK” items. See Glossary for full definition of “NK” items.</w:t>
      </w:r>
    </w:p>
  </w:footnote>
  <w:footnote w:id="2">
    <w:p w14:paraId="4893766F" w14:textId="77777777" w:rsidR="008565D3" w:rsidRPr="008817E9" w:rsidRDefault="008565D3" w:rsidP="006949D8">
      <w:pPr>
        <w:pStyle w:val="FootnoteText"/>
        <w:spacing w:after="120"/>
        <w:rPr>
          <w:rStyle w:val="FootnoteReference"/>
          <w:sz w:val="18"/>
        </w:rPr>
      </w:pPr>
      <w:r w:rsidRPr="008817E9">
        <w:rPr>
          <w:rStyle w:val="FootnoteReference"/>
          <w:sz w:val="18"/>
        </w:rPr>
        <w:footnoteRef/>
      </w:r>
      <w:r w:rsidRPr="008817E9">
        <w:rPr>
          <w:rStyle w:val="FootnoteReference"/>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5C336135" w14:textId="77777777" w:rsidR="008565D3" w:rsidRPr="008817E9" w:rsidRDefault="008565D3" w:rsidP="006949D8">
      <w:pPr>
        <w:pStyle w:val="FootnoteText"/>
        <w:spacing w:after="120"/>
        <w:rPr>
          <w:rStyle w:val="FootnoteReference"/>
          <w:sz w:val="18"/>
        </w:rPr>
      </w:pPr>
      <w:r w:rsidRPr="008817E9">
        <w:rPr>
          <w:rStyle w:val="FootnoteReference"/>
          <w:sz w:val="18"/>
        </w:rPr>
        <w:footnoteRef/>
      </w:r>
      <w:r w:rsidRPr="008817E9">
        <w:rPr>
          <w:rStyle w:val="FootnoteReference"/>
          <w:sz w:val="18"/>
        </w:rPr>
        <w:t xml:space="preserve"> The use of MBS services for purposes other than those intended. This includes a range of behaviours, from failing to adhere to particular item descriptors or rules through to deliberate fraud.</w:t>
      </w:r>
    </w:p>
  </w:footnote>
  <w:footnote w:id="4">
    <w:p w14:paraId="3A2502C6" w14:textId="77777777" w:rsidR="008565D3" w:rsidRDefault="008565D3">
      <w:pPr>
        <w:pStyle w:val="FootnoteText"/>
      </w:pPr>
      <w:r>
        <w:rPr>
          <w:rStyle w:val="FootnoteReference"/>
        </w:rPr>
        <w:footnoteRef/>
      </w:r>
      <w:r>
        <w:t xml:space="preserve"> </w:t>
      </w:r>
      <w:r w:rsidRPr="00C319F8">
        <w:t>https://www.dss.gov.au/our-responsibilities/families-and-children/publications-articles/an-outline-of-national-standards-for-out-of-home-care-2011</w:t>
      </w:r>
    </w:p>
  </w:footnote>
  <w:footnote w:id="5">
    <w:p w14:paraId="38E83B93" w14:textId="77777777" w:rsidR="008565D3" w:rsidRDefault="008565D3">
      <w:pPr>
        <w:pStyle w:val="FootnoteText"/>
      </w:pPr>
      <w:r>
        <w:rPr>
          <w:rStyle w:val="FootnoteReference"/>
        </w:rPr>
        <w:footnoteRef/>
      </w:r>
      <w:r>
        <w:t xml:space="preserve"> </w:t>
      </w:r>
      <w:r w:rsidRPr="00C319F8">
        <w:t>http://health.gov.au/internet/publications/publishing.nsf/Content/ncaf-cyp-oohc-toc</w:t>
      </w:r>
    </w:p>
  </w:footnote>
  <w:footnote w:id="6">
    <w:p w14:paraId="4042417B" w14:textId="77777777" w:rsidR="008565D3" w:rsidRDefault="008565D3">
      <w:pPr>
        <w:pStyle w:val="FootnoteText"/>
      </w:pPr>
      <w:r>
        <w:rPr>
          <w:rStyle w:val="FootnoteReference"/>
        </w:rPr>
        <w:footnoteRef/>
      </w:r>
      <w:r>
        <w:t xml:space="preserve"> </w:t>
      </w:r>
      <w:r w:rsidRPr="00C319F8">
        <w:t>https://www.dss.gov.au/sites/default/files/documents/10_2014/health_assessments.pdf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5A818" w14:textId="77777777" w:rsidR="008565D3" w:rsidRDefault="008565D3">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D1004" w14:textId="77777777" w:rsidR="008565D3" w:rsidRDefault="008565D3">
    <w:r>
      <w:rPr>
        <w:noProof/>
      </w:rPr>
      <w:drawing>
        <wp:anchor distT="0" distB="0" distL="114300" distR="114300" simplePos="0" relativeHeight="251658240" behindDoc="0" locked="0" layoutInCell="1" allowOverlap="1" wp14:anchorId="396DB363" wp14:editId="4087B7B4">
          <wp:simplePos x="0" y="0"/>
          <wp:positionH relativeFrom="page">
            <wp:align>left</wp:align>
          </wp:positionH>
          <wp:positionV relativeFrom="paragraph">
            <wp:posOffset>-360540</wp:posOffset>
          </wp:positionV>
          <wp:extent cx="7619117" cy="736979"/>
          <wp:effectExtent l="0" t="0" r="1270" b="6350"/>
          <wp:wrapSquare wrapText="bothSides"/>
          <wp:docPr id="18" name="Picture 18" descr="Important note" title="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70460" w14:textId="77777777" w:rsidR="008565D3" w:rsidRDefault="008565D3" w:rsidP="002D1FF9">
    <w:pPr>
      <w:tabs>
        <w:tab w:val="left" w:pos="6180"/>
      </w:tabs>
      <w:spacing w:before="0" w:after="0" w:line="240" w:lineRule="auto"/>
    </w:pPr>
    <w:r>
      <w:rPr>
        <w:noProof/>
      </w:rPr>
      <w:drawing>
        <wp:anchor distT="0" distB="0" distL="114300" distR="114300" simplePos="0" relativeHeight="251663360" behindDoc="1" locked="0" layoutInCell="1" allowOverlap="1" wp14:anchorId="319F4CF5" wp14:editId="4758214E">
          <wp:simplePos x="0" y="0"/>
          <wp:positionH relativeFrom="page">
            <wp:align>left</wp:align>
          </wp:positionH>
          <wp:positionV relativeFrom="paragraph">
            <wp:posOffset>-457200</wp:posOffset>
          </wp:positionV>
          <wp:extent cx="7562850" cy="10697357"/>
          <wp:effectExtent l="0" t="0" r="0" b="8890"/>
          <wp:wrapNone/>
          <wp:docPr id="20" name="Picture 20" descr="Header Section 1-Medicare Benefits Schedule Review Taskforce.&#10;Report from the General Practice and Primary Care Clinical Committee-Phase 2-August 2018" title="Header Section 1-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2348F" w14:textId="77777777" w:rsidR="008565D3" w:rsidRDefault="008565D3">
    <w:r>
      <w:rPr>
        <w:noProof/>
      </w:rPr>
      <w:drawing>
        <wp:anchor distT="0" distB="0" distL="114300" distR="114300" simplePos="0" relativeHeight="251661312" behindDoc="0" locked="0" layoutInCell="1" allowOverlap="1" wp14:anchorId="175F4914" wp14:editId="3D834322">
          <wp:simplePos x="0" y="0"/>
          <wp:positionH relativeFrom="page">
            <wp:align>right</wp:align>
          </wp:positionH>
          <wp:positionV relativeFrom="paragraph">
            <wp:posOffset>-459740</wp:posOffset>
          </wp:positionV>
          <wp:extent cx="7619117" cy="736979"/>
          <wp:effectExtent l="0" t="0" r="1270" b="6350"/>
          <wp:wrapSquare wrapText="bothSides"/>
          <wp:docPr id="19" name="Picture 19" descr="7. References. This contains references to sources and materials referenced in this report." title="7. Refer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3C94"/>
    <w:multiLevelType w:val="hybridMultilevel"/>
    <w:tmpl w:val="7EACEA7A"/>
    <w:lvl w:ilvl="0" w:tplc="0C090005">
      <w:start w:val="1"/>
      <w:numFmt w:val="bullet"/>
      <w:lvlText w:val=""/>
      <w:lvlJc w:val="left"/>
      <w:pPr>
        <w:ind w:left="791" w:hanging="360"/>
      </w:pPr>
      <w:rPr>
        <w:rFonts w:ascii="Wingdings" w:hAnsi="Wingdings"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 w15:restartNumberingAfterBreak="0">
    <w:nsid w:val="06214141"/>
    <w:multiLevelType w:val="hybridMultilevel"/>
    <w:tmpl w:val="5EA68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908BF"/>
    <w:multiLevelType w:val="multilevel"/>
    <w:tmpl w:val="6C00B2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CE72E1F"/>
    <w:multiLevelType w:val="hybridMultilevel"/>
    <w:tmpl w:val="B4CC8A16"/>
    <w:lvl w:ilvl="0" w:tplc="11867ECC">
      <w:start w:val="1"/>
      <w:numFmt w:val="bullet"/>
      <w:lvlText w:val=""/>
      <w:lvlJc w:val="left"/>
      <w:pPr>
        <w:ind w:left="360" w:hanging="360"/>
      </w:pPr>
      <w:rPr>
        <w:rFonts w:ascii="Symbol" w:hAnsi="Symbol" w:hint="default"/>
        <w:color w:val="01653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3E3D30"/>
    <w:multiLevelType w:val="hybridMultilevel"/>
    <w:tmpl w:val="620C02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6C105C"/>
    <w:multiLevelType w:val="hybridMultilevel"/>
    <w:tmpl w:val="97E6F412"/>
    <w:lvl w:ilvl="0" w:tplc="8D86FADE">
      <w:start w:val="1"/>
      <w:numFmt w:val="bullet"/>
      <w:lvlText w:val=""/>
      <w:lvlJc w:val="left"/>
      <w:pPr>
        <w:ind w:left="720" w:hanging="360"/>
      </w:pPr>
      <w:rPr>
        <w:rFonts w:ascii="Symbol" w:hAnsi="Symbol" w:hint="default"/>
      </w:rPr>
    </w:lvl>
    <w:lvl w:ilvl="1" w:tplc="8D86FAD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BE27FE"/>
    <w:multiLevelType w:val="multilevel"/>
    <w:tmpl w:val="007E1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FCA6085"/>
    <w:multiLevelType w:val="hybridMultilevel"/>
    <w:tmpl w:val="4DCE3EA6"/>
    <w:lvl w:ilvl="0" w:tplc="8D86FA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E33475"/>
    <w:multiLevelType w:val="multilevel"/>
    <w:tmpl w:val="6688F9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5133D3"/>
    <w:multiLevelType w:val="hybridMultilevel"/>
    <w:tmpl w:val="A460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14A948D1"/>
    <w:multiLevelType w:val="hybridMultilevel"/>
    <w:tmpl w:val="9E1402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6" w15:restartNumberingAfterBreak="0">
    <w:nsid w:val="1F48537A"/>
    <w:multiLevelType w:val="multilevel"/>
    <w:tmpl w:val="53C4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3C5C25"/>
    <w:multiLevelType w:val="hybridMultilevel"/>
    <w:tmpl w:val="93826790"/>
    <w:lvl w:ilvl="0" w:tplc="5226CFC8">
      <w:start w:val="1"/>
      <w:numFmt w:val="decimal"/>
      <w:lvlText w:val="4.%1"/>
      <w:lvlJc w:val="left"/>
      <w:pPr>
        <w:ind w:left="927" w:hanging="360"/>
      </w:pPr>
      <w:rPr>
        <w:rFonts w:hint="default"/>
        <w:b/>
        <w:color w:val="01653F"/>
      </w:rPr>
    </w:lvl>
    <w:lvl w:ilvl="1" w:tplc="EDCA1C9C">
      <w:start w:val="1"/>
      <w:numFmt w:val="lowerLetter"/>
      <w:lvlText w:val="4 (%2)"/>
      <w:lvlJc w:val="left"/>
      <w:pPr>
        <w:ind w:left="1647" w:hanging="360"/>
      </w:pPr>
      <w:rPr>
        <w:rFonts w:hint="default"/>
      </w:r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20B27BFD"/>
    <w:multiLevelType w:val="multilevel"/>
    <w:tmpl w:val="E5441D88"/>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o"/>
      <w:lvlJc w:val="left"/>
      <w:pPr>
        <w:tabs>
          <w:tab w:val="num" w:pos="646"/>
        </w:tabs>
        <w:ind w:left="644" w:hanging="284"/>
      </w:pPr>
      <w:rPr>
        <w:rFonts w:ascii="Courier New" w:hAnsi="Courier New" w:cs="Courier New" w:hint="default"/>
        <w:color w:val="auto"/>
        <w:sz w:val="22"/>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9" w15:restartNumberingAfterBreak="0">
    <w:nsid w:val="20F63260"/>
    <w:multiLevelType w:val="hybridMultilevel"/>
    <w:tmpl w:val="8CDEA390"/>
    <w:lvl w:ilvl="0" w:tplc="6AA6FA5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1" w15:restartNumberingAfterBreak="0">
    <w:nsid w:val="32581085"/>
    <w:multiLevelType w:val="multilevel"/>
    <w:tmpl w:val="FBA0BC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3"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AF3DD0"/>
    <w:multiLevelType w:val="multilevel"/>
    <w:tmpl w:val="3588F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5E4FD4"/>
    <w:multiLevelType w:val="hybridMultilevel"/>
    <w:tmpl w:val="6B6CADE0"/>
    <w:lvl w:ilvl="0" w:tplc="8D86FAD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7E6738"/>
    <w:multiLevelType w:val="hybridMultilevel"/>
    <w:tmpl w:val="22F0A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F968D9"/>
    <w:multiLevelType w:val="hybridMultilevel"/>
    <w:tmpl w:val="F1A86846"/>
    <w:lvl w:ilvl="0" w:tplc="261ECB94">
      <w:start w:val="1"/>
      <w:numFmt w:val="decimal"/>
      <w:pStyle w:val="Numbering"/>
      <w:lvlText w:val="%1."/>
      <w:lvlJc w:val="left"/>
      <w:pPr>
        <w:ind w:left="360" w:hanging="360"/>
      </w:pPr>
      <w:rPr>
        <w:b/>
        <w:color w:val="01653F"/>
      </w:rPr>
    </w:lvl>
    <w:lvl w:ilvl="1" w:tplc="EDCA1C9C">
      <w:start w:val="1"/>
      <w:numFmt w:val="lowerLetter"/>
      <w:lvlText w:val="4 (%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5B90A45"/>
    <w:multiLevelType w:val="hybridMultilevel"/>
    <w:tmpl w:val="3B42C2F0"/>
    <w:lvl w:ilvl="0" w:tplc="F4F8658C">
      <w:start w:val="1"/>
      <w:numFmt w:val="lowerLetter"/>
      <w:lvlText w:val="%1."/>
      <w:lvlJc w:val="left"/>
      <w:pPr>
        <w:tabs>
          <w:tab w:val="num" w:pos="720"/>
        </w:tabs>
        <w:ind w:left="720" w:hanging="360"/>
      </w:pPr>
    </w:lvl>
    <w:lvl w:ilvl="1" w:tplc="36747FD8">
      <w:start w:val="1"/>
      <w:numFmt w:val="lowerLetter"/>
      <w:lvlText w:val="%2."/>
      <w:lvlJc w:val="left"/>
      <w:pPr>
        <w:tabs>
          <w:tab w:val="num" w:pos="1440"/>
        </w:tabs>
        <w:ind w:left="1440" w:hanging="360"/>
      </w:pPr>
    </w:lvl>
    <w:lvl w:ilvl="2" w:tplc="1CAAF79C" w:tentative="1">
      <w:start w:val="1"/>
      <w:numFmt w:val="lowerLetter"/>
      <w:lvlText w:val="%3."/>
      <w:lvlJc w:val="left"/>
      <w:pPr>
        <w:tabs>
          <w:tab w:val="num" w:pos="2160"/>
        </w:tabs>
        <w:ind w:left="2160" w:hanging="360"/>
      </w:pPr>
    </w:lvl>
    <w:lvl w:ilvl="3" w:tplc="BA0A8D4E" w:tentative="1">
      <w:start w:val="1"/>
      <w:numFmt w:val="lowerLetter"/>
      <w:lvlText w:val="%4."/>
      <w:lvlJc w:val="left"/>
      <w:pPr>
        <w:tabs>
          <w:tab w:val="num" w:pos="2880"/>
        </w:tabs>
        <w:ind w:left="2880" w:hanging="360"/>
      </w:pPr>
    </w:lvl>
    <w:lvl w:ilvl="4" w:tplc="8BF4A086" w:tentative="1">
      <w:start w:val="1"/>
      <w:numFmt w:val="lowerLetter"/>
      <w:lvlText w:val="%5."/>
      <w:lvlJc w:val="left"/>
      <w:pPr>
        <w:tabs>
          <w:tab w:val="num" w:pos="3600"/>
        </w:tabs>
        <w:ind w:left="3600" w:hanging="360"/>
      </w:pPr>
    </w:lvl>
    <w:lvl w:ilvl="5" w:tplc="C0C02470" w:tentative="1">
      <w:start w:val="1"/>
      <w:numFmt w:val="lowerLetter"/>
      <w:lvlText w:val="%6."/>
      <w:lvlJc w:val="left"/>
      <w:pPr>
        <w:tabs>
          <w:tab w:val="num" w:pos="4320"/>
        </w:tabs>
        <w:ind w:left="4320" w:hanging="360"/>
      </w:pPr>
    </w:lvl>
    <w:lvl w:ilvl="6" w:tplc="4ED49350" w:tentative="1">
      <w:start w:val="1"/>
      <w:numFmt w:val="lowerLetter"/>
      <w:lvlText w:val="%7."/>
      <w:lvlJc w:val="left"/>
      <w:pPr>
        <w:tabs>
          <w:tab w:val="num" w:pos="5040"/>
        </w:tabs>
        <w:ind w:left="5040" w:hanging="360"/>
      </w:pPr>
    </w:lvl>
    <w:lvl w:ilvl="7" w:tplc="E4EE4062" w:tentative="1">
      <w:start w:val="1"/>
      <w:numFmt w:val="lowerLetter"/>
      <w:lvlText w:val="%8."/>
      <w:lvlJc w:val="left"/>
      <w:pPr>
        <w:tabs>
          <w:tab w:val="num" w:pos="5760"/>
        </w:tabs>
        <w:ind w:left="5760" w:hanging="360"/>
      </w:pPr>
    </w:lvl>
    <w:lvl w:ilvl="8" w:tplc="513A7A36" w:tentative="1">
      <w:start w:val="1"/>
      <w:numFmt w:val="lowerLetter"/>
      <w:lvlText w:val="%9."/>
      <w:lvlJc w:val="left"/>
      <w:pPr>
        <w:tabs>
          <w:tab w:val="num" w:pos="6480"/>
        </w:tabs>
        <w:ind w:left="6480" w:hanging="360"/>
      </w:pPr>
    </w:lvl>
  </w:abstractNum>
  <w:abstractNum w:abstractNumId="29" w15:restartNumberingAfterBreak="0">
    <w:nsid w:val="4BDF5EEF"/>
    <w:multiLevelType w:val="hybridMultilevel"/>
    <w:tmpl w:val="5E7C0FCE"/>
    <w:lvl w:ilvl="0" w:tplc="A5E265C0">
      <w:start w:val="1"/>
      <w:numFmt w:val="lowerLetter"/>
      <w:lvlText w:val="%1."/>
      <w:lvlJc w:val="left"/>
      <w:pPr>
        <w:tabs>
          <w:tab w:val="num" w:pos="720"/>
        </w:tabs>
        <w:ind w:left="720" w:hanging="360"/>
      </w:pPr>
    </w:lvl>
    <w:lvl w:ilvl="1" w:tplc="F5CC15AE">
      <w:start w:val="1"/>
      <w:numFmt w:val="lowerLetter"/>
      <w:lvlText w:val="%2."/>
      <w:lvlJc w:val="left"/>
      <w:pPr>
        <w:tabs>
          <w:tab w:val="num" w:pos="1440"/>
        </w:tabs>
        <w:ind w:left="1440" w:hanging="360"/>
      </w:pPr>
    </w:lvl>
    <w:lvl w:ilvl="2" w:tplc="FF5AD9F8" w:tentative="1">
      <w:start w:val="1"/>
      <w:numFmt w:val="lowerLetter"/>
      <w:lvlText w:val="%3."/>
      <w:lvlJc w:val="left"/>
      <w:pPr>
        <w:tabs>
          <w:tab w:val="num" w:pos="2160"/>
        </w:tabs>
        <w:ind w:left="2160" w:hanging="360"/>
      </w:pPr>
    </w:lvl>
    <w:lvl w:ilvl="3" w:tplc="8488B6D8" w:tentative="1">
      <w:start w:val="1"/>
      <w:numFmt w:val="lowerLetter"/>
      <w:lvlText w:val="%4."/>
      <w:lvlJc w:val="left"/>
      <w:pPr>
        <w:tabs>
          <w:tab w:val="num" w:pos="2880"/>
        </w:tabs>
        <w:ind w:left="2880" w:hanging="360"/>
      </w:pPr>
    </w:lvl>
    <w:lvl w:ilvl="4" w:tplc="0B3C8152" w:tentative="1">
      <w:start w:val="1"/>
      <w:numFmt w:val="lowerLetter"/>
      <w:lvlText w:val="%5."/>
      <w:lvlJc w:val="left"/>
      <w:pPr>
        <w:tabs>
          <w:tab w:val="num" w:pos="3600"/>
        </w:tabs>
        <w:ind w:left="3600" w:hanging="360"/>
      </w:pPr>
    </w:lvl>
    <w:lvl w:ilvl="5" w:tplc="8EF851E4" w:tentative="1">
      <w:start w:val="1"/>
      <w:numFmt w:val="lowerLetter"/>
      <w:lvlText w:val="%6."/>
      <w:lvlJc w:val="left"/>
      <w:pPr>
        <w:tabs>
          <w:tab w:val="num" w:pos="4320"/>
        </w:tabs>
        <w:ind w:left="4320" w:hanging="360"/>
      </w:pPr>
    </w:lvl>
    <w:lvl w:ilvl="6" w:tplc="0AEE947A" w:tentative="1">
      <w:start w:val="1"/>
      <w:numFmt w:val="lowerLetter"/>
      <w:lvlText w:val="%7."/>
      <w:lvlJc w:val="left"/>
      <w:pPr>
        <w:tabs>
          <w:tab w:val="num" w:pos="5040"/>
        </w:tabs>
        <w:ind w:left="5040" w:hanging="360"/>
      </w:pPr>
    </w:lvl>
    <w:lvl w:ilvl="7" w:tplc="A356C186" w:tentative="1">
      <w:start w:val="1"/>
      <w:numFmt w:val="lowerLetter"/>
      <w:lvlText w:val="%8."/>
      <w:lvlJc w:val="left"/>
      <w:pPr>
        <w:tabs>
          <w:tab w:val="num" w:pos="5760"/>
        </w:tabs>
        <w:ind w:left="5760" w:hanging="360"/>
      </w:pPr>
    </w:lvl>
    <w:lvl w:ilvl="8" w:tplc="D88AAF3E" w:tentative="1">
      <w:start w:val="1"/>
      <w:numFmt w:val="lowerLetter"/>
      <w:lvlText w:val="%9."/>
      <w:lvlJc w:val="left"/>
      <w:pPr>
        <w:tabs>
          <w:tab w:val="num" w:pos="6480"/>
        </w:tabs>
        <w:ind w:left="6480" w:hanging="360"/>
      </w:pPr>
    </w:lvl>
  </w:abstractNum>
  <w:abstractNum w:abstractNumId="30" w15:restartNumberingAfterBreak="0">
    <w:nsid w:val="4C727C5A"/>
    <w:multiLevelType w:val="multilevel"/>
    <w:tmpl w:val="8DB4AC64"/>
    <w:numStyleLink w:val="Style2"/>
  </w:abstractNum>
  <w:abstractNum w:abstractNumId="31"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D06AEA"/>
    <w:multiLevelType w:val="multilevel"/>
    <w:tmpl w:val="B2C4960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50FB7F2E"/>
    <w:multiLevelType w:val="multilevel"/>
    <w:tmpl w:val="9F589B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1601D10"/>
    <w:multiLevelType w:val="multilevel"/>
    <w:tmpl w:val="5F129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2461411"/>
    <w:multiLevelType w:val="multilevel"/>
    <w:tmpl w:val="0C3A8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C11B41"/>
    <w:multiLevelType w:val="hybridMultilevel"/>
    <w:tmpl w:val="6E7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40" w15:restartNumberingAfterBreak="0">
    <w:nsid w:val="6F96288A"/>
    <w:multiLevelType w:val="multilevel"/>
    <w:tmpl w:val="D0C8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3F25871"/>
    <w:multiLevelType w:val="hybridMultilevel"/>
    <w:tmpl w:val="2AF0A5EE"/>
    <w:lvl w:ilvl="0" w:tplc="13D6454C">
      <w:start w:val="1"/>
      <w:numFmt w:val="bullet"/>
      <w:pStyle w:val="Bullet2"/>
      <w:lvlText w:val="o"/>
      <w:lvlJc w:val="left"/>
      <w:pPr>
        <w:ind w:left="720" w:hanging="360"/>
      </w:pPr>
      <w:rPr>
        <w:rFonts w:ascii="Courier New" w:hAnsi="Courier New" w:cs="Courier New" w:hint="default"/>
      </w:rPr>
    </w:lvl>
    <w:lvl w:ilvl="1" w:tplc="38A2F62A">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1413D"/>
    <w:multiLevelType w:val="hybridMultilevel"/>
    <w:tmpl w:val="E2741B72"/>
    <w:lvl w:ilvl="0" w:tplc="0C09000F">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4" w15:restartNumberingAfterBreak="0">
    <w:nsid w:val="76A44C84"/>
    <w:multiLevelType w:val="multilevel"/>
    <w:tmpl w:val="550050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D0575B2"/>
    <w:multiLevelType w:val="multilevel"/>
    <w:tmpl w:val="239CA31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18"/>
  </w:num>
  <w:num w:numId="2">
    <w:abstractNumId w:val="15"/>
  </w:num>
  <w:num w:numId="3">
    <w:abstractNumId w:val="27"/>
  </w:num>
  <w:num w:numId="4">
    <w:abstractNumId w:val="45"/>
  </w:num>
  <w:num w:numId="5">
    <w:abstractNumId w:val="41"/>
  </w:num>
  <w:num w:numId="6">
    <w:abstractNumId w:val="12"/>
  </w:num>
  <w:num w:numId="7">
    <w:abstractNumId w:val="20"/>
  </w:num>
  <w:num w:numId="8">
    <w:abstractNumId w:val="36"/>
  </w:num>
  <w:num w:numId="9">
    <w:abstractNumId w:val="31"/>
  </w:num>
  <w:num w:numId="10">
    <w:abstractNumId w:val="27"/>
    <w:lvlOverride w:ilvl="0">
      <w:startOverride w:val="1"/>
    </w:lvlOverride>
  </w:num>
  <w:num w:numId="11">
    <w:abstractNumId w:val="10"/>
  </w:num>
  <w:num w:numId="12">
    <w:abstractNumId w:val="22"/>
  </w:num>
  <w:num w:numId="13">
    <w:abstractNumId w:val="23"/>
  </w:num>
  <w:num w:numId="14">
    <w:abstractNumId w:val="38"/>
  </w:num>
  <w:num w:numId="15">
    <w:abstractNumId w:val="30"/>
  </w:num>
  <w:num w:numId="16">
    <w:abstractNumId w:val="11"/>
  </w:num>
  <w:num w:numId="17">
    <w:abstractNumId w:val="45"/>
  </w:num>
  <w:num w:numId="18">
    <w:abstractNumId w:val="45"/>
  </w:num>
  <w:num w:numId="19">
    <w:abstractNumId w:val="45"/>
  </w:num>
  <w:num w:numId="20">
    <w:abstractNumId w:val="45"/>
  </w:num>
  <w:num w:numId="21">
    <w:abstractNumId w:val="45"/>
  </w:num>
  <w:num w:numId="22">
    <w:abstractNumId w:val="45"/>
  </w:num>
  <w:num w:numId="23">
    <w:abstractNumId w:val="26"/>
  </w:num>
  <w:num w:numId="24">
    <w:abstractNumId w:val="42"/>
  </w:num>
  <w:num w:numId="25">
    <w:abstractNumId w:val="3"/>
  </w:num>
  <w:num w:numId="26">
    <w:abstractNumId w:val="14"/>
  </w:num>
  <w:num w:numId="27">
    <w:abstractNumId w:val="44"/>
  </w:num>
  <w:num w:numId="28">
    <w:abstractNumId w:val="8"/>
  </w:num>
  <w:num w:numId="29">
    <w:abstractNumId w:val="32"/>
  </w:num>
  <w:num w:numId="30">
    <w:abstractNumId w:val="28"/>
  </w:num>
  <w:num w:numId="31">
    <w:abstractNumId w:val="33"/>
  </w:num>
  <w:num w:numId="32">
    <w:abstractNumId w:val="21"/>
  </w:num>
  <w:num w:numId="33">
    <w:abstractNumId w:val="2"/>
  </w:num>
  <w:num w:numId="34">
    <w:abstractNumId w:val="34"/>
  </w:num>
  <w:num w:numId="35">
    <w:abstractNumId w:val="29"/>
  </w:num>
  <w:num w:numId="36">
    <w:abstractNumId w:val="1"/>
  </w:num>
  <w:num w:numId="37">
    <w:abstractNumId w:val="13"/>
  </w:num>
  <w:num w:numId="38">
    <w:abstractNumId w:val="9"/>
  </w:num>
  <w:num w:numId="39">
    <w:abstractNumId w:val="37"/>
  </w:num>
  <w:num w:numId="40">
    <w:abstractNumId w:val="16"/>
  </w:num>
  <w:num w:numId="41">
    <w:abstractNumId w:val="40"/>
  </w:num>
  <w:num w:numId="42">
    <w:abstractNumId w:val="24"/>
  </w:num>
  <w:num w:numId="43">
    <w:abstractNumId w:val="35"/>
  </w:num>
  <w:num w:numId="44">
    <w:abstractNumId w:val="43"/>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31"/>
  </w:num>
  <w:num w:numId="48">
    <w:abstractNumId w:val="11"/>
  </w:num>
  <w:num w:numId="49">
    <w:abstractNumId w:val="39"/>
  </w:num>
  <w:num w:numId="50">
    <w:abstractNumId w:val="42"/>
  </w:num>
  <w:num w:numId="51">
    <w:abstractNumId w:val="42"/>
  </w:num>
  <w:num w:numId="52">
    <w:abstractNumId w:val="31"/>
  </w:num>
  <w:num w:numId="53">
    <w:abstractNumId w:val="31"/>
  </w:num>
  <w:num w:numId="54">
    <w:abstractNumId w:val="0"/>
  </w:num>
  <w:num w:numId="55">
    <w:abstractNumId w:val="22"/>
  </w:num>
  <w:num w:numId="56">
    <w:abstractNumId w:val="22"/>
  </w:num>
  <w:num w:numId="57">
    <w:abstractNumId w:val="22"/>
  </w:num>
  <w:num w:numId="58">
    <w:abstractNumId w:val="22"/>
  </w:num>
  <w:num w:numId="59">
    <w:abstractNumId w:val="25"/>
  </w:num>
  <w:num w:numId="60">
    <w:abstractNumId w:val="5"/>
  </w:num>
  <w:num w:numId="61">
    <w:abstractNumId w:val="7"/>
  </w:num>
  <w:num w:numId="62">
    <w:abstractNumId w:val="31"/>
  </w:num>
  <w:num w:numId="63">
    <w:abstractNumId w:val="4"/>
  </w:num>
  <w:num w:numId="64">
    <w:abstractNumId w:val="17"/>
  </w:num>
  <w:num w:numId="65">
    <w:abstractNumId w:val="27"/>
  </w:num>
  <w:num w:numId="66">
    <w:abstractNumId w:val="22"/>
  </w:num>
  <w:num w:numId="67">
    <w:abstractNumId w:val="22"/>
  </w:num>
  <w:num w:numId="68">
    <w:abstractNumId w:val="31"/>
  </w:num>
  <w:num w:numId="69">
    <w:abstractNumId w:val="27"/>
  </w:num>
  <w:num w:numId="70">
    <w:abstractNumId w:val="27"/>
  </w:num>
  <w:num w:numId="71">
    <w:abstractNumId w:val="27"/>
  </w:num>
  <w:num w:numId="72">
    <w:abstractNumId w:val="27"/>
  </w:num>
  <w:num w:numId="73">
    <w:abstractNumId w:val="27"/>
  </w:num>
  <w:num w:numId="74">
    <w:abstractNumId w:val="27"/>
  </w:num>
  <w:num w:numId="75">
    <w:abstractNumId w:val="31"/>
  </w:num>
  <w:num w:numId="76">
    <w:abstractNumId w:val="42"/>
  </w:num>
  <w:num w:numId="77">
    <w:abstractNumId w:val="31"/>
  </w:num>
  <w:num w:numId="78">
    <w:abstractNumId w:val="31"/>
  </w:num>
  <w:num w:numId="79">
    <w:abstractNumId w:val="42"/>
  </w:num>
  <w:num w:numId="80">
    <w:abstractNumId w:val="27"/>
  </w:num>
  <w:num w:numId="81">
    <w:abstractNumId w:val="1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920"/>
    <w:rsid w:val="00004CCA"/>
    <w:rsid w:val="0000566B"/>
    <w:rsid w:val="00006915"/>
    <w:rsid w:val="0000693D"/>
    <w:rsid w:val="00006AE9"/>
    <w:rsid w:val="00006EE9"/>
    <w:rsid w:val="00007CFB"/>
    <w:rsid w:val="00010565"/>
    <w:rsid w:val="000107B3"/>
    <w:rsid w:val="0001084A"/>
    <w:rsid w:val="00011132"/>
    <w:rsid w:val="0001294F"/>
    <w:rsid w:val="00012E74"/>
    <w:rsid w:val="0001359C"/>
    <w:rsid w:val="00013881"/>
    <w:rsid w:val="0001393A"/>
    <w:rsid w:val="00013A75"/>
    <w:rsid w:val="000140C8"/>
    <w:rsid w:val="00014712"/>
    <w:rsid w:val="00014973"/>
    <w:rsid w:val="00014B3B"/>
    <w:rsid w:val="0001545C"/>
    <w:rsid w:val="00015973"/>
    <w:rsid w:val="00016A2E"/>
    <w:rsid w:val="00016F4E"/>
    <w:rsid w:val="00017563"/>
    <w:rsid w:val="000179E6"/>
    <w:rsid w:val="00020196"/>
    <w:rsid w:val="00020431"/>
    <w:rsid w:val="00020587"/>
    <w:rsid w:val="000206BB"/>
    <w:rsid w:val="00020E0E"/>
    <w:rsid w:val="00021658"/>
    <w:rsid w:val="00021A9A"/>
    <w:rsid w:val="000227B8"/>
    <w:rsid w:val="00022E87"/>
    <w:rsid w:val="0002353D"/>
    <w:rsid w:val="00023A16"/>
    <w:rsid w:val="00023C89"/>
    <w:rsid w:val="00024230"/>
    <w:rsid w:val="00024FE0"/>
    <w:rsid w:val="000253EC"/>
    <w:rsid w:val="0002630C"/>
    <w:rsid w:val="000266D6"/>
    <w:rsid w:val="00027148"/>
    <w:rsid w:val="000278CF"/>
    <w:rsid w:val="00027C07"/>
    <w:rsid w:val="00027FC8"/>
    <w:rsid w:val="00030407"/>
    <w:rsid w:val="0003055F"/>
    <w:rsid w:val="000309CE"/>
    <w:rsid w:val="00031095"/>
    <w:rsid w:val="00031ADE"/>
    <w:rsid w:val="00031E6C"/>
    <w:rsid w:val="00031F0C"/>
    <w:rsid w:val="00031F39"/>
    <w:rsid w:val="00032108"/>
    <w:rsid w:val="00033747"/>
    <w:rsid w:val="000337EF"/>
    <w:rsid w:val="00033DA4"/>
    <w:rsid w:val="0003544F"/>
    <w:rsid w:val="00035587"/>
    <w:rsid w:val="00035A74"/>
    <w:rsid w:val="00035DB5"/>
    <w:rsid w:val="00036C0E"/>
    <w:rsid w:val="00040940"/>
    <w:rsid w:val="00040EAC"/>
    <w:rsid w:val="00040F54"/>
    <w:rsid w:val="000411E6"/>
    <w:rsid w:val="00042A17"/>
    <w:rsid w:val="00043742"/>
    <w:rsid w:val="00043EE1"/>
    <w:rsid w:val="000440C2"/>
    <w:rsid w:val="000441C6"/>
    <w:rsid w:val="00045495"/>
    <w:rsid w:val="000459AD"/>
    <w:rsid w:val="00045A32"/>
    <w:rsid w:val="00045F1B"/>
    <w:rsid w:val="00045F6B"/>
    <w:rsid w:val="00046AF0"/>
    <w:rsid w:val="00046C9C"/>
    <w:rsid w:val="00047145"/>
    <w:rsid w:val="00047999"/>
    <w:rsid w:val="00047FB5"/>
    <w:rsid w:val="0005001C"/>
    <w:rsid w:val="000501C9"/>
    <w:rsid w:val="00050D6B"/>
    <w:rsid w:val="00050E30"/>
    <w:rsid w:val="00050ED2"/>
    <w:rsid w:val="00050EF0"/>
    <w:rsid w:val="00051058"/>
    <w:rsid w:val="000531AF"/>
    <w:rsid w:val="000536D5"/>
    <w:rsid w:val="000537C0"/>
    <w:rsid w:val="00054036"/>
    <w:rsid w:val="000544D2"/>
    <w:rsid w:val="00054D62"/>
    <w:rsid w:val="0005522D"/>
    <w:rsid w:val="0005557F"/>
    <w:rsid w:val="000556FB"/>
    <w:rsid w:val="000558E5"/>
    <w:rsid w:val="000564F8"/>
    <w:rsid w:val="00056CF7"/>
    <w:rsid w:val="00057AB0"/>
    <w:rsid w:val="00057F0D"/>
    <w:rsid w:val="00060787"/>
    <w:rsid w:val="00060C76"/>
    <w:rsid w:val="00061127"/>
    <w:rsid w:val="000612DC"/>
    <w:rsid w:val="000612E4"/>
    <w:rsid w:val="0006140B"/>
    <w:rsid w:val="0006177C"/>
    <w:rsid w:val="000621CD"/>
    <w:rsid w:val="00062404"/>
    <w:rsid w:val="00062B74"/>
    <w:rsid w:val="0006309D"/>
    <w:rsid w:val="00063D1A"/>
    <w:rsid w:val="00064465"/>
    <w:rsid w:val="0006464C"/>
    <w:rsid w:val="00064A52"/>
    <w:rsid w:val="0006504A"/>
    <w:rsid w:val="000653C1"/>
    <w:rsid w:val="000655C1"/>
    <w:rsid w:val="00065ADB"/>
    <w:rsid w:val="00066AF2"/>
    <w:rsid w:val="00066FA3"/>
    <w:rsid w:val="00067BEC"/>
    <w:rsid w:val="00067C58"/>
    <w:rsid w:val="00070239"/>
    <w:rsid w:val="00070252"/>
    <w:rsid w:val="000702C4"/>
    <w:rsid w:val="00070347"/>
    <w:rsid w:val="000703EC"/>
    <w:rsid w:val="000707D3"/>
    <w:rsid w:val="00070CD8"/>
    <w:rsid w:val="0007194A"/>
    <w:rsid w:val="00071E47"/>
    <w:rsid w:val="0007261D"/>
    <w:rsid w:val="00072D68"/>
    <w:rsid w:val="00073660"/>
    <w:rsid w:val="000737C9"/>
    <w:rsid w:val="000742BB"/>
    <w:rsid w:val="00074357"/>
    <w:rsid w:val="000744E0"/>
    <w:rsid w:val="0007491E"/>
    <w:rsid w:val="0007506F"/>
    <w:rsid w:val="0007623D"/>
    <w:rsid w:val="000765ED"/>
    <w:rsid w:val="00076AB6"/>
    <w:rsid w:val="00076C83"/>
    <w:rsid w:val="00076CD5"/>
    <w:rsid w:val="00076E25"/>
    <w:rsid w:val="0007750B"/>
    <w:rsid w:val="00077A17"/>
    <w:rsid w:val="000801A7"/>
    <w:rsid w:val="000802C1"/>
    <w:rsid w:val="00081166"/>
    <w:rsid w:val="00081875"/>
    <w:rsid w:val="00081DD2"/>
    <w:rsid w:val="00081F8E"/>
    <w:rsid w:val="00082039"/>
    <w:rsid w:val="00082219"/>
    <w:rsid w:val="000824E3"/>
    <w:rsid w:val="00082CEB"/>
    <w:rsid w:val="000831DB"/>
    <w:rsid w:val="000838B7"/>
    <w:rsid w:val="00083CF7"/>
    <w:rsid w:val="00083E2A"/>
    <w:rsid w:val="0008426E"/>
    <w:rsid w:val="0008448B"/>
    <w:rsid w:val="00084534"/>
    <w:rsid w:val="000845F6"/>
    <w:rsid w:val="00084B53"/>
    <w:rsid w:val="00084F7A"/>
    <w:rsid w:val="00084FF6"/>
    <w:rsid w:val="00085D6F"/>
    <w:rsid w:val="0008648C"/>
    <w:rsid w:val="000869E6"/>
    <w:rsid w:val="00086A1E"/>
    <w:rsid w:val="00086AFF"/>
    <w:rsid w:val="00086C40"/>
    <w:rsid w:val="00086FD0"/>
    <w:rsid w:val="00087160"/>
    <w:rsid w:val="0008778F"/>
    <w:rsid w:val="00087975"/>
    <w:rsid w:val="00091AC3"/>
    <w:rsid w:val="00091B18"/>
    <w:rsid w:val="00091CC7"/>
    <w:rsid w:val="00091FB9"/>
    <w:rsid w:val="000923EA"/>
    <w:rsid w:val="00092463"/>
    <w:rsid w:val="0009284F"/>
    <w:rsid w:val="00092AB5"/>
    <w:rsid w:val="00093404"/>
    <w:rsid w:val="00094411"/>
    <w:rsid w:val="000959B5"/>
    <w:rsid w:val="00097A82"/>
    <w:rsid w:val="000A0588"/>
    <w:rsid w:val="000A0939"/>
    <w:rsid w:val="000A0C01"/>
    <w:rsid w:val="000A126D"/>
    <w:rsid w:val="000A14CF"/>
    <w:rsid w:val="000A2C3B"/>
    <w:rsid w:val="000A3722"/>
    <w:rsid w:val="000A38E3"/>
    <w:rsid w:val="000A3C55"/>
    <w:rsid w:val="000A3FBE"/>
    <w:rsid w:val="000A4BCF"/>
    <w:rsid w:val="000A4EF9"/>
    <w:rsid w:val="000A5376"/>
    <w:rsid w:val="000A705B"/>
    <w:rsid w:val="000A79FF"/>
    <w:rsid w:val="000A7EC1"/>
    <w:rsid w:val="000B0FB3"/>
    <w:rsid w:val="000B1575"/>
    <w:rsid w:val="000B167F"/>
    <w:rsid w:val="000B18FD"/>
    <w:rsid w:val="000B197F"/>
    <w:rsid w:val="000B1C88"/>
    <w:rsid w:val="000B24D3"/>
    <w:rsid w:val="000B2534"/>
    <w:rsid w:val="000B2AAD"/>
    <w:rsid w:val="000B30AF"/>
    <w:rsid w:val="000B3728"/>
    <w:rsid w:val="000B378E"/>
    <w:rsid w:val="000B3DCA"/>
    <w:rsid w:val="000B487E"/>
    <w:rsid w:val="000B48DB"/>
    <w:rsid w:val="000B490A"/>
    <w:rsid w:val="000B4B1F"/>
    <w:rsid w:val="000B4CE8"/>
    <w:rsid w:val="000B4D61"/>
    <w:rsid w:val="000B4EB8"/>
    <w:rsid w:val="000B5054"/>
    <w:rsid w:val="000B52C9"/>
    <w:rsid w:val="000B544F"/>
    <w:rsid w:val="000B710A"/>
    <w:rsid w:val="000B7216"/>
    <w:rsid w:val="000B76F2"/>
    <w:rsid w:val="000B7D7D"/>
    <w:rsid w:val="000B7F3F"/>
    <w:rsid w:val="000C0435"/>
    <w:rsid w:val="000C04E8"/>
    <w:rsid w:val="000C0A46"/>
    <w:rsid w:val="000C0BD8"/>
    <w:rsid w:val="000C0CE4"/>
    <w:rsid w:val="000C10BE"/>
    <w:rsid w:val="000C185A"/>
    <w:rsid w:val="000C2086"/>
    <w:rsid w:val="000C2699"/>
    <w:rsid w:val="000C2768"/>
    <w:rsid w:val="000C2EE2"/>
    <w:rsid w:val="000C366C"/>
    <w:rsid w:val="000C4035"/>
    <w:rsid w:val="000C41CB"/>
    <w:rsid w:val="000C421B"/>
    <w:rsid w:val="000C4756"/>
    <w:rsid w:val="000C498A"/>
    <w:rsid w:val="000C5351"/>
    <w:rsid w:val="000C53B1"/>
    <w:rsid w:val="000C548F"/>
    <w:rsid w:val="000C54E8"/>
    <w:rsid w:val="000C565E"/>
    <w:rsid w:val="000C5F18"/>
    <w:rsid w:val="000C6126"/>
    <w:rsid w:val="000C6641"/>
    <w:rsid w:val="000C6BE3"/>
    <w:rsid w:val="000C70F5"/>
    <w:rsid w:val="000C7A37"/>
    <w:rsid w:val="000C7B86"/>
    <w:rsid w:val="000D0603"/>
    <w:rsid w:val="000D1176"/>
    <w:rsid w:val="000D14E3"/>
    <w:rsid w:val="000D1693"/>
    <w:rsid w:val="000D18BC"/>
    <w:rsid w:val="000D1905"/>
    <w:rsid w:val="000D1CF6"/>
    <w:rsid w:val="000D1FF8"/>
    <w:rsid w:val="000D25AD"/>
    <w:rsid w:val="000D2E96"/>
    <w:rsid w:val="000D3691"/>
    <w:rsid w:val="000D4345"/>
    <w:rsid w:val="000D4490"/>
    <w:rsid w:val="000D5132"/>
    <w:rsid w:val="000D532B"/>
    <w:rsid w:val="000D5B02"/>
    <w:rsid w:val="000D5C22"/>
    <w:rsid w:val="000D5CFD"/>
    <w:rsid w:val="000D5E90"/>
    <w:rsid w:val="000D6131"/>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47C"/>
    <w:rsid w:val="000E28DA"/>
    <w:rsid w:val="000E2F64"/>
    <w:rsid w:val="000E3310"/>
    <w:rsid w:val="000E347D"/>
    <w:rsid w:val="000E39CD"/>
    <w:rsid w:val="000E4A79"/>
    <w:rsid w:val="000E521E"/>
    <w:rsid w:val="000E5530"/>
    <w:rsid w:val="000E5E69"/>
    <w:rsid w:val="000E6B0A"/>
    <w:rsid w:val="000E6C56"/>
    <w:rsid w:val="000E70E3"/>
    <w:rsid w:val="000E7727"/>
    <w:rsid w:val="000F0414"/>
    <w:rsid w:val="000F07CC"/>
    <w:rsid w:val="000F0B7D"/>
    <w:rsid w:val="000F0D2A"/>
    <w:rsid w:val="000F0F68"/>
    <w:rsid w:val="000F0F7F"/>
    <w:rsid w:val="000F2CDA"/>
    <w:rsid w:val="000F2E2B"/>
    <w:rsid w:val="000F2E9B"/>
    <w:rsid w:val="000F3C1E"/>
    <w:rsid w:val="000F3CA8"/>
    <w:rsid w:val="000F3F4F"/>
    <w:rsid w:val="000F4DB6"/>
    <w:rsid w:val="000F5115"/>
    <w:rsid w:val="000F6129"/>
    <w:rsid w:val="000F6378"/>
    <w:rsid w:val="000F6A75"/>
    <w:rsid w:val="000F6B21"/>
    <w:rsid w:val="000F6EE9"/>
    <w:rsid w:val="000F705F"/>
    <w:rsid w:val="000F72BF"/>
    <w:rsid w:val="000F7608"/>
    <w:rsid w:val="000F7D1F"/>
    <w:rsid w:val="0010003C"/>
    <w:rsid w:val="0010008F"/>
    <w:rsid w:val="00101268"/>
    <w:rsid w:val="00101410"/>
    <w:rsid w:val="00101489"/>
    <w:rsid w:val="00101DE4"/>
    <w:rsid w:val="00101E86"/>
    <w:rsid w:val="0010257C"/>
    <w:rsid w:val="00102D40"/>
    <w:rsid w:val="00103DA5"/>
    <w:rsid w:val="00104311"/>
    <w:rsid w:val="00105EB2"/>
    <w:rsid w:val="00106078"/>
    <w:rsid w:val="0010664E"/>
    <w:rsid w:val="0010682C"/>
    <w:rsid w:val="00106987"/>
    <w:rsid w:val="00106A87"/>
    <w:rsid w:val="00106F4B"/>
    <w:rsid w:val="00107A57"/>
    <w:rsid w:val="00107B15"/>
    <w:rsid w:val="00110042"/>
    <w:rsid w:val="001104FA"/>
    <w:rsid w:val="00110719"/>
    <w:rsid w:val="0011099B"/>
    <w:rsid w:val="00111231"/>
    <w:rsid w:val="001114C1"/>
    <w:rsid w:val="0011158E"/>
    <w:rsid w:val="0011166D"/>
    <w:rsid w:val="00111A0E"/>
    <w:rsid w:val="001121E7"/>
    <w:rsid w:val="001122B9"/>
    <w:rsid w:val="001122BF"/>
    <w:rsid w:val="00112C49"/>
    <w:rsid w:val="00113841"/>
    <w:rsid w:val="00113907"/>
    <w:rsid w:val="001141BB"/>
    <w:rsid w:val="001143E8"/>
    <w:rsid w:val="00114E0F"/>
    <w:rsid w:val="00115549"/>
    <w:rsid w:val="001156AF"/>
    <w:rsid w:val="00115F6A"/>
    <w:rsid w:val="00116136"/>
    <w:rsid w:val="00116BB6"/>
    <w:rsid w:val="0011770F"/>
    <w:rsid w:val="001201D4"/>
    <w:rsid w:val="0012096A"/>
    <w:rsid w:val="00120E25"/>
    <w:rsid w:val="00122BBD"/>
    <w:rsid w:val="00122E25"/>
    <w:rsid w:val="00123147"/>
    <w:rsid w:val="00123D3B"/>
    <w:rsid w:val="00124A29"/>
    <w:rsid w:val="00125F82"/>
    <w:rsid w:val="00125FC3"/>
    <w:rsid w:val="00126641"/>
    <w:rsid w:val="00126D6D"/>
    <w:rsid w:val="00126E67"/>
    <w:rsid w:val="0012701C"/>
    <w:rsid w:val="0012764C"/>
    <w:rsid w:val="00127BD9"/>
    <w:rsid w:val="00131578"/>
    <w:rsid w:val="00132336"/>
    <w:rsid w:val="0013263E"/>
    <w:rsid w:val="001329BB"/>
    <w:rsid w:val="00132F58"/>
    <w:rsid w:val="00134ACF"/>
    <w:rsid w:val="00135D05"/>
    <w:rsid w:val="00135E51"/>
    <w:rsid w:val="0013638A"/>
    <w:rsid w:val="00136C3E"/>
    <w:rsid w:val="001377A7"/>
    <w:rsid w:val="00140F1D"/>
    <w:rsid w:val="00142C57"/>
    <w:rsid w:val="0014315F"/>
    <w:rsid w:val="0014366A"/>
    <w:rsid w:val="00143948"/>
    <w:rsid w:val="00143A60"/>
    <w:rsid w:val="00143DC8"/>
    <w:rsid w:val="0014411D"/>
    <w:rsid w:val="00144D8A"/>
    <w:rsid w:val="00145358"/>
    <w:rsid w:val="001453BB"/>
    <w:rsid w:val="001461F3"/>
    <w:rsid w:val="0014694A"/>
    <w:rsid w:val="00146D46"/>
    <w:rsid w:val="001472FA"/>
    <w:rsid w:val="00150C38"/>
    <w:rsid w:val="001513F0"/>
    <w:rsid w:val="0015141E"/>
    <w:rsid w:val="001514D7"/>
    <w:rsid w:val="0015155E"/>
    <w:rsid w:val="001518DA"/>
    <w:rsid w:val="00151AAE"/>
    <w:rsid w:val="00151F01"/>
    <w:rsid w:val="0015236D"/>
    <w:rsid w:val="00152849"/>
    <w:rsid w:val="00152C99"/>
    <w:rsid w:val="001530FC"/>
    <w:rsid w:val="00153249"/>
    <w:rsid w:val="001537E9"/>
    <w:rsid w:val="00153816"/>
    <w:rsid w:val="00153B68"/>
    <w:rsid w:val="00153CA2"/>
    <w:rsid w:val="001545AB"/>
    <w:rsid w:val="001548FB"/>
    <w:rsid w:val="0015505E"/>
    <w:rsid w:val="001553A5"/>
    <w:rsid w:val="001560F9"/>
    <w:rsid w:val="00156826"/>
    <w:rsid w:val="00157102"/>
    <w:rsid w:val="00157337"/>
    <w:rsid w:val="001576A1"/>
    <w:rsid w:val="0015789A"/>
    <w:rsid w:val="00157B33"/>
    <w:rsid w:val="00157F85"/>
    <w:rsid w:val="0016023F"/>
    <w:rsid w:val="0016030C"/>
    <w:rsid w:val="00160601"/>
    <w:rsid w:val="001611A5"/>
    <w:rsid w:val="001614A0"/>
    <w:rsid w:val="001629A1"/>
    <w:rsid w:val="001629F3"/>
    <w:rsid w:val="001631CB"/>
    <w:rsid w:val="00163874"/>
    <w:rsid w:val="00163AA0"/>
    <w:rsid w:val="001643F5"/>
    <w:rsid w:val="00164423"/>
    <w:rsid w:val="001655DA"/>
    <w:rsid w:val="00165ACC"/>
    <w:rsid w:val="0016604A"/>
    <w:rsid w:val="00166228"/>
    <w:rsid w:val="0016694A"/>
    <w:rsid w:val="00166CAF"/>
    <w:rsid w:val="00166D14"/>
    <w:rsid w:val="00167150"/>
    <w:rsid w:val="001672F2"/>
    <w:rsid w:val="001677C8"/>
    <w:rsid w:val="001700F4"/>
    <w:rsid w:val="001701C0"/>
    <w:rsid w:val="001704D2"/>
    <w:rsid w:val="00170653"/>
    <w:rsid w:val="00170846"/>
    <w:rsid w:val="0017098E"/>
    <w:rsid w:val="00170AFD"/>
    <w:rsid w:val="00170E79"/>
    <w:rsid w:val="00170EB5"/>
    <w:rsid w:val="00170F32"/>
    <w:rsid w:val="00171193"/>
    <w:rsid w:val="001717C6"/>
    <w:rsid w:val="00171AC1"/>
    <w:rsid w:val="00171BA8"/>
    <w:rsid w:val="00171DB2"/>
    <w:rsid w:val="001722C6"/>
    <w:rsid w:val="0017270D"/>
    <w:rsid w:val="001727E3"/>
    <w:rsid w:val="00172A0E"/>
    <w:rsid w:val="00174822"/>
    <w:rsid w:val="00174940"/>
    <w:rsid w:val="00174BD7"/>
    <w:rsid w:val="00175BCE"/>
    <w:rsid w:val="00176080"/>
    <w:rsid w:val="001768B6"/>
    <w:rsid w:val="00176F32"/>
    <w:rsid w:val="00177E5A"/>
    <w:rsid w:val="00177E9F"/>
    <w:rsid w:val="001802A2"/>
    <w:rsid w:val="00180688"/>
    <w:rsid w:val="0018075E"/>
    <w:rsid w:val="001807AC"/>
    <w:rsid w:val="001807ED"/>
    <w:rsid w:val="001808D2"/>
    <w:rsid w:val="00181C5E"/>
    <w:rsid w:val="001824B2"/>
    <w:rsid w:val="001825EC"/>
    <w:rsid w:val="001826DB"/>
    <w:rsid w:val="00182781"/>
    <w:rsid w:val="00182A9B"/>
    <w:rsid w:val="00182CAC"/>
    <w:rsid w:val="00183251"/>
    <w:rsid w:val="0018333D"/>
    <w:rsid w:val="0018384D"/>
    <w:rsid w:val="0018389D"/>
    <w:rsid w:val="00184199"/>
    <w:rsid w:val="001842C4"/>
    <w:rsid w:val="00184634"/>
    <w:rsid w:val="001849D5"/>
    <w:rsid w:val="001852A4"/>
    <w:rsid w:val="001865DD"/>
    <w:rsid w:val="00186CD0"/>
    <w:rsid w:val="00187050"/>
    <w:rsid w:val="001871A8"/>
    <w:rsid w:val="00187333"/>
    <w:rsid w:val="00187F36"/>
    <w:rsid w:val="00190347"/>
    <w:rsid w:val="001906B0"/>
    <w:rsid w:val="00190CC5"/>
    <w:rsid w:val="00191078"/>
    <w:rsid w:val="0019117E"/>
    <w:rsid w:val="00192413"/>
    <w:rsid w:val="001925E8"/>
    <w:rsid w:val="00192783"/>
    <w:rsid w:val="00192897"/>
    <w:rsid w:val="00192B0B"/>
    <w:rsid w:val="00192F97"/>
    <w:rsid w:val="001937BB"/>
    <w:rsid w:val="001938F8"/>
    <w:rsid w:val="001951F7"/>
    <w:rsid w:val="00195794"/>
    <w:rsid w:val="00195D92"/>
    <w:rsid w:val="00196316"/>
    <w:rsid w:val="00196AA8"/>
    <w:rsid w:val="00196F67"/>
    <w:rsid w:val="00197283"/>
    <w:rsid w:val="0019747D"/>
    <w:rsid w:val="0019772B"/>
    <w:rsid w:val="0019781D"/>
    <w:rsid w:val="00197F7F"/>
    <w:rsid w:val="001A10D5"/>
    <w:rsid w:val="001A125A"/>
    <w:rsid w:val="001A128A"/>
    <w:rsid w:val="001A1523"/>
    <w:rsid w:val="001A1A5C"/>
    <w:rsid w:val="001A1B51"/>
    <w:rsid w:val="001A24FA"/>
    <w:rsid w:val="001A2772"/>
    <w:rsid w:val="001A2F4C"/>
    <w:rsid w:val="001A3164"/>
    <w:rsid w:val="001A3B71"/>
    <w:rsid w:val="001A3D86"/>
    <w:rsid w:val="001A44DD"/>
    <w:rsid w:val="001A4AEB"/>
    <w:rsid w:val="001A5017"/>
    <w:rsid w:val="001A56B3"/>
    <w:rsid w:val="001A71AB"/>
    <w:rsid w:val="001A7629"/>
    <w:rsid w:val="001A7644"/>
    <w:rsid w:val="001A78CD"/>
    <w:rsid w:val="001B0195"/>
    <w:rsid w:val="001B05C2"/>
    <w:rsid w:val="001B0EFC"/>
    <w:rsid w:val="001B1197"/>
    <w:rsid w:val="001B126C"/>
    <w:rsid w:val="001B1416"/>
    <w:rsid w:val="001B1882"/>
    <w:rsid w:val="001B1EC2"/>
    <w:rsid w:val="001B21CA"/>
    <w:rsid w:val="001B22A0"/>
    <w:rsid w:val="001B3443"/>
    <w:rsid w:val="001B36A2"/>
    <w:rsid w:val="001B36E8"/>
    <w:rsid w:val="001B4115"/>
    <w:rsid w:val="001B43CA"/>
    <w:rsid w:val="001B44C3"/>
    <w:rsid w:val="001B4762"/>
    <w:rsid w:val="001B5B16"/>
    <w:rsid w:val="001B7726"/>
    <w:rsid w:val="001B7A86"/>
    <w:rsid w:val="001B7D4C"/>
    <w:rsid w:val="001B7DCA"/>
    <w:rsid w:val="001C032F"/>
    <w:rsid w:val="001C0BC7"/>
    <w:rsid w:val="001C0C67"/>
    <w:rsid w:val="001C1428"/>
    <w:rsid w:val="001C152C"/>
    <w:rsid w:val="001C1650"/>
    <w:rsid w:val="001C172A"/>
    <w:rsid w:val="001C1A01"/>
    <w:rsid w:val="001C1BDF"/>
    <w:rsid w:val="001C248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1A31"/>
    <w:rsid w:val="001D226A"/>
    <w:rsid w:val="001D2AF1"/>
    <w:rsid w:val="001D2E5C"/>
    <w:rsid w:val="001D3A36"/>
    <w:rsid w:val="001D477A"/>
    <w:rsid w:val="001D4C7C"/>
    <w:rsid w:val="001D507E"/>
    <w:rsid w:val="001D56DE"/>
    <w:rsid w:val="001D57DE"/>
    <w:rsid w:val="001D5B59"/>
    <w:rsid w:val="001D658B"/>
    <w:rsid w:val="001D7199"/>
    <w:rsid w:val="001D73E5"/>
    <w:rsid w:val="001D7C3C"/>
    <w:rsid w:val="001D7C4E"/>
    <w:rsid w:val="001D7F51"/>
    <w:rsid w:val="001E06F1"/>
    <w:rsid w:val="001E0A42"/>
    <w:rsid w:val="001E0B5F"/>
    <w:rsid w:val="001E11BD"/>
    <w:rsid w:val="001E13BA"/>
    <w:rsid w:val="001E146E"/>
    <w:rsid w:val="001E1B30"/>
    <w:rsid w:val="001E2467"/>
    <w:rsid w:val="001E26B2"/>
    <w:rsid w:val="001E2778"/>
    <w:rsid w:val="001E2E7D"/>
    <w:rsid w:val="001E2FA6"/>
    <w:rsid w:val="001E3134"/>
    <w:rsid w:val="001E3A33"/>
    <w:rsid w:val="001E3E01"/>
    <w:rsid w:val="001E3E7E"/>
    <w:rsid w:val="001E4930"/>
    <w:rsid w:val="001E59A7"/>
    <w:rsid w:val="001E68C9"/>
    <w:rsid w:val="001E75A5"/>
    <w:rsid w:val="001E7670"/>
    <w:rsid w:val="001E7BD7"/>
    <w:rsid w:val="001E7C20"/>
    <w:rsid w:val="001F012F"/>
    <w:rsid w:val="001F051E"/>
    <w:rsid w:val="001F0F85"/>
    <w:rsid w:val="001F0FE7"/>
    <w:rsid w:val="001F1135"/>
    <w:rsid w:val="001F11CE"/>
    <w:rsid w:val="001F134F"/>
    <w:rsid w:val="001F17B0"/>
    <w:rsid w:val="001F1810"/>
    <w:rsid w:val="001F1D83"/>
    <w:rsid w:val="001F1E9D"/>
    <w:rsid w:val="001F297A"/>
    <w:rsid w:val="001F30EB"/>
    <w:rsid w:val="001F3387"/>
    <w:rsid w:val="001F36CE"/>
    <w:rsid w:val="001F390A"/>
    <w:rsid w:val="001F45A9"/>
    <w:rsid w:val="001F50C1"/>
    <w:rsid w:val="001F5AB3"/>
    <w:rsid w:val="001F7873"/>
    <w:rsid w:val="002009CD"/>
    <w:rsid w:val="00200F16"/>
    <w:rsid w:val="00201125"/>
    <w:rsid w:val="0020199E"/>
    <w:rsid w:val="00202531"/>
    <w:rsid w:val="00202BC7"/>
    <w:rsid w:val="00202DB4"/>
    <w:rsid w:val="002031BC"/>
    <w:rsid w:val="00204534"/>
    <w:rsid w:val="00204BEE"/>
    <w:rsid w:val="00204D4F"/>
    <w:rsid w:val="0020555B"/>
    <w:rsid w:val="00205BC3"/>
    <w:rsid w:val="00205C46"/>
    <w:rsid w:val="00206F6E"/>
    <w:rsid w:val="00206FF1"/>
    <w:rsid w:val="002074CE"/>
    <w:rsid w:val="0020796B"/>
    <w:rsid w:val="002079A4"/>
    <w:rsid w:val="002105F7"/>
    <w:rsid w:val="0021097C"/>
    <w:rsid w:val="00210A7C"/>
    <w:rsid w:val="00211A73"/>
    <w:rsid w:val="00211CCA"/>
    <w:rsid w:val="00211FE7"/>
    <w:rsid w:val="002121BE"/>
    <w:rsid w:val="0021272D"/>
    <w:rsid w:val="002129AE"/>
    <w:rsid w:val="00212AF8"/>
    <w:rsid w:val="00212BB5"/>
    <w:rsid w:val="002132C5"/>
    <w:rsid w:val="00213592"/>
    <w:rsid w:val="002147B7"/>
    <w:rsid w:val="00214AF6"/>
    <w:rsid w:val="00215607"/>
    <w:rsid w:val="002157E8"/>
    <w:rsid w:val="00215A2B"/>
    <w:rsid w:val="00215CDD"/>
    <w:rsid w:val="002161AE"/>
    <w:rsid w:val="00216340"/>
    <w:rsid w:val="00216901"/>
    <w:rsid w:val="00216DD6"/>
    <w:rsid w:val="002173D9"/>
    <w:rsid w:val="002175F5"/>
    <w:rsid w:val="0021772A"/>
    <w:rsid w:val="00217EB9"/>
    <w:rsid w:val="00220C72"/>
    <w:rsid w:val="00221664"/>
    <w:rsid w:val="00221B74"/>
    <w:rsid w:val="0022219C"/>
    <w:rsid w:val="002227B6"/>
    <w:rsid w:val="002229DB"/>
    <w:rsid w:val="00222A36"/>
    <w:rsid w:val="00222A43"/>
    <w:rsid w:val="00222E2F"/>
    <w:rsid w:val="0022331C"/>
    <w:rsid w:val="0022351A"/>
    <w:rsid w:val="00224135"/>
    <w:rsid w:val="00224640"/>
    <w:rsid w:val="00224AC8"/>
    <w:rsid w:val="00225887"/>
    <w:rsid w:val="00225D72"/>
    <w:rsid w:val="002262DB"/>
    <w:rsid w:val="002269B5"/>
    <w:rsid w:val="00226CA6"/>
    <w:rsid w:val="0022729C"/>
    <w:rsid w:val="00227512"/>
    <w:rsid w:val="00230619"/>
    <w:rsid w:val="0023138C"/>
    <w:rsid w:val="0023150C"/>
    <w:rsid w:val="0023163F"/>
    <w:rsid w:val="00231889"/>
    <w:rsid w:val="00232044"/>
    <w:rsid w:val="002328D0"/>
    <w:rsid w:val="00232CD4"/>
    <w:rsid w:val="00232DD1"/>
    <w:rsid w:val="00233CC6"/>
    <w:rsid w:val="00233FA5"/>
    <w:rsid w:val="00234095"/>
    <w:rsid w:val="002345FA"/>
    <w:rsid w:val="002355B4"/>
    <w:rsid w:val="00235840"/>
    <w:rsid w:val="0023584F"/>
    <w:rsid w:val="00235892"/>
    <w:rsid w:val="00235DD0"/>
    <w:rsid w:val="00236BB7"/>
    <w:rsid w:val="00236FB1"/>
    <w:rsid w:val="00237403"/>
    <w:rsid w:val="002378DB"/>
    <w:rsid w:val="00237BA5"/>
    <w:rsid w:val="00240083"/>
    <w:rsid w:val="002400C9"/>
    <w:rsid w:val="002407CB"/>
    <w:rsid w:val="00240A81"/>
    <w:rsid w:val="00240CAF"/>
    <w:rsid w:val="00240E05"/>
    <w:rsid w:val="00241429"/>
    <w:rsid w:val="00241D60"/>
    <w:rsid w:val="00241E3C"/>
    <w:rsid w:val="002422FB"/>
    <w:rsid w:val="0024277A"/>
    <w:rsid w:val="0024296F"/>
    <w:rsid w:val="002429D9"/>
    <w:rsid w:val="0024332A"/>
    <w:rsid w:val="00243A06"/>
    <w:rsid w:val="00243B64"/>
    <w:rsid w:val="00243BE2"/>
    <w:rsid w:val="002441FF"/>
    <w:rsid w:val="0024465D"/>
    <w:rsid w:val="00244CFB"/>
    <w:rsid w:val="002454FD"/>
    <w:rsid w:val="0024720B"/>
    <w:rsid w:val="002477A3"/>
    <w:rsid w:val="002478C9"/>
    <w:rsid w:val="00247FF2"/>
    <w:rsid w:val="00250172"/>
    <w:rsid w:val="00250831"/>
    <w:rsid w:val="002508D0"/>
    <w:rsid w:val="0025096F"/>
    <w:rsid w:val="00250A5D"/>
    <w:rsid w:val="002513F9"/>
    <w:rsid w:val="00251B0D"/>
    <w:rsid w:val="00251B9C"/>
    <w:rsid w:val="00251EEE"/>
    <w:rsid w:val="00251FF0"/>
    <w:rsid w:val="00252AC9"/>
    <w:rsid w:val="0025322B"/>
    <w:rsid w:val="00253414"/>
    <w:rsid w:val="0025347C"/>
    <w:rsid w:val="00253780"/>
    <w:rsid w:val="00253F2C"/>
    <w:rsid w:val="0025405E"/>
    <w:rsid w:val="00254BE8"/>
    <w:rsid w:val="002552B6"/>
    <w:rsid w:val="0025547C"/>
    <w:rsid w:val="00255544"/>
    <w:rsid w:val="00255AD3"/>
    <w:rsid w:val="00255E89"/>
    <w:rsid w:val="002561A2"/>
    <w:rsid w:val="00256FEA"/>
    <w:rsid w:val="0025740C"/>
    <w:rsid w:val="002575B0"/>
    <w:rsid w:val="00257CB6"/>
    <w:rsid w:val="00257F6B"/>
    <w:rsid w:val="0026010C"/>
    <w:rsid w:val="0026013C"/>
    <w:rsid w:val="00260DB3"/>
    <w:rsid w:val="002611D8"/>
    <w:rsid w:val="00262127"/>
    <w:rsid w:val="002623F5"/>
    <w:rsid w:val="00264364"/>
    <w:rsid w:val="002647E1"/>
    <w:rsid w:val="00264A6B"/>
    <w:rsid w:val="00265446"/>
    <w:rsid w:val="00265DC7"/>
    <w:rsid w:val="00266013"/>
    <w:rsid w:val="00266262"/>
    <w:rsid w:val="00266516"/>
    <w:rsid w:val="0026678E"/>
    <w:rsid w:val="002668A5"/>
    <w:rsid w:val="00266968"/>
    <w:rsid w:val="002670FA"/>
    <w:rsid w:val="002675FE"/>
    <w:rsid w:val="00267E18"/>
    <w:rsid w:val="0027084B"/>
    <w:rsid w:val="00270866"/>
    <w:rsid w:val="00270DA4"/>
    <w:rsid w:val="00270E97"/>
    <w:rsid w:val="00270F66"/>
    <w:rsid w:val="00271F4D"/>
    <w:rsid w:val="00272695"/>
    <w:rsid w:val="002730D8"/>
    <w:rsid w:val="0027331F"/>
    <w:rsid w:val="00273B42"/>
    <w:rsid w:val="00273F5A"/>
    <w:rsid w:val="002741EF"/>
    <w:rsid w:val="0027474C"/>
    <w:rsid w:val="00274F60"/>
    <w:rsid w:val="00275338"/>
    <w:rsid w:val="002755AF"/>
    <w:rsid w:val="0027605E"/>
    <w:rsid w:val="00276A36"/>
    <w:rsid w:val="00277043"/>
    <w:rsid w:val="00277990"/>
    <w:rsid w:val="00277BC0"/>
    <w:rsid w:val="00277E3F"/>
    <w:rsid w:val="0028123B"/>
    <w:rsid w:val="0028172C"/>
    <w:rsid w:val="00281A36"/>
    <w:rsid w:val="00281D09"/>
    <w:rsid w:val="00283024"/>
    <w:rsid w:val="00283359"/>
    <w:rsid w:val="0028345C"/>
    <w:rsid w:val="00283FBA"/>
    <w:rsid w:val="002843C6"/>
    <w:rsid w:val="00284D13"/>
    <w:rsid w:val="00284E84"/>
    <w:rsid w:val="00285E03"/>
    <w:rsid w:val="002866D5"/>
    <w:rsid w:val="002867BE"/>
    <w:rsid w:val="002868E3"/>
    <w:rsid w:val="00286922"/>
    <w:rsid w:val="00286DBC"/>
    <w:rsid w:val="00287FA4"/>
    <w:rsid w:val="002907FC"/>
    <w:rsid w:val="00290D04"/>
    <w:rsid w:val="00291A31"/>
    <w:rsid w:val="00291BF6"/>
    <w:rsid w:val="002924F7"/>
    <w:rsid w:val="002926F0"/>
    <w:rsid w:val="00292BBC"/>
    <w:rsid w:val="00292C7A"/>
    <w:rsid w:val="002932E7"/>
    <w:rsid w:val="0029368F"/>
    <w:rsid w:val="00293AD6"/>
    <w:rsid w:val="00293C64"/>
    <w:rsid w:val="002940BC"/>
    <w:rsid w:val="002945B4"/>
    <w:rsid w:val="00294895"/>
    <w:rsid w:val="00294CA5"/>
    <w:rsid w:val="00295167"/>
    <w:rsid w:val="00295954"/>
    <w:rsid w:val="00295AF0"/>
    <w:rsid w:val="002961BB"/>
    <w:rsid w:val="00296439"/>
    <w:rsid w:val="00296C96"/>
    <w:rsid w:val="00297548"/>
    <w:rsid w:val="00297CD3"/>
    <w:rsid w:val="002A01FE"/>
    <w:rsid w:val="002A0827"/>
    <w:rsid w:val="002A0BF1"/>
    <w:rsid w:val="002A1285"/>
    <w:rsid w:val="002A1546"/>
    <w:rsid w:val="002A155C"/>
    <w:rsid w:val="002A161F"/>
    <w:rsid w:val="002A1756"/>
    <w:rsid w:val="002A1A39"/>
    <w:rsid w:val="002A293E"/>
    <w:rsid w:val="002A2D68"/>
    <w:rsid w:val="002A3863"/>
    <w:rsid w:val="002A389E"/>
    <w:rsid w:val="002A4872"/>
    <w:rsid w:val="002A4A6C"/>
    <w:rsid w:val="002A53CD"/>
    <w:rsid w:val="002A551E"/>
    <w:rsid w:val="002A5C75"/>
    <w:rsid w:val="002A5D87"/>
    <w:rsid w:val="002A5E16"/>
    <w:rsid w:val="002A614A"/>
    <w:rsid w:val="002A62B0"/>
    <w:rsid w:val="002A7362"/>
    <w:rsid w:val="002B03B0"/>
    <w:rsid w:val="002B0BC7"/>
    <w:rsid w:val="002B0CED"/>
    <w:rsid w:val="002B10FF"/>
    <w:rsid w:val="002B11A3"/>
    <w:rsid w:val="002B137D"/>
    <w:rsid w:val="002B1D8A"/>
    <w:rsid w:val="002B1F64"/>
    <w:rsid w:val="002B27AA"/>
    <w:rsid w:val="002B2866"/>
    <w:rsid w:val="002B29F5"/>
    <w:rsid w:val="002B2D5B"/>
    <w:rsid w:val="002B2D9F"/>
    <w:rsid w:val="002B2E9C"/>
    <w:rsid w:val="002B339F"/>
    <w:rsid w:val="002B35CC"/>
    <w:rsid w:val="002B37F6"/>
    <w:rsid w:val="002B42C5"/>
    <w:rsid w:val="002B449C"/>
    <w:rsid w:val="002B462B"/>
    <w:rsid w:val="002B465E"/>
    <w:rsid w:val="002B5090"/>
    <w:rsid w:val="002B51FB"/>
    <w:rsid w:val="002B65D4"/>
    <w:rsid w:val="002B71AE"/>
    <w:rsid w:val="002B7C6B"/>
    <w:rsid w:val="002C0D70"/>
    <w:rsid w:val="002C14F1"/>
    <w:rsid w:val="002C20EC"/>
    <w:rsid w:val="002C289D"/>
    <w:rsid w:val="002C2A74"/>
    <w:rsid w:val="002C3AA9"/>
    <w:rsid w:val="002C3E37"/>
    <w:rsid w:val="002C450D"/>
    <w:rsid w:val="002C4900"/>
    <w:rsid w:val="002C4BDA"/>
    <w:rsid w:val="002C51A3"/>
    <w:rsid w:val="002C5616"/>
    <w:rsid w:val="002C58AC"/>
    <w:rsid w:val="002C5905"/>
    <w:rsid w:val="002C5916"/>
    <w:rsid w:val="002C635C"/>
    <w:rsid w:val="002C63F4"/>
    <w:rsid w:val="002C7C8F"/>
    <w:rsid w:val="002D19FB"/>
    <w:rsid w:val="002D1EF1"/>
    <w:rsid w:val="002D1FF9"/>
    <w:rsid w:val="002D2021"/>
    <w:rsid w:val="002D2F76"/>
    <w:rsid w:val="002D2FD2"/>
    <w:rsid w:val="002D3019"/>
    <w:rsid w:val="002D3642"/>
    <w:rsid w:val="002D58B4"/>
    <w:rsid w:val="002D60CE"/>
    <w:rsid w:val="002D6189"/>
    <w:rsid w:val="002D63AE"/>
    <w:rsid w:val="002D6A0A"/>
    <w:rsid w:val="002D6FCA"/>
    <w:rsid w:val="002E0FC2"/>
    <w:rsid w:val="002E1779"/>
    <w:rsid w:val="002E1BB1"/>
    <w:rsid w:val="002E1E87"/>
    <w:rsid w:val="002E28FD"/>
    <w:rsid w:val="002E2F45"/>
    <w:rsid w:val="002E372E"/>
    <w:rsid w:val="002E3CF7"/>
    <w:rsid w:val="002E40FE"/>
    <w:rsid w:val="002E4168"/>
    <w:rsid w:val="002E438F"/>
    <w:rsid w:val="002E4513"/>
    <w:rsid w:val="002E531B"/>
    <w:rsid w:val="002E5508"/>
    <w:rsid w:val="002E5CDA"/>
    <w:rsid w:val="002E6844"/>
    <w:rsid w:val="002E71F1"/>
    <w:rsid w:val="002E7F34"/>
    <w:rsid w:val="002F08F3"/>
    <w:rsid w:val="002F0CCD"/>
    <w:rsid w:val="002F17BA"/>
    <w:rsid w:val="002F1EFD"/>
    <w:rsid w:val="002F2214"/>
    <w:rsid w:val="002F24B5"/>
    <w:rsid w:val="002F300D"/>
    <w:rsid w:val="002F3BB5"/>
    <w:rsid w:val="002F4265"/>
    <w:rsid w:val="002F479C"/>
    <w:rsid w:val="002F5343"/>
    <w:rsid w:val="002F5424"/>
    <w:rsid w:val="002F5A7A"/>
    <w:rsid w:val="002F5F27"/>
    <w:rsid w:val="002F600D"/>
    <w:rsid w:val="002F74F4"/>
    <w:rsid w:val="002F75A6"/>
    <w:rsid w:val="003010F7"/>
    <w:rsid w:val="00301524"/>
    <w:rsid w:val="0030194D"/>
    <w:rsid w:val="00301CAE"/>
    <w:rsid w:val="00302B5E"/>
    <w:rsid w:val="00302F55"/>
    <w:rsid w:val="00303067"/>
    <w:rsid w:val="00303AE1"/>
    <w:rsid w:val="00303CB6"/>
    <w:rsid w:val="00304630"/>
    <w:rsid w:val="00304A10"/>
    <w:rsid w:val="00305745"/>
    <w:rsid w:val="00305D5C"/>
    <w:rsid w:val="003067E4"/>
    <w:rsid w:val="00306AC2"/>
    <w:rsid w:val="00306C91"/>
    <w:rsid w:val="00306D5B"/>
    <w:rsid w:val="00306EF2"/>
    <w:rsid w:val="00307001"/>
    <w:rsid w:val="003072CD"/>
    <w:rsid w:val="0030786C"/>
    <w:rsid w:val="003078EA"/>
    <w:rsid w:val="0030796F"/>
    <w:rsid w:val="00307B0B"/>
    <w:rsid w:val="00307DD0"/>
    <w:rsid w:val="00310011"/>
    <w:rsid w:val="0031002A"/>
    <w:rsid w:val="00310C71"/>
    <w:rsid w:val="00310DC6"/>
    <w:rsid w:val="00311CC1"/>
    <w:rsid w:val="003126DB"/>
    <w:rsid w:val="0031317F"/>
    <w:rsid w:val="003136F2"/>
    <w:rsid w:val="003138CB"/>
    <w:rsid w:val="00313BF8"/>
    <w:rsid w:val="00314122"/>
    <w:rsid w:val="00314F69"/>
    <w:rsid w:val="0031595E"/>
    <w:rsid w:val="00315BC0"/>
    <w:rsid w:val="00316355"/>
    <w:rsid w:val="003164F7"/>
    <w:rsid w:val="00316D32"/>
    <w:rsid w:val="003174CF"/>
    <w:rsid w:val="003177F3"/>
    <w:rsid w:val="0031799A"/>
    <w:rsid w:val="00317F56"/>
    <w:rsid w:val="0032076A"/>
    <w:rsid w:val="00321288"/>
    <w:rsid w:val="003215D3"/>
    <w:rsid w:val="003216B7"/>
    <w:rsid w:val="00321A4E"/>
    <w:rsid w:val="00321B3D"/>
    <w:rsid w:val="0032206C"/>
    <w:rsid w:val="00322482"/>
    <w:rsid w:val="00322E13"/>
    <w:rsid w:val="0032320C"/>
    <w:rsid w:val="00323267"/>
    <w:rsid w:val="00323AE8"/>
    <w:rsid w:val="00323B09"/>
    <w:rsid w:val="00323CCF"/>
    <w:rsid w:val="003242C8"/>
    <w:rsid w:val="00324415"/>
    <w:rsid w:val="003246CB"/>
    <w:rsid w:val="00324818"/>
    <w:rsid w:val="0032559C"/>
    <w:rsid w:val="00325EE9"/>
    <w:rsid w:val="0032600B"/>
    <w:rsid w:val="0032631D"/>
    <w:rsid w:val="00326D7D"/>
    <w:rsid w:val="0032742C"/>
    <w:rsid w:val="00327C01"/>
    <w:rsid w:val="003304D6"/>
    <w:rsid w:val="00330DC4"/>
    <w:rsid w:val="00330DF2"/>
    <w:rsid w:val="00331ED5"/>
    <w:rsid w:val="0033219A"/>
    <w:rsid w:val="00332A99"/>
    <w:rsid w:val="00332C4D"/>
    <w:rsid w:val="00332E62"/>
    <w:rsid w:val="00333192"/>
    <w:rsid w:val="00334A38"/>
    <w:rsid w:val="00334DB3"/>
    <w:rsid w:val="00334FFC"/>
    <w:rsid w:val="00335149"/>
    <w:rsid w:val="00336257"/>
    <w:rsid w:val="003362F6"/>
    <w:rsid w:val="003367CA"/>
    <w:rsid w:val="00336BD9"/>
    <w:rsid w:val="0033730C"/>
    <w:rsid w:val="003376DA"/>
    <w:rsid w:val="003377D3"/>
    <w:rsid w:val="0034064A"/>
    <w:rsid w:val="00340E57"/>
    <w:rsid w:val="00341360"/>
    <w:rsid w:val="0034180C"/>
    <w:rsid w:val="00341948"/>
    <w:rsid w:val="003420BD"/>
    <w:rsid w:val="003421B8"/>
    <w:rsid w:val="00342E98"/>
    <w:rsid w:val="00342F35"/>
    <w:rsid w:val="00343B07"/>
    <w:rsid w:val="003444D2"/>
    <w:rsid w:val="00344535"/>
    <w:rsid w:val="00344975"/>
    <w:rsid w:val="00344A70"/>
    <w:rsid w:val="00344D4A"/>
    <w:rsid w:val="003452E5"/>
    <w:rsid w:val="0034626A"/>
    <w:rsid w:val="003462F3"/>
    <w:rsid w:val="0034635E"/>
    <w:rsid w:val="0034674B"/>
    <w:rsid w:val="00346C30"/>
    <w:rsid w:val="00346F24"/>
    <w:rsid w:val="00346FA4"/>
    <w:rsid w:val="0034729D"/>
    <w:rsid w:val="00347389"/>
    <w:rsid w:val="00347FDB"/>
    <w:rsid w:val="003500F6"/>
    <w:rsid w:val="00350453"/>
    <w:rsid w:val="00350813"/>
    <w:rsid w:val="00350D59"/>
    <w:rsid w:val="0035187A"/>
    <w:rsid w:val="00352F4C"/>
    <w:rsid w:val="003530A2"/>
    <w:rsid w:val="003531A4"/>
    <w:rsid w:val="00353206"/>
    <w:rsid w:val="003532BD"/>
    <w:rsid w:val="003542DD"/>
    <w:rsid w:val="003549AB"/>
    <w:rsid w:val="00354AC7"/>
    <w:rsid w:val="003558AD"/>
    <w:rsid w:val="00355CD0"/>
    <w:rsid w:val="00355E4D"/>
    <w:rsid w:val="003562BD"/>
    <w:rsid w:val="0036052D"/>
    <w:rsid w:val="00360B7A"/>
    <w:rsid w:val="00361580"/>
    <w:rsid w:val="0036177A"/>
    <w:rsid w:val="00361D34"/>
    <w:rsid w:val="00361E69"/>
    <w:rsid w:val="003627A4"/>
    <w:rsid w:val="00362D8A"/>
    <w:rsid w:val="00363DDB"/>
    <w:rsid w:val="003646D3"/>
    <w:rsid w:val="00364BB7"/>
    <w:rsid w:val="003651E7"/>
    <w:rsid w:val="00366D0C"/>
    <w:rsid w:val="00367D34"/>
    <w:rsid w:val="0037015F"/>
    <w:rsid w:val="003705DB"/>
    <w:rsid w:val="00370DEF"/>
    <w:rsid w:val="0037183B"/>
    <w:rsid w:val="00372460"/>
    <w:rsid w:val="00372A48"/>
    <w:rsid w:val="00372BF0"/>
    <w:rsid w:val="00372E34"/>
    <w:rsid w:val="00372F28"/>
    <w:rsid w:val="003744BA"/>
    <w:rsid w:val="003744D6"/>
    <w:rsid w:val="00374D9F"/>
    <w:rsid w:val="00375028"/>
    <w:rsid w:val="00375131"/>
    <w:rsid w:val="003767F0"/>
    <w:rsid w:val="00380A8B"/>
    <w:rsid w:val="00381125"/>
    <w:rsid w:val="00381526"/>
    <w:rsid w:val="00382C96"/>
    <w:rsid w:val="00382CC5"/>
    <w:rsid w:val="00383079"/>
    <w:rsid w:val="003831B0"/>
    <w:rsid w:val="003837AF"/>
    <w:rsid w:val="00384239"/>
    <w:rsid w:val="003847A6"/>
    <w:rsid w:val="00384A6E"/>
    <w:rsid w:val="00386D66"/>
    <w:rsid w:val="00387321"/>
    <w:rsid w:val="0039008B"/>
    <w:rsid w:val="003905E0"/>
    <w:rsid w:val="003906F1"/>
    <w:rsid w:val="003909E1"/>
    <w:rsid w:val="00390BD4"/>
    <w:rsid w:val="00390F34"/>
    <w:rsid w:val="00391B78"/>
    <w:rsid w:val="00391B9B"/>
    <w:rsid w:val="003922A8"/>
    <w:rsid w:val="00392426"/>
    <w:rsid w:val="00392464"/>
    <w:rsid w:val="00392A02"/>
    <w:rsid w:val="00393A1C"/>
    <w:rsid w:val="00394EAE"/>
    <w:rsid w:val="0039545A"/>
    <w:rsid w:val="0039568A"/>
    <w:rsid w:val="00396B69"/>
    <w:rsid w:val="003970A7"/>
    <w:rsid w:val="00397EFB"/>
    <w:rsid w:val="003A0046"/>
    <w:rsid w:val="003A1051"/>
    <w:rsid w:val="003A1AEE"/>
    <w:rsid w:val="003A2186"/>
    <w:rsid w:val="003A235D"/>
    <w:rsid w:val="003A2586"/>
    <w:rsid w:val="003A27C7"/>
    <w:rsid w:val="003A418B"/>
    <w:rsid w:val="003A46D2"/>
    <w:rsid w:val="003A4907"/>
    <w:rsid w:val="003A527D"/>
    <w:rsid w:val="003A5728"/>
    <w:rsid w:val="003A605D"/>
    <w:rsid w:val="003A6B42"/>
    <w:rsid w:val="003A6D31"/>
    <w:rsid w:val="003B00FD"/>
    <w:rsid w:val="003B04C3"/>
    <w:rsid w:val="003B08CA"/>
    <w:rsid w:val="003B0AAD"/>
    <w:rsid w:val="003B0B47"/>
    <w:rsid w:val="003B0C45"/>
    <w:rsid w:val="003B1222"/>
    <w:rsid w:val="003B23E5"/>
    <w:rsid w:val="003B2657"/>
    <w:rsid w:val="003B2972"/>
    <w:rsid w:val="003B2C42"/>
    <w:rsid w:val="003B2E5C"/>
    <w:rsid w:val="003B2F8C"/>
    <w:rsid w:val="003B3001"/>
    <w:rsid w:val="003B3033"/>
    <w:rsid w:val="003B3C7F"/>
    <w:rsid w:val="003B4384"/>
    <w:rsid w:val="003B44E3"/>
    <w:rsid w:val="003B4A8D"/>
    <w:rsid w:val="003B4B2A"/>
    <w:rsid w:val="003B4C9E"/>
    <w:rsid w:val="003B50E2"/>
    <w:rsid w:val="003B52BF"/>
    <w:rsid w:val="003B539C"/>
    <w:rsid w:val="003B54BC"/>
    <w:rsid w:val="003B59C4"/>
    <w:rsid w:val="003B5AC1"/>
    <w:rsid w:val="003B6012"/>
    <w:rsid w:val="003B60A7"/>
    <w:rsid w:val="003B6FDD"/>
    <w:rsid w:val="003B7468"/>
    <w:rsid w:val="003B7766"/>
    <w:rsid w:val="003B797C"/>
    <w:rsid w:val="003B7C92"/>
    <w:rsid w:val="003B7EC1"/>
    <w:rsid w:val="003C0856"/>
    <w:rsid w:val="003C08F4"/>
    <w:rsid w:val="003C0974"/>
    <w:rsid w:val="003C0BDC"/>
    <w:rsid w:val="003C0FC5"/>
    <w:rsid w:val="003C13E5"/>
    <w:rsid w:val="003C175E"/>
    <w:rsid w:val="003C1D19"/>
    <w:rsid w:val="003C1DD5"/>
    <w:rsid w:val="003C1EBB"/>
    <w:rsid w:val="003C1F67"/>
    <w:rsid w:val="003C2695"/>
    <w:rsid w:val="003C2893"/>
    <w:rsid w:val="003C2F8E"/>
    <w:rsid w:val="003C36FF"/>
    <w:rsid w:val="003C3D3A"/>
    <w:rsid w:val="003C3E2A"/>
    <w:rsid w:val="003C4450"/>
    <w:rsid w:val="003C4884"/>
    <w:rsid w:val="003C502B"/>
    <w:rsid w:val="003C51B9"/>
    <w:rsid w:val="003C543E"/>
    <w:rsid w:val="003C6180"/>
    <w:rsid w:val="003C729B"/>
    <w:rsid w:val="003C736D"/>
    <w:rsid w:val="003C7719"/>
    <w:rsid w:val="003C794A"/>
    <w:rsid w:val="003C7EC0"/>
    <w:rsid w:val="003D0BA7"/>
    <w:rsid w:val="003D0D1C"/>
    <w:rsid w:val="003D282A"/>
    <w:rsid w:val="003D2E0F"/>
    <w:rsid w:val="003D2F8F"/>
    <w:rsid w:val="003D3218"/>
    <w:rsid w:val="003D3E15"/>
    <w:rsid w:val="003D4044"/>
    <w:rsid w:val="003D5854"/>
    <w:rsid w:val="003D59E7"/>
    <w:rsid w:val="003D5E45"/>
    <w:rsid w:val="003D64D2"/>
    <w:rsid w:val="003D6BC1"/>
    <w:rsid w:val="003D71A4"/>
    <w:rsid w:val="003E058B"/>
    <w:rsid w:val="003E0843"/>
    <w:rsid w:val="003E1403"/>
    <w:rsid w:val="003E1CD3"/>
    <w:rsid w:val="003E2419"/>
    <w:rsid w:val="003E289C"/>
    <w:rsid w:val="003E28F1"/>
    <w:rsid w:val="003E2FE2"/>
    <w:rsid w:val="003E36C5"/>
    <w:rsid w:val="003E39C7"/>
    <w:rsid w:val="003E3BEF"/>
    <w:rsid w:val="003E4622"/>
    <w:rsid w:val="003E4C34"/>
    <w:rsid w:val="003E4EDB"/>
    <w:rsid w:val="003E4F8F"/>
    <w:rsid w:val="003E577A"/>
    <w:rsid w:val="003E63E6"/>
    <w:rsid w:val="003E6B4C"/>
    <w:rsid w:val="003E7AB4"/>
    <w:rsid w:val="003E7ADD"/>
    <w:rsid w:val="003E7EC0"/>
    <w:rsid w:val="003F03D0"/>
    <w:rsid w:val="003F06B0"/>
    <w:rsid w:val="003F09FF"/>
    <w:rsid w:val="003F14FF"/>
    <w:rsid w:val="003F19D4"/>
    <w:rsid w:val="003F1DC7"/>
    <w:rsid w:val="003F2A8D"/>
    <w:rsid w:val="003F2C1E"/>
    <w:rsid w:val="003F35FA"/>
    <w:rsid w:val="003F3668"/>
    <w:rsid w:val="003F3A0D"/>
    <w:rsid w:val="003F4635"/>
    <w:rsid w:val="003F485A"/>
    <w:rsid w:val="003F48B0"/>
    <w:rsid w:val="003F4CF2"/>
    <w:rsid w:val="003F4E26"/>
    <w:rsid w:val="003F4FE2"/>
    <w:rsid w:val="003F5929"/>
    <w:rsid w:val="003F59D0"/>
    <w:rsid w:val="003F5E49"/>
    <w:rsid w:val="003F6163"/>
    <w:rsid w:val="003F6171"/>
    <w:rsid w:val="003F62F2"/>
    <w:rsid w:val="003F64B4"/>
    <w:rsid w:val="003F6634"/>
    <w:rsid w:val="003F6F14"/>
    <w:rsid w:val="003F776D"/>
    <w:rsid w:val="003F777B"/>
    <w:rsid w:val="003F7882"/>
    <w:rsid w:val="003F788A"/>
    <w:rsid w:val="003F7A83"/>
    <w:rsid w:val="0040008D"/>
    <w:rsid w:val="004004C3"/>
    <w:rsid w:val="0040164D"/>
    <w:rsid w:val="00401BF7"/>
    <w:rsid w:val="00401DCE"/>
    <w:rsid w:val="00401E59"/>
    <w:rsid w:val="004020CA"/>
    <w:rsid w:val="004022AA"/>
    <w:rsid w:val="00402D30"/>
    <w:rsid w:val="00403E1A"/>
    <w:rsid w:val="00404475"/>
    <w:rsid w:val="0040486C"/>
    <w:rsid w:val="00405FE2"/>
    <w:rsid w:val="0040678A"/>
    <w:rsid w:val="00406DB6"/>
    <w:rsid w:val="00406ED1"/>
    <w:rsid w:val="004072A8"/>
    <w:rsid w:val="004074E1"/>
    <w:rsid w:val="004104CB"/>
    <w:rsid w:val="004115AD"/>
    <w:rsid w:val="00411892"/>
    <w:rsid w:val="00412122"/>
    <w:rsid w:val="00412255"/>
    <w:rsid w:val="00412607"/>
    <w:rsid w:val="004129FD"/>
    <w:rsid w:val="00413087"/>
    <w:rsid w:val="00414954"/>
    <w:rsid w:val="00416622"/>
    <w:rsid w:val="0041688C"/>
    <w:rsid w:val="00417FDF"/>
    <w:rsid w:val="004200CD"/>
    <w:rsid w:val="0042033B"/>
    <w:rsid w:val="00420391"/>
    <w:rsid w:val="0042071B"/>
    <w:rsid w:val="00420A01"/>
    <w:rsid w:val="00420D7D"/>
    <w:rsid w:val="00422829"/>
    <w:rsid w:val="00423928"/>
    <w:rsid w:val="00423A8B"/>
    <w:rsid w:val="00423F58"/>
    <w:rsid w:val="00424DB2"/>
    <w:rsid w:val="004258EE"/>
    <w:rsid w:val="00425D06"/>
    <w:rsid w:val="0042614A"/>
    <w:rsid w:val="0042615E"/>
    <w:rsid w:val="0042648A"/>
    <w:rsid w:val="0042696C"/>
    <w:rsid w:val="0042753C"/>
    <w:rsid w:val="004307C5"/>
    <w:rsid w:val="00430D5B"/>
    <w:rsid w:val="00430EC1"/>
    <w:rsid w:val="0043134E"/>
    <w:rsid w:val="00431BD2"/>
    <w:rsid w:val="00432023"/>
    <w:rsid w:val="0043303C"/>
    <w:rsid w:val="0043359F"/>
    <w:rsid w:val="004338A7"/>
    <w:rsid w:val="0043427F"/>
    <w:rsid w:val="00434D9D"/>
    <w:rsid w:val="00435810"/>
    <w:rsid w:val="00435A5F"/>
    <w:rsid w:val="0043636D"/>
    <w:rsid w:val="00436C63"/>
    <w:rsid w:val="00436E54"/>
    <w:rsid w:val="00437620"/>
    <w:rsid w:val="004378E1"/>
    <w:rsid w:val="00437C3D"/>
    <w:rsid w:val="00437F91"/>
    <w:rsid w:val="004405D1"/>
    <w:rsid w:val="0044076B"/>
    <w:rsid w:val="00440815"/>
    <w:rsid w:val="00440845"/>
    <w:rsid w:val="00440F18"/>
    <w:rsid w:val="00441295"/>
    <w:rsid w:val="004414C6"/>
    <w:rsid w:val="00441FC2"/>
    <w:rsid w:val="004421E7"/>
    <w:rsid w:val="0044224F"/>
    <w:rsid w:val="0044292D"/>
    <w:rsid w:val="00442A2B"/>
    <w:rsid w:val="00443623"/>
    <w:rsid w:val="00444173"/>
    <w:rsid w:val="00444B57"/>
    <w:rsid w:val="00445169"/>
    <w:rsid w:val="0044555A"/>
    <w:rsid w:val="00445614"/>
    <w:rsid w:val="00445CC7"/>
    <w:rsid w:val="00445DC3"/>
    <w:rsid w:val="00446362"/>
    <w:rsid w:val="004465C8"/>
    <w:rsid w:val="00446A6B"/>
    <w:rsid w:val="00446CE4"/>
    <w:rsid w:val="004477BE"/>
    <w:rsid w:val="004500BA"/>
    <w:rsid w:val="00450311"/>
    <w:rsid w:val="00450871"/>
    <w:rsid w:val="00451013"/>
    <w:rsid w:val="00451065"/>
    <w:rsid w:val="004516DC"/>
    <w:rsid w:val="00451A5E"/>
    <w:rsid w:val="00451CA2"/>
    <w:rsid w:val="00451F76"/>
    <w:rsid w:val="004520E6"/>
    <w:rsid w:val="00452C36"/>
    <w:rsid w:val="00452D76"/>
    <w:rsid w:val="00453DAD"/>
    <w:rsid w:val="00454393"/>
    <w:rsid w:val="00454FE1"/>
    <w:rsid w:val="00455780"/>
    <w:rsid w:val="00456EEC"/>
    <w:rsid w:val="00457661"/>
    <w:rsid w:val="00457693"/>
    <w:rsid w:val="00457A12"/>
    <w:rsid w:val="0046065C"/>
    <w:rsid w:val="00460A32"/>
    <w:rsid w:val="00460C2C"/>
    <w:rsid w:val="00460C94"/>
    <w:rsid w:val="00461CAA"/>
    <w:rsid w:val="00462BAA"/>
    <w:rsid w:val="00462C69"/>
    <w:rsid w:val="00462CB1"/>
    <w:rsid w:val="004632FD"/>
    <w:rsid w:val="00463319"/>
    <w:rsid w:val="00463467"/>
    <w:rsid w:val="00463683"/>
    <w:rsid w:val="00463720"/>
    <w:rsid w:val="00463747"/>
    <w:rsid w:val="00463B1C"/>
    <w:rsid w:val="00463CE2"/>
    <w:rsid w:val="004644A3"/>
    <w:rsid w:val="004644F9"/>
    <w:rsid w:val="0046512B"/>
    <w:rsid w:val="004660CC"/>
    <w:rsid w:val="0046636F"/>
    <w:rsid w:val="004665F0"/>
    <w:rsid w:val="00466771"/>
    <w:rsid w:val="00466953"/>
    <w:rsid w:val="00466A0E"/>
    <w:rsid w:val="0046737D"/>
    <w:rsid w:val="00467750"/>
    <w:rsid w:val="00467B07"/>
    <w:rsid w:val="00467C07"/>
    <w:rsid w:val="0047019F"/>
    <w:rsid w:val="00470B37"/>
    <w:rsid w:val="00470CDE"/>
    <w:rsid w:val="00471B83"/>
    <w:rsid w:val="00471BE0"/>
    <w:rsid w:val="004721AC"/>
    <w:rsid w:val="00472534"/>
    <w:rsid w:val="0047256D"/>
    <w:rsid w:val="00472706"/>
    <w:rsid w:val="00472743"/>
    <w:rsid w:val="00472BEA"/>
    <w:rsid w:val="00472C91"/>
    <w:rsid w:val="00472D28"/>
    <w:rsid w:val="00474686"/>
    <w:rsid w:val="00474780"/>
    <w:rsid w:val="004749E9"/>
    <w:rsid w:val="00474ADC"/>
    <w:rsid w:val="00474DAD"/>
    <w:rsid w:val="00475457"/>
    <w:rsid w:val="00475785"/>
    <w:rsid w:val="00475E69"/>
    <w:rsid w:val="0047654A"/>
    <w:rsid w:val="00476718"/>
    <w:rsid w:val="00476C07"/>
    <w:rsid w:val="00477345"/>
    <w:rsid w:val="00477A38"/>
    <w:rsid w:val="00480E9F"/>
    <w:rsid w:val="0048125A"/>
    <w:rsid w:val="00481352"/>
    <w:rsid w:val="0048144C"/>
    <w:rsid w:val="00481FDB"/>
    <w:rsid w:val="00482932"/>
    <w:rsid w:val="004834F0"/>
    <w:rsid w:val="0048386A"/>
    <w:rsid w:val="00483F48"/>
    <w:rsid w:val="0048416D"/>
    <w:rsid w:val="00484218"/>
    <w:rsid w:val="004859A5"/>
    <w:rsid w:val="004859DF"/>
    <w:rsid w:val="00485D21"/>
    <w:rsid w:val="004862D3"/>
    <w:rsid w:val="0048646D"/>
    <w:rsid w:val="004867E2"/>
    <w:rsid w:val="00486A7D"/>
    <w:rsid w:val="00486E85"/>
    <w:rsid w:val="00487394"/>
    <w:rsid w:val="004875C3"/>
    <w:rsid w:val="00490F36"/>
    <w:rsid w:val="00491F70"/>
    <w:rsid w:val="0049247B"/>
    <w:rsid w:val="00492F3B"/>
    <w:rsid w:val="00493D06"/>
    <w:rsid w:val="00494144"/>
    <w:rsid w:val="004942CA"/>
    <w:rsid w:val="00494B98"/>
    <w:rsid w:val="0049511D"/>
    <w:rsid w:val="004951EA"/>
    <w:rsid w:val="00495F23"/>
    <w:rsid w:val="004963B8"/>
    <w:rsid w:val="00496CD3"/>
    <w:rsid w:val="00496E54"/>
    <w:rsid w:val="00497603"/>
    <w:rsid w:val="004978AC"/>
    <w:rsid w:val="004A011A"/>
    <w:rsid w:val="004A02C3"/>
    <w:rsid w:val="004A14CE"/>
    <w:rsid w:val="004A1D0D"/>
    <w:rsid w:val="004A253B"/>
    <w:rsid w:val="004A28CA"/>
    <w:rsid w:val="004A29C3"/>
    <w:rsid w:val="004A2B9A"/>
    <w:rsid w:val="004A2F14"/>
    <w:rsid w:val="004A355F"/>
    <w:rsid w:val="004A3803"/>
    <w:rsid w:val="004A40A5"/>
    <w:rsid w:val="004A40BD"/>
    <w:rsid w:val="004A411E"/>
    <w:rsid w:val="004A43F3"/>
    <w:rsid w:val="004A5146"/>
    <w:rsid w:val="004A61AD"/>
    <w:rsid w:val="004A61DB"/>
    <w:rsid w:val="004A6740"/>
    <w:rsid w:val="004A6E95"/>
    <w:rsid w:val="004A7E00"/>
    <w:rsid w:val="004B012E"/>
    <w:rsid w:val="004B0418"/>
    <w:rsid w:val="004B0831"/>
    <w:rsid w:val="004B0928"/>
    <w:rsid w:val="004B0C44"/>
    <w:rsid w:val="004B0DA8"/>
    <w:rsid w:val="004B2987"/>
    <w:rsid w:val="004B2F46"/>
    <w:rsid w:val="004B2F56"/>
    <w:rsid w:val="004B39E1"/>
    <w:rsid w:val="004B3E21"/>
    <w:rsid w:val="004B411A"/>
    <w:rsid w:val="004B4440"/>
    <w:rsid w:val="004B4D10"/>
    <w:rsid w:val="004B5338"/>
    <w:rsid w:val="004B6170"/>
    <w:rsid w:val="004B6382"/>
    <w:rsid w:val="004B66AD"/>
    <w:rsid w:val="004B698C"/>
    <w:rsid w:val="004B6F11"/>
    <w:rsid w:val="004B7242"/>
    <w:rsid w:val="004B7C2D"/>
    <w:rsid w:val="004B7C9D"/>
    <w:rsid w:val="004C0614"/>
    <w:rsid w:val="004C0CA0"/>
    <w:rsid w:val="004C13B1"/>
    <w:rsid w:val="004C1FCE"/>
    <w:rsid w:val="004C2904"/>
    <w:rsid w:val="004C29CE"/>
    <w:rsid w:val="004C344F"/>
    <w:rsid w:val="004C3AE0"/>
    <w:rsid w:val="004C3BE2"/>
    <w:rsid w:val="004C4891"/>
    <w:rsid w:val="004C4951"/>
    <w:rsid w:val="004C49F2"/>
    <w:rsid w:val="004C4CAD"/>
    <w:rsid w:val="004C5431"/>
    <w:rsid w:val="004C5E9C"/>
    <w:rsid w:val="004C64BC"/>
    <w:rsid w:val="004C6540"/>
    <w:rsid w:val="004C6985"/>
    <w:rsid w:val="004C7214"/>
    <w:rsid w:val="004C724D"/>
    <w:rsid w:val="004D0A22"/>
    <w:rsid w:val="004D1B38"/>
    <w:rsid w:val="004D2469"/>
    <w:rsid w:val="004D2602"/>
    <w:rsid w:val="004D2641"/>
    <w:rsid w:val="004D2685"/>
    <w:rsid w:val="004D2C42"/>
    <w:rsid w:val="004D34AD"/>
    <w:rsid w:val="004D34AF"/>
    <w:rsid w:val="004D38CB"/>
    <w:rsid w:val="004D3AEC"/>
    <w:rsid w:val="004D4053"/>
    <w:rsid w:val="004D4525"/>
    <w:rsid w:val="004D482B"/>
    <w:rsid w:val="004D5156"/>
    <w:rsid w:val="004D53DE"/>
    <w:rsid w:val="004D57AE"/>
    <w:rsid w:val="004D584F"/>
    <w:rsid w:val="004D6453"/>
    <w:rsid w:val="004D6531"/>
    <w:rsid w:val="004D66D0"/>
    <w:rsid w:val="004D67AF"/>
    <w:rsid w:val="004D68B5"/>
    <w:rsid w:val="004D69BB"/>
    <w:rsid w:val="004D6FB9"/>
    <w:rsid w:val="004D72E6"/>
    <w:rsid w:val="004D781D"/>
    <w:rsid w:val="004D7CBA"/>
    <w:rsid w:val="004E0161"/>
    <w:rsid w:val="004E09DD"/>
    <w:rsid w:val="004E14A4"/>
    <w:rsid w:val="004E15B9"/>
    <w:rsid w:val="004E1F3F"/>
    <w:rsid w:val="004E21F8"/>
    <w:rsid w:val="004E3D3A"/>
    <w:rsid w:val="004E4471"/>
    <w:rsid w:val="004E49EA"/>
    <w:rsid w:val="004E5C08"/>
    <w:rsid w:val="004E6392"/>
    <w:rsid w:val="004E705F"/>
    <w:rsid w:val="004E72CB"/>
    <w:rsid w:val="004E72CC"/>
    <w:rsid w:val="004E734A"/>
    <w:rsid w:val="004E7548"/>
    <w:rsid w:val="004F0267"/>
    <w:rsid w:val="004F0CC7"/>
    <w:rsid w:val="004F12D4"/>
    <w:rsid w:val="004F15EC"/>
    <w:rsid w:val="004F2D47"/>
    <w:rsid w:val="004F306D"/>
    <w:rsid w:val="004F3775"/>
    <w:rsid w:val="004F50BA"/>
    <w:rsid w:val="004F5223"/>
    <w:rsid w:val="004F56EF"/>
    <w:rsid w:val="004F64FD"/>
    <w:rsid w:val="004F6D63"/>
    <w:rsid w:val="004F7139"/>
    <w:rsid w:val="004F7273"/>
    <w:rsid w:val="004F7428"/>
    <w:rsid w:val="004F7C8E"/>
    <w:rsid w:val="00500F5A"/>
    <w:rsid w:val="00501A51"/>
    <w:rsid w:val="00502A2A"/>
    <w:rsid w:val="00502AFA"/>
    <w:rsid w:val="005036E9"/>
    <w:rsid w:val="005040B7"/>
    <w:rsid w:val="005049DD"/>
    <w:rsid w:val="005051FD"/>
    <w:rsid w:val="005057EB"/>
    <w:rsid w:val="00505CF0"/>
    <w:rsid w:val="00505D08"/>
    <w:rsid w:val="00506249"/>
    <w:rsid w:val="00506714"/>
    <w:rsid w:val="005072E5"/>
    <w:rsid w:val="00507402"/>
    <w:rsid w:val="00507569"/>
    <w:rsid w:val="00507C3B"/>
    <w:rsid w:val="00507F8F"/>
    <w:rsid w:val="00510445"/>
    <w:rsid w:val="0051059A"/>
    <w:rsid w:val="00510D4D"/>
    <w:rsid w:val="00511214"/>
    <w:rsid w:val="00512065"/>
    <w:rsid w:val="0051250F"/>
    <w:rsid w:val="00512C40"/>
    <w:rsid w:val="00512DE7"/>
    <w:rsid w:val="005130A6"/>
    <w:rsid w:val="0051490E"/>
    <w:rsid w:val="005149E5"/>
    <w:rsid w:val="00514F83"/>
    <w:rsid w:val="00515C8C"/>
    <w:rsid w:val="00515FDE"/>
    <w:rsid w:val="00516298"/>
    <w:rsid w:val="0051650E"/>
    <w:rsid w:val="00516E38"/>
    <w:rsid w:val="00516E77"/>
    <w:rsid w:val="00516F16"/>
    <w:rsid w:val="0051703A"/>
    <w:rsid w:val="00517383"/>
    <w:rsid w:val="005173EC"/>
    <w:rsid w:val="00517D3C"/>
    <w:rsid w:val="005211BA"/>
    <w:rsid w:val="0052142D"/>
    <w:rsid w:val="005222F2"/>
    <w:rsid w:val="00522B51"/>
    <w:rsid w:val="00522C7A"/>
    <w:rsid w:val="00523499"/>
    <w:rsid w:val="0052373D"/>
    <w:rsid w:val="00523AC7"/>
    <w:rsid w:val="00523BE9"/>
    <w:rsid w:val="005240CB"/>
    <w:rsid w:val="00524BFA"/>
    <w:rsid w:val="00525974"/>
    <w:rsid w:val="00525BB3"/>
    <w:rsid w:val="00525F11"/>
    <w:rsid w:val="00526191"/>
    <w:rsid w:val="005262C3"/>
    <w:rsid w:val="00526832"/>
    <w:rsid w:val="005269F1"/>
    <w:rsid w:val="00526F01"/>
    <w:rsid w:val="00527034"/>
    <w:rsid w:val="0053053F"/>
    <w:rsid w:val="005307BB"/>
    <w:rsid w:val="00530ED3"/>
    <w:rsid w:val="005318D8"/>
    <w:rsid w:val="00532271"/>
    <w:rsid w:val="005326B6"/>
    <w:rsid w:val="00532D8C"/>
    <w:rsid w:val="005332A5"/>
    <w:rsid w:val="00533CFE"/>
    <w:rsid w:val="00534335"/>
    <w:rsid w:val="00534C4A"/>
    <w:rsid w:val="005359FF"/>
    <w:rsid w:val="00535E22"/>
    <w:rsid w:val="005364D9"/>
    <w:rsid w:val="005366A2"/>
    <w:rsid w:val="0053694B"/>
    <w:rsid w:val="00536C27"/>
    <w:rsid w:val="00536EB8"/>
    <w:rsid w:val="0053791D"/>
    <w:rsid w:val="00540534"/>
    <w:rsid w:val="0054121C"/>
    <w:rsid w:val="00541E6E"/>
    <w:rsid w:val="00542990"/>
    <w:rsid w:val="0054443F"/>
    <w:rsid w:val="00544C04"/>
    <w:rsid w:val="0054559B"/>
    <w:rsid w:val="0054627D"/>
    <w:rsid w:val="00546C8D"/>
    <w:rsid w:val="00547427"/>
    <w:rsid w:val="005505EE"/>
    <w:rsid w:val="00550612"/>
    <w:rsid w:val="005508A4"/>
    <w:rsid w:val="00550D28"/>
    <w:rsid w:val="0055136E"/>
    <w:rsid w:val="00551DC2"/>
    <w:rsid w:val="005521F7"/>
    <w:rsid w:val="0055285B"/>
    <w:rsid w:val="00552935"/>
    <w:rsid w:val="00552F9E"/>
    <w:rsid w:val="0055338F"/>
    <w:rsid w:val="005539EA"/>
    <w:rsid w:val="005542A2"/>
    <w:rsid w:val="005542B8"/>
    <w:rsid w:val="0055458C"/>
    <w:rsid w:val="0055545F"/>
    <w:rsid w:val="00555BA9"/>
    <w:rsid w:val="00555DE4"/>
    <w:rsid w:val="0055643B"/>
    <w:rsid w:val="005577C4"/>
    <w:rsid w:val="00557E9F"/>
    <w:rsid w:val="00561614"/>
    <w:rsid w:val="0056191C"/>
    <w:rsid w:val="005620AE"/>
    <w:rsid w:val="0056258F"/>
    <w:rsid w:val="00562F23"/>
    <w:rsid w:val="005631FB"/>
    <w:rsid w:val="00563284"/>
    <w:rsid w:val="005632B5"/>
    <w:rsid w:val="00563561"/>
    <w:rsid w:val="00563CCC"/>
    <w:rsid w:val="00563F39"/>
    <w:rsid w:val="00564DA4"/>
    <w:rsid w:val="00564FF1"/>
    <w:rsid w:val="00565224"/>
    <w:rsid w:val="0056522B"/>
    <w:rsid w:val="0056626E"/>
    <w:rsid w:val="00566467"/>
    <w:rsid w:val="00566CE0"/>
    <w:rsid w:val="005673D8"/>
    <w:rsid w:val="00567A33"/>
    <w:rsid w:val="00567D0B"/>
    <w:rsid w:val="005703A3"/>
    <w:rsid w:val="00570845"/>
    <w:rsid w:val="00570A1E"/>
    <w:rsid w:val="005717BB"/>
    <w:rsid w:val="005719DA"/>
    <w:rsid w:val="005727D3"/>
    <w:rsid w:val="00572B5D"/>
    <w:rsid w:val="0057309C"/>
    <w:rsid w:val="00573481"/>
    <w:rsid w:val="005734F8"/>
    <w:rsid w:val="00573D95"/>
    <w:rsid w:val="005749DC"/>
    <w:rsid w:val="005755AF"/>
    <w:rsid w:val="00575736"/>
    <w:rsid w:val="00575C2E"/>
    <w:rsid w:val="00575F16"/>
    <w:rsid w:val="0057605A"/>
    <w:rsid w:val="00576D6E"/>
    <w:rsid w:val="00576FA5"/>
    <w:rsid w:val="005801CC"/>
    <w:rsid w:val="00580207"/>
    <w:rsid w:val="00580263"/>
    <w:rsid w:val="00580F5D"/>
    <w:rsid w:val="00581939"/>
    <w:rsid w:val="0058196D"/>
    <w:rsid w:val="00581CB6"/>
    <w:rsid w:val="005825D0"/>
    <w:rsid w:val="005831E2"/>
    <w:rsid w:val="00583ACA"/>
    <w:rsid w:val="00583C98"/>
    <w:rsid w:val="005843CB"/>
    <w:rsid w:val="005847C1"/>
    <w:rsid w:val="00584AFC"/>
    <w:rsid w:val="00584B8F"/>
    <w:rsid w:val="00584C97"/>
    <w:rsid w:val="005854FD"/>
    <w:rsid w:val="00585733"/>
    <w:rsid w:val="00585A1A"/>
    <w:rsid w:val="00585C90"/>
    <w:rsid w:val="00585CD0"/>
    <w:rsid w:val="00585F54"/>
    <w:rsid w:val="00586306"/>
    <w:rsid w:val="00586465"/>
    <w:rsid w:val="005870D1"/>
    <w:rsid w:val="00587227"/>
    <w:rsid w:val="005901F2"/>
    <w:rsid w:val="00590928"/>
    <w:rsid w:val="00590D1E"/>
    <w:rsid w:val="005910B3"/>
    <w:rsid w:val="005910BD"/>
    <w:rsid w:val="005913C5"/>
    <w:rsid w:val="00591EB8"/>
    <w:rsid w:val="005921B6"/>
    <w:rsid w:val="0059223F"/>
    <w:rsid w:val="00592DD1"/>
    <w:rsid w:val="00593BA8"/>
    <w:rsid w:val="00593BB7"/>
    <w:rsid w:val="00593ED0"/>
    <w:rsid w:val="005942C5"/>
    <w:rsid w:val="00594362"/>
    <w:rsid w:val="0059489D"/>
    <w:rsid w:val="005949E4"/>
    <w:rsid w:val="00594C2B"/>
    <w:rsid w:val="005953AE"/>
    <w:rsid w:val="005954FF"/>
    <w:rsid w:val="005955C5"/>
    <w:rsid w:val="005956EF"/>
    <w:rsid w:val="00595811"/>
    <w:rsid w:val="00595AEF"/>
    <w:rsid w:val="00595B9E"/>
    <w:rsid w:val="00595CB6"/>
    <w:rsid w:val="00595F78"/>
    <w:rsid w:val="0059628F"/>
    <w:rsid w:val="005962BE"/>
    <w:rsid w:val="00596777"/>
    <w:rsid w:val="0059712E"/>
    <w:rsid w:val="005975C1"/>
    <w:rsid w:val="00597C04"/>
    <w:rsid w:val="005A1A12"/>
    <w:rsid w:val="005A25E8"/>
    <w:rsid w:val="005A27A3"/>
    <w:rsid w:val="005A4485"/>
    <w:rsid w:val="005A45A3"/>
    <w:rsid w:val="005A462A"/>
    <w:rsid w:val="005A47E9"/>
    <w:rsid w:val="005A4A3A"/>
    <w:rsid w:val="005A4B09"/>
    <w:rsid w:val="005A52F2"/>
    <w:rsid w:val="005A5416"/>
    <w:rsid w:val="005A58DE"/>
    <w:rsid w:val="005A6179"/>
    <w:rsid w:val="005A623E"/>
    <w:rsid w:val="005A6B6A"/>
    <w:rsid w:val="005A6D6D"/>
    <w:rsid w:val="005A6EAF"/>
    <w:rsid w:val="005B006C"/>
    <w:rsid w:val="005B107D"/>
    <w:rsid w:val="005B168B"/>
    <w:rsid w:val="005B2E79"/>
    <w:rsid w:val="005B2EB9"/>
    <w:rsid w:val="005B2F78"/>
    <w:rsid w:val="005B30E9"/>
    <w:rsid w:val="005B3495"/>
    <w:rsid w:val="005B364C"/>
    <w:rsid w:val="005B3D3B"/>
    <w:rsid w:val="005B4DB2"/>
    <w:rsid w:val="005B4FEA"/>
    <w:rsid w:val="005B5953"/>
    <w:rsid w:val="005B7582"/>
    <w:rsid w:val="005B7D85"/>
    <w:rsid w:val="005C0054"/>
    <w:rsid w:val="005C1005"/>
    <w:rsid w:val="005C11B4"/>
    <w:rsid w:val="005C1B8E"/>
    <w:rsid w:val="005C1E8C"/>
    <w:rsid w:val="005C1ECF"/>
    <w:rsid w:val="005C28B7"/>
    <w:rsid w:val="005C2C4F"/>
    <w:rsid w:val="005C2F46"/>
    <w:rsid w:val="005C3532"/>
    <w:rsid w:val="005C3D54"/>
    <w:rsid w:val="005C43A3"/>
    <w:rsid w:val="005C44F7"/>
    <w:rsid w:val="005C4DFD"/>
    <w:rsid w:val="005C5993"/>
    <w:rsid w:val="005C5C4A"/>
    <w:rsid w:val="005C5C96"/>
    <w:rsid w:val="005C6FFC"/>
    <w:rsid w:val="005C7127"/>
    <w:rsid w:val="005C75B3"/>
    <w:rsid w:val="005C7FB0"/>
    <w:rsid w:val="005D0181"/>
    <w:rsid w:val="005D0441"/>
    <w:rsid w:val="005D08A8"/>
    <w:rsid w:val="005D0C65"/>
    <w:rsid w:val="005D1190"/>
    <w:rsid w:val="005D1490"/>
    <w:rsid w:val="005D1B05"/>
    <w:rsid w:val="005D24EC"/>
    <w:rsid w:val="005D2C6E"/>
    <w:rsid w:val="005D2D3C"/>
    <w:rsid w:val="005D2E12"/>
    <w:rsid w:val="005D3387"/>
    <w:rsid w:val="005D3B21"/>
    <w:rsid w:val="005D4CF7"/>
    <w:rsid w:val="005D596D"/>
    <w:rsid w:val="005D5E49"/>
    <w:rsid w:val="005D5EC0"/>
    <w:rsid w:val="005D5F95"/>
    <w:rsid w:val="005D7699"/>
    <w:rsid w:val="005E06D0"/>
    <w:rsid w:val="005E1695"/>
    <w:rsid w:val="005E18FB"/>
    <w:rsid w:val="005E1D35"/>
    <w:rsid w:val="005E2CF2"/>
    <w:rsid w:val="005E2D5A"/>
    <w:rsid w:val="005E31B4"/>
    <w:rsid w:val="005E3627"/>
    <w:rsid w:val="005E3726"/>
    <w:rsid w:val="005E379F"/>
    <w:rsid w:val="005E39B6"/>
    <w:rsid w:val="005E4C39"/>
    <w:rsid w:val="005E4E94"/>
    <w:rsid w:val="005E5468"/>
    <w:rsid w:val="005E55C2"/>
    <w:rsid w:val="005E5CE4"/>
    <w:rsid w:val="005E6F21"/>
    <w:rsid w:val="005E76E5"/>
    <w:rsid w:val="005E78AE"/>
    <w:rsid w:val="005F0181"/>
    <w:rsid w:val="005F01BE"/>
    <w:rsid w:val="005F1562"/>
    <w:rsid w:val="005F16AA"/>
    <w:rsid w:val="005F1818"/>
    <w:rsid w:val="005F22EC"/>
    <w:rsid w:val="005F2885"/>
    <w:rsid w:val="005F2D6B"/>
    <w:rsid w:val="005F2DD9"/>
    <w:rsid w:val="005F34EA"/>
    <w:rsid w:val="005F358F"/>
    <w:rsid w:val="005F3C7E"/>
    <w:rsid w:val="005F40D3"/>
    <w:rsid w:val="005F454D"/>
    <w:rsid w:val="005F4832"/>
    <w:rsid w:val="005F5539"/>
    <w:rsid w:val="005F5744"/>
    <w:rsid w:val="005F6325"/>
    <w:rsid w:val="005F65AE"/>
    <w:rsid w:val="005F6683"/>
    <w:rsid w:val="005F67F4"/>
    <w:rsid w:val="005F6AB3"/>
    <w:rsid w:val="005F7C4B"/>
    <w:rsid w:val="0060075E"/>
    <w:rsid w:val="00600BD0"/>
    <w:rsid w:val="00600D70"/>
    <w:rsid w:val="006010BC"/>
    <w:rsid w:val="006013F1"/>
    <w:rsid w:val="00601415"/>
    <w:rsid w:val="006016D7"/>
    <w:rsid w:val="00601C45"/>
    <w:rsid w:val="00601DA4"/>
    <w:rsid w:val="0060242C"/>
    <w:rsid w:val="00602566"/>
    <w:rsid w:val="006025EB"/>
    <w:rsid w:val="00602648"/>
    <w:rsid w:val="00602688"/>
    <w:rsid w:val="006026EC"/>
    <w:rsid w:val="00602753"/>
    <w:rsid w:val="00602965"/>
    <w:rsid w:val="00602D00"/>
    <w:rsid w:val="00603612"/>
    <w:rsid w:val="00603A99"/>
    <w:rsid w:val="00603DB9"/>
    <w:rsid w:val="00603FF9"/>
    <w:rsid w:val="0060459B"/>
    <w:rsid w:val="00604905"/>
    <w:rsid w:val="00605812"/>
    <w:rsid w:val="00605A06"/>
    <w:rsid w:val="00605B07"/>
    <w:rsid w:val="00605DF3"/>
    <w:rsid w:val="006065CD"/>
    <w:rsid w:val="0060697D"/>
    <w:rsid w:val="006101B0"/>
    <w:rsid w:val="006102D0"/>
    <w:rsid w:val="0061043D"/>
    <w:rsid w:val="0061065D"/>
    <w:rsid w:val="006107E6"/>
    <w:rsid w:val="00611116"/>
    <w:rsid w:val="006111F0"/>
    <w:rsid w:val="00611DCB"/>
    <w:rsid w:val="00611EC0"/>
    <w:rsid w:val="0061248A"/>
    <w:rsid w:val="00612B3B"/>
    <w:rsid w:val="00613143"/>
    <w:rsid w:val="00613533"/>
    <w:rsid w:val="00613B5F"/>
    <w:rsid w:val="00614121"/>
    <w:rsid w:val="006144C1"/>
    <w:rsid w:val="00614692"/>
    <w:rsid w:val="00614A82"/>
    <w:rsid w:val="00615102"/>
    <w:rsid w:val="00615471"/>
    <w:rsid w:val="00615793"/>
    <w:rsid w:val="0061595F"/>
    <w:rsid w:val="006161C7"/>
    <w:rsid w:val="006163D8"/>
    <w:rsid w:val="0061697D"/>
    <w:rsid w:val="00616D3D"/>
    <w:rsid w:val="00617ACF"/>
    <w:rsid w:val="00620CB9"/>
    <w:rsid w:val="00620F24"/>
    <w:rsid w:val="006210D6"/>
    <w:rsid w:val="00622219"/>
    <w:rsid w:val="00622642"/>
    <w:rsid w:val="00622BCC"/>
    <w:rsid w:val="006234D9"/>
    <w:rsid w:val="006237E2"/>
    <w:rsid w:val="00623C5D"/>
    <w:rsid w:val="00623F29"/>
    <w:rsid w:val="00624267"/>
    <w:rsid w:val="00624472"/>
    <w:rsid w:val="00625801"/>
    <w:rsid w:val="0062643F"/>
    <w:rsid w:val="00626680"/>
    <w:rsid w:val="00626700"/>
    <w:rsid w:val="00626F91"/>
    <w:rsid w:val="00627C17"/>
    <w:rsid w:val="006302D8"/>
    <w:rsid w:val="00630391"/>
    <w:rsid w:val="0063127C"/>
    <w:rsid w:val="00631D51"/>
    <w:rsid w:val="006325B6"/>
    <w:rsid w:val="0063279E"/>
    <w:rsid w:val="00633420"/>
    <w:rsid w:val="00633424"/>
    <w:rsid w:val="0063478C"/>
    <w:rsid w:val="00634B44"/>
    <w:rsid w:val="00634E32"/>
    <w:rsid w:val="00634FA3"/>
    <w:rsid w:val="0063505F"/>
    <w:rsid w:val="00635080"/>
    <w:rsid w:val="006351E8"/>
    <w:rsid w:val="00635AAD"/>
    <w:rsid w:val="00635B19"/>
    <w:rsid w:val="00635B53"/>
    <w:rsid w:val="006361A4"/>
    <w:rsid w:val="00636BA9"/>
    <w:rsid w:val="00636C93"/>
    <w:rsid w:val="00636DBA"/>
    <w:rsid w:val="00636EE9"/>
    <w:rsid w:val="006373C6"/>
    <w:rsid w:val="00637BD3"/>
    <w:rsid w:val="00640207"/>
    <w:rsid w:val="00640794"/>
    <w:rsid w:val="006408F4"/>
    <w:rsid w:val="00640EF8"/>
    <w:rsid w:val="00641651"/>
    <w:rsid w:val="006419B9"/>
    <w:rsid w:val="00643356"/>
    <w:rsid w:val="0064346B"/>
    <w:rsid w:val="00643535"/>
    <w:rsid w:val="0064373A"/>
    <w:rsid w:val="00643E18"/>
    <w:rsid w:val="00644425"/>
    <w:rsid w:val="00644D64"/>
    <w:rsid w:val="006454EF"/>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81F"/>
    <w:rsid w:val="00652CEB"/>
    <w:rsid w:val="0065351B"/>
    <w:rsid w:val="00653785"/>
    <w:rsid w:val="006543DD"/>
    <w:rsid w:val="00655054"/>
    <w:rsid w:val="00655586"/>
    <w:rsid w:val="00656330"/>
    <w:rsid w:val="00656891"/>
    <w:rsid w:val="00657B5D"/>
    <w:rsid w:val="00657C74"/>
    <w:rsid w:val="00660142"/>
    <w:rsid w:val="00660319"/>
    <w:rsid w:val="006607A8"/>
    <w:rsid w:val="00661260"/>
    <w:rsid w:val="00662AF3"/>
    <w:rsid w:val="00662D4A"/>
    <w:rsid w:val="00662D65"/>
    <w:rsid w:val="00662DFF"/>
    <w:rsid w:val="006637C7"/>
    <w:rsid w:val="00663BD7"/>
    <w:rsid w:val="006646CB"/>
    <w:rsid w:val="00664A0A"/>
    <w:rsid w:val="00664AB8"/>
    <w:rsid w:val="006655DE"/>
    <w:rsid w:val="006656F7"/>
    <w:rsid w:val="00665B8C"/>
    <w:rsid w:val="00666241"/>
    <w:rsid w:val="00666A69"/>
    <w:rsid w:val="0066705F"/>
    <w:rsid w:val="006673E0"/>
    <w:rsid w:val="006674A5"/>
    <w:rsid w:val="00667660"/>
    <w:rsid w:val="00670376"/>
    <w:rsid w:val="00670C77"/>
    <w:rsid w:val="0067213C"/>
    <w:rsid w:val="00672333"/>
    <w:rsid w:val="006728AE"/>
    <w:rsid w:val="0067299F"/>
    <w:rsid w:val="00672B9B"/>
    <w:rsid w:val="006734A7"/>
    <w:rsid w:val="00673823"/>
    <w:rsid w:val="006740E8"/>
    <w:rsid w:val="006748B5"/>
    <w:rsid w:val="00674D6A"/>
    <w:rsid w:val="00675304"/>
    <w:rsid w:val="00675D05"/>
    <w:rsid w:val="00675F01"/>
    <w:rsid w:val="00676894"/>
    <w:rsid w:val="006771AD"/>
    <w:rsid w:val="006776FE"/>
    <w:rsid w:val="00677E98"/>
    <w:rsid w:val="00677EBB"/>
    <w:rsid w:val="00680542"/>
    <w:rsid w:val="00680AA9"/>
    <w:rsid w:val="00681093"/>
    <w:rsid w:val="00681471"/>
    <w:rsid w:val="006816D3"/>
    <w:rsid w:val="00681BDA"/>
    <w:rsid w:val="006826AB"/>
    <w:rsid w:val="0068298D"/>
    <w:rsid w:val="00682C10"/>
    <w:rsid w:val="0068387C"/>
    <w:rsid w:val="00683966"/>
    <w:rsid w:val="00683B78"/>
    <w:rsid w:val="0068431A"/>
    <w:rsid w:val="00684AA4"/>
    <w:rsid w:val="00685CE3"/>
    <w:rsid w:val="00685E41"/>
    <w:rsid w:val="00686517"/>
    <w:rsid w:val="00686778"/>
    <w:rsid w:val="00686FA0"/>
    <w:rsid w:val="006877D3"/>
    <w:rsid w:val="00687DAD"/>
    <w:rsid w:val="006907FA"/>
    <w:rsid w:val="00690894"/>
    <w:rsid w:val="00690D77"/>
    <w:rsid w:val="00691592"/>
    <w:rsid w:val="006915AC"/>
    <w:rsid w:val="00691C5B"/>
    <w:rsid w:val="00691D24"/>
    <w:rsid w:val="00692057"/>
    <w:rsid w:val="00692C6A"/>
    <w:rsid w:val="0069342F"/>
    <w:rsid w:val="0069448B"/>
    <w:rsid w:val="006949D8"/>
    <w:rsid w:val="00696295"/>
    <w:rsid w:val="006966F6"/>
    <w:rsid w:val="00696ABB"/>
    <w:rsid w:val="00696AEF"/>
    <w:rsid w:val="00696E97"/>
    <w:rsid w:val="006970BC"/>
    <w:rsid w:val="0069737A"/>
    <w:rsid w:val="006976AE"/>
    <w:rsid w:val="00697EAF"/>
    <w:rsid w:val="00697F76"/>
    <w:rsid w:val="006A079D"/>
    <w:rsid w:val="006A0DD6"/>
    <w:rsid w:val="006A107C"/>
    <w:rsid w:val="006A1236"/>
    <w:rsid w:val="006A2238"/>
    <w:rsid w:val="006A24C9"/>
    <w:rsid w:val="006A24DB"/>
    <w:rsid w:val="006A26B8"/>
    <w:rsid w:val="006A286B"/>
    <w:rsid w:val="006A2BC3"/>
    <w:rsid w:val="006A3A98"/>
    <w:rsid w:val="006A3BA7"/>
    <w:rsid w:val="006A3BF1"/>
    <w:rsid w:val="006A48FC"/>
    <w:rsid w:val="006A4922"/>
    <w:rsid w:val="006A4BB7"/>
    <w:rsid w:val="006A5170"/>
    <w:rsid w:val="006A56FA"/>
    <w:rsid w:val="006A5DE0"/>
    <w:rsid w:val="006A5E0F"/>
    <w:rsid w:val="006A6878"/>
    <w:rsid w:val="006A6883"/>
    <w:rsid w:val="006A7406"/>
    <w:rsid w:val="006A7956"/>
    <w:rsid w:val="006A7AB2"/>
    <w:rsid w:val="006B0170"/>
    <w:rsid w:val="006B034B"/>
    <w:rsid w:val="006B0D15"/>
    <w:rsid w:val="006B1119"/>
    <w:rsid w:val="006B15BC"/>
    <w:rsid w:val="006B16BF"/>
    <w:rsid w:val="006B187C"/>
    <w:rsid w:val="006B1EE0"/>
    <w:rsid w:val="006B2E99"/>
    <w:rsid w:val="006B2EB4"/>
    <w:rsid w:val="006B31A8"/>
    <w:rsid w:val="006B3527"/>
    <w:rsid w:val="006B383C"/>
    <w:rsid w:val="006B3C13"/>
    <w:rsid w:val="006B4305"/>
    <w:rsid w:val="006B4430"/>
    <w:rsid w:val="006B4814"/>
    <w:rsid w:val="006B5552"/>
    <w:rsid w:val="006B58BF"/>
    <w:rsid w:val="006B608B"/>
    <w:rsid w:val="006B6787"/>
    <w:rsid w:val="006B68E2"/>
    <w:rsid w:val="006B6DBF"/>
    <w:rsid w:val="006C0049"/>
    <w:rsid w:val="006C02B8"/>
    <w:rsid w:val="006C0588"/>
    <w:rsid w:val="006C0A7E"/>
    <w:rsid w:val="006C1AB1"/>
    <w:rsid w:val="006C1FA2"/>
    <w:rsid w:val="006C21C8"/>
    <w:rsid w:val="006C2C37"/>
    <w:rsid w:val="006C3338"/>
    <w:rsid w:val="006C34C7"/>
    <w:rsid w:val="006C3A90"/>
    <w:rsid w:val="006C3E4B"/>
    <w:rsid w:val="006C3F52"/>
    <w:rsid w:val="006C436B"/>
    <w:rsid w:val="006C509C"/>
    <w:rsid w:val="006C50F9"/>
    <w:rsid w:val="006C5359"/>
    <w:rsid w:val="006C5A6A"/>
    <w:rsid w:val="006C65D4"/>
    <w:rsid w:val="006C688E"/>
    <w:rsid w:val="006C6E46"/>
    <w:rsid w:val="006C751B"/>
    <w:rsid w:val="006C7531"/>
    <w:rsid w:val="006C7FE8"/>
    <w:rsid w:val="006D0012"/>
    <w:rsid w:val="006D03BD"/>
    <w:rsid w:val="006D0BEA"/>
    <w:rsid w:val="006D0DAE"/>
    <w:rsid w:val="006D161F"/>
    <w:rsid w:val="006D1D8A"/>
    <w:rsid w:val="006D1EEA"/>
    <w:rsid w:val="006D218D"/>
    <w:rsid w:val="006D2A3D"/>
    <w:rsid w:val="006D2AC0"/>
    <w:rsid w:val="006D3040"/>
    <w:rsid w:val="006D306A"/>
    <w:rsid w:val="006D337E"/>
    <w:rsid w:val="006D39E1"/>
    <w:rsid w:val="006D4747"/>
    <w:rsid w:val="006D4902"/>
    <w:rsid w:val="006D4EEF"/>
    <w:rsid w:val="006D4FA4"/>
    <w:rsid w:val="006D5B9D"/>
    <w:rsid w:val="006D624B"/>
    <w:rsid w:val="006D65A1"/>
    <w:rsid w:val="006D6647"/>
    <w:rsid w:val="006D6A5D"/>
    <w:rsid w:val="006D73D5"/>
    <w:rsid w:val="006D758D"/>
    <w:rsid w:val="006D7C35"/>
    <w:rsid w:val="006D7C4B"/>
    <w:rsid w:val="006D7C75"/>
    <w:rsid w:val="006E01A1"/>
    <w:rsid w:val="006E043E"/>
    <w:rsid w:val="006E08C4"/>
    <w:rsid w:val="006E0D20"/>
    <w:rsid w:val="006E182E"/>
    <w:rsid w:val="006E1CA6"/>
    <w:rsid w:val="006E21E2"/>
    <w:rsid w:val="006E2919"/>
    <w:rsid w:val="006E2B84"/>
    <w:rsid w:val="006E2C4B"/>
    <w:rsid w:val="006E312A"/>
    <w:rsid w:val="006E3397"/>
    <w:rsid w:val="006E47CC"/>
    <w:rsid w:val="006E4A8A"/>
    <w:rsid w:val="006E4BDB"/>
    <w:rsid w:val="006E563D"/>
    <w:rsid w:val="006E624E"/>
    <w:rsid w:val="006E689B"/>
    <w:rsid w:val="006E6C19"/>
    <w:rsid w:val="006E720B"/>
    <w:rsid w:val="006E729A"/>
    <w:rsid w:val="006E77A4"/>
    <w:rsid w:val="006E799D"/>
    <w:rsid w:val="006F0082"/>
    <w:rsid w:val="006F02A9"/>
    <w:rsid w:val="006F05BD"/>
    <w:rsid w:val="006F07CC"/>
    <w:rsid w:val="006F0CE8"/>
    <w:rsid w:val="006F15BF"/>
    <w:rsid w:val="006F1800"/>
    <w:rsid w:val="006F1A8C"/>
    <w:rsid w:val="006F1E90"/>
    <w:rsid w:val="006F2792"/>
    <w:rsid w:val="006F2A16"/>
    <w:rsid w:val="006F3E20"/>
    <w:rsid w:val="006F57E6"/>
    <w:rsid w:val="006F61CF"/>
    <w:rsid w:val="006F640B"/>
    <w:rsid w:val="006F6592"/>
    <w:rsid w:val="006F6B91"/>
    <w:rsid w:val="006F7E2D"/>
    <w:rsid w:val="00700D3F"/>
    <w:rsid w:val="00700E31"/>
    <w:rsid w:val="007013B2"/>
    <w:rsid w:val="00701F36"/>
    <w:rsid w:val="00702E8E"/>
    <w:rsid w:val="00703DC7"/>
    <w:rsid w:val="00704669"/>
    <w:rsid w:val="00704C69"/>
    <w:rsid w:val="00704E29"/>
    <w:rsid w:val="007058EE"/>
    <w:rsid w:val="007060DA"/>
    <w:rsid w:val="00706138"/>
    <w:rsid w:val="00706385"/>
    <w:rsid w:val="0070687A"/>
    <w:rsid w:val="007068F1"/>
    <w:rsid w:val="00706C75"/>
    <w:rsid w:val="00707EF2"/>
    <w:rsid w:val="00710394"/>
    <w:rsid w:val="0071076E"/>
    <w:rsid w:val="00710A7B"/>
    <w:rsid w:val="00710E4D"/>
    <w:rsid w:val="00710E65"/>
    <w:rsid w:val="00710ED1"/>
    <w:rsid w:val="00711182"/>
    <w:rsid w:val="0071203E"/>
    <w:rsid w:val="00712BC4"/>
    <w:rsid w:val="007131DD"/>
    <w:rsid w:val="00713594"/>
    <w:rsid w:val="00713662"/>
    <w:rsid w:val="00713875"/>
    <w:rsid w:val="007139AE"/>
    <w:rsid w:val="00713A95"/>
    <w:rsid w:val="00713E66"/>
    <w:rsid w:val="00714279"/>
    <w:rsid w:val="0071481F"/>
    <w:rsid w:val="00714858"/>
    <w:rsid w:val="00714C81"/>
    <w:rsid w:val="00714DBD"/>
    <w:rsid w:val="00715072"/>
    <w:rsid w:val="0071509B"/>
    <w:rsid w:val="007154E8"/>
    <w:rsid w:val="00715996"/>
    <w:rsid w:val="00715CA7"/>
    <w:rsid w:val="00715EC9"/>
    <w:rsid w:val="00715FA1"/>
    <w:rsid w:val="00716A19"/>
    <w:rsid w:val="007171C6"/>
    <w:rsid w:val="0072016D"/>
    <w:rsid w:val="007203D1"/>
    <w:rsid w:val="00720502"/>
    <w:rsid w:val="007205DF"/>
    <w:rsid w:val="0072088E"/>
    <w:rsid w:val="00721F2F"/>
    <w:rsid w:val="007220D9"/>
    <w:rsid w:val="00722B05"/>
    <w:rsid w:val="00722BBD"/>
    <w:rsid w:val="007237A9"/>
    <w:rsid w:val="007237B6"/>
    <w:rsid w:val="00723932"/>
    <w:rsid w:val="0072423E"/>
    <w:rsid w:val="00725622"/>
    <w:rsid w:val="00725788"/>
    <w:rsid w:val="00725D11"/>
    <w:rsid w:val="00725EF0"/>
    <w:rsid w:val="007260AE"/>
    <w:rsid w:val="00726488"/>
    <w:rsid w:val="007266CB"/>
    <w:rsid w:val="0072705E"/>
    <w:rsid w:val="007274A9"/>
    <w:rsid w:val="00730545"/>
    <w:rsid w:val="00730798"/>
    <w:rsid w:val="00730C7B"/>
    <w:rsid w:val="00731FB8"/>
    <w:rsid w:val="00732EDC"/>
    <w:rsid w:val="00733070"/>
    <w:rsid w:val="00733691"/>
    <w:rsid w:val="0073374D"/>
    <w:rsid w:val="007342BE"/>
    <w:rsid w:val="00734D22"/>
    <w:rsid w:val="00735B38"/>
    <w:rsid w:val="00735FAB"/>
    <w:rsid w:val="00736FF4"/>
    <w:rsid w:val="00737491"/>
    <w:rsid w:val="00737AEE"/>
    <w:rsid w:val="00737B23"/>
    <w:rsid w:val="007405AB"/>
    <w:rsid w:val="007410A9"/>
    <w:rsid w:val="0074117E"/>
    <w:rsid w:val="007411EF"/>
    <w:rsid w:val="0074171E"/>
    <w:rsid w:val="00741959"/>
    <w:rsid w:val="00741C5B"/>
    <w:rsid w:val="007427F3"/>
    <w:rsid w:val="00742EAD"/>
    <w:rsid w:val="00743B78"/>
    <w:rsid w:val="00743D9C"/>
    <w:rsid w:val="00743F5B"/>
    <w:rsid w:val="00744949"/>
    <w:rsid w:val="00744FBE"/>
    <w:rsid w:val="0074538E"/>
    <w:rsid w:val="00745425"/>
    <w:rsid w:val="007457F2"/>
    <w:rsid w:val="00745ABC"/>
    <w:rsid w:val="0074604E"/>
    <w:rsid w:val="00746466"/>
    <w:rsid w:val="00746AF2"/>
    <w:rsid w:val="00746CF5"/>
    <w:rsid w:val="00746DCD"/>
    <w:rsid w:val="00746E5F"/>
    <w:rsid w:val="0074754E"/>
    <w:rsid w:val="00747B2E"/>
    <w:rsid w:val="0075020A"/>
    <w:rsid w:val="007502D6"/>
    <w:rsid w:val="00750F8A"/>
    <w:rsid w:val="007512B4"/>
    <w:rsid w:val="0075152D"/>
    <w:rsid w:val="00751666"/>
    <w:rsid w:val="00751CF2"/>
    <w:rsid w:val="007524C0"/>
    <w:rsid w:val="00753466"/>
    <w:rsid w:val="0075380E"/>
    <w:rsid w:val="00753B3C"/>
    <w:rsid w:val="00754383"/>
    <w:rsid w:val="007548B6"/>
    <w:rsid w:val="0075547D"/>
    <w:rsid w:val="00755971"/>
    <w:rsid w:val="00755FE9"/>
    <w:rsid w:val="00756090"/>
    <w:rsid w:val="00756A5C"/>
    <w:rsid w:val="00756EB7"/>
    <w:rsid w:val="00757C05"/>
    <w:rsid w:val="00760386"/>
    <w:rsid w:val="00760C53"/>
    <w:rsid w:val="007618DD"/>
    <w:rsid w:val="00761F52"/>
    <w:rsid w:val="007623ED"/>
    <w:rsid w:val="0076273A"/>
    <w:rsid w:val="0076275C"/>
    <w:rsid w:val="007627E0"/>
    <w:rsid w:val="00762D5B"/>
    <w:rsid w:val="007630B3"/>
    <w:rsid w:val="007632EC"/>
    <w:rsid w:val="0076332F"/>
    <w:rsid w:val="0076349B"/>
    <w:rsid w:val="00763CD7"/>
    <w:rsid w:val="00764AC0"/>
    <w:rsid w:val="00764D6C"/>
    <w:rsid w:val="0076511E"/>
    <w:rsid w:val="00765536"/>
    <w:rsid w:val="007655EC"/>
    <w:rsid w:val="00765965"/>
    <w:rsid w:val="00765E19"/>
    <w:rsid w:val="007660C1"/>
    <w:rsid w:val="0076619C"/>
    <w:rsid w:val="0076620F"/>
    <w:rsid w:val="007668FB"/>
    <w:rsid w:val="0076706F"/>
    <w:rsid w:val="00767868"/>
    <w:rsid w:val="00767C3E"/>
    <w:rsid w:val="00767F23"/>
    <w:rsid w:val="007703B3"/>
    <w:rsid w:val="00770854"/>
    <w:rsid w:val="007708CE"/>
    <w:rsid w:val="007712D0"/>
    <w:rsid w:val="0077174E"/>
    <w:rsid w:val="007717A5"/>
    <w:rsid w:val="00771FA9"/>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77FA3"/>
    <w:rsid w:val="0078052D"/>
    <w:rsid w:val="00780EBF"/>
    <w:rsid w:val="00782701"/>
    <w:rsid w:val="00783285"/>
    <w:rsid w:val="00783554"/>
    <w:rsid w:val="00783C92"/>
    <w:rsid w:val="00783F83"/>
    <w:rsid w:val="0078483B"/>
    <w:rsid w:val="00784B22"/>
    <w:rsid w:val="00784EAE"/>
    <w:rsid w:val="007851E8"/>
    <w:rsid w:val="00785236"/>
    <w:rsid w:val="00785C6E"/>
    <w:rsid w:val="00785FF2"/>
    <w:rsid w:val="007869A5"/>
    <w:rsid w:val="00790C75"/>
    <w:rsid w:val="00790CE0"/>
    <w:rsid w:val="00791154"/>
    <w:rsid w:val="0079162D"/>
    <w:rsid w:val="00791B88"/>
    <w:rsid w:val="00791CA7"/>
    <w:rsid w:val="00791ECC"/>
    <w:rsid w:val="0079203B"/>
    <w:rsid w:val="00792521"/>
    <w:rsid w:val="00792914"/>
    <w:rsid w:val="007929E6"/>
    <w:rsid w:val="00792A2F"/>
    <w:rsid w:val="0079346C"/>
    <w:rsid w:val="007934E1"/>
    <w:rsid w:val="00793669"/>
    <w:rsid w:val="0079394C"/>
    <w:rsid w:val="007943EE"/>
    <w:rsid w:val="007944D2"/>
    <w:rsid w:val="0079494A"/>
    <w:rsid w:val="00794CCB"/>
    <w:rsid w:val="00795937"/>
    <w:rsid w:val="007975FC"/>
    <w:rsid w:val="0079763C"/>
    <w:rsid w:val="00797801"/>
    <w:rsid w:val="007A14A4"/>
    <w:rsid w:val="007A1647"/>
    <w:rsid w:val="007A1A79"/>
    <w:rsid w:val="007A2143"/>
    <w:rsid w:val="007A21EF"/>
    <w:rsid w:val="007A2741"/>
    <w:rsid w:val="007A287F"/>
    <w:rsid w:val="007A296B"/>
    <w:rsid w:val="007A2F4A"/>
    <w:rsid w:val="007A2FA7"/>
    <w:rsid w:val="007A3124"/>
    <w:rsid w:val="007A3B72"/>
    <w:rsid w:val="007A41A7"/>
    <w:rsid w:val="007A52F9"/>
    <w:rsid w:val="007A5495"/>
    <w:rsid w:val="007A60FA"/>
    <w:rsid w:val="007A64FB"/>
    <w:rsid w:val="007A673E"/>
    <w:rsid w:val="007A6B19"/>
    <w:rsid w:val="007A78DA"/>
    <w:rsid w:val="007A7A34"/>
    <w:rsid w:val="007B18B4"/>
    <w:rsid w:val="007B1CE4"/>
    <w:rsid w:val="007B2E28"/>
    <w:rsid w:val="007B31A4"/>
    <w:rsid w:val="007B3382"/>
    <w:rsid w:val="007B357D"/>
    <w:rsid w:val="007B3CDC"/>
    <w:rsid w:val="007B4508"/>
    <w:rsid w:val="007B46FC"/>
    <w:rsid w:val="007B4FA2"/>
    <w:rsid w:val="007B57A1"/>
    <w:rsid w:val="007B5EF6"/>
    <w:rsid w:val="007B65A2"/>
    <w:rsid w:val="007B6F10"/>
    <w:rsid w:val="007B78D5"/>
    <w:rsid w:val="007B78DD"/>
    <w:rsid w:val="007B7CB8"/>
    <w:rsid w:val="007B7F33"/>
    <w:rsid w:val="007C00E1"/>
    <w:rsid w:val="007C0A8D"/>
    <w:rsid w:val="007C0B33"/>
    <w:rsid w:val="007C1C32"/>
    <w:rsid w:val="007C212E"/>
    <w:rsid w:val="007C2345"/>
    <w:rsid w:val="007C370E"/>
    <w:rsid w:val="007C3F89"/>
    <w:rsid w:val="007C40E8"/>
    <w:rsid w:val="007C49F1"/>
    <w:rsid w:val="007C5386"/>
    <w:rsid w:val="007C5DFA"/>
    <w:rsid w:val="007C6DD5"/>
    <w:rsid w:val="007C7016"/>
    <w:rsid w:val="007C714B"/>
    <w:rsid w:val="007C77D6"/>
    <w:rsid w:val="007C787B"/>
    <w:rsid w:val="007C7A34"/>
    <w:rsid w:val="007C7FC3"/>
    <w:rsid w:val="007D02E5"/>
    <w:rsid w:val="007D03B6"/>
    <w:rsid w:val="007D0DF0"/>
    <w:rsid w:val="007D15E7"/>
    <w:rsid w:val="007D1735"/>
    <w:rsid w:val="007D1BD4"/>
    <w:rsid w:val="007D2992"/>
    <w:rsid w:val="007D2B7B"/>
    <w:rsid w:val="007D2F6A"/>
    <w:rsid w:val="007D3156"/>
    <w:rsid w:val="007D36B9"/>
    <w:rsid w:val="007D4032"/>
    <w:rsid w:val="007D4373"/>
    <w:rsid w:val="007D495A"/>
    <w:rsid w:val="007D49F1"/>
    <w:rsid w:val="007D5BB4"/>
    <w:rsid w:val="007D642B"/>
    <w:rsid w:val="007D669C"/>
    <w:rsid w:val="007D686E"/>
    <w:rsid w:val="007D787B"/>
    <w:rsid w:val="007D797C"/>
    <w:rsid w:val="007D7E91"/>
    <w:rsid w:val="007E02A7"/>
    <w:rsid w:val="007E02E9"/>
    <w:rsid w:val="007E1027"/>
    <w:rsid w:val="007E107B"/>
    <w:rsid w:val="007E1388"/>
    <w:rsid w:val="007E1461"/>
    <w:rsid w:val="007E1A2E"/>
    <w:rsid w:val="007E2B6C"/>
    <w:rsid w:val="007E2BD5"/>
    <w:rsid w:val="007E2F00"/>
    <w:rsid w:val="007E356A"/>
    <w:rsid w:val="007E4154"/>
    <w:rsid w:val="007E47EF"/>
    <w:rsid w:val="007E4D20"/>
    <w:rsid w:val="007E50B7"/>
    <w:rsid w:val="007E54C4"/>
    <w:rsid w:val="007E5782"/>
    <w:rsid w:val="007E588A"/>
    <w:rsid w:val="007E69FC"/>
    <w:rsid w:val="007E74DC"/>
    <w:rsid w:val="007E751A"/>
    <w:rsid w:val="007E79CE"/>
    <w:rsid w:val="007E7FC8"/>
    <w:rsid w:val="007F00FB"/>
    <w:rsid w:val="007F07A6"/>
    <w:rsid w:val="007F0B1F"/>
    <w:rsid w:val="007F1243"/>
    <w:rsid w:val="007F136B"/>
    <w:rsid w:val="007F1641"/>
    <w:rsid w:val="007F178F"/>
    <w:rsid w:val="007F17F3"/>
    <w:rsid w:val="007F2051"/>
    <w:rsid w:val="007F2719"/>
    <w:rsid w:val="007F3209"/>
    <w:rsid w:val="007F345C"/>
    <w:rsid w:val="007F4209"/>
    <w:rsid w:val="007F43E9"/>
    <w:rsid w:val="007F59A2"/>
    <w:rsid w:val="007F5F99"/>
    <w:rsid w:val="007F60DE"/>
    <w:rsid w:val="007F61CB"/>
    <w:rsid w:val="007F637C"/>
    <w:rsid w:val="007F65AE"/>
    <w:rsid w:val="007F6814"/>
    <w:rsid w:val="007F6EF6"/>
    <w:rsid w:val="007F70DE"/>
    <w:rsid w:val="007F73D9"/>
    <w:rsid w:val="007F7B48"/>
    <w:rsid w:val="007F7D0D"/>
    <w:rsid w:val="00800A30"/>
    <w:rsid w:val="00801476"/>
    <w:rsid w:val="008034AA"/>
    <w:rsid w:val="008037F6"/>
    <w:rsid w:val="00803CBB"/>
    <w:rsid w:val="00803DA5"/>
    <w:rsid w:val="008040FC"/>
    <w:rsid w:val="00804630"/>
    <w:rsid w:val="00804A1F"/>
    <w:rsid w:val="00804BC5"/>
    <w:rsid w:val="00805802"/>
    <w:rsid w:val="008059EE"/>
    <w:rsid w:val="00805FB0"/>
    <w:rsid w:val="0080619F"/>
    <w:rsid w:val="008066EC"/>
    <w:rsid w:val="008066FB"/>
    <w:rsid w:val="00806C64"/>
    <w:rsid w:val="0080700E"/>
    <w:rsid w:val="00807E7B"/>
    <w:rsid w:val="008108CB"/>
    <w:rsid w:val="00811E9A"/>
    <w:rsid w:val="00812570"/>
    <w:rsid w:val="0081287D"/>
    <w:rsid w:val="00812C15"/>
    <w:rsid w:val="00812C2F"/>
    <w:rsid w:val="00812DD2"/>
    <w:rsid w:val="008133E9"/>
    <w:rsid w:val="008134BA"/>
    <w:rsid w:val="00813575"/>
    <w:rsid w:val="008137D9"/>
    <w:rsid w:val="00814E17"/>
    <w:rsid w:val="00814F3A"/>
    <w:rsid w:val="00817015"/>
    <w:rsid w:val="00817085"/>
    <w:rsid w:val="008172B8"/>
    <w:rsid w:val="0081789E"/>
    <w:rsid w:val="00817A04"/>
    <w:rsid w:val="00817E9E"/>
    <w:rsid w:val="00820134"/>
    <w:rsid w:val="008204EF"/>
    <w:rsid w:val="008207D4"/>
    <w:rsid w:val="00821301"/>
    <w:rsid w:val="00821309"/>
    <w:rsid w:val="00822C57"/>
    <w:rsid w:val="00823299"/>
    <w:rsid w:val="00823A9D"/>
    <w:rsid w:val="00823CA2"/>
    <w:rsid w:val="00824714"/>
    <w:rsid w:val="00824939"/>
    <w:rsid w:val="00824C50"/>
    <w:rsid w:val="00824D9D"/>
    <w:rsid w:val="0082537F"/>
    <w:rsid w:val="00825F02"/>
    <w:rsid w:val="0082601E"/>
    <w:rsid w:val="008260BD"/>
    <w:rsid w:val="008260E2"/>
    <w:rsid w:val="0082638A"/>
    <w:rsid w:val="008264EB"/>
    <w:rsid w:val="0082788A"/>
    <w:rsid w:val="00827F65"/>
    <w:rsid w:val="00830160"/>
    <w:rsid w:val="00830811"/>
    <w:rsid w:val="008309AF"/>
    <w:rsid w:val="00830C05"/>
    <w:rsid w:val="00831390"/>
    <w:rsid w:val="00831AA9"/>
    <w:rsid w:val="00832045"/>
    <w:rsid w:val="00832763"/>
    <w:rsid w:val="00833C60"/>
    <w:rsid w:val="008342B2"/>
    <w:rsid w:val="00835456"/>
    <w:rsid w:val="00835919"/>
    <w:rsid w:val="00835D9F"/>
    <w:rsid w:val="00837097"/>
    <w:rsid w:val="00837815"/>
    <w:rsid w:val="00837D41"/>
    <w:rsid w:val="0084061A"/>
    <w:rsid w:val="00840B1E"/>
    <w:rsid w:val="00840C6F"/>
    <w:rsid w:val="008410EF"/>
    <w:rsid w:val="00841D33"/>
    <w:rsid w:val="00842862"/>
    <w:rsid w:val="00842A4F"/>
    <w:rsid w:val="008435C9"/>
    <w:rsid w:val="008435F7"/>
    <w:rsid w:val="0084368A"/>
    <w:rsid w:val="00843784"/>
    <w:rsid w:val="00843A5D"/>
    <w:rsid w:val="00843AC4"/>
    <w:rsid w:val="008446C0"/>
    <w:rsid w:val="008452AC"/>
    <w:rsid w:val="008459AA"/>
    <w:rsid w:val="008460E0"/>
    <w:rsid w:val="008464CE"/>
    <w:rsid w:val="00846EBF"/>
    <w:rsid w:val="008470C4"/>
    <w:rsid w:val="00847488"/>
    <w:rsid w:val="00847675"/>
    <w:rsid w:val="008476B1"/>
    <w:rsid w:val="0084793A"/>
    <w:rsid w:val="00850E21"/>
    <w:rsid w:val="00851353"/>
    <w:rsid w:val="008516C0"/>
    <w:rsid w:val="00851832"/>
    <w:rsid w:val="008521D9"/>
    <w:rsid w:val="0085231C"/>
    <w:rsid w:val="0085248A"/>
    <w:rsid w:val="00852A26"/>
    <w:rsid w:val="0085357E"/>
    <w:rsid w:val="00853D82"/>
    <w:rsid w:val="0085405B"/>
    <w:rsid w:val="00854A50"/>
    <w:rsid w:val="008552C6"/>
    <w:rsid w:val="0085559A"/>
    <w:rsid w:val="008555F0"/>
    <w:rsid w:val="0085593C"/>
    <w:rsid w:val="00855EAE"/>
    <w:rsid w:val="008565D3"/>
    <w:rsid w:val="008568E7"/>
    <w:rsid w:val="00856FC4"/>
    <w:rsid w:val="008570CF"/>
    <w:rsid w:val="008572E4"/>
    <w:rsid w:val="008577EB"/>
    <w:rsid w:val="00857893"/>
    <w:rsid w:val="00857A32"/>
    <w:rsid w:val="00857BDF"/>
    <w:rsid w:val="0086028B"/>
    <w:rsid w:val="008606E8"/>
    <w:rsid w:val="00861063"/>
    <w:rsid w:val="0086144E"/>
    <w:rsid w:val="0086173B"/>
    <w:rsid w:val="00861DAE"/>
    <w:rsid w:val="008626FE"/>
    <w:rsid w:val="00862DAC"/>
    <w:rsid w:val="00862EC7"/>
    <w:rsid w:val="00863106"/>
    <w:rsid w:val="00863EB5"/>
    <w:rsid w:val="0086460D"/>
    <w:rsid w:val="008646FE"/>
    <w:rsid w:val="00864924"/>
    <w:rsid w:val="00864CCF"/>
    <w:rsid w:val="008653C3"/>
    <w:rsid w:val="00865620"/>
    <w:rsid w:val="00866994"/>
    <w:rsid w:val="00866C55"/>
    <w:rsid w:val="008670E5"/>
    <w:rsid w:val="0086743C"/>
    <w:rsid w:val="00867CC4"/>
    <w:rsid w:val="00867F73"/>
    <w:rsid w:val="00870A5E"/>
    <w:rsid w:val="00871A61"/>
    <w:rsid w:val="00871CA2"/>
    <w:rsid w:val="00871D7F"/>
    <w:rsid w:val="00872175"/>
    <w:rsid w:val="0087301E"/>
    <w:rsid w:val="00873E30"/>
    <w:rsid w:val="00874222"/>
    <w:rsid w:val="00874436"/>
    <w:rsid w:val="008745D9"/>
    <w:rsid w:val="00875B90"/>
    <w:rsid w:val="00875D98"/>
    <w:rsid w:val="0087668E"/>
    <w:rsid w:val="00876727"/>
    <w:rsid w:val="00876D06"/>
    <w:rsid w:val="00876D31"/>
    <w:rsid w:val="00876D46"/>
    <w:rsid w:val="008770DF"/>
    <w:rsid w:val="008775F2"/>
    <w:rsid w:val="00877C64"/>
    <w:rsid w:val="00880178"/>
    <w:rsid w:val="00880466"/>
    <w:rsid w:val="008810D4"/>
    <w:rsid w:val="00881532"/>
    <w:rsid w:val="00881B7D"/>
    <w:rsid w:val="00881F36"/>
    <w:rsid w:val="00882515"/>
    <w:rsid w:val="00882BDD"/>
    <w:rsid w:val="00882EE8"/>
    <w:rsid w:val="0088395D"/>
    <w:rsid w:val="00883C16"/>
    <w:rsid w:val="00883D26"/>
    <w:rsid w:val="00883DE8"/>
    <w:rsid w:val="0088466C"/>
    <w:rsid w:val="00884AF6"/>
    <w:rsid w:val="00884CCE"/>
    <w:rsid w:val="00885022"/>
    <w:rsid w:val="00885208"/>
    <w:rsid w:val="00885291"/>
    <w:rsid w:val="00885AEE"/>
    <w:rsid w:val="00885DB4"/>
    <w:rsid w:val="00885E8E"/>
    <w:rsid w:val="008864D2"/>
    <w:rsid w:val="00886F5C"/>
    <w:rsid w:val="008876DA"/>
    <w:rsid w:val="00887DB8"/>
    <w:rsid w:val="00887E80"/>
    <w:rsid w:val="00890048"/>
    <w:rsid w:val="00890920"/>
    <w:rsid w:val="00890C8B"/>
    <w:rsid w:val="008912C3"/>
    <w:rsid w:val="00891863"/>
    <w:rsid w:val="00892556"/>
    <w:rsid w:val="0089288B"/>
    <w:rsid w:val="00892950"/>
    <w:rsid w:val="0089315C"/>
    <w:rsid w:val="00893169"/>
    <w:rsid w:val="00893242"/>
    <w:rsid w:val="0089331C"/>
    <w:rsid w:val="008935C9"/>
    <w:rsid w:val="00893D9A"/>
    <w:rsid w:val="00894AB0"/>
    <w:rsid w:val="00894C15"/>
    <w:rsid w:val="00894EDF"/>
    <w:rsid w:val="008952EE"/>
    <w:rsid w:val="008958D6"/>
    <w:rsid w:val="00896BCD"/>
    <w:rsid w:val="00897111"/>
    <w:rsid w:val="008974BE"/>
    <w:rsid w:val="0089791F"/>
    <w:rsid w:val="00897EBD"/>
    <w:rsid w:val="00897F3D"/>
    <w:rsid w:val="008A00F0"/>
    <w:rsid w:val="008A05B8"/>
    <w:rsid w:val="008A06C4"/>
    <w:rsid w:val="008A06D6"/>
    <w:rsid w:val="008A0AF3"/>
    <w:rsid w:val="008A0BC2"/>
    <w:rsid w:val="008A0E18"/>
    <w:rsid w:val="008A0E33"/>
    <w:rsid w:val="008A13AB"/>
    <w:rsid w:val="008A1730"/>
    <w:rsid w:val="008A1DDC"/>
    <w:rsid w:val="008A2C6F"/>
    <w:rsid w:val="008A34CC"/>
    <w:rsid w:val="008A34DC"/>
    <w:rsid w:val="008A3698"/>
    <w:rsid w:val="008A375C"/>
    <w:rsid w:val="008A3E3C"/>
    <w:rsid w:val="008A3E91"/>
    <w:rsid w:val="008A405A"/>
    <w:rsid w:val="008A4091"/>
    <w:rsid w:val="008A43F9"/>
    <w:rsid w:val="008A44F4"/>
    <w:rsid w:val="008A44FF"/>
    <w:rsid w:val="008A49F1"/>
    <w:rsid w:val="008A4B64"/>
    <w:rsid w:val="008A52D0"/>
    <w:rsid w:val="008A5B18"/>
    <w:rsid w:val="008A64FC"/>
    <w:rsid w:val="008A6F0F"/>
    <w:rsid w:val="008A6FE6"/>
    <w:rsid w:val="008A75D4"/>
    <w:rsid w:val="008A7861"/>
    <w:rsid w:val="008A7BF5"/>
    <w:rsid w:val="008A7C3D"/>
    <w:rsid w:val="008A7D3D"/>
    <w:rsid w:val="008A7D65"/>
    <w:rsid w:val="008A7F46"/>
    <w:rsid w:val="008B02B4"/>
    <w:rsid w:val="008B0463"/>
    <w:rsid w:val="008B1083"/>
    <w:rsid w:val="008B153E"/>
    <w:rsid w:val="008B1627"/>
    <w:rsid w:val="008B1A29"/>
    <w:rsid w:val="008B1FB3"/>
    <w:rsid w:val="008B25EE"/>
    <w:rsid w:val="008B29D9"/>
    <w:rsid w:val="008B2B43"/>
    <w:rsid w:val="008B35B7"/>
    <w:rsid w:val="008B4C7C"/>
    <w:rsid w:val="008B4F22"/>
    <w:rsid w:val="008B536D"/>
    <w:rsid w:val="008B54A8"/>
    <w:rsid w:val="008B5A18"/>
    <w:rsid w:val="008B5DF5"/>
    <w:rsid w:val="008B6081"/>
    <w:rsid w:val="008B688D"/>
    <w:rsid w:val="008B68DF"/>
    <w:rsid w:val="008B6DC0"/>
    <w:rsid w:val="008B6E11"/>
    <w:rsid w:val="008B7078"/>
    <w:rsid w:val="008B77B8"/>
    <w:rsid w:val="008B78A5"/>
    <w:rsid w:val="008B7D64"/>
    <w:rsid w:val="008B7ECE"/>
    <w:rsid w:val="008B7F44"/>
    <w:rsid w:val="008C03EE"/>
    <w:rsid w:val="008C0BCB"/>
    <w:rsid w:val="008C0D51"/>
    <w:rsid w:val="008C0F2C"/>
    <w:rsid w:val="008C15B1"/>
    <w:rsid w:val="008C19D9"/>
    <w:rsid w:val="008C1C68"/>
    <w:rsid w:val="008C1E8E"/>
    <w:rsid w:val="008C2008"/>
    <w:rsid w:val="008C2046"/>
    <w:rsid w:val="008C2413"/>
    <w:rsid w:val="008C24EF"/>
    <w:rsid w:val="008C27D0"/>
    <w:rsid w:val="008C298B"/>
    <w:rsid w:val="008C2DE0"/>
    <w:rsid w:val="008C3D67"/>
    <w:rsid w:val="008C44F0"/>
    <w:rsid w:val="008C455F"/>
    <w:rsid w:val="008C49F9"/>
    <w:rsid w:val="008C5AC7"/>
    <w:rsid w:val="008C6042"/>
    <w:rsid w:val="008C6C9A"/>
    <w:rsid w:val="008C7145"/>
    <w:rsid w:val="008C7A6C"/>
    <w:rsid w:val="008D0497"/>
    <w:rsid w:val="008D0840"/>
    <w:rsid w:val="008D08BE"/>
    <w:rsid w:val="008D0B7C"/>
    <w:rsid w:val="008D1293"/>
    <w:rsid w:val="008D1603"/>
    <w:rsid w:val="008D17BA"/>
    <w:rsid w:val="008D1C6A"/>
    <w:rsid w:val="008D35CA"/>
    <w:rsid w:val="008D3EB6"/>
    <w:rsid w:val="008D4706"/>
    <w:rsid w:val="008D4D7B"/>
    <w:rsid w:val="008D5138"/>
    <w:rsid w:val="008D59A0"/>
    <w:rsid w:val="008D5E8C"/>
    <w:rsid w:val="008D6292"/>
    <w:rsid w:val="008D62E8"/>
    <w:rsid w:val="008D6D51"/>
    <w:rsid w:val="008D6EB1"/>
    <w:rsid w:val="008D7291"/>
    <w:rsid w:val="008D7374"/>
    <w:rsid w:val="008E001E"/>
    <w:rsid w:val="008E005B"/>
    <w:rsid w:val="008E03EF"/>
    <w:rsid w:val="008E0641"/>
    <w:rsid w:val="008E07B0"/>
    <w:rsid w:val="008E0DBE"/>
    <w:rsid w:val="008E135B"/>
    <w:rsid w:val="008E182B"/>
    <w:rsid w:val="008E2AFF"/>
    <w:rsid w:val="008E2BA5"/>
    <w:rsid w:val="008E3109"/>
    <w:rsid w:val="008E3373"/>
    <w:rsid w:val="008E34E5"/>
    <w:rsid w:val="008E3992"/>
    <w:rsid w:val="008E3BFC"/>
    <w:rsid w:val="008E3F26"/>
    <w:rsid w:val="008E3F75"/>
    <w:rsid w:val="008E45AF"/>
    <w:rsid w:val="008E5BB3"/>
    <w:rsid w:val="008E5CD4"/>
    <w:rsid w:val="008E5F3E"/>
    <w:rsid w:val="008E6265"/>
    <w:rsid w:val="008E6267"/>
    <w:rsid w:val="008E6350"/>
    <w:rsid w:val="008E7B76"/>
    <w:rsid w:val="008E7F61"/>
    <w:rsid w:val="008F0725"/>
    <w:rsid w:val="008F0798"/>
    <w:rsid w:val="008F0A08"/>
    <w:rsid w:val="008F0C06"/>
    <w:rsid w:val="008F13EA"/>
    <w:rsid w:val="008F1BE3"/>
    <w:rsid w:val="008F20B2"/>
    <w:rsid w:val="008F2607"/>
    <w:rsid w:val="008F280F"/>
    <w:rsid w:val="008F2B47"/>
    <w:rsid w:val="008F2EA0"/>
    <w:rsid w:val="008F30CB"/>
    <w:rsid w:val="008F3899"/>
    <w:rsid w:val="008F38FF"/>
    <w:rsid w:val="008F39AA"/>
    <w:rsid w:val="008F3EBA"/>
    <w:rsid w:val="008F4ADC"/>
    <w:rsid w:val="008F5442"/>
    <w:rsid w:val="008F549A"/>
    <w:rsid w:val="008F54ED"/>
    <w:rsid w:val="008F5B62"/>
    <w:rsid w:val="008F6371"/>
    <w:rsid w:val="008F6552"/>
    <w:rsid w:val="008F6710"/>
    <w:rsid w:val="008F6C85"/>
    <w:rsid w:val="008F6FD0"/>
    <w:rsid w:val="008F731F"/>
    <w:rsid w:val="008F7722"/>
    <w:rsid w:val="008F7766"/>
    <w:rsid w:val="008F7C32"/>
    <w:rsid w:val="008F7F39"/>
    <w:rsid w:val="009009D6"/>
    <w:rsid w:val="00901615"/>
    <w:rsid w:val="00903412"/>
    <w:rsid w:val="009035E7"/>
    <w:rsid w:val="009038F8"/>
    <w:rsid w:val="009051BC"/>
    <w:rsid w:val="00905497"/>
    <w:rsid w:val="00905988"/>
    <w:rsid w:val="00905ACE"/>
    <w:rsid w:val="00905CC0"/>
    <w:rsid w:val="00905EE9"/>
    <w:rsid w:val="0090625F"/>
    <w:rsid w:val="00907139"/>
    <w:rsid w:val="009071AD"/>
    <w:rsid w:val="009105CD"/>
    <w:rsid w:val="00910E7D"/>
    <w:rsid w:val="00910F14"/>
    <w:rsid w:val="00912EB3"/>
    <w:rsid w:val="00913059"/>
    <w:rsid w:val="00913160"/>
    <w:rsid w:val="00913294"/>
    <w:rsid w:val="009134EC"/>
    <w:rsid w:val="00913704"/>
    <w:rsid w:val="009137F0"/>
    <w:rsid w:val="00913B3A"/>
    <w:rsid w:val="00913EA8"/>
    <w:rsid w:val="0091523F"/>
    <w:rsid w:val="009155BF"/>
    <w:rsid w:val="009155EC"/>
    <w:rsid w:val="009161FF"/>
    <w:rsid w:val="009164DA"/>
    <w:rsid w:val="009167AB"/>
    <w:rsid w:val="00916BD4"/>
    <w:rsid w:val="00916D6A"/>
    <w:rsid w:val="00916FCF"/>
    <w:rsid w:val="009175F7"/>
    <w:rsid w:val="009200D8"/>
    <w:rsid w:val="009205CE"/>
    <w:rsid w:val="00921343"/>
    <w:rsid w:val="00922481"/>
    <w:rsid w:val="00922953"/>
    <w:rsid w:val="00922B24"/>
    <w:rsid w:val="00923346"/>
    <w:rsid w:val="00923829"/>
    <w:rsid w:val="009238AF"/>
    <w:rsid w:val="00923912"/>
    <w:rsid w:val="00925406"/>
    <w:rsid w:val="009255F9"/>
    <w:rsid w:val="00925674"/>
    <w:rsid w:val="009257E1"/>
    <w:rsid w:val="0092606D"/>
    <w:rsid w:val="009269B5"/>
    <w:rsid w:val="00927C34"/>
    <w:rsid w:val="00931038"/>
    <w:rsid w:val="00931BC4"/>
    <w:rsid w:val="00932160"/>
    <w:rsid w:val="00933529"/>
    <w:rsid w:val="009335F1"/>
    <w:rsid w:val="00934174"/>
    <w:rsid w:val="00934DB0"/>
    <w:rsid w:val="0093569E"/>
    <w:rsid w:val="00936307"/>
    <w:rsid w:val="0093644A"/>
    <w:rsid w:val="00937252"/>
    <w:rsid w:val="00937490"/>
    <w:rsid w:val="0093778C"/>
    <w:rsid w:val="00937B33"/>
    <w:rsid w:val="00940A89"/>
    <w:rsid w:val="00940ABC"/>
    <w:rsid w:val="00940EF6"/>
    <w:rsid w:val="009413D0"/>
    <w:rsid w:val="00941426"/>
    <w:rsid w:val="00941463"/>
    <w:rsid w:val="00941BD9"/>
    <w:rsid w:val="00942531"/>
    <w:rsid w:val="00942A79"/>
    <w:rsid w:val="00942EB8"/>
    <w:rsid w:val="00943C8C"/>
    <w:rsid w:val="00943E9E"/>
    <w:rsid w:val="00944A96"/>
    <w:rsid w:val="009457AB"/>
    <w:rsid w:val="00945914"/>
    <w:rsid w:val="009479F0"/>
    <w:rsid w:val="009506CB"/>
    <w:rsid w:val="009520DA"/>
    <w:rsid w:val="00952263"/>
    <w:rsid w:val="00952C54"/>
    <w:rsid w:val="00952FAB"/>
    <w:rsid w:val="00952FC8"/>
    <w:rsid w:val="00953116"/>
    <w:rsid w:val="00953305"/>
    <w:rsid w:val="00953E54"/>
    <w:rsid w:val="0095439D"/>
    <w:rsid w:val="00955F8B"/>
    <w:rsid w:val="00956247"/>
    <w:rsid w:val="00956306"/>
    <w:rsid w:val="009574FF"/>
    <w:rsid w:val="009577E4"/>
    <w:rsid w:val="00957F67"/>
    <w:rsid w:val="0096034E"/>
    <w:rsid w:val="00960863"/>
    <w:rsid w:val="00960B35"/>
    <w:rsid w:val="00960BFE"/>
    <w:rsid w:val="009614F2"/>
    <w:rsid w:val="00961902"/>
    <w:rsid w:val="00961BE5"/>
    <w:rsid w:val="0096207C"/>
    <w:rsid w:val="009620AE"/>
    <w:rsid w:val="00962257"/>
    <w:rsid w:val="00962D55"/>
    <w:rsid w:val="0096360D"/>
    <w:rsid w:val="00963910"/>
    <w:rsid w:val="00963F67"/>
    <w:rsid w:val="0096427B"/>
    <w:rsid w:val="00964FFD"/>
    <w:rsid w:val="0096579B"/>
    <w:rsid w:val="00965823"/>
    <w:rsid w:val="00965AE3"/>
    <w:rsid w:val="009662CD"/>
    <w:rsid w:val="00966933"/>
    <w:rsid w:val="00966A7F"/>
    <w:rsid w:val="00966D11"/>
    <w:rsid w:val="00966E90"/>
    <w:rsid w:val="0096700A"/>
    <w:rsid w:val="00967B0F"/>
    <w:rsid w:val="00967D1B"/>
    <w:rsid w:val="0097029A"/>
    <w:rsid w:val="0097062E"/>
    <w:rsid w:val="009710DB"/>
    <w:rsid w:val="00971680"/>
    <w:rsid w:val="0097248F"/>
    <w:rsid w:val="009724E3"/>
    <w:rsid w:val="009734E5"/>
    <w:rsid w:val="00973683"/>
    <w:rsid w:val="009738F9"/>
    <w:rsid w:val="00974038"/>
    <w:rsid w:val="00974127"/>
    <w:rsid w:val="009744F4"/>
    <w:rsid w:val="009764CB"/>
    <w:rsid w:val="00977136"/>
    <w:rsid w:val="009775A3"/>
    <w:rsid w:val="009778EA"/>
    <w:rsid w:val="00977A32"/>
    <w:rsid w:val="00977D13"/>
    <w:rsid w:val="00977EF3"/>
    <w:rsid w:val="0098021F"/>
    <w:rsid w:val="00981051"/>
    <w:rsid w:val="0098163B"/>
    <w:rsid w:val="0098301E"/>
    <w:rsid w:val="009833CA"/>
    <w:rsid w:val="009834B1"/>
    <w:rsid w:val="00983653"/>
    <w:rsid w:val="009837DB"/>
    <w:rsid w:val="00983D72"/>
    <w:rsid w:val="00983ED8"/>
    <w:rsid w:val="00984488"/>
    <w:rsid w:val="00984BFF"/>
    <w:rsid w:val="00984EAC"/>
    <w:rsid w:val="00984F36"/>
    <w:rsid w:val="00985B35"/>
    <w:rsid w:val="00985BE6"/>
    <w:rsid w:val="00985F43"/>
    <w:rsid w:val="00986297"/>
    <w:rsid w:val="00986533"/>
    <w:rsid w:val="009868EE"/>
    <w:rsid w:val="00986973"/>
    <w:rsid w:val="00986B83"/>
    <w:rsid w:val="00986C5C"/>
    <w:rsid w:val="00987088"/>
    <w:rsid w:val="0098724E"/>
    <w:rsid w:val="00990439"/>
    <w:rsid w:val="009904A3"/>
    <w:rsid w:val="00990C93"/>
    <w:rsid w:val="009910BA"/>
    <w:rsid w:val="00991750"/>
    <w:rsid w:val="009917D1"/>
    <w:rsid w:val="00991A47"/>
    <w:rsid w:val="009922D4"/>
    <w:rsid w:val="009927A3"/>
    <w:rsid w:val="00992B1B"/>
    <w:rsid w:val="00992E2B"/>
    <w:rsid w:val="00992E80"/>
    <w:rsid w:val="00994213"/>
    <w:rsid w:val="00994589"/>
    <w:rsid w:val="00995BA2"/>
    <w:rsid w:val="00995D3F"/>
    <w:rsid w:val="009969B3"/>
    <w:rsid w:val="00997887"/>
    <w:rsid w:val="0099798B"/>
    <w:rsid w:val="00997A56"/>
    <w:rsid w:val="009A07C4"/>
    <w:rsid w:val="009A08AF"/>
    <w:rsid w:val="009A0966"/>
    <w:rsid w:val="009A0DC4"/>
    <w:rsid w:val="009A1898"/>
    <w:rsid w:val="009A1BED"/>
    <w:rsid w:val="009A2054"/>
    <w:rsid w:val="009A211B"/>
    <w:rsid w:val="009A23CD"/>
    <w:rsid w:val="009A2569"/>
    <w:rsid w:val="009A2F01"/>
    <w:rsid w:val="009A3684"/>
    <w:rsid w:val="009A37AC"/>
    <w:rsid w:val="009A44BC"/>
    <w:rsid w:val="009A5101"/>
    <w:rsid w:val="009A598D"/>
    <w:rsid w:val="009A5A94"/>
    <w:rsid w:val="009A5E50"/>
    <w:rsid w:val="009A622D"/>
    <w:rsid w:val="009A6E3D"/>
    <w:rsid w:val="009A6EFE"/>
    <w:rsid w:val="009A721A"/>
    <w:rsid w:val="009A7BA2"/>
    <w:rsid w:val="009B0335"/>
    <w:rsid w:val="009B04B4"/>
    <w:rsid w:val="009B07BE"/>
    <w:rsid w:val="009B08ED"/>
    <w:rsid w:val="009B0EBB"/>
    <w:rsid w:val="009B156A"/>
    <w:rsid w:val="009B187F"/>
    <w:rsid w:val="009B1BE3"/>
    <w:rsid w:val="009B2C53"/>
    <w:rsid w:val="009B2EC5"/>
    <w:rsid w:val="009B3221"/>
    <w:rsid w:val="009B34F1"/>
    <w:rsid w:val="009B3678"/>
    <w:rsid w:val="009B3C70"/>
    <w:rsid w:val="009B4240"/>
    <w:rsid w:val="009B4B96"/>
    <w:rsid w:val="009B5010"/>
    <w:rsid w:val="009B5074"/>
    <w:rsid w:val="009B53D7"/>
    <w:rsid w:val="009B54FC"/>
    <w:rsid w:val="009B5671"/>
    <w:rsid w:val="009B5C97"/>
    <w:rsid w:val="009B61F0"/>
    <w:rsid w:val="009B63F5"/>
    <w:rsid w:val="009B73FD"/>
    <w:rsid w:val="009B7443"/>
    <w:rsid w:val="009B7570"/>
    <w:rsid w:val="009B75CF"/>
    <w:rsid w:val="009B7D52"/>
    <w:rsid w:val="009B7D86"/>
    <w:rsid w:val="009B7FA7"/>
    <w:rsid w:val="009B7FB1"/>
    <w:rsid w:val="009C00F6"/>
    <w:rsid w:val="009C02D2"/>
    <w:rsid w:val="009C10DF"/>
    <w:rsid w:val="009C162C"/>
    <w:rsid w:val="009C1E32"/>
    <w:rsid w:val="009C2719"/>
    <w:rsid w:val="009C3086"/>
    <w:rsid w:val="009C4001"/>
    <w:rsid w:val="009C4030"/>
    <w:rsid w:val="009C4430"/>
    <w:rsid w:val="009C49C2"/>
    <w:rsid w:val="009C5628"/>
    <w:rsid w:val="009C5D84"/>
    <w:rsid w:val="009C5E85"/>
    <w:rsid w:val="009C62F9"/>
    <w:rsid w:val="009C78B5"/>
    <w:rsid w:val="009D0EED"/>
    <w:rsid w:val="009D10FE"/>
    <w:rsid w:val="009D11A6"/>
    <w:rsid w:val="009D183C"/>
    <w:rsid w:val="009D1C85"/>
    <w:rsid w:val="009D26F8"/>
    <w:rsid w:val="009D3E26"/>
    <w:rsid w:val="009D40D0"/>
    <w:rsid w:val="009D440A"/>
    <w:rsid w:val="009D4807"/>
    <w:rsid w:val="009D483D"/>
    <w:rsid w:val="009D4966"/>
    <w:rsid w:val="009D4B37"/>
    <w:rsid w:val="009D55FE"/>
    <w:rsid w:val="009D58C6"/>
    <w:rsid w:val="009D594E"/>
    <w:rsid w:val="009D5A21"/>
    <w:rsid w:val="009D716D"/>
    <w:rsid w:val="009D740E"/>
    <w:rsid w:val="009D743C"/>
    <w:rsid w:val="009D74AB"/>
    <w:rsid w:val="009D7CE9"/>
    <w:rsid w:val="009E104E"/>
    <w:rsid w:val="009E14B4"/>
    <w:rsid w:val="009E196E"/>
    <w:rsid w:val="009E2316"/>
    <w:rsid w:val="009E2868"/>
    <w:rsid w:val="009E2932"/>
    <w:rsid w:val="009E44AC"/>
    <w:rsid w:val="009E4B27"/>
    <w:rsid w:val="009E55D9"/>
    <w:rsid w:val="009E55F6"/>
    <w:rsid w:val="009E59E8"/>
    <w:rsid w:val="009E62E2"/>
    <w:rsid w:val="009E6AF3"/>
    <w:rsid w:val="009E76CF"/>
    <w:rsid w:val="009E7880"/>
    <w:rsid w:val="009E7D8A"/>
    <w:rsid w:val="009F0534"/>
    <w:rsid w:val="009F095A"/>
    <w:rsid w:val="009F14B7"/>
    <w:rsid w:val="009F1655"/>
    <w:rsid w:val="009F2552"/>
    <w:rsid w:val="009F29CF"/>
    <w:rsid w:val="009F2F43"/>
    <w:rsid w:val="009F3C66"/>
    <w:rsid w:val="009F3E64"/>
    <w:rsid w:val="009F40E4"/>
    <w:rsid w:val="009F47A9"/>
    <w:rsid w:val="009F4B18"/>
    <w:rsid w:val="009F50FB"/>
    <w:rsid w:val="009F5C9B"/>
    <w:rsid w:val="009F6AD3"/>
    <w:rsid w:val="009F6FE8"/>
    <w:rsid w:val="009F7F00"/>
    <w:rsid w:val="00A00387"/>
    <w:rsid w:val="00A00DA8"/>
    <w:rsid w:val="00A00EED"/>
    <w:rsid w:val="00A02134"/>
    <w:rsid w:val="00A02737"/>
    <w:rsid w:val="00A0282E"/>
    <w:rsid w:val="00A03039"/>
    <w:rsid w:val="00A036E6"/>
    <w:rsid w:val="00A03DFC"/>
    <w:rsid w:val="00A045D8"/>
    <w:rsid w:val="00A05041"/>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45AB"/>
    <w:rsid w:val="00A1504E"/>
    <w:rsid w:val="00A15C12"/>
    <w:rsid w:val="00A15CF5"/>
    <w:rsid w:val="00A15F0A"/>
    <w:rsid w:val="00A17352"/>
    <w:rsid w:val="00A21C16"/>
    <w:rsid w:val="00A220E4"/>
    <w:rsid w:val="00A22251"/>
    <w:rsid w:val="00A22892"/>
    <w:rsid w:val="00A22961"/>
    <w:rsid w:val="00A23571"/>
    <w:rsid w:val="00A23741"/>
    <w:rsid w:val="00A238C4"/>
    <w:rsid w:val="00A23E3B"/>
    <w:rsid w:val="00A2436B"/>
    <w:rsid w:val="00A2459A"/>
    <w:rsid w:val="00A24635"/>
    <w:rsid w:val="00A24BDF"/>
    <w:rsid w:val="00A25374"/>
    <w:rsid w:val="00A2563A"/>
    <w:rsid w:val="00A258E2"/>
    <w:rsid w:val="00A25AB1"/>
    <w:rsid w:val="00A2602A"/>
    <w:rsid w:val="00A264A4"/>
    <w:rsid w:val="00A27EE2"/>
    <w:rsid w:val="00A31682"/>
    <w:rsid w:val="00A31DC8"/>
    <w:rsid w:val="00A322A4"/>
    <w:rsid w:val="00A3257B"/>
    <w:rsid w:val="00A32CF6"/>
    <w:rsid w:val="00A33C45"/>
    <w:rsid w:val="00A33C4B"/>
    <w:rsid w:val="00A3408F"/>
    <w:rsid w:val="00A3532E"/>
    <w:rsid w:val="00A359D7"/>
    <w:rsid w:val="00A3613D"/>
    <w:rsid w:val="00A3648B"/>
    <w:rsid w:val="00A36E34"/>
    <w:rsid w:val="00A373EB"/>
    <w:rsid w:val="00A376F0"/>
    <w:rsid w:val="00A401E2"/>
    <w:rsid w:val="00A40548"/>
    <w:rsid w:val="00A407A9"/>
    <w:rsid w:val="00A40942"/>
    <w:rsid w:val="00A4101D"/>
    <w:rsid w:val="00A41A93"/>
    <w:rsid w:val="00A421A7"/>
    <w:rsid w:val="00A424A5"/>
    <w:rsid w:val="00A4292D"/>
    <w:rsid w:val="00A430C2"/>
    <w:rsid w:val="00A431A9"/>
    <w:rsid w:val="00A434BE"/>
    <w:rsid w:val="00A436A7"/>
    <w:rsid w:val="00A44957"/>
    <w:rsid w:val="00A44DD3"/>
    <w:rsid w:val="00A456BB"/>
    <w:rsid w:val="00A458A5"/>
    <w:rsid w:val="00A458F0"/>
    <w:rsid w:val="00A46223"/>
    <w:rsid w:val="00A46733"/>
    <w:rsid w:val="00A46F21"/>
    <w:rsid w:val="00A473A6"/>
    <w:rsid w:val="00A474A3"/>
    <w:rsid w:val="00A477B2"/>
    <w:rsid w:val="00A50D60"/>
    <w:rsid w:val="00A50E42"/>
    <w:rsid w:val="00A510AF"/>
    <w:rsid w:val="00A5186F"/>
    <w:rsid w:val="00A51B7A"/>
    <w:rsid w:val="00A52246"/>
    <w:rsid w:val="00A533DD"/>
    <w:rsid w:val="00A535EF"/>
    <w:rsid w:val="00A539C0"/>
    <w:rsid w:val="00A53DD9"/>
    <w:rsid w:val="00A54073"/>
    <w:rsid w:val="00A54260"/>
    <w:rsid w:val="00A54322"/>
    <w:rsid w:val="00A54423"/>
    <w:rsid w:val="00A54B48"/>
    <w:rsid w:val="00A54D9E"/>
    <w:rsid w:val="00A54DCA"/>
    <w:rsid w:val="00A55586"/>
    <w:rsid w:val="00A55818"/>
    <w:rsid w:val="00A55861"/>
    <w:rsid w:val="00A55880"/>
    <w:rsid w:val="00A563DA"/>
    <w:rsid w:val="00A56BA1"/>
    <w:rsid w:val="00A571E5"/>
    <w:rsid w:val="00A57B65"/>
    <w:rsid w:val="00A57DD0"/>
    <w:rsid w:val="00A60598"/>
    <w:rsid w:val="00A6080D"/>
    <w:rsid w:val="00A60C06"/>
    <w:rsid w:val="00A61061"/>
    <w:rsid w:val="00A613B3"/>
    <w:rsid w:val="00A614CE"/>
    <w:rsid w:val="00A61B59"/>
    <w:rsid w:val="00A62AA2"/>
    <w:rsid w:val="00A62C01"/>
    <w:rsid w:val="00A63929"/>
    <w:rsid w:val="00A63C7F"/>
    <w:rsid w:val="00A63CC5"/>
    <w:rsid w:val="00A6462E"/>
    <w:rsid w:val="00A6470C"/>
    <w:rsid w:val="00A64974"/>
    <w:rsid w:val="00A64CD5"/>
    <w:rsid w:val="00A6503D"/>
    <w:rsid w:val="00A65444"/>
    <w:rsid w:val="00A65A53"/>
    <w:rsid w:val="00A65E61"/>
    <w:rsid w:val="00A66453"/>
    <w:rsid w:val="00A665B0"/>
    <w:rsid w:val="00A666C1"/>
    <w:rsid w:val="00A6671B"/>
    <w:rsid w:val="00A6692E"/>
    <w:rsid w:val="00A66B73"/>
    <w:rsid w:val="00A66F52"/>
    <w:rsid w:val="00A66F54"/>
    <w:rsid w:val="00A67745"/>
    <w:rsid w:val="00A705CE"/>
    <w:rsid w:val="00A70995"/>
    <w:rsid w:val="00A713F3"/>
    <w:rsid w:val="00A719A4"/>
    <w:rsid w:val="00A721D5"/>
    <w:rsid w:val="00A73F8C"/>
    <w:rsid w:val="00A7422D"/>
    <w:rsid w:val="00A74B55"/>
    <w:rsid w:val="00A74C6B"/>
    <w:rsid w:val="00A74CA8"/>
    <w:rsid w:val="00A764EE"/>
    <w:rsid w:val="00A7651E"/>
    <w:rsid w:val="00A7663E"/>
    <w:rsid w:val="00A76A8C"/>
    <w:rsid w:val="00A76C81"/>
    <w:rsid w:val="00A76ECE"/>
    <w:rsid w:val="00A776BC"/>
    <w:rsid w:val="00A77A65"/>
    <w:rsid w:val="00A77B0E"/>
    <w:rsid w:val="00A80493"/>
    <w:rsid w:val="00A808AB"/>
    <w:rsid w:val="00A809D1"/>
    <w:rsid w:val="00A80D97"/>
    <w:rsid w:val="00A8103F"/>
    <w:rsid w:val="00A81878"/>
    <w:rsid w:val="00A81F14"/>
    <w:rsid w:val="00A824AB"/>
    <w:rsid w:val="00A82BC4"/>
    <w:rsid w:val="00A8370E"/>
    <w:rsid w:val="00A83C08"/>
    <w:rsid w:val="00A8411E"/>
    <w:rsid w:val="00A84213"/>
    <w:rsid w:val="00A8492E"/>
    <w:rsid w:val="00A84E01"/>
    <w:rsid w:val="00A8511C"/>
    <w:rsid w:val="00A8574C"/>
    <w:rsid w:val="00A85B7F"/>
    <w:rsid w:val="00A85EFF"/>
    <w:rsid w:val="00A863CC"/>
    <w:rsid w:val="00A86633"/>
    <w:rsid w:val="00A86B37"/>
    <w:rsid w:val="00A874C4"/>
    <w:rsid w:val="00A87A21"/>
    <w:rsid w:val="00A9021B"/>
    <w:rsid w:val="00A908EE"/>
    <w:rsid w:val="00A90C4F"/>
    <w:rsid w:val="00A91510"/>
    <w:rsid w:val="00A9291A"/>
    <w:rsid w:val="00A932C0"/>
    <w:rsid w:val="00A9396E"/>
    <w:rsid w:val="00A93E8C"/>
    <w:rsid w:val="00A94071"/>
    <w:rsid w:val="00A94AA8"/>
    <w:rsid w:val="00A94BF6"/>
    <w:rsid w:val="00A94CA2"/>
    <w:rsid w:val="00A94D08"/>
    <w:rsid w:val="00A94D30"/>
    <w:rsid w:val="00A9543E"/>
    <w:rsid w:val="00A95BB9"/>
    <w:rsid w:val="00A95CFB"/>
    <w:rsid w:val="00A962D1"/>
    <w:rsid w:val="00A968C7"/>
    <w:rsid w:val="00A96ADD"/>
    <w:rsid w:val="00A96BC1"/>
    <w:rsid w:val="00A9711F"/>
    <w:rsid w:val="00A9745D"/>
    <w:rsid w:val="00A97632"/>
    <w:rsid w:val="00AA209F"/>
    <w:rsid w:val="00AA22FA"/>
    <w:rsid w:val="00AA254F"/>
    <w:rsid w:val="00AA2CA4"/>
    <w:rsid w:val="00AA33B9"/>
    <w:rsid w:val="00AA37DB"/>
    <w:rsid w:val="00AA37FF"/>
    <w:rsid w:val="00AA448A"/>
    <w:rsid w:val="00AA44FD"/>
    <w:rsid w:val="00AA464B"/>
    <w:rsid w:val="00AA47FF"/>
    <w:rsid w:val="00AA488B"/>
    <w:rsid w:val="00AA4A43"/>
    <w:rsid w:val="00AA57AC"/>
    <w:rsid w:val="00AA5C83"/>
    <w:rsid w:val="00AA65E0"/>
    <w:rsid w:val="00AA6F40"/>
    <w:rsid w:val="00AA7B2D"/>
    <w:rsid w:val="00AA7E24"/>
    <w:rsid w:val="00AA7F29"/>
    <w:rsid w:val="00AB0D64"/>
    <w:rsid w:val="00AB10FF"/>
    <w:rsid w:val="00AB2DC8"/>
    <w:rsid w:val="00AB3003"/>
    <w:rsid w:val="00AB425A"/>
    <w:rsid w:val="00AB4A94"/>
    <w:rsid w:val="00AB4F71"/>
    <w:rsid w:val="00AB5A22"/>
    <w:rsid w:val="00AB5DE9"/>
    <w:rsid w:val="00AB600A"/>
    <w:rsid w:val="00AB626B"/>
    <w:rsid w:val="00AB6790"/>
    <w:rsid w:val="00AB6963"/>
    <w:rsid w:val="00AB755D"/>
    <w:rsid w:val="00AC01F0"/>
    <w:rsid w:val="00AC02A4"/>
    <w:rsid w:val="00AC059B"/>
    <w:rsid w:val="00AC1913"/>
    <w:rsid w:val="00AC2DAE"/>
    <w:rsid w:val="00AC34EA"/>
    <w:rsid w:val="00AC42B0"/>
    <w:rsid w:val="00AC4318"/>
    <w:rsid w:val="00AC49DB"/>
    <w:rsid w:val="00AC4BA2"/>
    <w:rsid w:val="00AC5C5C"/>
    <w:rsid w:val="00AC5FDC"/>
    <w:rsid w:val="00AC6474"/>
    <w:rsid w:val="00AC6D2B"/>
    <w:rsid w:val="00AC70AF"/>
    <w:rsid w:val="00AC78FF"/>
    <w:rsid w:val="00AC7B3F"/>
    <w:rsid w:val="00AC7C1C"/>
    <w:rsid w:val="00AC7CE1"/>
    <w:rsid w:val="00AD08E4"/>
    <w:rsid w:val="00AD11E1"/>
    <w:rsid w:val="00AD1323"/>
    <w:rsid w:val="00AD135B"/>
    <w:rsid w:val="00AD231E"/>
    <w:rsid w:val="00AD4F19"/>
    <w:rsid w:val="00AD5464"/>
    <w:rsid w:val="00AD5A19"/>
    <w:rsid w:val="00AD5AD7"/>
    <w:rsid w:val="00AD5EA5"/>
    <w:rsid w:val="00AD602C"/>
    <w:rsid w:val="00AD6103"/>
    <w:rsid w:val="00AD64D3"/>
    <w:rsid w:val="00AD6C1A"/>
    <w:rsid w:val="00AD6D4B"/>
    <w:rsid w:val="00AD7C14"/>
    <w:rsid w:val="00AE066B"/>
    <w:rsid w:val="00AE07D5"/>
    <w:rsid w:val="00AE0B4C"/>
    <w:rsid w:val="00AE0D45"/>
    <w:rsid w:val="00AE112B"/>
    <w:rsid w:val="00AE1A40"/>
    <w:rsid w:val="00AE1B3A"/>
    <w:rsid w:val="00AE208F"/>
    <w:rsid w:val="00AE2319"/>
    <w:rsid w:val="00AE2340"/>
    <w:rsid w:val="00AE2637"/>
    <w:rsid w:val="00AE2918"/>
    <w:rsid w:val="00AE2DDA"/>
    <w:rsid w:val="00AE2F8A"/>
    <w:rsid w:val="00AE3203"/>
    <w:rsid w:val="00AE34AD"/>
    <w:rsid w:val="00AE385C"/>
    <w:rsid w:val="00AE3E09"/>
    <w:rsid w:val="00AE3E7C"/>
    <w:rsid w:val="00AE4CCF"/>
    <w:rsid w:val="00AE5197"/>
    <w:rsid w:val="00AE5BA9"/>
    <w:rsid w:val="00AE5CB3"/>
    <w:rsid w:val="00AE60CF"/>
    <w:rsid w:val="00AE62EB"/>
    <w:rsid w:val="00AE63B0"/>
    <w:rsid w:val="00AE69AC"/>
    <w:rsid w:val="00AE70E3"/>
    <w:rsid w:val="00AE7424"/>
    <w:rsid w:val="00AE7554"/>
    <w:rsid w:val="00AE7FC5"/>
    <w:rsid w:val="00AF0C05"/>
    <w:rsid w:val="00AF11CA"/>
    <w:rsid w:val="00AF127F"/>
    <w:rsid w:val="00AF1799"/>
    <w:rsid w:val="00AF1AD0"/>
    <w:rsid w:val="00AF1B87"/>
    <w:rsid w:val="00AF1CB0"/>
    <w:rsid w:val="00AF23ED"/>
    <w:rsid w:val="00AF306D"/>
    <w:rsid w:val="00AF362D"/>
    <w:rsid w:val="00AF38C6"/>
    <w:rsid w:val="00AF3B5D"/>
    <w:rsid w:val="00AF4007"/>
    <w:rsid w:val="00AF4746"/>
    <w:rsid w:val="00AF4A98"/>
    <w:rsid w:val="00AF4FFF"/>
    <w:rsid w:val="00AF5A7C"/>
    <w:rsid w:val="00AF5D5F"/>
    <w:rsid w:val="00AF7769"/>
    <w:rsid w:val="00AF78EC"/>
    <w:rsid w:val="00B001E1"/>
    <w:rsid w:val="00B00256"/>
    <w:rsid w:val="00B00412"/>
    <w:rsid w:val="00B0053A"/>
    <w:rsid w:val="00B00B0E"/>
    <w:rsid w:val="00B00B71"/>
    <w:rsid w:val="00B010CF"/>
    <w:rsid w:val="00B01112"/>
    <w:rsid w:val="00B011C5"/>
    <w:rsid w:val="00B01949"/>
    <w:rsid w:val="00B021A3"/>
    <w:rsid w:val="00B0275C"/>
    <w:rsid w:val="00B02A29"/>
    <w:rsid w:val="00B02B1E"/>
    <w:rsid w:val="00B03730"/>
    <w:rsid w:val="00B03886"/>
    <w:rsid w:val="00B03A87"/>
    <w:rsid w:val="00B04A5D"/>
    <w:rsid w:val="00B04BDC"/>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1E70"/>
    <w:rsid w:val="00B11EBB"/>
    <w:rsid w:val="00B12310"/>
    <w:rsid w:val="00B12978"/>
    <w:rsid w:val="00B12EC5"/>
    <w:rsid w:val="00B13130"/>
    <w:rsid w:val="00B14528"/>
    <w:rsid w:val="00B145B0"/>
    <w:rsid w:val="00B147CC"/>
    <w:rsid w:val="00B148DB"/>
    <w:rsid w:val="00B1520C"/>
    <w:rsid w:val="00B158C8"/>
    <w:rsid w:val="00B15962"/>
    <w:rsid w:val="00B15A00"/>
    <w:rsid w:val="00B15C98"/>
    <w:rsid w:val="00B15F35"/>
    <w:rsid w:val="00B16069"/>
    <w:rsid w:val="00B16CF2"/>
    <w:rsid w:val="00B16FA4"/>
    <w:rsid w:val="00B1790B"/>
    <w:rsid w:val="00B20664"/>
    <w:rsid w:val="00B208C9"/>
    <w:rsid w:val="00B20A72"/>
    <w:rsid w:val="00B214E2"/>
    <w:rsid w:val="00B2187A"/>
    <w:rsid w:val="00B219CC"/>
    <w:rsid w:val="00B21EE7"/>
    <w:rsid w:val="00B22CEC"/>
    <w:rsid w:val="00B23133"/>
    <w:rsid w:val="00B23740"/>
    <w:rsid w:val="00B23BE3"/>
    <w:rsid w:val="00B23F69"/>
    <w:rsid w:val="00B2464B"/>
    <w:rsid w:val="00B24748"/>
    <w:rsid w:val="00B25078"/>
    <w:rsid w:val="00B26719"/>
    <w:rsid w:val="00B270E2"/>
    <w:rsid w:val="00B2737F"/>
    <w:rsid w:val="00B27DF0"/>
    <w:rsid w:val="00B30B43"/>
    <w:rsid w:val="00B315C7"/>
    <w:rsid w:val="00B3187E"/>
    <w:rsid w:val="00B31AF5"/>
    <w:rsid w:val="00B31FD6"/>
    <w:rsid w:val="00B32323"/>
    <w:rsid w:val="00B3281F"/>
    <w:rsid w:val="00B33615"/>
    <w:rsid w:val="00B33C2F"/>
    <w:rsid w:val="00B33E5C"/>
    <w:rsid w:val="00B34008"/>
    <w:rsid w:val="00B346AE"/>
    <w:rsid w:val="00B34C66"/>
    <w:rsid w:val="00B35A1C"/>
    <w:rsid w:val="00B35A36"/>
    <w:rsid w:val="00B35C48"/>
    <w:rsid w:val="00B365F6"/>
    <w:rsid w:val="00B36D83"/>
    <w:rsid w:val="00B378D5"/>
    <w:rsid w:val="00B37E1B"/>
    <w:rsid w:val="00B40823"/>
    <w:rsid w:val="00B41592"/>
    <w:rsid w:val="00B4171E"/>
    <w:rsid w:val="00B41781"/>
    <w:rsid w:val="00B42851"/>
    <w:rsid w:val="00B43352"/>
    <w:rsid w:val="00B44B2F"/>
    <w:rsid w:val="00B45329"/>
    <w:rsid w:val="00B4585C"/>
    <w:rsid w:val="00B45DFF"/>
    <w:rsid w:val="00B46053"/>
    <w:rsid w:val="00B46BCD"/>
    <w:rsid w:val="00B504B8"/>
    <w:rsid w:val="00B51979"/>
    <w:rsid w:val="00B51BE0"/>
    <w:rsid w:val="00B5270F"/>
    <w:rsid w:val="00B52866"/>
    <w:rsid w:val="00B52AC5"/>
    <w:rsid w:val="00B52ED2"/>
    <w:rsid w:val="00B52FD3"/>
    <w:rsid w:val="00B532A0"/>
    <w:rsid w:val="00B54163"/>
    <w:rsid w:val="00B54939"/>
    <w:rsid w:val="00B55000"/>
    <w:rsid w:val="00B55CCC"/>
    <w:rsid w:val="00B55D36"/>
    <w:rsid w:val="00B56411"/>
    <w:rsid w:val="00B56612"/>
    <w:rsid w:val="00B56629"/>
    <w:rsid w:val="00B57617"/>
    <w:rsid w:val="00B5767E"/>
    <w:rsid w:val="00B5790E"/>
    <w:rsid w:val="00B57FBD"/>
    <w:rsid w:val="00B6036B"/>
    <w:rsid w:val="00B60632"/>
    <w:rsid w:val="00B60658"/>
    <w:rsid w:val="00B609FF"/>
    <w:rsid w:val="00B618B6"/>
    <w:rsid w:val="00B629E5"/>
    <w:rsid w:val="00B62A7E"/>
    <w:rsid w:val="00B62FF8"/>
    <w:rsid w:val="00B63371"/>
    <w:rsid w:val="00B636FC"/>
    <w:rsid w:val="00B637A1"/>
    <w:rsid w:val="00B63B4B"/>
    <w:rsid w:val="00B63B54"/>
    <w:rsid w:val="00B63FC5"/>
    <w:rsid w:val="00B642B9"/>
    <w:rsid w:val="00B64518"/>
    <w:rsid w:val="00B64ED3"/>
    <w:rsid w:val="00B652DB"/>
    <w:rsid w:val="00B6569C"/>
    <w:rsid w:val="00B65872"/>
    <w:rsid w:val="00B65AAE"/>
    <w:rsid w:val="00B65C81"/>
    <w:rsid w:val="00B66245"/>
    <w:rsid w:val="00B66EB2"/>
    <w:rsid w:val="00B67B0E"/>
    <w:rsid w:val="00B67B47"/>
    <w:rsid w:val="00B67C79"/>
    <w:rsid w:val="00B70641"/>
    <w:rsid w:val="00B70E0E"/>
    <w:rsid w:val="00B7246E"/>
    <w:rsid w:val="00B73CAB"/>
    <w:rsid w:val="00B7439B"/>
    <w:rsid w:val="00B7489E"/>
    <w:rsid w:val="00B75853"/>
    <w:rsid w:val="00B75D4E"/>
    <w:rsid w:val="00B766C6"/>
    <w:rsid w:val="00B76F43"/>
    <w:rsid w:val="00B77015"/>
    <w:rsid w:val="00B775FF"/>
    <w:rsid w:val="00B77743"/>
    <w:rsid w:val="00B800D5"/>
    <w:rsid w:val="00B802CE"/>
    <w:rsid w:val="00B812A8"/>
    <w:rsid w:val="00B81A4D"/>
    <w:rsid w:val="00B81C2F"/>
    <w:rsid w:val="00B81E59"/>
    <w:rsid w:val="00B8219B"/>
    <w:rsid w:val="00B8389D"/>
    <w:rsid w:val="00B838EB"/>
    <w:rsid w:val="00B83E4D"/>
    <w:rsid w:val="00B83F35"/>
    <w:rsid w:val="00B84517"/>
    <w:rsid w:val="00B84C4F"/>
    <w:rsid w:val="00B84DBA"/>
    <w:rsid w:val="00B84E2A"/>
    <w:rsid w:val="00B85B41"/>
    <w:rsid w:val="00B85FC7"/>
    <w:rsid w:val="00B8640F"/>
    <w:rsid w:val="00B86CF8"/>
    <w:rsid w:val="00B86E92"/>
    <w:rsid w:val="00B86FB9"/>
    <w:rsid w:val="00B871A5"/>
    <w:rsid w:val="00B90041"/>
    <w:rsid w:val="00B90986"/>
    <w:rsid w:val="00B912A7"/>
    <w:rsid w:val="00B913F6"/>
    <w:rsid w:val="00B914CC"/>
    <w:rsid w:val="00B9160A"/>
    <w:rsid w:val="00B9169A"/>
    <w:rsid w:val="00B92132"/>
    <w:rsid w:val="00B92EB8"/>
    <w:rsid w:val="00B93419"/>
    <w:rsid w:val="00B93BAF"/>
    <w:rsid w:val="00B9414A"/>
    <w:rsid w:val="00B94179"/>
    <w:rsid w:val="00B9445F"/>
    <w:rsid w:val="00B94764"/>
    <w:rsid w:val="00B9558A"/>
    <w:rsid w:val="00B9570C"/>
    <w:rsid w:val="00B95F30"/>
    <w:rsid w:val="00B95F6C"/>
    <w:rsid w:val="00B962EC"/>
    <w:rsid w:val="00B96558"/>
    <w:rsid w:val="00B9666F"/>
    <w:rsid w:val="00B96715"/>
    <w:rsid w:val="00B975F5"/>
    <w:rsid w:val="00B9770B"/>
    <w:rsid w:val="00B97B76"/>
    <w:rsid w:val="00B97ECB"/>
    <w:rsid w:val="00BA075B"/>
    <w:rsid w:val="00BA0B9A"/>
    <w:rsid w:val="00BA1621"/>
    <w:rsid w:val="00BA189B"/>
    <w:rsid w:val="00BA2168"/>
    <w:rsid w:val="00BA23FB"/>
    <w:rsid w:val="00BA24F4"/>
    <w:rsid w:val="00BA2755"/>
    <w:rsid w:val="00BA2F72"/>
    <w:rsid w:val="00BA361F"/>
    <w:rsid w:val="00BA365D"/>
    <w:rsid w:val="00BA391E"/>
    <w:rsid w:val="00BA3F0C"/>
    <w:rsid w:val="00BA4A55"/>
    <w:rsid w:val="00BA4D9B"/>
    <w:rsid w:val="00BA4E11"/>
    <w:rsid w:val="00BA5449"/>
    <w:rsid w:val="00BA5727"/>
    <w:rsid w:val="00BA595A"/>
    <w:rsid w:val="00BA6B22"/>
    <w:rsid w:val="00BA7415"/>
    <w:rsid w:val="00BA7E18"/>
    <w:rsid w:val="00BB01CC"/>
    <w:rsid w:val="00BB0829"/>
    <w:rsid w:val="00BB0CD7"/>
    <w:rsid w:val="00BB13C7"/>
    <w:rsid w:val="00BB2271"/>
    <w:rsid w:val="00BB22D8"/>
    <w:rsid w:val="00BB2A45"/>
    <w:rsid w:val="00BB359F"/>
    <w:rsid w:val="00BB35EA"/>
    <w:rsid w:val="00BB3C7D"/>
    <w:rsid w:val="00BB4EFA"/>
    <w:rsid w:val="00BB514E"/>
    <w:rsid w:val="00BB519B"/>
    <w:rsid w:val="00BB5315"/>
    <w:rsid w:val="00BB53DB"/>
    <w:rsid w:val="00BB5B0C"/>
    <w:rsid w:val="00BB5E60"/>
    <w:rsid w:val="00BB5ECA"/>
    <w:rsid w:val="00BB69EC"/>
    <w:rsid w:val="00BB6E50"/>
    <w:rsid w:val="00BB6FDC"/>
    <w:rsid w:val="00BB7913"/>
    <w:rsid w:val="00BC1241"/>
    <w:rsid w:val="00BC1374"/>
    <w:rsid w:val="00BC14DA"/>
    <w:rsid w:val="00BC1747"/>
    <w:rsid w:val="00BC1EE6"/>
    <w:rsid w:val="00BC2570"/>
    <w:rsid w:val="00BC2920"/>
    <w:rsid w:val="00BC339C"/>
    <w:rsid w:val="00BC391B"/>
    <w:rsid w:val="00BC3F51"/>
    <w:rsid w:val="00BC454C"/>
    <w:rsid w:val="00BC48C5"/>
    <w:rsid w:val="00BC4FD0"/>
    <w:rsid w:val="00BC572C"/>
    <w:rsid w:val="00BC5AE0"/>
    <w:rsid w:val="00BC616A"/>
    <w:rsid w:val="00BC6531"/>
    <w:rsid w:val="00BC669B"/>
    <w:rsid w:val="00BC7152"/>
    <w:rsid w:val="00BC715C"/>
    <w:rsid w:val="00BC7F4F"/>
    <w:rsid w:val="00BD09D5"/>
    <w:rsid w:val="00BD139D"/>
    <w:rsid w:val="00BD1440"/>
    <w:rsid w:val="00BD172F"/>
    <w:rsid w:val="00BD3C3A"/>
    <w:rsid w:val="00BD3C93"/>
    <w:rsid w:val="00BD3F1F"/>
    <w:rsid w:val="00BD4FEC"/>
    <w:rsid w:val="00BD5456"/>
    <w:rsid w:val="00BD5B35"/>
    <w:rsid w:val="00BD5C8D"/>
    <w:rsid w:val="00BD5D71"/>
    <w:rsid w:val="00BD6486"/>
    <w:rsid w:val="00BD7AB1"/>
    <w:rsid w:val="00BD7AF2"/>
    <w:rsid w:val="00BD7D2F"/>
    <w:rsid w:val="00BD7EE7"/>
    <w:rsid w:val="00BE118A"/>
    <w:rsid w:val="00BE1434"/>
    <w:rsid w:val="00BE151A"/>
    <w:rsid w:val="00BE1658"/>
    <w:rsid w:val="00BE2373"/>
    <w:rsid w:val="00BE3064"/>
    <w:rsid w:val="00BE352C"/>
    <w:rsid w:val="00BE3771"/>
    <w:rsid w:val="00BE5340"/>
    <w:rsid w:val="00BE5B2F"/>
    <w:rsid w:val="00BE5FCF"/>
    <w:rsid w:val="00BE62DE"/>
    <w:rsid w:val="00BE63C7"/>
    <w:rsid w:val="00BE6DAC"/>
    <w:rsid w:val="00BE6F03"/>
    <w:rsid w:val="00BE742A"/>
    <w:rsid w:val="00BE7D0B"/>
    <w:rsid w:val="00BF0E4D"/>
    <w:rsid w:val="00BF0F88"/>
    <w:rsid w:val="00BF101D"/>
    <w:rsid w:val="00BF282C"/>
    <w:rsid w:val="00BF2C75"/>
    <w:rsid w:val="00BF3CB8"/>
    <w:rsid w:val="00BF3D48"/>
    <w:rsid w:val="00BF5478"/>
    <w:rsid w:val="00BF58D5"/>
    <w:rsid w:val="00BF682D"/>
    <w:rsid w:val="00BF7113"/>
    <w:rsid w:val="00BF746B"/>
    <w:rsid w:val="00BF7EAD"/>
    <w:rsid w:val="00C005ED"/>
    <w:rsid w:val="00C01006"/>
    <w:rsid w:val="00C01B17"/>
    <w:rsid w:val="00C026B8"/>
    <w:rsid w:val="00C02DC8"/>
    <w:rsid w:val="00C02FFA"/>
    <w:rsid w:val="00C04D55"/>
    <w:rsid w:val="00C05054"/>
    <w:rsid w:val="00C0506F"/>
    <w:rsid w:val="00C0524A"/>
    <w:rsid w:val="00C052A6"/>
    <w:rsid w:val="00C05302"/>
    <w:rsid w:val="00C0550A"/>
    <w:rsid w:val="00C064A3"/>
    <w:rsid w:val="00C069D4"/>
    <w:rsid w:val="00C072AB"/>
    <w:rsid w:val="00C075C2"/>
    <w:rsid w:val="00C0768F"/>
    <w:rsid w:val="00C076CA"/>
    <w:rsid w:val="00C07B75"/>
    <w:rsid w:val="00C100FB"/>
    <w:rsid w:val="00C1095C"/>
    <w:rsid w:val="00C10E23"/>
    <w:rsid w:val="00C11F5A"/>
    <w:rsid w:val="00C127DA"/>
    <w:rsid w:val="00C12862"/>
    <w:rsid w:val="00C12CE5"/>
    <w:rsid w:val="00C14049"/>
    <w:rsid w:val="00C14752"/>
    <w:rsid w:val="00C14AE7"/>
    <w:rsid w:val="00C14D13"/>
    <w:rsid w:val="00C14DF4"/>
    <w:rsid w:val="00C1610A"/>
    <w:rsid w:val="00C172DC"/>
    <w:rsid w:val="00C178C8"/>
    <w:rsid w:val="00C17978"/>
    <w:rsid w:val="00C17B3E"/>
    <w:rsid w:val="00C207EA"/>
    <w:rsid w:val="00C209A6"/>
    <w:rsid w:val="00C212D6"/>
    <w:rsid w:val="00C21485"/>
    <w:rsid w:val="00C221B9"/>
    <w:rsid w:val="00C221EC"/>
    <w:rsid w:val="00C222A1"/>
    <w:rsid w:val="00C2258B"/>
    <w:rsid w:val="00C225D2"/>
    <w:rsid w:val="00C22709"/>
    <w:rsid w:val="00C22F0F"/>
    <w:rsid w:val="00C233FF"/>
    <w:rsid w:val="00C235F2"/>
    <w:rsid w:val="00C23C1D"/>
    <w:rsid w:val="00C24060"/>
    <w:rsid w:val="00C24897"/>
    <w:rsid w:val="00C249BA"/>
    <w:rsid w:val="00C25432"/>
    <w:rsid w:val="00C2544F"/>
    <w:rsid w:val="00C254A3"/>
    <w:rsid w:val="00C25556"/>
    <w:rsid w:val="00C260E5"/>
    <w:rsid w:val="00C26413"/>
    <w:rsid w:val="00C26E5D"/>
    <w:rsid w:val="00C30340"/>
    <w:rsid w:val="00C307F7"/>
    <w:rsid w:val="00C30D75"/>
    <w:rsid w:val="00C30D83"/>
    <w:rsid w:val="00C31232"/>
    <w:rsid w:val="00C313DD"/>
    <w:rsid w:val="00C31763"/>
    <w:rsid w:val="00C319F8"/>
    <w:rsid w:val="00C31AF4"/>
    <w:rsid w:val="00C32780"/>
    <w:rsid w:val="00C32AEA"/>
    <w:rsid w:val="00C32C5F"/>
    <w:rsid w:val="00C3352B"/>
    <w:rsid w:val="00C33A00"/>
    <w:rsid w:val="00C341D2"/>
    <w:rsid w:val="00C344C9"/>
    <w:rsid w:val="00C35BB3"/>
    <w:rsid w:val="00C35D19"/>
    <w:rsid w:val="00C35E80"/>
    <w:rsid w:val="00C365BC"/>
    <w:rsid w:val="00C36771"/>
    <w:rsid w:val="00C37227"/>
    <w:rsid w:val="00C374DB"/>
    <w:rsid w:val="00C37928"/>
    <w:rsid w:val="00C37CC0"/>
    <w:rsid w:val="00C37DE8"/>
    <w:rsid w:val="00C37DF5"/>
    <w:rsid w:val="00C40520"/>
    <w:rsid w:val="00C40A4A"/>
    <w:rsid w:val="00C40BE7"/>
    <w:rsid w:val="00C41161"/>
    <w:rsid w:val="00C411DE"/>
    <w:rsid w:val="00C41365"/>
    <w:rsid w:val="00C41659"/>
    <w:rsid w:val="00C4248C"/>
    <w:rsid w:val="00C436F4"/>
    <w:rsid w:val="00C43CD8"/>
    <w:rsid w:val="00C43D1E"/>
    <w:rsid w:val="00C43DEC"/>
    <w:rsid w:val="00C440BC"/>
    <w:rsid w:val="00C44417"/>
    <w:rsid w:val="00C447CF"/>
    <w:rsid w:val="00C4554C"/>
    <w:rsid w:val="00C45C25"/>
    <w:rsid w:val="00C45E0F"/>
    <w:rsid w:val="00C463F6"/>
    <w:rsid w:val="00C46CF4"/>
    <w:rsid w:val="00C47078"/>
    <w:rsid w:val="00C47132"/>
    <w:rsid w:val="00C47C5F"/>
    <w:rsid w:val="00C47D6C"/>
    <w:rsid w:val="00C501AF"/>
    <w:rsid w:val="00C50AC0"/>
    <w:rsid w:val="00C50B0E"/>
    <w:rsid w:val="00C50FA9"/>
    <w:rsid w:val="00C51065"/>
    <w:rsid w:val="00C516B5"/>
    <w:rsid w:val="00C51E67"/>
    <w:rsid w:val="00C52368"/>
    <w:rsid w:val="00C52526"/>
    <w:rsid w:val="00C52786"/>
    <w:rsid w:val="00C53A92"/>
    <w:rsid w:val="00C53E01"/>
    <w:rsid w:val="00C53F26"/>
    <w:rsid w:val="00C54520"/>
    <w:rsid w:val="00C548D0"/>
    <w:rsid w:val="00C54A35"/>
    <w:rsid w:val="00C54C3A"/>
    <w:rsid w:val="00C55342"/>
    <w:rsid w:val="00C55B70"/>
    <w:rsid w:val="00C55BBF"/>
    <w:rsid w:val="00C56608"/>
    <w:rsid w:val="00C569E2"/>
    <w:rsid w:val="00C56B46"/>
    <w:rsid w:val="00C56D51"/>
    <w:rsid w:val="00C56D96"/>
    <w:rsid w:val="00C56DF9"/>
    <w:rsid w:val="00C56EAB"/>
    <w:rsid w:val="00C5777F"/>
    <w:rsid w:val="00C57A17"/>
    <w:rsid w:val="00C57F84"/>
    <w:rsid w:val="00C600AB"/>
    <w:rsid w:val="00C60518"/>
    <w:rsid w:val="00C60857"/>
    <w:rsid w:val="00C60A3A"/>
    <w:rsid w:val="00C60D93"/>
    <w:rsid w:val="00C60DF4"/>
    <w:rsid w:val="00C61149"/>
    <w:rsid w:val="00C61AEB"/>
    <w:rsid w:val="00C61E62"/>
    <w:rsid w:val="00C62981"/>
    <w:rsid w:val="00C62E46"/>
    <w:rsid w:val="00C635A8"/>
    <w:rsid w:val="00C63824"/>
    <w:rsid w:val="00C63BD1"/>
    <w:rsid w:val="00C63F4E"/>
    <w:rsid w:val="00C64174"/>
    <w:rsid w:val="00C641E4"/>
    <w:rsid w:val="00C64440"/>
    <w:rsid w:val="00C64FAF"/>
    <w:rsid w:val="00C65670"/>
    <w:rsid w:val="00C6641A"/>
    <w:rsid w:val="00C6642D"/>
    <w:rsid w:val="00C6692D"/>
    <w:rsid w:val="00C6719B"/>
    <w:rsid w:val="00C679E5"/>
    <w:rsid w:val="00C70845"/>
    <w:rsid w:val="00C70B9E"/>
    <w:rsid w:val="00C70E55"/>
    <w:rsid w:val="00C71194"/>
    <w:rsid w:val="00C7191E"/>
    <w:rsid w:val="00C719DA"/>
    <w:rsid w:val="00C71B13"/>
    <w:rsid w:val="00C71C59"/>
    <w:rsid w:val="00C71DCD"/>
    <w:rsid w:val="00C71FF8"/>
    <w:rsid w:val="00C727A8"/>
    <w:rsid w:val="00C72869"/>
    <w:rsid w:val="00C72CD1"/>
    <w:rsid w:val="00C730F7"/>
    <w:rsid w:val="00C733C8"/>
    <w:rsid w:val="00C74CDD"/>
    <w:rsid w:val="00C752E6"/>
    <w:rsid w:val="00C75C8A"/>
    <w:rsid w:val="00C75CBA"/>
    <w:rsid w:val="00C75FBD"/>
    <w:rsid w:val="00C7643A"/>
    <w:rsid w:val="00C7683D"/>
    <w:rsid w:val="00C76A58"/>
    <w:rsid w:val="00C7715C"/>
    <w:rsid w:val="00C775AB"/>
    <w:rsid w:val="00C80539"/>
    <w:rsid w:val="00C8059C"/>
    <w:rsid w:val="00C80CC5"/>
    <w:rsid w:val="00C81211"/>
    <w:rsid w:val="00C8123A"/>
    <w:rsid w:val="00C812B0"/>
    <w:rsid w:val="00C81D1F"/>
    <w:rsid w:val="00C82065"/>
    <w:rsid w:val="00C820B5"/>
    <w:rsid w:val="00C82112"/>
    <w:rsid w:val="00C822BD"/>
    <w:rsid w:val="00C8275D"/>
    <w:rsid w:val="00C827A6"/>
    <w:rsid w:val="00C82CF2"/>
    <w:rsid w:val="00C82E3C"/>
    <w:rsid w:val="00C83A7C"/>
    <w:rsid w:val="00C84632"/>
    <w:rsid w:val="00C848B4"/>
    <w:rsid w:val="00C851BF"/>
    <w:rsid w:val="00C8560D"/>
    <w:rsid w:val="00C85F2F"/>
    <w:rsid w:val="00C87415"/>
    <w:rsid w:val="00C87D33"/>
    <w:rsid w:val="00C87E83"/>
    <w:rsid w:val="00C87F79"/>
    <w:rsid w:val="00C907EA"/>
    <w:rsid w:val="00C9194B"/>
    <w:rsid w:val="00C91AB0"/>
    <w:rsid w:val="00C92003"/>
    <w:rsid w:val="00C921A0"/>
    <w:rsid w:val="00C92234"/>
    <w:rsid w:val="00C924AE"/>
    <w:rsid w:val="00C925B7"/>
    <w:rsid w:val="00C92B63"/>
    <w:rsid w:val="00C92CF9"/>
    <w:rsid w:val="00C936AF"/>
    <w:rsid w:val="00C93A12"/>
    <w:rsid w:val="00C93C29"/>
    <w:rsid w:val="00C94175"/>
    <w:rsid w:val="00C9454F"/>
    <w:rsid w:val="00C950F8"/>
    <w:rsid w:val="00C95253"/>
    <w:rsid w:val="00C9527D"/>
    <w:rsid w:val="00C958D4"/>
    <w:rsid w:val="00C95C95"/>
    <w:rsid w:val="00C95CBF"/>
    <w:rsid w:val="00C96B34"/>
    <w:rsid w:val="00C96B5F"/>
    <w:rsid w:val="00C96D9A"/>
    <w:rsid w:val="00C971DB"/>
    <w:rsid w:val="00C972EF"/>
    <w:rsid w:val="00C9738B"/>
    <w:rsid w:val="00C97407"/>
    <w:rsid w:val="00C976DA"/>
    <w:rsid w:val="00CA0078"/>
    <w:rsid w:val="00CA0275"/>
    <w:rsid w:val="00CA027C"/>
    <w:rsid w:val="00CA0C11"/>
    <w:rsid w:val="00CA0C38"/>
    <w:rsid w:val="00CA16CD"/>
    <w:rsid w:val="00CA17FD"/>
    <w:rsid w:val="00CA20FF"/>
    <w:rsid w:val="00CA2633"/>
    <w:rsid w:val="00CA2A25"/>
    <w:rsid w:val="00CA2AC0"/>
    <w:rsid w:val="00CA2C99"/>
    <w:rsid w:val="00CA2D15"/>
    <w:rsid w:val="00CA30DC"/>
    <w:rsid w:val="00CA3169"/>
    <w:rsid w:val="00CA3500"/>
    <w:rsid w:val="00CA35C6"/>
    <w:rsid w:val="00CA3893"/>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32F"/>
    <w:rsid w:val="00CB3B18"/>
    <w:rsid w:val="00CB3EB0"/>
    <w:rsid w:val="00CB450B"/>
    <w:rsid w:val="00CB462C"/>
    <w:rsid w:val="00CB4AC8"/>
    <w:rsid w:val="00CB4F36"/>
    <w:rsid w:val="00CB564E"/>
    <w:rsid w:val="00CB599C"/>
    <w:rsid w:val="00CB5B1A"/>
    <w:rsid w:val="00CB5DF1"/>
    <w:rsid w:val="00CB60F8"/>
    <w:rsid w:val="00CB7689"/>
    <w:rsid w:val="00CB7832"/>
    <w:rsid w:val="00CB7AAA"/>
    <w:rsid w:val="00CC115B"/>
    <w:rsid w:val="00CC11CD"/>
    <w:rsid w:val="00CC12BC"/>
    <w:rsid w:val="00CC1310"/>
    <w:rsid w:val="00CC13A2"/>
    <w:rsid w:val="00CC1C86"/>
    <w:rsid w:val="00CC260D"/>
    <w:rsid w:val="00CC2A09"/>
    <w:rsid w:val="00CC3213"/>
    <w:rsid w:val="00CC33E0"/>
    <w:rsid w:val="00CC3504"/>
    <w:rsid w:val="00CC36A6"/>
    <w:rsid w:val="00CC3935"/>
    <w:rsid w:val="00CC3ADA"/>
    <w:rsid w:val="00CC401C"/>
    <w:rsid w:val="00CC4A26"/>
    <w:rsid w:val="00CC4E66"/>
    <w:rsid w:val="00CC52F5"/>
    <w:rsid w:val="00CC573A"/>
    <w:rsid w:val="00CC5791"/>
    <w:rsid w:val="00CC64E0"/>
    <w:rsid w:val="00CC6A8E"/>
    <w:rsid w:val="00CC6BC9"/>
    <w:rsid w:val="00CC73BE"/>
    <w:rsid w:val="00CC7C53"/>
    <w:rsid w:val="00CC7D75"/>
    <w:rsid w:val="00CC7DDC"/>
    <w:rsid w:val="00CD049D"/>
    <w:rsid w:val="00CD1177"/>
    <w:rsid w:val="00CD1B21"/>
    <w:rsid w:val="00CD1CFE"/>
    <w:rsid w:val="00CD292D"/>
    <w:rsid w:val="00CD2948"/>
    <w:rsid w:val="00CD2964"/>
    <w:rsid w:val="00CD2BB5"/>
    <w:rsid w:val="00CD2ED6"/>
    <w:rsid w:val="00CD3247"/>
    <w:rsid w:val="00CD3B42"/>
    <w:rsid w:val="00CD40A2"/>
    <w:rsid w:val="00CD412F"/>
    <w:rsid w:val="00CD4146"/>
    <w:rsid w:val="00CD4994"/>
    <w:rsid w:val="00CD5F84"/>
    <w:rsid w:val="00CD65BA"/>
    <w:rsid w:val="00CD6B7E"/>
    <w:rsid w:val="00CD6F63"/>
    <w:rsid w:val="00CD7356"/>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5F63"/>
    <w:rsid w:val="00CE62A9"/>
    <w:rsid w:val="00CE72C4"/>
    <w:rsid w:val="00CE75AC"/>
    <w:rsid w:val="00CE7A79"/>
    <w:rsid w:val="00CE7AA4"/>
    <w:rsid w:val="00CF1342"/>
    <w:rsid w:val="00CF1E64"/>
    <w:rsid w:val="00CF2779"/>
    <w:rsid w:val="00CF38BC"/>
    <w:rsid w:val="00CF3A42"/>
    <w:rsid w:val="00CF3B13"/>
    <w:rsid w:val="00CF4450"/>
    <w:rsid w:val="00CF4495"/>
    <w:rsid w:val="00CF4741"/>
    <w:rsid w:val="00CF4DD0"/>
    <w:rsid w:val="00CF522D"/>
    <w:rsid w:val="00CF5622"/>
    <w:rsid w:val="00CF5921"/>
    <w:rsid w:val="00CF5AD5"/>
    <w:rsid w:val="00CF5D72"/>
    <w:rsid w:val="00CF65A1"/>
    <w:rsid w:val="00CF7668"/>
    <w:rsid w:val="00CF7CBD"/>
    <w:rsid w:val="00D000CB"/>
    <w:rsid w:val="00D014E4"/>
    <w:rsid w:val="00D01B58"/>
    <w:rsid w:val="00D01F0D"/>
    <w:rsid w:val="00D0377A"/>
    <w:rsid w:val="00D03E5F"/>
    <w:rsid w:val="00D04243"/>
    <w:rsid w:val="00D045EB"/>
    <w:rsid w:val="00D04724"/>
    <w:rsid w:val="00D049FB"/>
    <w:rsid w:val="00D05157"/>
    <w:rsid w:val="00D05246"/>
    <w:rsid w:val="00D059C5"/>
    <w:rsid w:val="00D05C23"/>
    <w:rsid w:val="00D05CE6"/>
    <w:rsid w:val="00D063C5"/>
    <w:rsid w:val="00D063EB"/>
    <w:rsid w:val="00D06CCE"/>
    <w:rsid w:val="00D07A3B"/>
    <w:rsid w:val="00D07CF7"/>
    <w:rsid w:val="00D07D5F"/>
    <w:rsid w:val="00D1020B"/>
    <w:rsid w:val="00D1056D"/>
    <w:rsid w:val="00D115BA"/>
    <w:rsid w:val="00D11814"/>
    <w:rsid w:val="00D11ABF"/>
    <w:rsid w:val="00D11D80"/>
    <w:rsid w:val="00D12771"/>
    <w:rsid w:val="00D12BA8"/>
    <w:rsid w:val="00D134D3"/>
    <w:rsid w:val="00D14062"/>
    <w:rsid w:val="00D14876"/>
    <w:rsid w:val="00D14986"/>
    <w:rsid w:val="00D160BB"/>
    <w:rsid w:val="00D168B6"/>
    <w:rsid w:val="00D169E5"/>
    <w:rsid w:val="00D173A4"/>
    <w:rsid w:val="00D17921"/>
    <w:rsid w:val="00D17A1E"/>
    <w:rsid w:val="00D17F3F"/>
    <w:rsid w:val="00D2036F"/>
    <w:rsid w:val="00D20C5E"/>
    <w:rsid w:val="00D21154"/>
    <w:rsid w:val="00D21344"/>
    <w:rsid w:val="00D21E79"/>
    <w:rsid w:val="00D23596"/>
    <w:rsid w:val="00D237B1"/>
    <w:rsid w:val="00D2577E"/>
    <w:rsid w:val="00D258A6"/>
    <w:rsid w:val="00D2599A"/>
    <w:rsid w:val="00D266B5"/>
    <w:rsid w:val="00D26C6F"/>
    <w:rsid w:val="00D26F50"/>
    <w:rsid w:val="00D274D9"/>
    <w:rsid w:val="00D27978"/>
    <w:rsid w:val="00D30F80"/>
    <w:rsid w:val="00D31932"/>
    <w:rsid w:val="00D31AAB"/>
    <w:rsid w:val="00D31B6B"/>
    <w:rsid w:val="00D31ED1"/>
    <w:rsid w:val="00D327B2"/>
    <w:rsid w:val="00D328FA"/>
    <w:rsid w:val="00D3527C"/>
    <w:rsid w:val="00D355A5"/>
    <w:rsid w:val="00D35A64"/>
    <w:rsid w:val="00D36EA6"/>
    <w:rsid w:val="00D3793F"/>
    <w:rsid w:val="00D401AE"/>
    <w:rsid w:val="00D40B6B"/>
    <w:rsid w:val="00D40F17"/>
    <w:rsid w:val="00D41856"/>
    <w:rsid w:val="00D42FB0"/>
    <w:rsid w:val="00D43403"/>
    <w:rsid w:val="00D4365D"/>
    <w:rsid w:val="00D43930"/>
    <w:rsid w:val="00D43ECE"/>
    <w:rsid w:val="00D447C6"/>
    <w:rsid w:val="00D45B2D"/>
    <w:rsid w:val="00D474F9"/>
    <w:rsid w:val="00D4773F"/>
    <w:rsid w:val="00D47952"/>
    <w:rsid w:val="00D47A26"/>
    <w:rsid w:val="00D47E23"/>
    <w:rsid w:val="00D505B9"/>
    <w:rsid w:val="00D50931"/>
    <w:rsid w:val="00D50A53"/>
    <w:rsid w:val="00D5167B"/>
    <w:rsid w:val="00D51BF3"/>
    <w:rsid w:val="00D51D3E"/>
    <w:rsid w:val="00D51E7F"/>
    <w:rsid w:val="00D530FE"/>
    <w:rsid w:val="00D53A01"/>
    <w:rsid w:val="00D53AF2"/>
    <w:rsid w:val="00D54593"/>
    <w:rsid w:val="00D545FD"/>
    <w:rsid w:val="00D5537D"/>
    <w:rsid w:val="00D55DF9"/>
    <w:rsid w:val="00D564AA"/>
    <w:rsid w:val="00D5694F"/>
    <w:rsid w:val="00D56A62"/>
    <w:rsid w:val="00D56BBF"/>
    <w:rsid w:val="00D5751F"/>
    <w:rsid w:val="00D575A9"/>
    <w:rsid w:val="00D5765A"/>
    <w:rsid w:val="00D57793"/>
    <w:rsid w:val="00D5799B"/>
    <w:rsid w:val="00D57DBC"/>
    <w:rsid w:val="00D6052F"/>
    <w:rsid w:val="00D6058C"/>
    <w:rsid w:val="00D60C6A"/>
    <w:rsid w:val="00D61068"/>
    <w:rsid w:val="00D611D0"/>
    <w:rsid w:val="00D622EB"/>
    <w:rsid w:val="00D62C57"/>
    <w:rsid w:val="00D62CC5"/>
    <w:rsid w:val="00D63477"/>
    <w:rsid w:val="00D63537"/>
    <w:rsid w:val="00D63760"/>
    <w:rsid w:val="00D63EA0"/>
    <w:rsid w:val="00D64073"/>
    <w:rsid w:val="00D641B6"/>
    <w:rsid w:val="00D64219"/>
    <w:rsid w:val="00D6526B"/>
    <w:rsid w:val="00D65CC9"/>
    <w:rsid w:val="00D65EFF"/>
    <w:rsid w:val="00D66FEC"/>
    <w:rsid w:val="00D67260"/>
    <w:rsid w:val="00D6740E"/>
    <w:rsid w:val="00D67DC6"/>
    <w:rsid w:val="00D705EC"/>
    <w:rsid w:val="00D706C3"/>
    <w:rsid w:val="00D70F17"/>
    <w:rsid w:val="00D71E2C"/>
    <w:rsid w:val="00D71EE3"/>
    <w:rsid w:val="00D72088"/>
    <w:rsid w:val="00D7333E"/>
    <w:rsid w:val="00D73795"/>
    <w:rsid w:val="00D73C4A"/>
    <w:rsid w:val="00D73FC2"/>
    <w:rsid w:val="00D74397"/>
    <w:rsid w:val="00D74415"/>
    <w:rsid w:val="00D74580"/>
    <w:rsid w:val="00D74A17"/>
    <w:rsid w:val="00D74B54"/>
    <w:rsid w:val="00D752D4"/>
    <w:rsid w:val="00D76326"/>
    <w:rsid w:val="00D765A7"/>
    <w:rsid w:val="00D7711C"/>
    <w:rsid w:val="00D77149"/>
    <w:rsid w:val="00D800A9"/>
    <w:rsid w:val="00D80739"/>
    <w:rsid w:val="00D80E78"/>
    <w:rsid w:val="00D80F12"/>
    <w:rsid w:val="00D8120A"/>
    <w:rsid w:val="00D81B43"/>
    <w:rsid w:val="00D81C5D"/>
    <w:rsid w:val="00D81DC6"/>
    <w:rsid w:val="00D81E93"/>
    <w:rsid w:val="00D82202"/>
    <w:rsid w:val="00D8261A"/>
    <w:rsid w:val="00D82D2D"/>
    <w:rsid w:val="00D832C6"/>
    <w:rsid w:val="00D83327"/>
    <w:rsid w:val="00D8332E"/>
    <w:rsid w:val="00D83D36"/>
    <w:rsid w:val="00D84272"/>
    <w:rsid w:val="00D85783"/>
    <w:rsid w:val="00D85BC0"/>
    <w:rsid w:val="00D861C5"/>
    <w:rsid w:val="00D8622A"/>
    <w:rsid w:val="00D86941"/>
    <w:rsid w:val="00D86D43"/>
    <w:rsid w:val="00D8706D"/>
    <w:rsid w:val="00D871F1"/>
    <w:rsid w:val="00D874EC"/>
    <w:rsid w:val="00D87782"/>
    <w:rsid w:val="00D8782B"/>
    <w:rsid w:val="00D87AAD"/>
    <w:rsid w:val="00D87B34"/>
    <w:rsid w:val="00D87B61"/>
    <w:rsid w:val="00D87CA3"/>
    <w:rsid w:val="00D90F7B"/>
    <w:rsid w:val="00D92302"/>
    <w:rsid w:val="00D925A9"/>
    <w:rsid w:val="00D92B97"/>
    <w:rsid w:val="00D9327B"/>
    <w:rsid w:val="00D93498"/>
    <w:rsid w:val="00D937FC"/>
    <w:rsid w:val="00D93A69"/>
    <w:rsid w:val="00D9489F"/>
    <w:rsid w:val="00D95278"/>
    <w:rsid w:val="00D9570C"/>
    <w:rsid w:val="00D9599A"/>
    <w:rsid w:val="00D95B8C"/>
    <w:rsid w:val="00D95C0D"/>
    <w:rsid w:val="00D96D7F"/>
    <w:rsid w:val="00D97389"/>
    <w:rsid w:val="00D976B2"/>
    <w:rsid w:val="00D97F1C"/>
    <w:rsid w:val="00DA0337"/>
    <w:rsid w:val="00DA043C"/>
    <w:rsid w:val="00DA07F9"/>
    <w:rsid w:val="00DA0CFA"/>
    <w:rsid w:val="00DA1381"/>
    <w:rsid w:val="00DA1552"/>
    <w:rsid w:val="00DA2146"/>
    <w:rsid w:val="00DA2F47"/>
    <w:rsid w:val="00DA393D"/>
    <w:rsid w:val="00DA3D15"/>
    <w:rsid w:val="00DA466B"/>
    <w:rsid w:val="00DA4A23"/>
    <w:rsid w:val="00DA4B28"/>
    <w:rsid w:val="00DA4BAC"/>
    <w:rsid w:val="00DA4E59"/>
    <w:rsid w:val="00DA5BBC"/>
    <w:rsid w:val="00DA5C11"/>
    <w:rsid w:val="00DA5DDD"/>
    <w:rsid w:val="00DA5E04"/>
    <w:rsid w:val="00DA6737"/>
    <w:rsid w:val="00DA6FAA"/>
    <w:rsid w:val="00DA70E7"/>
    <w:rsid w:val="00DA72AA"/>
    <w:rsid w:val="00DA7BF2"/>
    <w:rsid w:val="00DB090A"/>
    <w:rsid w:val="00DB19F0"/>
    <w:rsid w:val="00DB2DF5"/>
    <w:rsid w:val="00DB3145"/>
    <w:rsid w:val="00DB324D"/>
    <w:rsid w:val="00DB35C4"/>
    <w:rsid w:val="00DB4977"/>
    <w:rsid w:val="00DB4B10"/>
    <w:rsid w:val="00DB5249"/>
    <w:rsid w:val="00DB5E33"/>
    <w:rsid w:val="00DB6042"/>
    <w:rsid w:val="00DB6523"/>
    <w:rsid w:val="00DB7C30"/>
    <w:rsid w:val="00DC09DC"/>
    <w:rsid w:val="00DC0FA6"/>
    <w:rsid w:val="00DC130C"/>
    <w:rsid w:val="00DC2292"/>
    <w:rsid w:val="00DC2360"/>
    <w:rsid w:val="00DC3C2E"/>
    <w:rsid w:val="00DC459C"/>
    <w:rsid w:val="00DC4966"/>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260"/>
    <w:rsid w:val="00DD2368"/>
    <w:rsid w:val="00DD28B5"/>
    <w:rsid w:val="00DD2F7B"/>
    <w:rsid w:val="00DD4A2C"/>
    <w:rsid w:val="00DD4C42"/>
    <w:rsid w:val="00DD5293"/>
    <w:rsid w:val="00DD6A4B"/>
    <w:rsid w:val="00DD6A85"/>
    <w:rsid w:val="00DD6E24"/>
    <w:rsid w:val="00DD7993"/>
    <w:rsid w:val="00DE04FA"/>
    <w:rsid w:val="00DE0C23"/>
    <w:rsid w:val="00DE112B"/>
    <w:rsid w:val="00DE14A2"/>
    <w:rsid w:val="00DE1C8B"/>
    <w:rsid w:val="00DE1F16"/>
    <w:rsid w:val="00DE23C8"/>
    <w:rsid w:val="00DE25AF"/>
    <w:rsid w:val="00DE29BA"/>
    <w:rsid w:val="00DE2E79"/>
    <w:rsid w:val="00DE3179"/>
    <w:rsid w:val="00DE31BD"/>
    <w:rsid w:val="00DE34B7"/>
    <w:rsid w:val="00DE38F1"/>
    <w:rsid w:val="00DE3939"/>
    <w:rsid w:val="00DE418C"/>
    <w:rsid w:val="00DE4AF6"/>
    <w:rsid w:val="00DE5060"/>
    <w:rsid w:val="00DE52B0"/>
    <w:rsid w:val="00DE588D"/>
    <w:rsid w:val="00DE5D3C"/>
    <w:rsid w:val="00DE73EA"/>
    <w:rsid w:val="00DE74B8"/>
    <w:rsid w:val="00DE7BE0"/>
    <w:rsid w:val="00DE7E16"/>
    <w:rsid w:val="00DF0E15"/>
    <w:rsid w:val="00DF1623"/>
    <w:rsid w:val="00DF16CC"/>
    <w:rsid w:val="00DF190B"/>
    <w:rsid w:val="00DF2D3E"/>
    <w:rsid w:val="00DF2D9E"/>
    <w:rsid w:val="00DF3470"/>
    <w:rsid w:val="00DF366C"/>
    <w:rsid w:val="00DF36FD"/>
    <w:rsid w:val="00DF3A8E"/>
    <w:rsid w:val="00DF3BB9"/>
    <w:rsid w:val="00DF3F89"/>
    <w:rsid w:val="00DF4216"/>
    <w:rsid w:val="00DF46C4"/>
    <w:rsid w:val="00DF492E"/>
    <w:rsid w:val="00DF4E88"/>
    <w:rsid w:val="00DF676B"/>
    <w:rsid w:val="00DF6A92"/>
    <w:rsid w:val="00E0067F"/>
    <w:rsid w:val="00E007AD"/>
    <w:rsid w:val="00E00FE7"/>
    <w:rsid w:val="00E015A6"/>
    <w:rsid w:val="00E025F8"/>
    <w:rsid w:val="00E027FF"/>
    <w:rsid w:val="00E038C5"/>
    <w:rsid w:val="00E03E3B"/>
    <w:rsid w:val="00E04589"/>
    <w:rsid w:val="00E045A2"/>
    <w:rsid w:val="00E049BA"/>
    <w:rsid w:val="00E04D05"/>
    <w:rsid w:val="00E0500A"/>
    <w:rsid w:val="00E05480"/>
    <w:rsid w:val="00E05EB9"/>
    <w:rsid w:val="00E05EEF"/>
    <w:rsid w:val="00E0658E"/>
    <w:rsid w:val="00E065FF"/>
    <w:rsid w:val="00E069FE"/>
    <w:rsid w:val="00E06B38"/>
    <w:rsid w:val="00E07340"/>
    <w:rsid w:val="00E0747D"/>
    <w:rsid w:val="00E074FF"/>
    <w:rsid w:val="00E078BB"/>
    <w:rsid w:val="00E102DF"/>
    <w:rsid w:val="00E10756"/>
    <w:rsid w:val="00E10DD1"/>
    <w:rsid w:val="00E128D8"/>
    <w:rsid w:val="00E12C42"/>
    <w:rsid w:val="00E130F6"/>
    <w:rsid w:val="00E132D9"/>
    <w:rsid w:val="00E1356B"/>
    <w:rsid w:val="00E1443D"/>
    <w:rsid w:val="00E155A9"/>
    <w:rsid w:val="00E158A0"/>
    <w:rsid w:val="00E15E54"/>
    <w:rsid w:val="00E165B5"/>
    <w:rsid w:val="00E16600"/>
    <w:rsid w:val="00E1688A"/>
    <w:rsid w:val="00E170B3"/>
    <w:rsid w:val="00E1728C"/>
    <w:rsid w:val="00E17A0A"/>
    <w:rsid w:val="00E17ED6"/>
    <w:rsid w:val="00E20EB2"/>
    <w:rsid w:val="00E20EEF"/>
    <w:rsid w:val="00E2102F"/>
    <w:rsid w:val="00E219DF"/>
    <w:rsid w:val="00E21F9A"/>
    <w:rsid w:val="00E227DA"/>
    <w:rsid w:val="00E231E2"/>
    <w:rsid w:val="00E232AF"/>
    <w:rsid w:val="00E232B1"/>
    <w:rsid w:val="00E232BB"/>
    <w:rsid w:val="00E2333B"/>
    <w:rsid w:val="00E24145"/>
    <w:rsid w:val="00E24353"/>
    <w:rsid w:val="00E248AC"/>
    <w:rsid w:val="00E25107"/>
    <w:rsid w:val="00E251ED"/>
    <w:rsid w:val="00E2599A"/>
    <w:rsid w:val="00E25B33"/>
    <w:rsid w:val="00E26053"/>
    <w:rsid w:val="00E26758"/>
    <w:rsid w:val="00E2748D"/>
    <w:rsid w:val="00E278EE"/>
    <w:rsid w:val="00E27BF0"/>
    <w:rsid w:val="00E27E69"/>
    <w:rsid w:val="00E27F81"/>
    <w:rsid w:val="00E300E3"/>
    <w:rsid w:val="00E30307"/>
    <w:rsid w:val="00E30B10"/>
    <w:rsid w:val="00E30D9B"/>
    <w:rsid w:val="00E31085"/>
    <w:rsid w:val="00E3128A"/>
    <w:rsid w:val="00E324C1"/>
    <w:rsid w:val="00E32846"/>
    <w:rsid w:val="00E328DF"/>
    <w:rsid w:val="00E32AD7"/>
    <w:rsid w:val="00E33A5C"/>
    <w:rsid w:val="00E33D3B"/>
    <w:rsid w:val="00E35129"/>
    <w:rsid w:val="00E3560E"/>
    <w:rsid w:val="00E37140"/>
    <w:rsid w:val="00E37193"/>
    <w:rsid w:val="00E37CBC"/>
    <w:rsid w:val="00E37CC1"/>
    <w:rsid w:val="00E409C1"/>
    <w:rsid w:val="00E40F5E"/>
    <w:rsid w:val="00E415E8"/>
    <w:rsid w:val="00E416FC"/>
    <w:rsid w:val="00E42214"/>
    <w:rsid w:val="00E422FF"/>
    <w:rsid w:val="00E426B3"/>
    <w:rsid w:val="00E42848"/>
    <w:rsid w:val="00E42CF8"/>
    <w:rsid w:val="00E42E23"/>
    <w:rsid w:val="00E432AF"/>
    <w:rsid w:val="00E44494"/>
    <w:rsid w:val="00E44920"/>
    <w:rsid w:val="00E45900"/>
    <w:rsid w:val="00E45B37"/>
    <w:rsid w:val="00E45E54"/>
    <w:rsid w:val="00E45ED0"/>
    <w:rsid w:val="00E4669C"/>
    <w:rsid w:val="00E46AF7"/>
    <w:rsid w:val="00E46FDA"/>
    <w:rsid w:val="00E47078"/>
    <w:rsid w:val="00E471E6"/>
    <w:rsid w:val="00E477C0"/>
    <w:rsid w:val="00E47A1E"/>
    <w:rsid w:val="00E5009F"/>
    <w:rsid w:val="00E50262"/>
    <w:rsid w:val="00E50712"/>
    <w:rsid w:val="00E51F1C"/>
    <w:rsid w:val="00E525AB"/>
    <w:rsid w:val="00E52888"/>
    <w:rsid w:val="00E52FA6"/>
    <w:rsid w:val="00E53065"/>
    <w:rsid w:val="00E53564"/>
    <w:rsid w:val="00E53FB5"/>
    <w:rsid w:val="00E54133"/>
    <w:rsid w:val="00E544F8"/>
    <w:rsid w:val="00E553A5"/>
    <w:rsid w:val="00E55462"/>
    <w:rsid w:val="00E55613"/>
    <w:rsid w:val="00E55638"/>
    <w:rsid w:val="00E56076"/>
    <w:rsid w:val="00E5655B"/>
    <w:rsid w:val="00E570AC"/>
    <w:rsid w:val="00E57444"/>
    <w:rsid w:val="00E57977"/>
    <w:rsid w:val="00E57E79"/>
    <w:rsid w:val="00E57EEC"/>
    <w:rsid w:val="00E57FA8"/>
    <w:rsid w:val="00E601E9"/>
    <w:rsid w:val="00E604DD"/>
    <w:rsid w:val="00E606C4"/>
    <w:rsid w:val="00E6090F"/>
    <w:rsid w:val="00E60AF7"/>
    <w:rsid w:val="00E61165"/>
    <w:rsid w:val="00E615DE"/>
    <w:rsid w:val="00E61D87"/>
    <w:rsid w:val="00E61DCF"/>
    <w:rsid w:val="00E61DE6"/>
    <w:rsid w:val="00E61F7E"/>
    <w:rsid w:val="00E62D84"/>
    <w:rsid w:val="00E63355"/>
    <w:rsid w:val="00E63C7B"/>
    <w:rsid w:val="00E64099"/>
    <w:rsid w:val="00E64120"/>
    <w:rsid w:val="00E64C9C"/>
    <w:rsid w:val="00E64ED5"/>
    <w:rsid w:val="00E65C68"/>
    <w:rsid w:val="00E65E04"/>
    <w:rsid w:val="00E65F02"/>
    <w:rsid w:val="00E66BEB"/>
    <w:rsid w:val="00E6770B"/>
    <w:rsid w:val="00E7006B"/>
    <w:rsid w:val="00E700D9"/>
    <w:rsid w:val="00E705B9"/>
    <w:rsid w:val="00E70625"/>
    <w:rsid w:val="00E70C63"/>
    <w:rsid w:val="00E72592"/>
    <w:rsid w:val="00E72680"/>
    <w:rsid w:val="00E72B34"/>
    <w:rsid w:val="00E736CD"/>
    <w:rsid w:val="00E7391A"/>
    <w:rsid w:val="00E73F7B"/>
    <w:rsid w:val="00E745B7"/>
    <w:rsid w:val="00E7471C"/>
    <w:rsid w:val="00E750A3"/>
    <w:rsid w:val="00E750EC"/>
    <w:rsid w:val="00E752CD"/>
    <w:rsid w:val="00E75344"/>
    <w:rsid w:val="00E75A44"/>
    <w:rsid w:val="00E76018"/>
    <w:rsid w:val="00E768C2"/>
    <w:rsid w:val="00E7700C"/>
    <w:rsid w:val="00E77470"/>
    <w:rsid w:val="00E80090"/>
    <w:rsid w:val="00E805F3"/>
    <w:rsid w:val="00E80F39"/>
    <w:rsid w:val="00E82938"/>
    <w:rsid w:val="00E836D1"/>
    <w:rsid w:val="00E8419F"/>
    <w:rsid w:val="00E844D0"/>
    <w:rsid w:val="00E848C1"/>
    <w:rsid w:val="00E84937"/>
    <w:rsid w:val="00E84DA3"/>
    <w:rsid w:val="00E84E89"/>
    <w:rsid w:val="00E854A0"/>
    <w:rsid w:val="00E85EF5"/>
    <w:rsid w:val="00E85F04"/>
    <w:rsid w:val="00E8627A"/>
    <w:rsid w:val="00E8635B"/>
    <w:rsid w:val="00E86C0D"/>
    <w:rsid w:val="00E871B1"/>
    <w:rsid w:val="00E874B3"/>
    <w:rsid w:val="00E876DE"/>
    <w:rsid w:val="00E877F8"/>
    <w:rsid w:val="00E8795E"/>
    <w:rsid w:val="00E87967"/>
    <w:rsid w:val="00E87CDD"/>
    <w:rsid w:val="00E90059"/>
    <w:rsid w:val="00E90BEB"/>
    <w:rsid w:val="00E90F34"/>
    <w:rsid w:val="00E9147D"/>
    <w:rsid w:val="00E918DD"/>
    <w:rsid w:val="00E91DF2"/>
    <w:rsid w:val="00E9258F"/>
    <w:rsid w:val="00E936ED"/>
    <w:rsid w:val="00E9398C"/>
    <w:rsid w:val="00E93BA0"/>
    <w:rsid w:val="00E9426D"/>
    <w:rsid w:val="00E942BE"/>
    <w:rsid w:val="00E9479E"/>
    <w:rsid w:val="00E94A47"/>
    <w:rsid w:val="00E95AC3"/>
    <w:rsid w:val="00E95CD4"/>
    <w:rsid w:val="00E96B47"/>
    <w:rsid w:val="00E9791F"/>
    <w:rsid w:val="00E979FD"/>
    <w:rsid w:val="00E97B6F"/>
    <w:rsid w:val="00E97DDD"/>
    <w:rsid w:val="00EA013A"/>
    <w:rsid w:val="00EA01FF"/>
    <w:rsid w:val="00EA0A9F"/>
    <w:rsid w:val="00EA1022"/>
    <w:rsid w:val="00EA104A"/>
    <w:rsid w:val="00EA13D2"/>
    <w:rsid w:val="00EA1AA2"/>
    <w:rsid w:val="00EA1B94"/>
    <w:rsid w:val="00EA25B4"/>
    <w:rsid w:val="00EA2BE7"/>
    <w:rsid w:val="00EA2D62"/>
    <w:rsid w:val="00EA2D6F"/>
    <w:rsid w:val="00EA35BC"/>
    <w:rsid w:val="00EA3B1C"/>
    <w:rsid w:val="00EA3D4E"/>
    <w:rsid w:val="00EA42F9"/>
    <w:rsid w:val="00EA4843"/>
    <w:rsid w:val="00EA4C34"/>
    <w:rsid w:val="00EA55DA"/>
    <w:rsid w:val="00EA5FC2"/>
    <w:rsid w:val="00EA672C"/>
    <w:rsid w:val="00EA6C49"/>
    <w:rsid w:val="00EA6E29"/>
    <w:rsid w:val="00EA6FAF"/>
    <w:rsid w:val="00EA7863"/>
    <w:rsid w:val="00EA7928"/>
    <w:rsid w:val="00EA7C92"/>
    <w:rsid w:val="00EA7CA9"/>
    <w:rsid w:val="00EB01FC"/>
    <w:rsid w:val="00EB0A94"/>
    <w:rsid w:val="00EB0B1F"/>
    <w:rsid w:val="00EB1897"/>
    <w:rsid w:val="00EB1AE3"/>
    <w:rsid w:val="00EB1CA9"/>
    <w:rsid w:val="00EB2648"/>
    <w:rsid w:val="00EB2703"/>
    <w:rsid w:val="00EB3AD2"/>
    <w:rsid w:val="00EB3D20"/>
    <w:rsid w:val="00EB3F14"/>
    <w:rsid w:val="00EB5466"/>
    <w:rsid w:val="00EB5FB8"/>
    <w:rsid w:val="00EB6655"/>
    <w:rsid w:val="00EB68E0"/>
    <w:rsid w:val="00EB71F8"/>
    <w:rsid w:val="00EC0D96"/>
    <w:rsid w:val="00EC2575"/>
    <w:rsid w:val="00EC276B"/>
    <w:rsid w:val="00EC2805"/>
    <w:rsid w:val="00EC2B54"/>
    <w:rsid w:val="00EC2F3C"/>
    <w:rsid w:val="00EC38DD"/>
    <w:rsid w:val="00EC3C52"/>
    <w:rsid w:val="00EC421A"/>
    <w:rsid w:val="00EC44FB"/>
    <w:rsid w:val="00EC5495"/>
    <w:rsid w:val="00EC5882"/>
    <w:rsid w:val="00EC5AAE"/>
    <w:rsid w:val="00EC5D6D"/>
    <w:rsid w:val="00EC727F"/>
    <w:rsid w:val="00EC72E6"/>
    <w:rsid w:val="00EC78C3"/>
    <w:rsid w:val="00EC7E67"/>
    <w:rsid w:val="00EC7EB9"/>
    <w:rsid w:val="00ED0B2F"/>
    <w:rsid w:val="00ED0B96"/>
    <w:rsid w:val="00ED0D10"/>
    <w:rsid w:val="00ED1A17"/>
    <w:rsid w:val="00ED1A48"/>
    <w:rsid w:val="00ED1AC3"/>
    <w:rsid w:val="00ED323D"/>
    <w:rsid w:val="00ED4E0B"/>
    <w:rsid w:val="00ED550D"/>
    <w:rsid w:val="00ED6036"/>
    <w:rsid w:val="00ED6042"/>
    <w:rsid w:val="00ED61B9"/>
    <w:rsid w:val="00ED6303"/>
    <w:rsid w:val="00ED66F6"/>
    <w:rsid w:val="00ED69D0"/>
    <w:rsid w:val="00ED7217"/>
    <w:rsid w:val="00ED756E"/>
    <w:rsid w:val="00ED7D2E"/>
    <w:rsid w:val="00ED7FE5"/>
    <w:rsid w:val="00EE0FA7"/>
    <w:rsid w:val="00EE15D7"/>
    <w:rsid w:val="00EE1D4E"/>
    <w:rsid w:val="00EE25E0"/>
    <w:rsid w:val="00EE2823"/>
    <w:rsid w:val="00EE2830"/>
    <w:rsid w:val="00EE2F90"/>
    <w:rsid w:val="00EE3070"/>
    <w:rsid w:val="00EE322B"/>
    <w:rsid w:val="00EE3563"/>
    <w:rsid w:val="00EE39A3"/>
    <w:rsid w:val="00EE3CA8"/>
    <w:rsid w:val="00EE3CDA"/>
    <w:rsid w:val="00EE6F77"/>
    <w:rsid w:val="00EE6FA6"/>
    <w:rsid w:val="00EE704A"/>
    <w:rsid w:val="00EE7125"/>
    <w:rsid w:val="00EE75CB"/>
    <w:rsid w:val="00EE7B16"/>
    <w:rsid w:val="00EF1063"/>
    <w:rsid w:val="00EF164F"/>
    <w:rsid w:val="00EF2424"/>
    <w:rsid w:val="00EF37C6"/>
    <w:rsid w:val="00EF3ADB"/>
    <w:rsid w:val="00EF493A"/>
    <w:rsid w:val="00EF4A69"/>
    <w:rsid w:val="00EF4D83"/>
    <w:rsid w:val="00EF4F1E"/>
    <w:rsid w:val="00EF56F5"/>
    <w:rsid w:val="00EF57B6"/>
    <w:rsid w:val="00EF59A1"/>
    <w:rsid w:val="00EF5A59"/>
    <w:rsid w:val="00EF5A5C"/>
    <w:rsid w:val="00EF616C"/>
    <w:rsid w:val="00EF635E"/>
    <w:rsid w:val="00EF72E5"/>
    <w:rsid w:val="00EF7504"/>
    <w:rsid w:val="00EF7738"/>
    <w:rsid w:val="00EF78A5"/>
    <w:rsid w:val="00EF7FE0"/>
    <w:rsid w:val="00F00159"/>
    <w:rsid w:val="00F008DA"/>
    <w:rsid w:val="00F00DFD"/>
    <w:rsid w:val="00F0259F"/>
    <w:rsid w:val="00F027CF"/>
    <w:rsid w:val="00F02C2C"/>
    <w:rsid w:val="00F03092"/>
    <w:rsid w:val="00F03530"/>
    <w:rsid w:val="00F03D38"/>
    <w:rsid w:val="00F04924"/>
    <w:rsid w:val="00F05FAA"/>
    <w:rsid w:val="00F06CE3"/>
    <w:rsid w:val="00F06F32"/>
    <w:rsid w:val="00F071B9"/>
    <w:rsid w:val="00F0788D"/>
    <w:rsid w:val="00F110B3"/>
    <w:rsid w:val="00F1126A"/>
    <w:rsid w:val="00F11BEC"/>
    <w:rsid w:val="00F11FE4"/>
    <w:rsid w:val="00F126D9"/>
    <w:rsid w:val="00F12760"/>
    <w:rsid w:val="00F12EA2"/>
    <w:rsid w:val="00F13935"/>
    <w:rsid w:val="00F13B76"/>
    <w:rsid w:val="00F13E28"/>
    <w:rsid w:val="00F145D2"/>
    <w:rsid w:val="00F1477A"/>
    <w:rsid w:val="00F14897"/>
    <w:rsid w:val="00F165D1"/>
    <w:rsid w:val="00F16ECB"/>
    <w:rsid w:val="00F16ECC"/>
    <w:rsid w:val="00F175FB"/>
    <w:rsid w:val="00F17F69"/>
    <w:rsid w:val="00F209DE"/>
    <w:rsid w:val="00F22529"/>
    <w:rsid w:val="00F2263A"/>
    <w:rsid w:val="00F227B3"/>
    <w:rsid w:val="00F22B98"/>
    <w:rsid w:val="00F232E9"/>
    <w:rsid w:val="00F237DC"/>
    <w:rsid w:val="00F23C3D"/>
    <w:rsid w:val="00F23ECB"/>
    <w:rsid w:val="00F249F7"/>
    <w:rsid w:val="00F24EDE"/>
    <w:rsid w:val="00F24F0D"/>
    <w:rsid w:val="00F2524B"/>
    <w:rsid w:val="00F26056"/>
    <w:rsid w:val="00F2657C"/>
    <w:rsid w:val="00F26807"/>
    <w:rsid w:val="00F26C10"/>
    <w:rsid w:val="00F26F67"/>
    <w:rsid w:val="00F304A5"/>
    <w:rsid w:val="00F30888"/>
    <w:rsid w:val="00F30ABD"/>
    <w:rsid w:val="00F30D6A"/>
    <w:rsid w:val="00F3126C"/>
    <w:rsid w:val="00F31CFA"/>
    <w:rsid w:val="00F31FF4"/>
    <w:rsid w:val="00F322C3"/>
    <w:rsid w:val="00F3235D"/>
    <w:rsid w:val="00F32875"/>
    <w:rsid w:val="00F32BD9"/>
    <w:rsid w:val="00F334B7"/>
    <w:rsid w:val="00F3356D"/>
    <w:rsid w:val="00F33FCE"/>
    <w:rsid w:val="00F341F6"/>
    <w:rsid w:val="00F34483"/>
    <w:rsid w:val="00F346FF"/>
    <w:rsid w:val="00F347A4"/>
    <w:rsid w:val="00F3485F"/>
    <w:rsid w:val="00F348AB"/>
    <w:rsid w:val="00F35627"/>
    <w:rsid w:val="00F359B3"/>
    <w:rsid w:val="00F365EA"/>
    <w:rsid w:val="00F36E8C"/>
    <w:rsid w:val="00F37139"/>
    <w:rsid w:val="00F37221"/>
    <w:rsid w:val="00F37832"/>
    <w:rsid w:val="00F401D5"/>
    <w:rsid w:val="00F40B9B"/>
    <w:rsid w:val="00F40CD8"/>
    <w:rsid w:val="00F417F4"/>
    <w:rsid w:val="00F41AB2"/>
    <w:rsid w:val="00F41ADB"/>
    <w:rsid w:val="00F42A00"/>
    <w:rsid w:val="00F42A86"/>
    <w:rsid w:val="00F42F6A"/>
    <w:rsid w:val="00F42F9F"/>
    <w:rsid w:val="00F42FEE"/>
    <w:rsid w:val="00F430E0"/>
    <w:rsid w:val="00F4365E"/>
    <w:rsid w:val="00F438FE"/>
    <w:rsid w:val="00F43CD4"/>
    <w:rsid w:val="00F43DE6"/>
    <w:rsid w:val="00F43E18"/>
    <w:rsid w:val="00F440C9"/>
    <w:rsid w:val="00F4473E"/>
    <w:rsid w:val="00F44AE1"/>
    <w:rsid w:val="00F44CE8"/>
    <w:rsid w:val="00F44F16"/>
    <w:rsid w:val="00F45065"/>
    <w:rsid w:val="00F451BB"/>
    <w:rsid w:val="00F466B0"/>
    <w:rsid w:val="00F46E41"/>
    <w:rsid w:val="00F5086A"/>
    <w:rsid w:val="00F50B9E"/>
    <w:rsid w:val="00F51121"/>
    <w:rsid w:val="00F51405"/>
    <w:rsid w:val="00F521A4"/>
    <w:rsid w:val="00F52FB1"/>
    <w:rsid w:val="00F5342F"/>
    <w:rsid w:val="00F53626"/>
    <w:rsid w:val="00F536BE"/>
    <w:rsid w:val="00F53CEE"/>
    <w:rsid w:val="00F5447B"/>
    <w:rsid w:val="00F54549"/>
    <w:rsid w:val="00F55DB7"/>
    <w:rsid w:val="00F55E38"/>
    <w:rsid w:val="00F55E8B"/>
    <w:rsid w:val="00F5626C"/>
    <w:rsid w:val="00F5628B"/>
    <w:rsid w:val="00F56A78"/>
    <w:rsid w:val="00F56D5F"/>
    <w:rsid w:val="00F6025D"/>
    <w:rsid w:val="00F602CD"/>
    <w:rsid w:val="00F60540"/>
    <w:rsid w:val="00F6068B"/>
    <w:rsid w:val="00F60FDF"/>
    <w:rsid w:val="00F61588"/>
    <w:rsid w:val="00F61591"/>
    <w:rsid w:val="00F61657"/>
    <w:rsid w:val="00F619E2"/>
    <w:rsid w:val="00F623CB"/>
    <w:rsid w:val="00F6243A"/>
    <w:rsid w:val="00F6268B"/>
    <w:rsid w:val="00F630C5"/>
    <w:rsid w:val="00F63502"/>
    <w:rsid w:val="00F63723"/>
    <w:rsid w:val="00F6386A"/>
    <w:rsid w:val="00F638BF"/>
    <w:rsid w:val="00F639DA"/>
    <w:rsid w:val="00F64150"/>
    <w:rsid w:val="00F648DD"/>
    <w:rsid w:val="00F65753"/>
    <w:rsid w:val="00F65E3F"/>
    <w:rsid w:val="00F65FF2"/>
    <w:rsid w:val="00F6710C"/>
    <w:rsid w:val="00F6736B"/>
    <w:rsid w:val="00F678A7"/>
    <w:rsid w:val="00F678B6"/>
    <w:rsid w:val="00F67B9B"/>
    <w:rsid w:val="00F67F82"/>
    <w:rsid w:val="00F7058B"/>
    <w:rsid w:val="00F71262"/>
    <w:rsid w:val="00F71753"/>
    <w:rsid w:val="00F72872"/>
    <w:rsid w:val="00F72CD9"/>
    <w:rsid w:val="00F7303D"/>
    <w:rsid w:val="00F73773"/>
    <w:rsid w:val="00F74DBD"/>
    <w:rsid w:val="00F75078"/>
    <w:rsid w:val="00F751E0"/>
    <w:rsid w:val="00F753F8"/>
    <w:rsid w:val="00F75546"/>
    <w:rsid w:val="00F756B0"/>
    <w:rsid w:val="00F7598D"/>
    <w:rsid w:val="00F76364"/>
    <w:rsid w:val="00F76723"/>
    <w:rsid w:val="00F76F7A"/>
    <w:rsid w:val="00F77066"/>
    <w:rsid w:val="00F7717A"/>
    <w:rsid w:val="00F7755E"/>
    <w:rsid w:val="00F77DB4"/>
    <w:rsid w:val="00F80690"/>
    <w:rsid w:val="00F80767"/>
    <w:rsid w:val="00F81AFD"/>
    <w:rsid w:val="00F81DC1"/>
    <w:rsid w:val="00F8237E"/>
    <w:rsid w:val="00F82ACF"/>
    <w:rsid w:val="00F83821"/>
    <w:rsid w:val="00F83854"/>
    <w:rsid w:val="00F838F8"/>
    <w:rsid w:val="00F83A74"/>
    <w:rsid w:val="00F83D74"/>
    <w:rsid w:val="00F83D8B"/>
    <w:rsid w:val="00F85057"/>
    <w:rsid w:val="00F85D0E"/>
    <w:rsid w:val="00F86052"/>
    <w:rsid w:val="00F86057"/>
    <w:rsid w:val="00F8646D"/>
    <w:rsid w:val="00F86C58"/>
    <w:rsid w:val="00F90583"/>
    <w:rsid w:val="00F90BAA"/>
    <w:rsid w:val="00F90EA1"/>
    <w:rsid w:val="00F90F4D"/>
    <w:rsid w:val="00F91893"/>
    <w:rsid w:val="00F91DF3"/>
    <w:rsid w:val="00F91E13"/>
    <w:rsid w:val="00F9213E"/>
    <w:rsid w:val="00F92346"/>
    <w:rsid w:val="00F92E88"/>
    <w:rsid w:val="00F93782"/>
    <w:rsid w:val="00F93D47"/>
    <w:rsid w:val="00F93FDF"/>
    <w:rsid w:val="00F94293"/>
    <w:rsid w:val="00F94D8F"/>
    <w:rsid w:val="00F96842"/>
    <w:rsid w:val="00F971B5"/>
    <w:rsid w:val="00F9779A"/>
    <w:rsid w:val="00F97952"/>
    <w:rsid w:val="00F9797C"/>
    <w:rsid w:val="00F97D1C"/>
    <w:rsid w:val="00F97E8C"/>
    <w:rsid w:val="00FA0146"/>
    <w:rsid w:val="00FA0B99"/>
    <w:rsid w:val="00FA10B6"/>
    <w:rsid w:val="00FA1975"/>
    <w:rsid w:val="00FA1CB9"/>
    <w:rsid w:val="00FA1E0D"/>
    <w:rsid w:val="00FA1E20"/>
    <w:rsid w:val="00FA2344"/>
    <w:rsid w:val="00FA250B"/>
    <w:rsid w:val="00FA2B97"/>
    <w:rsid w:val="00FA2D3A"/>
    <w:rsid w:val="00FA3786"/>
    <w:rsid w:val="00FA3DB2"/>
    <w:rsid w:val="00FA3E39"/>
    <w:rsid w:val="00FA4189"/>
    <w:rsid w:val="00FA42FC"/>
    <w:rsid w:val="00FA4670"/>
    <w:rsid w:val="00FA46AE"/>
    <w:rsid w:val="00FA48FD"/>
    <w:rsid w:val="00FA4BD8"/>
    <w:rsid w:val="00FA4D30"/>
    <w:rsid w:val="00FA50C4"/>
    <w:rsid w:val="00FA54D1"/>
    <w:rsid w:val="00FA57C3"/>
    <w:rsid w:val="00FA585F"/>
    <w:rsid w:val="00FA6357"/>
    <w:rsid w:val="00FA67F4"/>
    <w:rsid w:val="00FA683D"/>
    <w:rsid w:val="00FA68E4"/>
    <w:rsid w:val="00FA72AA"/>
    <w:rsid w:val="00FA7C40"/>
    <w:rsid w:val="00FA7EC2"/>
    <w:rsid w:val="00FB0BF1"/>
    <w:rsid w:val="00FB11A7"/>
    <w:rsid w:val="00FB21EE"/>
    <w:rsid w:val="00FB2609"/>
    <w:rsid w:val="00FB2D84"/>
    <w:rsid w:val="00FB3287"/>
    <w:rsid w:val="00FB329B"/>
    <w:rsid w:val="00FB34AE"/>
    <w:rsid w:val="00FB358A"/>
    <w:rsid w:val="00FB3604"/>
    <w:rsid w:val="00FB3EE7"/>
    <w:rsid w:val="00FB40AE"/>
    <w:rsid w:val="00FB416B"/>
    <w:rsid w:val="00FB467E"/>
    <w:rsid w:val="00FB4F61"/>
    <w:rsid w:val="00FB52F6"/>
    <w:rsid w:val="00FB59AE"/>
    <w:rsid w:val="00FB5DA8"/>
    <w:rsid w:val="00FB64A3"/>
    <w:rsid w:val="00FB65B6"/>
    <w:rsid w:val="00FB69AB"/>
    <w:rsid w:val="00FB70FC"/>
    <w:rsid w:val="00FB7BAA"/>
    <w:rsid w:val="00FC0267"/>
    <w:rsid w:val="00FC04C9"/>
    <w:rsid w:val="00FC05CC"/>
    <w:rsid w:val="00FC0913"/>
    <w:rsid w:val="00FC17F7"/>
    <w:rsid w:val="00FC1E45"/>
    <w:rsid w:val="00FC20D0"/>
    <w:rsid w:val="00FC21C7"/>
    <w:rsid w:val="00FC338C"/>
    <w:rsid w:val="00FC3428"/>
    <w:rsid w:val="00FC3592"/>
    <w:rsid w:val="00FC39DF"/>
    <w:rsid w:val="00FC3BA5"/>
    <w:rsid w:val="00FC3BE9"/>
    <w:rsid w:val="00FC3D55"/>
    <w:rsid w:val="00FC44A0"/>
    <w:rsid w:val="00FC44E2"/>
    <w:rsid w:val="00FC486F"/>
    <w:rsid w:val="00FC49BA"/>
    <w:rsid w:val="00FC4B99"/>
    <w:rsid w:val="00FC5119"/>
    <w:rsid w:val="00FC53C1"/>
    <w:rsid w:val="00FC54D0"/>
    <w:rsid w:val="00FC567C"/>
    <w:rsid w:val="00FC5BD5"/>
    <w:rsid w:val="00FC62EB"/>
    <w:rsid w:val="00FC6ADB"/>
    <w:rsid w:val="00FC75AC"/>
    <w:rsid w:val="00FC77CF"/>
    <w:rsid w:val="00FC77D1"/>
    <w:rsid w:val="00FD0575"/>
    <w:rsid w:val="00FD1000"/>
    <w:rsid w:val="00FD195E"/>
    <w:rsid w:val="00FD30FB"/>
    <w:rsid w:val="00FD326D"/>
    <w:rsid w:val="00FD4FDD"/>
    <w:rsid w:val="00FD5A65"/>
    <w:rsid w:val="00FD5BC3"/>
    <w:rsid w:val="00FD5BF3"/>
    <w:rsid w:val="00FD657C"/>
    <w:rsid w:val="00FD691A"/>
    <w:rsid w:val="00FD6FAE"/>
    <w:rsid w:val="00FD7609"/>
    <w:rsid w:val="00FD7658"/>
    <w:rsid w:val="00FE0180"/>
    <w:rsid w:val="00FE0350"/>
    <w:rsid w:val="00FE088C"/>
    <w:rsid w:val="00FE08C4"/>
    <w:rsid w:val="00FE2221"/>
    <w:rsid w:val="00FE2A0B"/>
    <w:rsid w:val="00FE32FE"/>
    <w:rsid w:val="00FE3A56"/>
    <w:rsid w:val="00FE3BE9"/>
    <w:rsid w:val="00FE3C59"/>
    <w:rsid w:val="00FE414F"/>
    <w:rsid w:val="00FE5321"/>
    <w:rsid w:val="00FE5B59"/>
    <w:rsid w:val="00FE5D89"/>
    <w:rsid w:val="00FE60E9"/>
    <w:rsid w:val="00FE6404"/>
    <w:rsid w:val="00FE6651"/>
    <w:rsid w:val="00FE680C"/>
    <w:rsid w:val="00FE6F32"/>
    <w:rsid w:val="00FE7099"/>
    <w:rsid w:val="00FE7163"/>
    <w:rsid w:val="00FE71EF"/>
    <w:rsid w:val="00FE7791"/>
    <w:rsid w:val="00FE77C6"/>
    <w:rsid w:val="00FF0018"/>
    <w:rsid w:val="00FF03CA"/>
    <w:rsid w:val="00FF0528"/>
    <w:rsid w:val="00FF05C8"/>
    <w:rsid w:val="00FF0DE2"/>
    <w:rsid w:val="00FF1D73"/>
    <w:rsid w:val="00FF2899"/>
    <w:rsid w:val="00FF2C90"/>
    <w:rsid w:val="00FF356A"/>
    <w:rsid w:val="00FF3E2C"/>
    <w:rsid w:val="00FF3F3E"/>
    <w:rsid w:val="00FF43DA"/>
    <w:rsid w:val="00FF4A69"/>
    <w:rsid w:val="00FF515D"/>
    <w:rsid w:val="00FF5283"/>
    <w:rsid w:val="00FF5B1B"/>
    <w:rsid w:val="00FF5CCC"/>
    <w:rsid w:val="00FF5E8C"/>
    <w:rsid w:val="00FF669C"/>
    <w:rsid w:val="00FF67C8"/>
    <w:rsid w:val="00FF6892"/>
    <w:rsid w:val="00FF6FA6"/>
    <w:rsid w:val="00FF73D8"/>
    <w:rsid w:val="00FF7C9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5A72B0"/>
  <w15:docId w15:val="{F8464CF7-DE39-4192-9020-136D1E6A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4"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A138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4"/>
    <w:qFormat/>
    <w:rsid w:val="005C7FB0"/>
    <w:pPr>
      <w:keepNext/>
      <w:widowControl w:val="0"/>
      <w:numPr>
        <w:numId w:val="4"/>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314122"/>
    <w:pPr>
      <w:keepNext/>
      <w:numPr>
        <w:ilvl w:val="1"/>
        <w:numId w:val="4"/>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3"/>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11"/>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3"/>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2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5"/>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6"/>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7"/>
      </w:numPr>
    </w:pPr>
  </w:style>
  <w:style w:type="character" w:customStyle="1" w:styleId="Heading1Char">
    <w:name w:val="Heading 1 Char"/>
    <w:basedOn w:val="DefaultParagraphFont"/>
    <w:link w:val="Heading1"/>
    <w:uiPriority w:val="4"/>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9"/>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2"/>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4"/>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6"/>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26"/>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NormalWeb">
    <w:name w:val="Normal (Web)"/>
    <w:basedOn w:val="Normal"/>
    <w:uiPriority w:val="99"/>
    <w:semiHidden/>
    <w:unhideWhenUsed/>
    <w:locked/>
    <w:rsid w:val="00E426B3"/>
    <w:rPr>
      <w:rFonts w:ascii="Times New Roman" w:hAnsi="Times New Roman"/>
      <w:sz w:val="24"/>
    </w:rPr>
  </w:style>
  <w:style w:type="character" w:styleId="Strong">
    <w:name w:val="Strong"/>
    <w:basedOn w:val="DefaultParagraphFont"/>
    <w:qFormat/>
    <w:locked/>
    <w:rsid w:val="003A27C7"/>
    <w:rPr>
      <w:b/>
      <w:bCs/>
    </w:rPr>
  </w:style>
  <w:style w:type="character" w:styleId="Emphasis">
    <w:name w:val="Emphasis"/>
    <w:basedOn w:val="DefaultParagraphFont"/>
    <w:uiPriority w:val="21"/>
    <w:qFormat/>
    <w:locked/>
    <w:rsid w:val="00567D0B"/>
    <w:rPr>
      <w:i/>
      <w:iCs/>
    </w:rPr>
  </w:style>
  <w:style w:type="character" w:customStyle="1" w:styleId="UnresolvedMention1">
    <w:name w:val="Unresolved Mention1"/>
    <w:basedOn w:val="DefaultParagraphFont"/>
    <w:uiPriority w:val="99"/>
    <w:semiHidden/>
    <w:unhideWhenUsed/>
    <w:rsid w:val="006D03BD"/>
    <w:rPr>
      <w:color w:val="808080"/>
      <w:shd w:val="clear" w:color="auto" w:fill="E6E6E6"/>
    </w:rPr>
  </w:style>
  <w:style w:type="paragraph" w:styleId="PlainText">
    <w:name w:val="Plain Text"/>
    <w:basedOn w:val="Normal"/>
    <w:link w:val="PlainTextChar"/>
    <w:uiPriority w:val="99"/>
    <w:semiHidden/>
    <w:unhideWhenUsed/>
    <w:locked/>
    <w:rsid w:val="000A14C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A14CF"/>
    <w:rPr>
      <w:rFonts w:ascii="Consolas" w:hAnsi="Consolas"/>
      <w:sz w:val="21"/>
      <w:szCs w:val="21"/>
    </w:rPr>
  </w:style>
  <w:style w:type="character" w:customStyle="1" w:styleId="UnresolvedMention2">
    <w:name w:val="Unresolved Mention2"/>
    <w:basedOn w:val="DefaultParagraphFont"/>
    <w:locked/>
    <w:rsid w:val="002328D0"/>
    <w:rPr>
      <w:color w:val="808080"/>
      <w:shd w:val="clear" w:color="auto" w:fill="E6E6E6"/>
    </w:rPr>
  </w:style>
  <w:style w:type="character" w:styleId="FollowedHyperlink">
    <w:name w:val="FollowedHyperlink"/>
    <w:basedOn w:val="DefaultParagraphFont"/>
    <w:semiHidden/>
    <w:unhideWhenUsed/>
    <w:locked/>
    <w:rsid w:val="00DA1381"/>
    <w:rPr>
      <w:color w:val="800080" w:themeColor="followedHyperlink"/>
      <w:u w:val="single"/>
    </w:rPr>
  </w:style>
  <w:style w:type="character" w:customStyle="1" w:styleId="UnresolvedMention3">
    <w:name w:val="Unresolved Mention3"/>
    <w:basedOn w:val="DefaultParagraphFont"/>
    <w:uiPriority w:val="99"/>
    <w:semiHidden/>
    <w:unhideWhenUsed/>
    <w:rsid w:val="00106A87"/>
    <w:rPr>
      <w:color w:val="808080"/>
      <w:shd w:val="clear" w:color="auto" w:fill="E6E6E6"/>
    </w:rPr>
  </w:style>
  <w:style w:type="character" w:customStyle="1" w:styleId="UnresolvedMention4">
    <w:name w:val="Unresolved Mention4"/>
    <w:basedOn w:val="DefaultParagraphFont"/>
    <w:uiPriority w:val="99"/>
    <w:semiHidden/>
    <w:unhideWhenUsed/>
    <w:rsid w:val="002121BE"/>
    <w:rPr>
      <w:color w:val="808080"/>
      <w:shd w:val="clear" w:color="auto" w:fill="E6E6E6"/>
    </w:rPr>
  </w:style>
  <w:style w:type="paragraph" w:styleId="Subtitle">
    <w:name w:val="Subtitle"/>
    <w:basedOn w:val="Normal"/>
    <w:next w:val="Normal"/>
    <w:link w:val="SubtitleChar"/>
    <w:qFormat/>
    <w:locked/>
    <w:rsid w:val="006970BC"/>
    <w:pPr>
      <w:numPr>
        <w:ilvl w:val="1"/>
      </w:numPr>
      <w:spacing w:before="120" w:line="240" w:lineRule="auto"/>
    </w:pPr>
    <w:rPr>
      <w:rFonts w:asciiTheme="majorHAnsi" w:eastAsiaTheme="majorEastAsia" w:hAnsiTheme="majorHAnsi" w:cstheme="majorBidi"/>
      <w:iCs/>
      <w:spacing w:val="15"/>
      <w:szCs w:val="22"/>
    </w:rPr>
  </w:style>
  <w:style w:type="character" w:customStyle="1" w:styleId="SubtitleChar">
    <w:name w:val="Subtitle Char"/>
    <w:basedOn w:val="DefaultParagraphFont"/>
    <w:link w:val="Subtitle"/>
    <w:rsid w:val="006970BC"/>
    <w:rPr>
      <w:rFonts w:asciiTheme="majorHAnsi" w:eastAsiaTheme="majorEastAsia" w:hAnsiTheme="majorHAnsi" w:cstheme="majorBidi"/>
      <w:iCs/>
      <w:spacing w:val="15"/>
      <w:sz w:val="22"/>
      <w:szCs w:val="22"/>
    </w:rPr>
  </w:style>
  <w:style w:type="paragraph" w:customStyle="1" w:styleId="Default">
    <w:name w:val="Default"/>
    <w:rsid w:val="00843AC4"/>
    <w:pPr>
      <w:autoSpaceDE w:val="0"/>
      <w:autoSpaceDN w:val="0"/>
      <w:adjustRightInd w:val="0"/>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locked/>
    <w:rsid w:val="00250172"/>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51772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33857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03918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927010">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86728864">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473213">
      <w:bodyDiv w:val="1"/>
      <w:marLeft w:val="0"/>
      <w:marRight w:val="0"/>
      <w:marTop w:val="0"/>
      <w:marBottom w:val="0"/>
      <w:divBdr>
        <w:top w:val="none" w:sz="0" w:space="0" w:color="auto"/>
        <w:left w:val="none" w:sz="0" w:space="0" w:color="auto"/>
        <w:bottom w:val="none" w:sz="0" w:space="0" w:color="auto"/>
        <w:right w:val="none" w:sz="0" w:space="0" w:color="auto"/>
      </w:divBdr>
    </w:div>
    <w:div w:id="128909544">
      <w:bodyDiv w:val="1"/>
      <w:marLeft w:val="0"/>
      <w:marRight w:val="0"/>
      <w:marTop w:val="0"/>
      <w:marBottom w:val="0"/>
      <w:divBdr>
        <w:top w:val="none" w:sz="0" w:space="0" w:color="auto"/>
        <w:left w:val="none" w:sz="0" w:space="0" w:color="auto"/>
        <w:bottom w:val="none" w:sz="0" w:space="0" w:color="auto"/>
        <w:right w:val="none" w:sz="0" w:space="0" w:color="auto"/>
      </w:divBdr>
    </w:div>
    <w:div w:id="138428887">
      <w:bodyDiv w:val="1"/>
      <w:marLeft w:val="0"/>
      <w:marRight w:val="0"/>
      <w:marTop w:val="0"/>
      <w:marBottom w:val="0"/>
      <w:divBdr>
        <w:top w:val="none" w:sz="0" w:space="0" w:color="auto"/>
        <w:left w:val="none" w:sz="0" w:space="0" w:color="auto"/>
        <w:bottom w:val="none" w:sz="0" w:space="0" w:color="auto"/>
        <w:right w:val="none" w:sz="0" w:space="0" w:color="auto"/>
      </w:divBdr>
      <w:divsChild>
        <w:div w:id="1156843415">
          <w:marLeft w:val="0"/>
          <w:marRight w:val="0"/>
          <w:marTop w:val="0"/>
          <w:marBottom w:val="0"/>
          <w:divBdr>
            <w:top w:val="none" w:sz="0" w:space="0" w:color="auto"/>
            <w:left w:val="none" w:sz="0" w:space="0" w:color="auto"/>
            <w:bottom w:val="none" w:sz="0" w:space="0" w:color="auto"/>
            <w:right w:val="none" w:sz="0" w:space="0" w:color="auto"/>
          </w:divBdr>
          <w:divsChild>
            <w:div w:id="981347490">
              <w:marLeft w:val="439"/>
              <w:marRight w:val="0"/>
              <w:marTop w:val="0"/>
              <w:marBottom w:val="0"/>
              <w:divBdr>
                <w:top w:val="none" w:sz="0" w:space="0" w:color="auto"/>
                <w:left w:val="none" w:sz="0" w:space="0" w:color="auto"/>
                <w:bottom w:val="none" w:sz="0" w:space="0" w:color="auto"/>
                <w:right w:val="none" w:sz="0" w:space="0" w:color="auto"/>
              </w:divBdr>
              <w:divsChild>
                <w:div w:id="344789478">
                  <w:marLeft w:val="0"/>
                  <w:marRight w:val="0"/>
                  <w:marTop w:val="0"/>
                  <w:marBottom w:val="0"/>
                  <w:divBdr>
                    <w:top w:val="none" w:sz="0" w:space="0" w:color="auto"/>
                    <w:left w:val="none" w:sz="0" w:space="0" w:color="auto"/>
                    <w:bottom w:val="none" w:sz="0" w:space="0" w:color="auto"/>
                    <w:right w:val="none" w:sz="0" w:space="0" w:color="auto"/>
                  </w:divBdr>
                  <w:divsChild>
                    <w:div w:id="1640962754">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617">
          <w:marLeft w:val="0"/>
          <w:marRight w:val="0"/>
          <w:marTop w:val="0"/>
          <w:marBottom w:val="0"/>
          <w:divBdr>
            <w:top w:val="none" w:sz="0" w:space="0" w:color="auto"/>
            <w:left w:val="none" w:sz="0" w:space="0" w:color="auto"/>
            <w:bottom w:val="none" w:sz="0" w:space="0" w:color="auto"/>
            <w:right w:val="none" w:sz="0" w:space="0" w:color="auto"/>
          </w:divBdr>
        </w:div>
      </w:divsChild>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2698520">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0731009">
      <w:bodyDiv w:val="1"/>
      <w:marLeft w:val="0"/>
      <w:marRight w:val="0"/>
      <w:marTop w:val="0"/>
      <w:marBottom w:val="0"/>
      <w:divBdr>
        <w:top w:val="none" w:sz="0" w:space="0" w:color="auto"/>
        <w:left w:val="none" w:sz="0" w:space="0" w:color="auto"/>
        <w:bottom w:val="none" w:sz="0" w:space="0" w:color="auto"/>
        <w:right w:val="none" w:sz="0" w:space="0" w:color="auto"/>
      </w:divBdr>
    </w:div>
    <w:div w:id="194731144">
      <w:bodyDiv w:val="1"/>
      <w:marLeft w:val="0"/>
      <w:marRight w:val="0"/>
      <w:marTop w:val="0"/>
      <w:marBottom w:val="0"/>
      <w:divBdr>
        <w:top w:val="none" w:sz="0" w:space="0" w:color="auto"/>
        <w:left w:val="none" w:sz="0" w:space="0" w:color="auto"/>
        <w:bottom w:val="none" w:sz="0" w:space="0" w:color="auto"/>
        <w:right w:val="none" w:sz="0" w:space="0" w:color="auto"/>
      </w:divBdr>
    </w:div>
    <w:div w:id="199906083">
      <w:bodyDiv w:val="1"/>
      <w:marLeft w:val="0"/>
      <w:marRight w:val="0"/>
      <w:marTop w:val="0"/>
      <w:marBottom w:val="0"/>
      <w:divBdr>
        <w:top w:val="none" w:sz="0" w:space="0" w:color="auto"/>
        <w:left w:val="none" w:sz="0" w:space="0" w:color="auto"/>
        <w:bottom w:val="none" w:sz="0" w:space="0" w:color="auto"/>
        <w:right w:val="none" w:sz="0" w:space="0" w:color="auto"/>
      </w:divBdr>
    </w:div>
    <w:div w:id="203294371">
      <w:bodyDiv w:val="1"/>
      <w:marLeft w:val="0"/>
      <w:marRight w:val="0"/>
      <w:marTop w:val="0"/>
      <w:marBottom w:val="0"/>
      <w:divBdr>
        <w:top w:val="none" w:sz="0" w:space="0" w:color="auto"/>
        <w:left w:val="none" w:sz="0" w:space="0" w:color="auto"/>
        <w:bottom w:val="none" w:sz="0" w:space="0" w:color="auto"/>
        <w:right w:val="none" w:sz="0" w:space="0" w:color="auto"/>
      </w:divBdr>
      <w:divsChild>
        <w:div w:id="429157399">
          <w:marLeft w:val="0"/>
          <w:marRight w:val="0"/>
          <w:marTop w:val="0"/>
          <w:marBottom w:val="0"/>
          <w:divBdr>
            <w:top w:val="none" w:sz="0" w:space="0" w:color="auto"/>
            <w:left w:val="none" w:sz="0" w:space="0" w:color="auto"/>
            <w:bottom w:val="none" w:sz="0" w:space="0" w:color="auto"/>
            <w:right w:val="none" w:sz="0" w:space="0" w:color="auto"/>
          </w:divBdr>
          <w:divsChild>
            <w:div w:id="153225294">
              <w:marLeft w:val="439"/>
              <w:marRight w:val="0"/>
              <w:marTop w:val="0"/>
              <w:marBottom w:val="0"/>
              <w:divBdr>
                <w:top w:val="none" w:sz="0" w:space="0" w:color="auto"/>
                <w:left w:val="none" w:sz="0" w:space="0" w:color="auto"/>
                <w:bottom w:val="none" w:sz="0" w:space="0" w:color="auto"/>
                <w:right w:val="none" w:sz="0" w:space="0" w:color="auto"/>
              </w:divBdr>
              <w:divsChild>
                <w:div w:id="1643536995">
                  <w:marLeft w:val="0"/>
                  <w:marRight w:val="0"/>
                  <w:marTop w:val="0"/>
                  <w:marBottom w:val="0"/>
                  <w:divBdr>
                    <w:top w:val="none" w:sz="0" w:space="0" w:color="auto"/>
                    <w:left w:val="none" w:sz="0" w:space="0" w:color="auto"/>
                    <w:bottom w:val="none" w:sz="0" w:space="0" w:color="auto"/>
                    <w:right w:val="none" w:sz="0" w:space="0" w:color="auto"/>
                  </w:divBdr>
                  <w:divsChild>
                    <w:div w:id="196315137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067">
          <w:marLeft w:val="0"/>
          <w:marRight w:val="0"/>
          <w:marTop w:val="0"/>
          <w:marBottom w:val="0"/>
          <w:divBdr>
            <w:top w:val="none" w:sz="0" w:space="0" w:color="auto"/>
            <w:left w:val="none" w:sz="0" w:space="0" w:color="auto"/>
            <w:bottom w:val="none" w:sz="0" w:space="0" w:color="auto"/>
            <w:right w:val="none" w:sz="0" w:space="0" w:color="auto"/>
          </w:divBdr>
        </w:div>
      </w:divsChild>
    </w:div>
    <w:div w:id="2086846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4245847">
      <w:bodyDiv w:val="1"/>
      <w:marLeft w:val="0"/>
      <w:marRight w:val="0"/>
      <w:marTop w:val="0"/>
      <w:marBottom w:val="0"/>
      <w:divBdr>
        <w:top w:val="none" w:sz="0" w:space="0" w:color="auto"/>
        <w:left w:val="none" w:sz="0" w:space="0" w:color="auto"/>
        <w:bottom w:val="none" w:sz="0" w:space="0" w:color="auto"/>
        <w:right w:val="none" w:sz="0" w:space="0" w:color="auto"/>
      </w:divBdr>
    </w:div>
    <w:div w:id="236717076">
      <w:bodyDiv w:val="1"/>
      <w:marLeft w:val="0"/>
      <w:marRight w:val="0"/>
      <w:marTop w:val="0"/>
      <w:marBottom w:val="0"/>
      <w:divBdr>
        <w:top w:val="none" w:sz="0" w:space="0" w:color="auto"/>
        <w:left w:val="none" w:sz="0" w:space="0" w:color="auto"/>
        <w:bottom w:val="none" w:sz="0" w:space="0" w:color="auto"/>
        <w:right w:val="none" w:sz="0" w:space="0" w:color="auto"/>
      </w:divBdr>
    </w:div>
    <w:div w:id="242686057">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32101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8663996">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226642">
      <w:bodyDiv w:val="1"/>
      <w:marLeft w:val="0"/>
      <w:marRight w:val="0"/>
      <w:marTop w:val="0"/>
      <w:marBottom w:val="0"/>
      <w:divBdr>
        <w:top w:val="none" w:sz="0" w:space="0" w:color="auto"/>
        <w:left w:val="none" w:sz="0" w:space="0" w:color="auto"/>
        <w:bottom w:val="none" w:sz="0" w:space="0" w:color="auto"/>
        <w:right w:val="none" w:sz="0" w:space="0" w:color="auto"/>
      </w:divBdr>
    </w:div>
    <w:div w:id="28947534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0885740">
      <w:bodyDiv w:val="1"/>
      <w:marLeft w:val="0"/>
      <w:marRight w:val="0"/>
      <w:marTop w:val="0"/>
      <w:marBottom w:val="0"/>
      <w:divBdr>
        <w:top w:val="none" w:sz="0" w:space="0" w:color="auto"/>
        <w:left w:val="none" w:sz="0" w:space="0" w:color="auto"/>
        <w:bottom w:val="none" w:sz="0" w:space="0" w:color="auto"/>
        <w:right w:val="none" w:sz="0" w:space="0" w:color="auto"/>
      </w:divBdr>
      <w:divsChild>
        <w:div w:id="161748597">
          <w:marLeft w:val="0"/>
          <w:marRight w:val="0"/>
          <w:marTop w:val="0"/>
          <w:marBottom w:val="0"/>
          <w:divBdr>
            <w:top w:val="none" w:sz="0" w:space="0" w:color="auto"/>
            <w:left w:val="none" w:sz="0" w:space="0" w:color="auto"/>
            <w:bottom w:val="none" w:sz="0" w:space="0" w:color="auto"/>
            <w:right w:val="none" w:sz="0" w:space="0" w:color="auto"/>
          </w:divBdr>
          <w:divsChild>
            <w:div w:id="1977947171">
              <w:marLeft w:val="0"/>
              <w:marRight w:val="0"/>
              <w:marTop w:val="0"/>
              <w:marBottom w:val="0"/>
              <w:divBdr>
                <w:top w:val="none" w:sz="0" w:space="0" w:color="auto"/>
                <w:left w:val="none" w:sz="0" w:space="0" w:color="auto"/>
                <w:bottom w:val="none" w:sz="0" w:space="0" w:color="auto"/>
                <w:right w:val="none" w:sz="0" w:space="0" w:color="auto"/>
              </w:divBdr>
              <w:divsChild>
                <w:div w:id="1609191062">
                  <w:marLeft w:val="0"/>
                  <w:marRight w:val="0"/>
                  <w:marTop w:val="0"/>
                  <w:marBottom w:val="0"/>
                  <w:divBdr>
                    <w:top w:val="none" w:sz="0" w:space="0" w:color="auto"/>
                    <w:left w:val="none" w:sz="0" w:space="0" w:color="auto"/>
                    <w:bottom w:val="none" w:sz="0" w:space="0" w:color="auto"/>
                    <w:right w:val="none" w:sz="0" w:space="0" w:color="auto"/>
                  </w:divBdr>
                  <w:divsChild>
                    <w:div w:id="872571790">
                      <w:marLeft w:val="0"/>
                      <w:marRight w:val="0"/>
                      <w:marTop w:val="0"/>
                      <w:marBottom w:val="0"/>
                      <w:divBdr>
                        <w:top w:val="none" w:sz="0" w:space="0" w:color="auto"/>
                        <w:left w:val="none" w:sz="0" w:space="0" w:color="auto"/>
                        <w:bottom w:val="none" w:sz="0" w:space="0" w:color="auto"/>
                        <w:right w:val="none" w:sz="0" w:space="0" w:color="auto"/>
                      </w:divBdr>
                      <w:divsChild>
                        <w:div w:id="1675842564">
                          <w:marLeft w:val="0"/>
                          <w:marRight w:val="0"/>
                          <w:marTop w:val="0"/>
                          <w:marBottom w:val="0"/>
                          <w:divBdr>
                            <w:top w:val="none" w:sz="0" w:space="0" w:color="auto"/>
                            <w:left w:val="none" w:sz="0" w:space="0" w:color="auto"/>
                            <w:bottom w:val="none" w:sz="0" w:space="0" w:color="auto"/>
                            <w:right w:val="none" w:sz="0" w:space="0" w:color="auto"/>
                          </w:divBdr>
                          <w:divsChild>
                            <w:div w:id="1824081667">
                              <w:marLeft w:val="0"/>
                              <w:marRight w:val="0"/>
                              <w:marTop w:val="0"/>
                              <w:marBottom w:val="0"/>
                              <w:divBdr>
                                <w:top w:val="none" w:sz="0" w:space="0" w:color="auto"/>
                                <w:left w:val="none" w:sz="0" w:space="0" w:color="auto"/>
                                <w:bottom w:val="none" w:sz="0" w:space="0" w:color="auto"/>
                                <w:right w:val="none" w:sz="0" w:space="0" w:color="auto"/>
                              </w:divBdr>
                              <w:divsChild>
                                <w:div w:id="1321345563">
                                  <w:marLeft w:val="0"/>
                                  <w:marRight w:val="0"/>
                                  <w:marTop w:val="0"/>
                                  <w:marBottom w:val="0"/>
                                  <w:divBdr>
                                    <w:top w:val="none" w:sz="0" w:space="0" w:color="auto"/>
                                    <w:left w:val="none" w:sz="0" w:space="0" w:color="auto"/>
                                    <w:bottom w:val="none" w:sz="0" w:space="0" w:color="auto"/>
                                    <w:right w:val="none" w:sz="0" w:space="0" w:color="auto"/>
                                  </w:divBdr>
                                  <w:divsChild>
                                    <w:div w:id="1556315624">
                                      <w:marLeft w:val="0"/>
                                      <w:marRight w:val="0"/>
                                      <w:marTop w:val="0"/>
                                      <w:marBottom w:val="0"/>
                                      <w:divBdr>
                                        <w:top w:val="none" w:sz="0" w:space="0" w:color="auto"/>
                                        <w:left w:val="none" w:sz="0" w:space="0" w:color="auto"/>
                                        <w:bottom w:val="none" w:sz="0" w:space="0" w:color="auto"/>
                                        <w:right w:val="none" w:sz="0" w:space="0" w:color="auto"/>
                                      </w:divBdr>
                                      <w:divsChild>
                                        <w:div w:id="1615595476">
                                          <w:marLeft w:val="0"/>
                                          <w:marRight w:val="0"/>
                                          <w:marTop w:val="0"/>
                                          <w:marBottom w:val="0"/>
                                          <w:divBdr>
                                            <w:top w:val="none" w:sz="0" w:space="0" w:color="auto"/>
                                            <w:left w:val="none" w:sz="0" w:space="0" w:color="auto"/>
                                            <w:bottom w:val="none" w:sz="0" w:space="0" w:color="auto"/>
                                            <w:right w:val="none" w:sz="0" w:space="0" w:color="auto"/>
                                          </w:divBdr>
                                          <w:divsChild>
                                            <w:div w:id="1539198447">
                                              <w:marLeft w:val="0"/>
                                              <w:marRight w:val="0"/>
                                              <w:marTop w:val="0"/>
                                              <w:marBottom w:val="0"/>
                                              <w:divBdr>
                                                <w:top w:val="none" w:sz="0" w:space="0" w:color="auto"/>
                                                <w:left w:val="none" w:sz="0" w:space="0" w:color="auto"/>
                                                <w:bottom w:val="none" w:sz="0" w:space="0" w:color="auto"/>
                                                <w:right w:val="none" w:sz="0" w:space="0" w:color="auto"/>
                                              </w:divBdr>
                                              <w:divsChild>
                                                <w:div w:id="1344672058">
                                                  <w:marLeft w:val="0"/>
                                                  <w:marRight w:val="0"/>
                                                  <w:marTop w:val="0"/>
                                                  <w:marBottom w:val="0"/>
                                                  <w:divBdr>
                                                    <w:top w:val="none" w:sz="0" w:space="0" w:color="auto"/>
                                                    <w:left w:val="none" w:sz="0" w:space="0" w:color="auto"/>
                                                    <w:bottom w:val="none" w:sz="0" w:space="0" w:color="auto"/>
                                                    <w:right w:val="none" w:sz="0" w:space="0" w:color="auto"/>
                                                  </w:divBdr>
                                                  <w:divsChild>
                                                    <w:div w:id="20908346">
                                                      <w:marLeft w:val="0"/>
                                                      <w:marRight w:val="0"/>
                                                      <w:marTop w:val="0"/>
                                                      <w:marBottom w:val="0"/>
                                                      <w:divBdr>
                                                        <w:top w:val="none" w:sz="0" w:space="0" w:color="auto"/>
                                                        <w:left w:val="none" w:sz="0" w:space="0" w:color="auto"/>
                                                        <w:bottom w:val="none" w:sz="0" w:space="0" w:color="auto"/>
                                                        <w:right w:val="none" w:sz="0" w:space="0" w:color="auto"/>
                                                      </w:divBdr>
                                                      <w:divsChild>
                                                        <w:div w:id="1064909157">
                                                          <w:marLeft w:val="0"/>
                                                          <w:marRight w:val="0"/>
                                                          <w:marTop w:val="0"/>
                                                          <w:marBottom w:val="0"/>
                                                          <w:divBdr>
                                                            <w:top w:val="none" w:sz="0" w:space="0" w:color="auto"/>
                                                            <w:left w:val="none" w:sz="0" w:space="0" w:color="auto"/>
                                                            <w:bottom w:val="none" w:sz="0" w:space="0" w:color="auto"/>
                                                            <w:right w:val="none" w:sz="0" w:space="0" w:color="auto"/>
                                                          </w:divBdr>
                                                        </w:div>
                                                      </w:divsChild>
                                                    </w:div>
                                                    <w:div w:id="1200314696">
                                                      <w:marLeft w:val="0"/>
                                                      <w:marRight w:val="0"/>
                                                      <w:marTop w:val="0"/>
                                                      <w:marBottom w:val="0"/>
                                                      <w:divBdr>
                                                        <w:top w:val="none" w:sz="0" w:space="0" w:color="auto"/>
                                                        <w:left w:val="none" w:sz="0" w:space="0" w:color="auto"/>
                                                        <w:bottom w:val="none" w:sz="0" w:space="0" w:color="auto"/>
                                                        <w:right w:val="none" w:sz="0" w:space="0" w:color="auto"/>
                                                      </w:divBdr>
                                                      <w:divsChild>
                                                        <w:div w:id="336005609">
                                                          <w:marLeft w:val="0"/>
                                                          <w:marRight w:val="0"/>
                                                          <w:marTop w:val="0"/>
                                                          <w:marBottom w:val="75"/>
                                                          <w:divBdr>
                                                            <w:top w:val="none" w:sz="0" w:space="0" w:color="auto"/>
                                                            <w:left w:val="none" w:sz="0" w:space="0" w:color="auto"/>
                                                            <w:bottom w:val="none" w:sz="0" w:space="0" w:color="auto"/>
                                                            <w:right w:val="none" w:sz="0" w:space="0" w:color="auto"/>
                                                          </w:divBdr>
                                                          <w:divsChild>
                                                            <w:div w:id="151800344">
                                                              <w:marLeft w:val="0"/>
                                                              <w:marRight w:val="75"/>
                                                              <w:marTop w:val="0"/>
                                                              <w:marBottom w:val="0"/>
                                                              <w:divBdr>
                                                                <w:top w:val="none" w:sz="0" w:space="0" w:color="auto"/>
                                                                <w:left w:val="none" w:sz="0" w:space="0" w:color="auto"/>
                                                                <w:bottom w:val="none" w:sz="0" w:space="0" w:color="auto"/>
                                                                <w:right w:val="none" w:sz="0" w:space="0" w:color="auto"/>
                                                              </w:divBdr>
                                                            </w:div>
                                                          </w:divsChild>
                                                        </w:div>
                                                        <w:div w:id="1376736450">
                                                          <w:marLeft w:val="0"/>
                                                          <w:marRight w:val="0"/>
                                                          <w:marTop w:val="0"/>
                                                          <w:marBottom w:val="75"/>
                                                          <w:divBdr>
                                                            <w:top w:val="none" w:sz="0" w:space="0" w:color="auto"/>
                                                            <w:left w:val="none" w:sz="0" w:space="0" w:color="auto"/>
                                                            <w:bottom w:val="none" w:sz="0" w:space="0" w:color="auto"/>
                                                            <w:right w:val="none" w:sz="0" w:space="0" w:color="auto"/>
                                                          </w:divBdr>
                                                          <w:divsChild>
                                                            <w:div w:id="1160119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8863576">
                                                      <w:marLeft w:val="0"/>
                                                      <w:marRight w:val="0"/>
                                                      <w:marTop w:val="240"/>
                                                      <w:marBottom w:val="0"/>
                                                      <w:divBdr>
                                                        <w:top w:val="none" w:sz="0" w:space="0" w:color="auto"/>
                                                        <w:left w:val="none" w:sz="0" w:space="0" w:color="auto"/>
                                                        <w:bottom w:val="none" w:sz="0" w:space="0" w:color="auto"/>
                                                        <w:right w:val="none" w:sz="0" w:space="0" w:color="auto"/>
                                                      </w:divBdr>
                                                    </w:div>
                                                    <w:div w:id="170220068">
                                                      <w:marLeft w:val="0"/>
                                                      <w:marRight w:val="240"/>
                                                      <w:marTop w:val="0"/>
                                                      <w:marBottom w:val="0"/>
                                                      <w:divBdr>
                                                        <w:top w:val="none" w:sz="0" w:space="0" w:color="auto"/>
                                                        <w:left w:val="none" w:sz="0" w:space="0" w:color="auto"/>
                                                        <w:bottom w:val="none" w:sz="0" w:space="0" w:color="auto"/>
                                                        <w:right w:val="none" w:sz="0" w:space="0" w:color="auto"/>
                                                      </w:divBdr>
                                                    </w:div>
                                                    <w:div w:id="1006790755">
                                                      <w:marLeft w:val="0"/>
                                                      <w:marRight w:val="240"/>
                                                      <w:marTop w:val="0"/>
                                                      <w:marBottom w:val="0"/>
                                                      <w:divBdr>
                                                        <w:top w:val="none" w:sz="0" w:space="0" w:color="auto"/>
                                                        <w:left w:val="none" w:sz="0" w:space="0" w:color="auto"/>
                                                        <w:bottom w:val="none" w:sz="0" w:space="0" w:color="auto"/>
                                                        <w:right w:val="none" w:sz="0" w:space="0" w:color="auto"/>
                                                      </w:divBdr>
                                                    </w:div>
                                                    <w:div w:id="1007246831">
                                                      <w:marLeft w:val="0"/>
                                                      <w:marRight w:val="240"/>
                                                      <w:marTop w:val="0"/>
                                                      <w:marBottom w:val="0"/>
                                                      <w:divBdr>
                                                        <w:top w:val="none" w:sz="0" w:space="0" w:color="auto"/>
                                                        <w:left w:val="none" w:sz="0" w:space="0" w:color="auto"/>
                                                        <w:bottom w:val="none" w:sz="0" w:space="0" w:color="auto"/>
                                                        <w:right w:val="none" w:sz="0" w:space="0" w:color="auto"/>
                                                      </w:divBdr>
                                                    </w:div>
                                                  </w:divsChild>
                                                </w:div>
                                                <w:div w:id="1674917207">
                                                  <w:marLeft w:val="0"/>
                                                  <w:marRight w:val="0"/>
                                                  <w:marTop w:val="0"/>
                                                  <w:marBottom w:val="0"/>
                                                  <w:divBdr>
                                                    <w:top w:val="none" w:sz="0" w:space="0" w:color="auto"/>
                                                    <w:left w:val="none" w:sz="0" w:space="0" w:color="auto"/>
                                                    <w:bottom w:val="none" w:sz="0" w:space="0" w:color="auto"/>
                                                    <w:right w:val="none" w:sz="0" w:space="0" w:color="auto"/>
                                                  </w:divBdr>
                                                  <w:divsChild>
                                                    <w:div w:id="2033801286">
                                                      <w:marLeft w:val="0"/>
                                                      <w:marRight w:val="0"/>
                                                      <w:marTop w:val="0"/>
                                                      <w:marBottom w:val="0"/>
                                                      <w:divBdr>
                                                        <w:top w:val="none" w:sz="0" w:space="0" w:color="auto"/>
                                                        <w:left w:val="none" w:sz="0" w:space="0" w:color="auto"/>
                                                        <w:bottom w:val="none" w:sz="0" w:space="0" w:color="auto"/>
                                                        <w:right w:val="none" w:sz="0" w:space="0" w:color="auto"/>
                                                      </w:divBdr>
                                                      <w:divsChild>
                                                        <w:div w:id="1859807379">
                                                          <w:marLeft w:val="0"/>
                                                          <w:marRight w:val="0"/>
                                                          <w:marTop w:val="0"/>
                                                          <w:marBottom w:val="0"/>
                                                          <w:divBdr>
                                                            <w:top w:val="none" w:sz="0" w:space="0" w:color="auto"/>
                                                            <w:left w:val="none" w:sz="0" w:space="0" w:color="auto"/>
                                                            <w:bottom w:val="none" w:sz="0" w:space="0" w:color="auto"/>
                                                            <w:right w:val="none" w:sz="0" w:space="0" w:color="auto"/>
                                                          </w:divBdr>
                                                        </w:div>
                                                      </w:divsChild>
                                                    </w:div>
                                                    <w:div w:id="2056268986">
                                                      <w:marLeft w:val="0"/>
                                                      <w:marRight w:val="0"/>
                                                      <w:marTop w:val="0"/>
                                                      <w:marBottom w:val="0"/>
                                                      <w:divBdr>
                                                        <w:top w:val="none" w:sz="0" w:space="0" w:color="auto"/>
                                                        <w:left w:val="none" w:sz="0" w:space="0" w:color="auto"/>
                                                        <w:bottom w:val="none" w:sz="0" w:space="0" w:color="auto"/>
                                                        <w:right w:val="none" w:sz="0" w:space="0" w:color="auto"/>
                                                      </w:divBdr>
                                                      <w:divsChild>
                                                        <w:div w:id="1416633279">
                                                          <w:marLeft w:val="0"/>
                                                          <w:marRight w:val="0"/>
                                                          <w:marTop w:val="0"/>
                                                          <w:marBottom w:val="75"/>
                                                          <w:divBdr>
                                                            <w:top w:val="none" w:sz="0" w:space="0" w:color="auto"/>
                                                            <w:left w:val="none" w:sz="0" w:space="0" w:color="auto"/>
                                                            <w:bottom w:val="none" w:sz="0" w:space="0" w:color="auto"/>
                                                            <w:right w:val="none" w:sz="0" w:space="0" w:color="auto"/>
                                                          </w:divBdr>
                                                          <w:divsChild>
                                                            <w:div w:id="6670575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0079743">
                                                      <w:marLeft w:val="0"/>
                                                      <w:marRight w:val="0"/>
                                                      <w:marTop w:val="240"/>
                                                      <w:marBottom w:val="0"/>
                                                      <w:divBdr>
                                                        <w:top w:val="none" w:sz="0" w:space="0" w:color="auto"/>
                                                        <w:left w:val="none" w:sz="0" w:space="0" w:color="auto"/>
                                                        <w:bottom w:val="none" w:sz="0" w:space="0" w:color="auto"/>
                                                        <w:right w:val="none" w:sz="0" w:space="0" w:color="auto"/>
                                                      </w:divBdr>
                                                    </w:div>
                                                    <w:div w:id="1907450635">
                                                      <w:marLeft w:val="0"/>
                                                      <w:marRight w:val="240"/>
                                                      <w:marTop w:val="0"/>
                                                      <w:marBottom w:val="0"/>
                                                      <w:divBdr>
                                                        <w:top w:val="none" w:sz="0" w:space="0" w:color="auto"/>
                                                        <w:left w:val="none" w:sz="0" w:space="0" w:color="auto"/>
                                                        <w:bottom w:val="none" w:sz="0" w:space="0" w:color="auto"/>
                                                        <w:right w:val="none" w:sz="0" w:space="0" w:color="auto"/>
                                                      </w:divBdr>
                                                    </w:div>
                                                    <w:div w:id="799684530">
                                                      <w:marLeft w:val="0"/>
                                                      <w:marRight w:val="240"/>
                                                      <w:marTop w:val="0"/>
                                                      <w:marBottom w:val="0"/>
                                                      <w:divBdr>
                                                        <w:top w:val="none" w:sz="0" w:space="0" w:color="auto"/>
                                                        <w:left w:val="none" w:sz="0" w:space="0" w:color="auto"/>
                                                        <w:bottom w:val="none" w:sz="0" w:space="0" w:color="auto"/>
                                                        <w:right w:val="none" w:sz="0" w:space="0" w:color="auto"/>
                                                      </w:divBdr>
                                                    </w:div>
                                                    <w:div w:id="1366372047">
                                                      <w:marLeft w:val="0"/>
                                                      <w:marRight w:val="240"/>
                                                      <w:marTop w:val="0"/>
                                                      <w:marBottom w:val="0"/>
                                                      <w:divBdr>
                                                        <w:top w:val="none" w:sz="0" w:space="0" w:color="auto"/>
                                                        <w:left w:val="none" w:sz="0" w:space="0" w:color="auto"/>
                                                        <w:bottom w:val="none" w:sz="0" w:space="0" w:color="auto"/>
                                                        <w:right w:val="none" w:sz="0" w:space="0" w:color="auto"/>
                                                      </w:divBdr>
                                                    </w:div>
                                                  </w:divsChild>
                                                </w:div>
                                                <w:div w:id="325668686">
                                                  <w:marLeft w:val="0"/>
                                                  <w:marRight w:val="0"/>
                                                  <w:marTop w:val="0"/>
                                                  <w:marBottom w:val="0"/>
                                                  <w:divBdr>
                                                    <w:top w:val="none" w:sz="0" w:space="0" w:color="auto"/>
                                                    <w:left w:val="none" w:sz="0" w:space="0" w:color="auto"/>
                                                    <w:bottom w:val="none" w:sz="0" w:space="0" w:color="auto"/>
                                                    <w:right w:val="none" w:sz="0" w:space="0" w:color="auto"/>
                                                  </w:divBdr>
                                                  <w:divsChild>
                                                    <w:div w:id="483618814">
                                                      <w:marLeft w:val="0"/>
                                                      <w:marRight w:val="0"/>
                                                      <w:marTop w:val="0"/>
                                                      <w:marBottom w:val="0"/>
                                                      <w:divBdr>
                                                        <w:top w:val="none" w:sz="0" w:space="0" w:color="auto"/>
                                                        <w:left w:val="none" w:sz="0" w:space="0" w:color="auto"/>
                                                        <w:bottom w:val="none" w:sz="0" w:space="0" w:color="auto"/>
                                                        <w:right w:val="none" w:sz="0" w:space="0" w:color="auto"/>
                                                      </w:divBdr>
                                                      <w:divsChild>
                                                        <w:div w:id="1584296552">
                                                          <w:marLeft w:val="0"/>
                                                          <w:marRight w:val="0"/>
                                                          <w:marTop w:val="0"/>
                                                          <w:marBottom w:val="0"/>
                                                          <w:divBdr>
                                                            <w:top w:val="none" w:sz="0" w:space="0" w:color="auto"/>
                                                            <w:left w:val="none" w:sz="0" w:space="0" w:color="auto"/>
                                                            <w:bottom w:val="none" w:sz="0" w:space="0" w:color="auto"/>
                                                            <w:right w:val="none" w:sz="0" w:space="0" w:color="auto"/>
                                                          </w:divBdr>
                                                        </w:div>
                                                      </w:divsChild>
                                                    </w:div>
                                                    <w:div w:id="2040737690">
                                                      <w:marLeft w:val="0"/>
                                                      <w:marRight w:val="0"/>
                                                      <w:marTop w:val="0"/>
                                                      <w:marBottom w:val="0"/>
                                                      <w:divBdr>
                                                        <w:top w:val="none" w:sz="0" w:space="0" w:color="auto"/>
                                                        <w:left w:val="none" w:sz="0" w:space="0" w:color="auto"/>
                                                        <w:bottom w:val="none" w:sz="0" w:space="0" w:color="auto"/>
                                                        <w:right w:val="none" w:sz="0" w:space="0" w:color="auto"/>
                                                      </w:divBdr>
                                                      <w:divsChild>
                                                        <w:div w:id="1691448954">
                                                          <w:marLeft w:val="0"/>
                                                          <w:marRight w:val="0"/>
                                                          <w:marTop w:val="0"/>
                                                          <w:marBottom w:val="75"/>
                                                          <w:divBdr>
                                                            <w:top w:val="none" w:sz="0" w:space="0" w:color="auto"/>
                                                            <w:left w:val="none" w:sz="0" w:space="0" w:color="auto"/>
                                                            <w:bottom w:val="none" w:sz="0" w:space="0" w:color="auto"/>
                                                            <w:right w:val="none" w:sz="0" w:space="0" w:color="auto"/>
                                                          </w:divBdr>
                                                          <w:divsChild>
                                                            <w:div w:id="224533789">
                                                              <w:marLeft w:val="0"/>
                                                              <w:marRight w:val="75"/>
                                                              <w:marTop w:val="0"/>
                                                              <w:marBottom w:val="0"/>
                                                              <w:divBdr>
                                                                <w:top w:val="none" w:sz="0" w:space="0" w:color="auto"/>
                                                                <w:left w:val="none" w:sz="0" w:space="0" w:color="auto"/>
                                                                <w:bottom w:val="none" w:sz="0" w:space="0" w:color="auto"/>
                                                                <w:right w:val="none" w:sz="0" w:space="0" w:color="auto"/>
                                                              </w:divBdr>
                                                            </w:div>
                                                          </w:divsChild>
                                                        </w:div>
                                                        <w:div w:id="1334534240">
                                                          <w:marLeft w:val="0"/>
                                                          <w:marRight w:val="0"/>
                                                          <w:marTop w:val="0"/>
                                                          <w:marBottom w:val="75"/>
                                                          <w:divBdr>
                                                            <w:top w:val="none" w:sz="0" w:space="0" w:color="auto"/>
                                                            <w:left w:val="none" w:sz="0" w:space="0" w:color="auto"/>
                                                            <w:bottom w:val="none" w:sz="0" w:space="0" w:color="auto"/>
                                                            <w:right w:val="none" w:sz="0" w:space="0" w:color="auto"/>
                                                          </w:divBdr>
                                                          <w:divsChild>
                                                            <w:div w:id="12655034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54361874">
                                                      <w:marLeft w:val="0"/>
                                                      <w:marRight w:val="0"/>
                                                      <w:marTop w:val="240"/>
                                                      <w:marBottom w:val="0"/>
                                                      <w:divBdr>
                                                        <w:top w:val="none" w:sz="0" w:space="0" w:color="auto"/>
                                                        <w:left w:val="none" w:sz="0" w:space="0" w:color="auto"/>
                                                        <w:bottom w:val="none" w:sz="0" w:space="0" w:color="auto"/>
                                                        <w:right w:val="none" w:sz="0" w:space="0" w:color="auto"/>
                                                      </w:divBdr>
                                                    </w:div>
                                                    <w:div w:id="734668967">
                                                      <w:marLeft w:val="0"/>
                                                      <w:marRight w:val="240"/>
                                                      <w:marTop w:val="0"/>
                                                      <w:marBottom w:val="0"/>
                                                      <w:divBdr>
                                                        <w:top w:val="none" w:sz="0" w:space="0" w:color="auto"/>
                                                        <w:left w:val="none" w:sz="0" w:space="0" w:color="auto"/>
                                                        <w:bottom w:val="none" w:sz="0" w:space="0" w:color="auto"/>
                                                        <w:right w:val="none" w:sz="0" w:space="0" w:color="auto"/>
                                                      </w:divBdr>
                                                    </w:div>
                                                    <w:div w:id="652949962">
                                                      <w:marLeft w:val="0"/>
                                                      <w:marRight w:val="240"/>
                                                      <w:marTop w:val="0"/>
                                                      <w:marBottom w:val="0"/>
                                                      <w:divBdr>
                                                        <w:top w:val="none" w:sz="0" w:space="0" w:color="auto"/>
                                                        <w:left w:val="none" w:sz="0" w:space="0" w:color="auto"/>
                                                        <w:bottom w:val="none" w:sz="0" w:space="0" w:color="auto"/>
                                                        <w:right w:val="none" w:sz="0" w:space="0" w:color="auto"/>
                                                      </w:divBdr>
                                                    </w:div>
                                                    <w:div w:id="205263637">
                                                      <w:marLeft w:val="0"/>
                                                      <w:marRight w:val="240"/>
                                                      <w:marTop w:val="0"/>
                                                      <w:marBottom w:val="0"/>
                                                      <w:divBdr>
                                                        <w:top w:val="none" w:sz="0" w:space="0" w:color="auto"/>
                                                        <w:left w:val="none" w:sz="0" w:space="0" w:color="auto"/>
                                                        <w:bottom w:val="none" w:sz="0" w:space="0" w:color="auto"/>
                                                        <w:right w:val="none" w:sz="0" w:space="0" w:color="auto"/>
                                                      </w:divBdr>
                                                    </w:div>
                                                  </w:divsChild>
                                                </w:div>
                                                <w:div w:id="921061867">
                                                  <w:marLeft w:val="0"/>
                                                  <w:marRight w:val="0"/>
                                                  <w:marTop w:val="0"/>
                                                  <w:marBottom w:val="0"/>
                                                  <w:divBdr>
                                                    <w:top w:val="none" w:sz="0" w:space="0" w:color="auto"/>
                                                    <w:left w:val="none" w:sz="0" w:space="0" w:color="auto"/>
                                                    <w:bottom w:val="none" w:sz="0" w:space="0" w:color="auto"/>
                                                    <w:right w:val="none" w:sz="0" w:space="0" w:color="auto"/>
                                                  </w:divBdr>
                                                  <w:divsChild>
                                                    <w:div w:id="1950966425">
                                                      <w:marLeft w:val="0"/>
                                                      <w:marRight w:val="0"/>
                                                      <w:marTop w:val="0"/>
                                                      <w:marBottom w:val="0"/>
                                                      <w:divBdr>
                                                        <w:top w:val="none" w:sz="0" w:space="0" w:color="auto"/>
                                                        <w:left w:val="none" w:sz="0" w:space="0" w:color="auto"/>
                                                        <w:bottom w:val="none" w:sz="0" w:space="0" w:color="auto"/>
                                                        <w:right w:val="none" w:sz="0" w:space="0" w:color="auto"/>
                                                      </w:divBdr>
                                                      <w:divsChild>
                                                        <w:div w:id="154952507">
                                                          <w:marLeft w:val="0"/>
                                                          <w:marRight w:val="0"/>
                                                          <w:marTop w:val="0"/>
                                                          <w:marBottom w:val="0"/>
                                                          <w:divBdr>
                                                            <w:top w:val="none" w:sz="0" w:space="0" w:color="auto"/>
                                                            <w:left w:val="none" w:sz="0" w:space="0" w:color="auto"/>
                                                            <w:bottom w:val="none" w:sz="0" w:space="0" w:color="auto"/>
                                                            <w:right w:val="none" w:sz="0" w:space="0" w:color="auto"/>
                                                          </w:divBdr>
                                                        </w:div>
                                                      </w:divsChild>
                                                    </w:div>
                                                    <w:div w:id="1678772007">
                                                      <w:marLeft w:val="0"/>
                                                      <w:marRight w:val="0"/>
                                                      <w:marTop w:val="0"/>
                                                      <w:marBottom w:val="0"/>
                                                      <w:divBdr>
                                                        <w:top w:val="none" w:sz="0" w:space="0" w:color="auto"/>
                                                        <w:left w:val="none" w:sz="0" w:space="0" w:color="auto"/>
                                                        <w:bottom w:val="none" w:sz="0" w:space="0" w:color="auto"/>
                                                        <w:right w:val="none" w:sz="0" w:space="0" w:color="auto"/>
                                                      </w:divBdr>
                                                      <w:divsChild>
                                                        <w:div w:id="1919049383">
                                                          <w:marLeft w:val="0"/>
                                                          <w:marRight w:val="0"/>
                                                          <w:marTop w:val="0"/>
                                                          <w:marBottom w:val="75"/>
                                                          <w:divBdr>
                                                            <w:top w:val="none" w:sz="0" w:space="0" w:color="auto"/>
                                                            <w:left w:val="none" w:sz="0" w:space="0" w:color="auto"/>
                                                            <w:bottom w:val="none" w:sz="0" w:space="0" w:color="auto"/>
                                                            <w:right w:val="none" w:sz="0" w:space="0" w:color="auto"/>
                                                          </w:divBdr>
                                                          <w:divsChild>
                                                            <w:div w:id="10250603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3985597">
                                                      <w:marLeft w:val="0"/>
                                                      <w:marRight w:val="0"/>
                                                      <w:marTop w:val="240"/>
                                                      <w:marBottom w:val="0"/>
                                                      <w:divBdr>
                                                        <w:top w:val="none" w:sz="0" w:space="0" w:color="auto"/>
                                                        <w:left w:val="none" w:sz="0" w:space="0" w:color="auto"/>
                                                        <w:bottom w:val="none" w:sz="0" w:space="0" w:color="auto"/>
                                                        <w:right w:val="none" w:sz="0" w:space="0" w:color="auto"/>
                                                      </w:divBdr>
                                                    </w:div>
                                                    <w:div w:id="2051373190">
                                                      <w:marLeft w:val="0"/>
                                                      <w:marRight w:val="240"/>
                                                      <w:marTop w:val="0"/>
                                                      <w:marBottom w:val="0"/>
                                                      <w:divBdr>
                                                        <w:top w:val="none" w:sz="0" w:space="0" w:color="auto"/>
                                                        <w:left w:val="none" w:sz="0" w:space="0" w:color="auto"/>
                                                        <w:bottom w:val="none" w:sz="0" w:space="0" w:color="auto"/>
                                                        <w:right w:val="none" w:sz="0" w:space="0" w:color="auto"/>
                                                      </w:divBdr>
                                                    </w:div>
                                                    <w:div w:id="1677227578">
                                                      <w:marLeft w:val="0"/>
                                                      <w:marRight w:val="240"/>
                                                      <w:marTop w:val="0"/>
                                                      <w:marBottom w:val="0"/>
                                                      <w:divBdr>
                                                        <w:top w:val="none" w:sz="0" w:space="0" w:color="auto"/>
                                                        <w:left w:val="none" w:sz="0" w:space="0" w:color="auto"/>
                                                        <w:bottom w:val="none" w:sz="0" w:space="0" w:color="auto"/>
                                                        <w:right w:val="none" w:sz="0" w:space="0" w:color="auto"/>
                                                      </w:divBdr>
                                                    </w:div>
                                                    <w:div w:id="725908847">
                                                      <w:marLeft w:val="0"/>
                                                      <w:marRight w:val="240"/>
                                                      <w:marTop w:val="0"/>
                                                      <w:marBottom w:val="0"/>
                                                      <w:divBdr>
                                                        <w:top w:val="none" w:sz="0" w:space="0" w:color="auto"/>
                                                        <w:left w:val="none" w:sz="0" w:space="0" w:color="auto"/>
                                                        <w:bottom w:val="none" w:sz="0" w:space="0" w:color="auto"/>
                                                        <w:right w:val="none" w:sz="0" w:space="0" w:color="auto"/>
                                                      </w:divBdr>
                                                    </w:div>
                                                  </w:divsChild>
                                                </w:div>
                                                <w:div w:id="226306095">
                                                  <w:marLeft w:val="0"/>
                                                  <w:marRight w:val="0"/>
                                                  <w:marTop w:val="0"/>
                                                  <w:marBottom w:val="0"/>
                                                  <w:divBdr>
                                                    <w:top w:val="none" w:sz="0" w:space="0" w:color="auto"/>
                                                    <w:left w:val="none" w:sz="0" w:space="0" w:color="auto"/>
                                                    <w:bottom w:val="none" w:sz="0" w:space="0" w:color="auto"/>
                                                    <w:right w:val="none" w:sz="0" w:space="0" w:color="auto"/>
                                                  </w:divBdr>
                                                  <w:divsChild>
                                                    <w:div w:id="150223808">
                                                      <w:marLeft w:val="0"/>
                                                      <w:marRight w:val="0"/>
                                                      <w:marTop w:val="0"/>
                                                      <w:marBottom w:val="0"/>
                                                      <w:divBdr>
                                                        <w:top w:val="none" w:sz="0" w:space="0" w:color="auto"/>
                                                        <w:left w:val="none" w:sz="0" w:space="0" w:color="auto"/>
                                                        <w:bottom w:val="none" w:sz="0" w:space="0" w:color="auto"/>
                                                        <w:right w:val="none" w:sz="0" w:space="0" w:color="auto"/>
                                                      </w:divBdr>
                                                      <w:divsChild>
                                                        <w:div w:id="1234240125">
                                                          <w:marLeft w:val="0"/>
                                                          <w:marRight w:val="0"/>
                                                          <w:marTop w:val="0"/>
                                                          <w:marBottom w:val="0"/>
                                                          <w:divBdr>
                                                            <w:top w:val="none" w:sz="0" w:space="0" w:color="auto"/>
                                                            <w:left w:val="none" w:sz="0" w:space="0" w:color="auto"/>
                                                            <w:bottom w:val="none" w:sz="0" w:space="0" w:color="auto"/>
                                                            <w:right w:val="none" w:sz="0" w:space="0" w:color="auto"/>
                                                          </w:divBdr>
                                                        </w:div>
                                                      </w:divsChild>
                                                    </w:div>
                                                    <w:div w:id="394856257">
                                                      <w:marLeft w:val="0"/>
                                                      <w:marRight w:val="0"/>
                                                      <w:marTop w:val="0"/>
                                                      <w:marBottom w:val="0"/>
                                                      <w:divBdr>
                                                        <w:top w:val="none" w:sz="0" w:space="0" w:color="auto"/>
                                                        <w:left w:val="none" w:sz="0" w:space="0" w:color="auto"/>
                                                        <w:bottom w:val="none" w:sz="0" w:space="0" w:color="auto"/>
                                                        <w:right w:val="none" w:sz="0" w:space="0" w:color="auto"/>
                                                      </w:divBdr>
                                                      <w:divsChild>
                                                        <w:div w:id="310716152">
                                                          <w:marLeft w:val="0"/>
                                                          <w:marRight w:val="0"/>
                                                          <w:marTop w:val="0"/>
                                                          <w:marBottom w:val="75"/>
                                                          <w:divBdr>
                                                            <w:top w:val="none" w:sz="0" w:space="0" w:color="auto"/>
                                                            <w:left w:val="none" w:sz="0" w:space="0" w:color="auto"/>
                                                            <w:bottom w:val="none" w:sz="0" w:space="0" w:color="auto"/>
                                                            <w:right w:val="none" w:sz="0" w:space="0" w:color="auto"/>
                                                          </w:divBdr>
                                                          <w:divsChild>
                                                            <w:div w:id="12092189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7726212">
                                                      <w:marLeft w:val="0"/>
                                                      <w:marRight w:val="0"/>
                                                      <w:marTop w:val="240"/>
                                                      <w:marBottom w:val="0"/>
                                                      <w:divBdr>
                                                        <w:top w:val="none" w:sz="0" w:space="0" w:color="auto"/>
                                                        <w:left w:val="none" w:sz="0" w:space="0" w:color="auto"/>
                                                        <w:bottom w:val="none" w:sz="0" w:space="0" w:color="auto"/>
                                                        <w:right w:val="none" w:sz="0" w:space="0" w:color="auto"/>
                                                      </w:divBdr>
                                                    </w:div>
                                                    <w:div w:id="1358852150">
                                                      <w:marLeft w:val="0"/>
                                                      <w:marRight w:val="240"/>
                                                      <w:marTop w:val="0"/>
                                                      <w:marBottom w:val="0"/>
                                                      <w:divBdr>
                                                        <w:top w:val="none" w:sz="0" w:space="0" w:color="auto"/>
                                                        <w:left w:val="none" w:sz="0" w:space="0" w:color="auto"/>
                                                        <w:bottom w:val="none" w:sz="0" w:space="0" w:color="auto"/>
                                                        <w:right w:val="none" w:sz="0" w:space="0" w:color="auto"/>
                                                      </w:divBdr>
                                                    </w:div>
                                                    <w:div w:id="1904221276">
                                                      <w:marLeft w:val="0"/>
                                                      <w:marRight w:val="240"/>
                                                      <w:marTop w:val="0"/>
                                                      <w:marBottom w:val="0"/>
                                                      <w:divBdr>
                                                        <w:top w:val="none" w:sz="0" w:space="0" w:color="auto"/>
                                                        <w:left w:val="none" w:sz="0" w:space="0" w:color="auto"/>
                                                        <w:bottom w:val="none" w:sz="0" w:space="0" w:color="auto"/>
                                                        <w:right w:val="none" w:sz="0" w:space="0" w:color="auto"/>
                                                      </w:divBdr>
                                                    </w:div>
                                                    <w:div w:id="352388307">
                                                      <w:marLeft w:val="0"/>
                                                      <w:marRight w:val="240"/>
                                                      <w:marTop w:val="0"/>
                                                      <w:marBottom w:val="0"/>
                                                      <w:divBdr>
                                                        <w:top w:val="none" w:sz="0" w:space="0" w:color="auto"/>
                                                        <w:left w:val="none" w:sz="0" w:space="0" w:color="auto"/>
                                                        <w:bottom w:val="none" w:sz="0" w:space="0" w:color="auto"/>
                                                        <w:right w:val="none" w:sz="0" w:space="0" w:color="auto"/>
                                                      </w:divBdr>
                                                    </w:div>
                                                  </w:divsChild>
                                                </w:div>
                                                <w:div w:id="835266535">
                                                  <w:marLeft w:val="0"/>
                                                  <w:marRight w:val="0"/>
                                                  <w:marTop w:val="0"/>
                                                  <w:marBottom w:val="0"/>
                                                  <w:divBdr>
                                                    <w:top w:val="none" w:sz="0" w:space="0" w:color="auto"/>
                                                    <w:left w:val="none" w:sz="0" w:space="0" w:color="auto"/>
                                                    <w:bottom w:val="none" w:sz="0" w:space="0" w:color="auto"/>
                                                    <w:right w:val="none" w:sz="0" w:space="0" w:color="auto"/>
                                                  </w:divBdr>
                                                  <w:divsChild>
                                                    <w:div w:id="1456825827">
                                                      <w:marLeft w:val="0"/>
                                                      <w:marRight w:val="0"/>
                                                      <w:marTop w:val="0"/>
                                                      <w:marBottom w:val="0"/>
                                                      <w:divBdr>
                                                        <w:top w:val="none" w:sz="0" w:space="0" w:color="auto"/>
                                                        <w:left w:val="none" w:sz="0" w:space="0" w:color="auto"/>
                                                        <w:bottom w:val="none" w:sz="0" w:space="0" w:color="auto"/>
                                                        <w:right w:val="none" w:sz="0" w:space="0" w:color="auto"/>
                                                      </w:divBdr>
                                                      <w:divsChild>
                                                        <w:div w:id="634797046">
                                                          <w:marLeft w:val="0"/>
                                                          <w:marRight w:val="0"/>
                                                          <w:marTop w:val="0"/>
                                                          <w:marBottom w:val="0"/>
                                                          <w:divBdr>
                                                            <w:top w:val="none" w:sz="0" w:space="0" w:color="auto"/>
                                                            <w:left w:val="none" w:sz="0" w:space="0" w:color="auto"/>
                                                            <w:bottom w:val="none" w:sz="0" w:space="0" w:color="auto"/>
                                                            <w:right w:val="none" w:sz="0" w:space="0" w:color="auto"/>
                                                          </w:divBdr>
                                                        </w:div>
                                                      </w:divsChild>
                                                    </w:div>
                                                    <w:div w:id="1485394035">
                                                      <w:marLeft w:val="0"/>
                                                      <w:marRight w:val="0"/>
                                                      <w:marTop w:val="0"/>
                                                      <w:marBottom w:val="0"/>
                                                      <w:divBdr>
                                                        <w:top w:val="none" w:sz="0" w:space="0" w:color="auto"/>
                                                        <w:left w:val="none" w:sz="0" w:space="0" w:color="auto"/>
                                                        <w:bottom w:val="none" w:sz="0" w:space="0" w:color="auto"/>
                                                        <w:right w:val="none" w:sz="0" w:space="0" w:color="auto"/>
                                                      </w:divBdr>
                                                      <w:divsChild>
                                                        <w:div w:id="637614813">
                                                          <w:marLeft w:val="0"/>
                                                          <w:marRight w:val="0"/>
                                                          <w:marTop w:val="0"/>
                                                          <w:marBottom w:val="75"/>
                                                          <w:divBdr>
                                                            <w:top w:val="none" w:sz="0" w:space="0" w:color="auto"/>
                                                            <w:left w:val="none" w:sz="0" w:space="0" w:color="auto"/>
                                                            <w:bottom w:val="none" w:sz="0" w:space="0" w:color="auto"/>
                                                            <w:right w:val="none" w:sz="0" w:space="0" w:color="auto"/>
                                                          </w:divBdr>
                                                          <w:divsChild>
                                                            <w:div w:id="1469011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04069836">
                                                      <w:marLeft w:val="0"/>
                                                      <w:marRight w:val="0"/>
                                                      <w:marTop w:val="240"/>
                                                      <w:marBottom w:val="0"/>
                                                      <w:divBdr>
                                                        <w:top w:val="none" w:sz="0" w:space="0" w:color="auto"/>
                                                        <w:left w:val="none" w:sz="0" w:space="0" w:color="auto"/>
                                                        <w:bottom w:val="none" w:sz="0" w:space="0" w:color="auto"/>
                                                        <w:right w:val="none" w:sz="0" w:space="0" w:color="auto"/>
                                                      </w:divBdr>
                                                    </w:div>
                                                    <w:div w:id="185140944">
                                                      <w:marLeft w:val="0"/>
                                                      <w:marRight w:val="240"/>
                                                      <w:marTop w:val="0"/>
                                                      <w:marBottom w:val="0"/>
                                                      <w:divBdr>
                                                        <w:top w:val="none" w:sz="0" w:space="0" w:color="auto"/>
                                                        <w:left w:val="none" w:sz="0" w:space="0" w:color="auto"/>
                                                        <w:bottom w:val="none" w:sz="0" w:space="0" w:color="auto"/>
                                                        <w:right w:val="none" w:sz="0" w:space="0" w:color="auto"/>
                                                      </w:divBdr>
                                                    </w:div>
                                                    <w:div w:id="1442455288">
                                                      <w:marLeft w:val="0"/>
                                                      <w:marRight w:val="240"/>
                                                      <w:marTop w:val="0"/>
                                                      <w:marBottom w:val="0"/>
                                                      <w:divBdr>
                                                        <w:top w:val="none" w:sz="0" w:space="0" w:color="auto"/>
                                                        <w:left w:val="none" w:sz="0" w:space="0" w:color="auto"/>
                                                        <w:bottom w:val="none" w:sz="0" w:space="0" w:color="auto"/>
                                                        <w:right w:val="none" w:sz="0" w:space="0" w:color="auto"/>
                                                      </w:divBdr>
                                                    </w:div>
                                                    <w:div w:id="472917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141088">
      <w:bodyDiv w:val="1"/>
      <w:marLeft w:val="0"/>
      <w:marRight w:val="0"/>
      <w:marTop w:val="0"/>
      <w:marBottom w:val="0"/>
      <w:divBdr>
        <w:top w:val="none" w:sz="0" w:space="0" w:color="auto"/>
        <w:left w:val="none" w:sz="0" w:space="0" w:color="auto"/>
        <w:bottom w:val="none" w:sz="0" w:space="0" w:color="auto"/>
        <w:right w:val="none" w:sz="0" w:space="0" w:color="auto"/>
      </w:divBdr>
      <w:divsChild>
        <w:div w:id="1082798817">
          <w:marLeft w:val="0"/>
          <w:marRight w:val="0"/>
          <w:marTop w:val="0"/>
          <w:marBottom w:val="0"/>
          <w:divBdr>
            <w:top w:val="none" w:sz="0" w:space="0" w:color="auto"/>
            <w:left w:val="none" w:sz="0" w:space="0" w:color="auto"/>
            <w:bottom w:val="none" w:sz="0" w:space="0" w:color="auto"/>
            <w:right w:val="none" w:sz="0" w:space="0" w:color="auto"/>
          </w:divBdr>
          <w:divsChild>
            <w:div w:id="2077778239">
              <w:marLeft w:val="439"/>
              <w:marRight w:val="0"/>
              <w:marTop w:val="0"/>
              <w:marBottom w:val="0"/>
              <w:divBdr>
                <w:top w:val="none" w:sz="0" w:space="0" w:color="auto"/>
                <w:left w:val="none" w:sz="0" w:space="0" w:color="auto"/>
                <w:bottom w:val="none" w:sz="0" w:space="0" w:color="auto"/>
                <w:right w:val="none" w:sz="0" w:space="0" w:color="auto"/>
              </w:divBdr>
              <w:divsChild>
                <w:div w:id="2014605123">
                  <w:marLeft w:val="0"/>
                  <w:marRight w:val="0"/>
                  <w:marTop w:val="0"/>
                  <w:marBottom w:val="0"/>
                  <w:divBdr>
                    <w:top w:val="none" w:sz="0" w:space="0" w:color="auto"/>
                    <w:left w:val="none" w:sz="0" w:space="0" w:color="auto"/>
                    <w:bottom w:val="none" w:sz="0" w:space="0" w:color="auto"/>
                    <w:right w:val="none" w:sz="0" w:space="0" w:color="auto"/>
                  </w:divBdr>
                  <w:divsChild>
                    <w:div w:id="79609656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9162">
          <w:marLeft w:val="0"/>
          <w:marRight w:val="0"/>
          <w:marTop w:val="0"/>
          <w:marBottom w:val="0"/>
          <w:divBdr>
            <w:top w:val="none" w:sz="0" w:space="0" w:color="auto"/>
            <w:left w:val="none" w:sz="0" w:space="0" w:color="auto"/>
            <w:bottom w:val="none" w:sz="0" w:space="0" w:color="auto"/>
            <w:right w:val="none" w:sz="0" w:space="0" w:color="auto"/>
          </w:divBdr>
        </w:div>
      </w:divsChild>
    </w:div>
    <w:div w:id="332072252">
      <w:bodyDiv w:val="1"/>
      <w:marLeft w:val="0"/>
      <w:marRight w:val="0"/>
      <w:marTop w:val="0"/>
      <w:marBottom w:val="0"/>
      <w:divBdr>
        <w:top w:val="none" w:sz="0" w:space="0" w:color="auto"/>
        <w:left w:val="none" w:sz="0" w:space="0" w:color="auto"/>
        <w:bottom w:val="none" w:sz="0" w:space="0" w:color="auto"/>
        <w:right w:val="none" w:sz="0" w:space="0" w:color="auto"/>
      </w:divBdr>
    </w:div>
    <w:div w:id="33372587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68337245">
      <w:bodyDiv w:val="1"/>
      <w:marLeft w:val="0"/>
      <w:marRight w:val="0"/>
      <w:marTop w:val="0"/>
      <w:marBottom w:val="0"/>
      <w:divBdr>
        <w:top w:val="none" w:sz="0" w:space="0" w:color="auto"/>
        <w:left w:val="none" w:sz="0" w:space="0" w:color="auto"/>
        <w:bottom w:val="none" w:sz="0" w:space="0" w:color="auto"/>
        <w:right w:val="none" w:sz="0" w:space="0" w:color="auto"/>
      </w:divBdr>
    </w:div>
    <w:div w:id="377317626">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8098325">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315739">
      <w:bodyDiv w:val="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1034040652">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0"/>
                  <w:divBdr>
                    <w:top w:val="none" w:sz="0" w:space="0" w:color="auto"/>
                    <w:left w:val="none" w:sz="0" w:space="0" w:color="auto"/>
                    <w:bottom w:val="none" w:sz="0" w:space="0" w:color="auto"/>
                    <w:right w:val="none" w:sz="0" w:space="0" w:color="auto"/>
                  </w:divBdr>
                  <w:divsChild>
                    <w:div w:id="870342180">
                      <w:marLeft w:val="0"/>
                      <w:marRight w:val="0"/>
                      <w:marTop w:val="0"/>
                      <w:marBottom w:val="0"/>
                      <w:divBdr>
                        <w:top w:val="none" w:sz="0" w:space="0" w:color="auto"/>
                        <w:left w:val="none" w:sz="0" w:space="0" w:color="auto"/>
                        <w:bottom w:val="none" w:sz="0" w:space="0" w:color="auto"/>
                        <w:right w:val="none" w:sz="0" w:space="0" w:color="auto"/>
                      </w:divBdr>
                      <w:divsChild>
                        <w:div w:id="1012956590">
                          <w:marLeft w:val="0"/>
                          <w:marRight w:val="0"/>
                          <w:marTop w:val="0"/>
                          <w:marBottom w:val="0"/>
                          <w:divBdr>
                            <w:top w:val="none" w:sz="0" w:space="0" w:color="auto"/>
                            <w:left w:val="none" w:sz="0" w:space="0" w:color="auto"/>
                            <w:bottom w:val="none" w:sz="0" w:space="0" w:color="auto"/>
                            <w:right w:val="none" w:sz="0" w:space="0" w:color="auto"/>
                          </w:divBdr>
                          <w:divsChild>
                            <w:div w:id="1496992304">
                              <w:marLeft w:val="0"/>
                              <w:marRight w:val="0"/>
                              <w:marTop w:val="0"/>
                              <w:marBottom w:val="0"/>
                              <w:divBdr>
                                <w:top w:val="none" w:sz="0" w:space="0" w:color="auto"/>
                                <w:left w:val="none" w:sz="0" w:space="0" w:color="auto"/>
                                <w:bottom w:val="none" w:sz="0" w:space="0" w:color="auto"/>
                                <w:right w:val="none" w:sz="0" w:space="0" w:color="auto"/>
                              </w:divBdr>
                              <w:divsChild>
                                <w:div w:id="871698052">
                                  <w:marLeft w:val="0"/>
                                  <w:marRight w:val="0"/>
                                  <w:marTop w:val="0"/>
                                  <w:marBottom w:val="0"/>
                                  <w:divBdr>
                                    <w:top w:val="none" w:sz="0" w:space="0" w:color="auto"/>
                                    <w:left w:val="none" w:sz="0" w:space="0" w:color="auto"/>
                                    <w:bottom w:val="none" w:sz="0" w:space="0" w:color="auto"/>
                                    <w:right w:val="none" w:sz="0" w:space="0" w:color="auto"/>
                                  </w:divBdr>
                                  <w:divsChild>
                                    <w:div w:id="2055307124">
                                      <w:marLeft w:val="0"/>
                                      <w:marRight w:val="0"/>
                                      <w:marTop w:val="0"/>
                                      <w:marBottom w:val="0"/>
                                      <w:divBdr>
                                        <w:top w:val="none" w:sz="0" w:space="0" w:color="auto"/>
                                        <w:left w:val="none" w:sz="0" w:space="0" w:color="auto"/>
                                        <w:bottom w:val="none" w:sz="0" w:space="0" w:color="auto"/>
                                        <w:right w:val="none" w:sz="0" w:space="0" w:color="auto"/>
                                      </w:divBdr>
                                      <w:divsChild>
                                        <w:div w:id="1062217414">
                                          <w:marLeft w:val="0"/>
                                          <w:marRight w:val="0"/>
                                          <w:marTop w:val="0"/>
                                          <w:marBottom w:val="0"/>
                                          <w:divBdr>
                                            <w:top w:val="none" w:sz="0" w:space="0" w:color="auto"/>
                                            <w:left w:val="none" w:sz="0" w:space="0" w:color="auto"/>
                                            <w:bottom w:val="none" w:sz="0" w:space="0" w:color="auto"/>
                                            <w:right w:val="none" w:sz="0" w:space="0" w:color="auto"/>
                                          </w:divBdr>
                                          <w:divsChild>
                                            <w:div w:id="904492502">
                                              <w:marLeft w:val="0"/>
                                              <w:marRight w:val="0"/>
                                              <w:marTop w:val="0"/>
                                              <w:marBottom w:val="0"/>
                                              <w:divBdr>
                                                <w:top w:val="none" w:sz="0" w:space="0" w:color="auto"/>
                                                <w:left w:val="none" w:sz="0" w:space="0" w:color="auto"/>
                                                <w:bottom w:val="none" w:sz="0" w:space="0" w:color="auto"/>
                                                <w:right w:val="none" w:sz="0" w:space="0" w:color="auto"/>
                                              </w:divBdr>
                                              <w:divsChild>
                                                <w:div w:id="1559824656">
                                                  <w:marLeft w:val="0"/>
                                                  <w:marRight w:val="0"/>
                                                  <w:marTop w:val="0"/>
                                                  <w:marBottom w:val="0"/>
                                                  <w:divBdr>
                                                    <w:top w:val="none" w:sz="0" w:space="0" w:color="auto"/>
                                                    <w:left w:val="none" w:sz="0" w:space="0" w:color="auto"/>
                                                    <w:bottom w:val="none" w:sz="0" w:space="0" w:color="auto"/>
                                                    <w:right w:val="none" w:sz="0" w:space="0" w:color="auto"/>
                                                  </w:divBdr>
                                                  <w:divsChild>
                                                    <w:div w:id="1186796241">
                                                      <w:marLeft w:val="0"/>
                                                      <w:marRight w:val="0"/>
                                                      <w:marTop w:val="0"/>
                                                      <w:marBottom w:val="0"/>
                                                      <w:divBdr>
                                                        <w:top w:val="none" w:sz="0" w:space="0" w:color="auto"/>
                                                        <w:left w:val="none" w:sz="0" w:space="0" w:color="auto"/>
                                                        <w:bottom w:val="none" w:sz="0" w:space="0" w:color="auto"/>
                                                        <w:right w:val="none" w:sz="0" w:space="0" w:color="auto"/>
                                                      </w:divBdr>
                                                      <w:divsChild>
                                                        <w:div w:id="1665737792">
                                                          <w:marLeft w:val="0"/>
                                                          <w:marRight w:val="0"/>
                                                          <w:marTop w:val="0"/>
                                                          <w:marBottom w:val="0"/>
                                                          <w:divBdr>
                                                            <w:top w:val="none" w:sz="0" w:space="0" w:color="auto"/>
                                                            <w:left w:val="none" w:sz="0" w:space="0" w:color="auto"/>
                                                            <w:bottom w:val="none" w:sz="0" w:space="0" w:color="auto"/>
                                                            <w:right w:val="none" w:sz="0" w:space="0" w:color="auto"/>
                                                          </w:divBdr>
                                                          <w:divsChild>
                                                            <w:div w:id="944576099">
                                                              <w:marLeft w:val="0"/>
                                                              <w:marRight w:val="0"/>
                                                              <w:marTop w:val="0"/>
                                                              <w:marBottom w:val="0"/>
                                                              <w:divBdr>
                                                                <w:top w:val="none" w:sz="0" w:space="0" w:color="auto"/>
                                                                <w:left w:val="none" w:sz="0" w:space="0" w:color="auto"/>
                                                                <w:bottom w:val="none" w:sz="0" w:space="0" w:color="auto"/>
                                                                <w:right w:val="none" w:sz="0" w:space="0" w:color="auto"/>
                                                              </w:divBdr>
                                                              <w:divsChild>
                                                                <w:div w:id="1121067715">
                                                                  <w:marLeft w:val="0"/>
                                                                  <w:marRight w:val="0"/>
                                                                  <w:marTop w:val="0"/>
                                                                  <w:marBottom w:val="0"/>
                                                                  <w:divBdr>
                                                                    <w:top w:val="none" w:sz="0" w:space="0" w:color="auto"/>
                                                                    <w:left w:val="none" w:sz="0" w:space="0" w:color="auto"/>
                                                                    <w:bottom w:val="none" w:sz="0" w:space="0" w:color="auto"/>
                                                                    <w:right w:val="none" w:sz="0" w:space="0" w:color="auto"/>
                                                                  </w:divBdr>
                                                                  <w:divsChild>
                                                                    <w:div w:id="1919897037">
                                                                      <w:marLeft w:val="0"/>
                                                                      <w:marRight w:val="0"/>
                                                                      <w:marTop w:val="0"/>
                                                                      <w:marBottom w:val="0"/>
                                                                      <w:divBdr>
                                                                        <w:top w:val="none" w:sz="0" w:space="0" w:color="auto"/>
                                                                        <w:left w:val="none" w:sz="0" w:space="0" w:color="auto"/>
                                                                        <w:bottom w:val="none" w:sz="0" w:space="0" w:color="auto"/>
                                                                        <w:right w:val="none" w:sz="0" w:space="0" w:color="auto"/>
                                                                      </w:divBdr>
                                                                      <w:divsChild>
                                                                        <w:div w:id="1366367907">
                                                                          <w:marLeft w:val="0"/>
                                                                          <w:marRight w:val="0"/>
                                                                          <w:marTop w:val="0"/>
                                                                          <w:marBottom w:val="0"/>
                                                                          <w:divBdr>
                                                                            <w:top w:val="none" w:sz="0" w:space="0" w:color="auto"/>
                                                                            <w:left w:val="none" w:sz="0" w:space="0" w:color="auto"/>
                                                                            <w:bottom w:val="none" w:sz="0" w:space="0" w:color="auto"/>
                                                                            <w:right w:val="none" w:sz="0" w:space="0" w:color="auto"/>
                                                                          </w:divBdr>
                                                                          <w:divsChild>
                                                                            <w:div w:id="924656414">
                                                                              <w:marLeft w:val="0"/>
                                                                              <w:marRight w:val="0"/>
                                                                              <w:marTop w:val="0"/>
                                                                              <w:marBottom w:val="0"/>
                                                                              <w:divBdr>
                                                                                <w:top w:val="none" w:sz="0" w:space="0" w:color="auto"/>
                                                                                <w:left w:val="none" w:sz="0" w:space="0" w:color="auto"/>
                                                                                <w:bottom w:val="none" w:sz="0" w:space="0" w:color="auto"/>
                                                                                <w:right w:val="none" w:sz="0" w:space="0" w:color="auto"/>
                                                                              </w:divBdr>
                                                                              <w:divsChild>
                                                                                <w:div w:id="1101337372">
                                                                                  <w:marLeft w:val="0"/>
                                                                                  <w:marRight w:val="0"/>
                                                                                  <w:marTop w:val="0"/>
                                                                                  <w:marBottom w:val="0"/>
                                                                                  <w:divBdr>
                                                                                    <w:top w:val="none" w:sz="0" w:space="0" w:color="auto"/>
                                                                                    <w:left w:val="none" w:sz="0" w:space="0" w:color="auto"/>
                                                                                    <w:bottom w:val="none" w:sz="0" w:space="0" w:color="auto"/>
                                                                                    <w:right w:val="none" w:sz="0" w:space="0" w:color="auto"/>
                                                                                  </w:divBdr>
                                                                                  <w:divsChild>
                                                                                    <w:div w:id="2060592165">
                                                                                      <w:marLeft w:val="0"/>
                                                                                      <w:marRight w:val="0"/>
                                                                                      <w:marTop w:val="0"/>
                                                                                      <w:marBottom w:val="0"/>
                                                                                      <w:divBdr>
                                                                                        <w:top w:val="none" w:sz="0" w:space="0" w:color="auto"/>
                                                                                        <w:left w:val="none" w:sz="0" w:space="0" w:color="auto"/>
                                                                                        <w:bottom w:val="none" w:sz="0" w:space="0" w:color="auto"/>
                                                                                        <w:right w:val="none" w:sz="0" w:space="0" w:color="auto"/>
                                                                                      </w:divBdr>
                                                                                      <w:divsChild>
                                                                                        <w:div w:id="1400714597">
                                                                                          <w:marLeft w:val="0"/>
                                                                                          <w:marRight w:val="0"/>
                                                                                          <w:marTop w:val="0"/>
                                                                                          <w:marBottom w:val="0"/>
                                                                                          <w:divBdr>
                                                                                            <w:top w:val="none" w:sz="0" w:space="0" w:color="auto"/>
                                                                                            <w:left w:val="none" w:sz="0" w:space="0" w:color="auto"/>
                                                                                            <w:bottom w:val="none" w:sz="0" w:space="0" w:color="auto"/>
                                                                                            <w:right w:val="none" w:sz="0" w:space="0" w:color="auto"/>
                                                                                          </w:divBdr>
                                                                                          <w:divsChild>
                                                                                            <w:div w:id="2116636499">
                                                                                              <w:marLeft w:val="0"/>
                                                                                              <w:marRight w:val="0"/>
                                                                                              <w:marTop w:val="0"/>
                                                                                              <w:marBottom w:val="0"/>
                                                                                              <w:divBdr>
                                                                                                <w:top w:val="none" w:sz="0" w:space="0" w:color="auto"/>
                                                                                                <w:left w:val="none" w:sz="0" w:space="0" w:color="auto"/>
                                                                                                <w:bottom w:val="none" w:sz="0" w:space="0" w:color="auto"/>
                                                                                                <w:right w:val="none" w:sz="0" w:space="0" w:color="auto"/>
                                                                                              </w:divBdr>
                                                                                              <w:divsChild>
                                                                                                <w:div w:id="1962221974">
                                                                                                  <w:marLeft w:val="0"/>
                                                                                                  <w:marRight w:val="0"/>
                                                                                                  <w:marTop w:val="0"/>
                                                                                                  <w:marBottom w:val="0"/>
                                                                                                  <w:divBdr>
                                                                                                    <w:top w:val="none" w:sz="0" w:space="0" w:color="auto"/>
                                                                                                    <w:left w:val="none" w:sz="0" w:space="0" w:color="auto"/>
                                                                                                    <w:bottom w:val="none" w:sz="0" w:space="0" w:color="auto"/>
                                                                                                    <w:right w:val="none" w:sz="0" w:space="0" w:color="auto"/>
                                                                                                  </w:divBdr>
                                                                                                  <w:divsChild>
                                                                                                    <w:div w:id="2015759123">
                                                                                                      <w:marLeft w:val="0"/>
                                                                                                      <w:marRight w:val="0"/>
                                                                                                      <w:marTop w:val="0"/>
                                                                                                      <w:marBottom w:val="0"/>
                                                                                                      <w:divBdr>
                                                                                                        <w:top w:val="none" w:sz="0" w:space="0" w:color="auto"/>
                                                                                                        <w:left w:val="none" w:sz="0" w:space="0" w:color="auto"/>
                                                                                                        <w:bottom w:val="none" w:sz="0" w:space="0" w:color="auto"/>
                                                                                                        <w:right w:val="none" w:sz="0" w:space="0" w:color="auto"/>
                                                                                                      </w:divBdr>
                                                                                                      <w:divsChild>
                                                                                                        <w:div w:id="1151560408">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0"/>
                                                                                                              <w:marTop w:val="0"/>
                                                                                                              <w:marBottom w:val="0"/>
                                                                                                              <w:divBdr>
                                                                                                                <w:top w:val="none" w:sz="0" w:space="0" w:color="auto"/>
                                                                                                                <w:left w:val="none" w:sz="0" w:space="0" w:color="auto"/>
                                                                                                                <w:bottom w:val="none" w:sz="0" w:space="0" w:color="auto"/>
                                                                                                                <w:right w:val="none" w:sz="0" w:space="0" w:color="auto"/>
                                                                                                              </w:divBdr>
                                                                                                              <w:divsChild>
                                                                                                                <w:div w:id="801777627">
                                                                                                                  <w:marLeft w:val="0"/>
                                                                                                                  <w:marRight w:val="0"/>
                                                                                                                  <w:marTop w:val="0"/>
                                                                                                                  <w:marBottom w:val="0"/>
                                                                                                                  <w:divBdr>
                                                                                                                    <w:top w:val="none" w:sz="0" w:space="0" w:color="auto"/>
                                                                                                                    <w:left w:val="none" w:sz="0" w:space="0" w:color="auto"/>
                                                                                                                    <w:bottom w:val="none" w:sz="0" w:space="0" w:color="auto"/>
                                                                                                                    <w:right w:val="none" w:sz="0" w:space="0" w:color="auto"/>
                                                                                                                  </w:divBdr>
                                                                                                                  <w:divsChild>
                                                                                                                    <w:div w:id="170334391">
                                                                                                                      <w:marLeft w:val="0"/>
                                                                                                                      <w:marRight w:val="0"/>
                                                                                                                      <w:marTop w:val="0"/>
                                                                                                                      <w:marBottom w:val="0"/>
                                                                                                                      <w:divBdr>
                                                                                                                        <w:top w:val="none" w:sz="0" w:space="0" w:color="auto"/>
                                                                                                                        <w:left w:val="none" w:sz="0" w:space="0" w:color="auto"/>
                                                                                                                        <w:bottom w:val="none" w:sz="0" w:space="0" w:color="auto"/>
                                                                                                                        <w:right w:val="none" w:sz="0" w:space="0" w:color="auto"/>
                                                                                                                      </w:divBdr>
                                                                                                                    </w:div>
                                                                                                                    <w:div w:id="718867993">
                                                                                                                      <w:marLeft w:val="0"/>
                                                                                                                      <w:marRight w:val="0"/>
                                                                                                                      <w:marTop w:val="0"/>
                                                                                                                      <w:marBottom w:val="0"/>
                                                                                                                      <w:divBdr>
                                                                                                                        <w:top w:val="none" w:sz="0" w:space="0" w:color="auto"/>
                                                                                                                        <w:left w:val="none" w:sz="0" w:space="0" w:color="auto"/>
                                                                                                                        <w:bottom w:val="none" w:sz="0" w:space="0" w:color="auto"/>
                                                                                                                        <w:right w:val="none" w:sz="0" w:space="0" w:color="auto"/>
                                                                                                                      </w:divBdr>
                                                                                                                    </w:div>
                                                                                                                    <w:div w:id="1410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4063078">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sChild>
        <w:div w:id="1040327331">
          <w:marLeft w:val="0"/>
          <w:marRight w:val="0"/>
          <w:marTop w:val="0"/>
          <w:marBottom w:val="0"/>
          <w:divBdr>
            <w:top w:val="none" w:sz="0" w:space="0" w:color="auto"/>
            <w:left w:val="none" w:sz="0" w:space="0" w:color="auto"/>
            <w:bottom w:val="none" w:sz="0" w:space="0" w:color="auto"/>
            <w:right w:val="none" w:sz="0" w:space="0" w:color="auto"/>
          </w:divBdr>
          <w:divsChild>
            <w:div w:id="1679505016">
              <w:marLeft w:val="439"/>
              <w:marRight w:val="0"/>
              <w:marTop w:val="0"/>
              <w:marBottom w:val="0"/>
              <w:divBdr>
                <w:top w:val="none" w:sz="0" w:space="0" w:color="auto"/>
                <w:left w:val="none" w:sz="0" w:space="0" w:color="auto"/>
                <w:bottom w:val="none" w:sz="0" w:space="0" w:color="auto"/>
                <w:right w:val="none" w:sz="0" w:space="0" w:color="auto"/>
              </w:divBdr>
              <w:divsChild>
                <w:div w:id="898058141">
                  <w:marLeft w:val="0"/>
                  <w:marRight w:val="0"/>
                  <w:marTop w:val="0"/>
                  <w:marBottom w:val="0"/>
                  <w:divBdr>
                    <w:top w:val="none" w:sz="0" w:space="0" w:color="auto"/>
                    <w:left w:val="none" w:sz="0" w:space="0" w:color="auto"/>
                    <w:bottom w:val="none" w:sz="0" w:space="0" w:color="auto"/>
                    <w:right w:val="none" w:sz="0" w:space="0" w:color="auto"/>
                  </w:divBdr>
                  <w:divsChild>
                    <w:div w:id="84294107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71">
          <w:marLeft w:val="0"/>
          <w:marRight w:val="0"/>
          <w:marTop w:val="0"/>
          <w:marBottom w:val="0"/>
          <w:divBdr>
            <w:top w:val="none" w:sz="0" w:space="0" w:color="auto"/>
            <w:left w:val="none" w:sz="0" w:space="0" w:color="auto"/>
            <w:bottom w:val="none" w:sz="0" w:space="0" w:color="auto"/>
            <w:right w:val="none" w:sz="0" w:space="0" w:color="auto"/>
          </w:divBdr>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803333">
      <w:bodyDiv w:val="1"/>
      <w:marLeft w:val="0"/>
      <w:marRight w:val="0"/>
      <w:marTop w:val="0"/>
      <w:marBottom w:val="0"/>
      <w:divBdr>
        <w:top w:val="none" w:sz="0" w:space="0" w:color="auto"/>
        <w:left w:val="none" w:sz="0" w:space="0" w:color="auto"/>
        <w:bottom w:val="none" w:sz="0" w:space="0" w:color="auto"/>
        <w:right w:val="none" w:sz="0" w:space="0" w:color="auto"/>
      </w:divBdr>
    </w:div>
    <w:div w:id="460147711">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70784">
      <w:bodyDiv w:val="1"/>
      <w:marLeft w:val="0"/>
      <w:marRight w:val="0"/>
      <w:marTop w:val="0"/>
      <w:marBottom w:val="0"/>
      <w:divBdr>
        <w:top w:val="none" w:sz="0" w:space="0" w:color="auto"/>
        <w:left w:val="none" w:sz="0" w:space="0" w:color="auto"/>
        <w:bottom w:val="none" w:sz="0" w:space="0" w:color="auto"/>
        <w:right w:val="none" w:sz="0" w:space="0" w:color="auto"/>
      </w:divBdr>
    </w:div>
    <w:div w:id="507868832">
      <w:bodyDiv w:val="1"/>
      <w:marLeft w:val="0"/>
      <w:marRight w:val="0"/>
      <w:marTop w:val="0"/>
      <w:marBottom w:val="0"/>
      <w:divBdr>
        <w:top w:val="none" w:sz="0" w:space="0" w:color="auto"/>
        <w:left w:val="none" w:sz="0" w:space="0" w:color="auto"/>
        <w:bottom w:val="none" w:sz="0" w:space="0" w:color="auto"/>
        <w:right w:val="none" w:sz="0" w:space="0" w:color="auto"/>
      </w:divBdr>
    </w:div>
    <w:div w:id="51094952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22420335">
      <w:bodyDiv w:val="1"/>
      <w:marLeft w:val="0"/>
      <w:marRight w:val="0"/>
      <w:marTop w:val="0"/>
      <w:marBottom w:val="0"/>
      <w:divBdr>
        <w:top w:val="none" w:sz="0" w:space="0" w:color="auto"/>
        <w:left w:val="none" w:sz="0" w:space="0" w:color="auto"/>
        <w:bottom w:val="none" w:sz="0" w:space="0" w:color="auto"/>
        <w:right w:val="none" w:sz="0" w:space="0" w:color="auto"/>
      </w:divBdr>
    </w:div>
    <w:div w:id="641693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881">
          <w:marLeft w:val="0"/>
          <w:marRight w:val="0"/>
          <w:marTop w:val="0"/>
          <w:marBottom w:val="0"/>
          <w:divBdr>
            <w:top w:val="none" w:sz="0" w:space="0" w:color="auto"/>
            <w:left w:val="none" w:sz="0" w:space="0" w:color="auto"/>
            <w:bottom w:val="none" w:sz="0" w:space="0" w:color="auto"/>
            <w:right w:val="none" w:sz="0" w:space="0" w:color="auto"/>
          </w:divBdr>
          <w:divsChild>
            <w:div w:id="1222592757">
              <w:marLeft w:val="439"/>
              <w:marRight w:val="0"/>
              <w:marTop w:val="0"/>
              <w:marBottom w:val="0"/>
              <w:divBdr>
                <w:top w:val="none" w:sz="0" w:space="0" w:color="auto"/>
                <w:left w:val="none" w:sz="0" w:space="0" w:color="auto"/>
                <w:bottom w:val="none" w:sz="0" w:space="0" w:color="auto"/>
                <w:right w:val="none" w:sz="0" w:space="0" w:color="auto"/>
              </w:divBdr>
              <w:divsChild>
                <w:div w:id="119999224">
                  <w:marLeft w:val="0"/>
                  <w:marRight w:val="0"/>
                  <w:marTop w:val="0"/>
                  <w:marBottom w:val="0"/>
                  <w:divBdr>
                    <w:top w:val="none" w:sz="0" w:space="0" w:color="auto"/>
                    <w:left w:val="none" w:sz="0" w:space="0" w:color="auto"/>
                    <w:bottom w:val="none" w:sz="0" w:space="0" w:color="auto"/>
                    <w:right w:val="none" w:sz="0" w:space="0" w:color="auto"/>
                  </w:divBdr>
                  <w:divsChild>
                    <w:div w:id="81626531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146">
          <w:marLeft w:val="0"/>
          <w:marRight w:val="0"/>
          <w:marTop w:val="0"/>
          <w:marBottom w:val="0"/>
          <w:divBdr>
            <w:top w:val="none" w:sz="0" w:space="0" w:color="auto"/>
            <w:left w:val="none" w:sz="0" w:space="0" w:color="auto"/>
            <w:bottom w:val="none" w:sz="0" w:space="0" w:color="auto"/>
            <w:right w:val="none" w:sz="0" w:space="0" w:color="auto"/>
          </w:divBdr>
        </w:div>
      </w:divsChild>
    </w:div>
    <w:div w:id="64193116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72997631">
      <w:bodyDiv w:val="1"/>
      <w:marLeft w:val="0"/>
      <w:marRight w:val="0"/>
      <w:marTop w:val="0"/>
      <w:marBottom w:val="0"/>
      <w:divBdr>
        <w:top w:val="none" w:sz="0" w:space="0" w:color="auto"/>
        <w:left w:val="none" w:sz="0" w:space="0" w:color="auto"/>
        <w:bottom w:val="none" w:sz="0" w:space="0" w:color="auto"/>
        <w:right w:val="none" w:sz="0" w:space="0" w:color="auto"/>
      </w:divBdr>
      <w:divsChild>
        <w:div w:id="862130031">
          <w:marLeft w:val="0"/>
          <w:marRight w:val="0"/>
          <w:marTop w:val="0"/>
          <w:marBottom w:val="0"/>
          <w:divBdr>
            <w:top w:val="none" w:sz="0" w:space="0" w:color="auto"/>
            <w:left w:val="none" w:sz="0" w:space="0" w:color="auto"/>
            <w:bottom w:val="none" w:sz="0" w:space="0" w:color="auto"/>
            <w:right w:val="none" w:sz="0" w:space="0" w:color="auto"/>
          </w:divBdr>
          <w:divsChild>
            <w:div w:id="1683317475">
              <w:marLeft w:val="439"/>
              <w:marRight w:val="0"/>
              <w:marTop w:val="0"/>
              <w:marBottom w:val="0"/>
              <w:divBdr>
                <w:top w:val="none" w:sz="0" w:space="0" w:color="auto"/>
                <w:left w:val="none" w:sz="0" w:space="0" w:color="auto"/>
                <w:bottom w:val="none" w:sz="0" w:space="0" w:color="auto"/>
                <w:right w:val="none" w:sz="0" w:space="0" w:color="auto"/>
              </w:divBdr>
              <w:divsChild>
                <w:div w:id="1075667751">
                  <w:marLeft w:val="0"/>
                  <w:marRight w:val="0"/>
                  <w:marTop w:val="0"/>
                  <w:marBottom w:val="0"/>
                  <w:divBdr>
                    <w:top w:val="none" w:sz="0" w:space="0" w:color="auto"/>
                    <w:left w:val="none" w:sz="0" w:space="0" w:color="auto"/>
                    <w:bottom w:val="none" w:sz="0" w:space="0" w:color="auto"/>
                    <w:right w:val="none" w:sz="0" w:space="0" w:color="auto"/>
                  </w:divBdr>
                  <w:divsChild>
                    <w:div w:id="170224632">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51">
          <w:marLeft w:val="0"/>
          <w:marRight w:val="0"/>
          <w:marTop w:val="0"/>
          <w:marBottom w:val="0"/>
          <w:divBdr>
            <w:top w:val="none" w:sz="0" w:space="0" w:color="auto"/>
            <w:left w:val="none" w:sz="0" w:space="0" w:color="auto"/>
            <w:bottom w:val="none" w:sz="0" w:space="0" w:color="auto"/>
            <w:right w:val="none" w:sz="0" w:space="0" w:color="auto"/>
          </w:divBdr>
        </w:div>
      </w:divsChild>
    </w:div>
    <w:div w:id="676035645">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60834653">
      <w:bodyDiv w:val="1"/>
      <w:marLeft w:val="0"/>
      <w:marRight w:val="0"/>
      <w:marTop w:val="0"/>
      <w:marBottom w:val="0"/>
      <w:divBdr>
        <w:top w:val="none" w:sz="0" w:space="0" w:color="auto"/>
        <w:left w:val="none" w:sz="0" w:space="0" w:color="auto"/>
        <w:bottom w:val="none" w:sz="0" w:space="0" w:color="auto"/>
        <w:right w:val="none" w:sz="0" w:space="0" w:color="auto"/>
      </w:divBdr>
    </w:div>
    <w:div w:id="780226948">
      <w:bodyDiv w:val="1"/>
      <w:marLeft w:val="0"/>
      <w:marRight w:val="0"/>
      <w:marTop w:val="0"/>
      <w:marBottom w:val="0"/>
      <w:divBdr>
        <w:top w:val="none" w:sz="0" w:space="0" w:color="auto"/>
        <w:left w:val="none" w:sz="0" w:space="0" w:color="auto"/>
        <w:bottom w:val="none" w:sz="0" w:space="0" w:color="auto"/>
        <w:right w:val="none" w:sz="0" w:space="0" w:color="auto"/>
      </w:divBdr>
    </w:div>
    <w:div w:id="79078255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9619102">
      <w:bodyDiv w:val="1"/>
      <w:marLeft w:val="0"/>
      <w:marRight w:val="0"/>
      <w:marTop w:val="0"/>
      <w:marBottom w:val="0"/>
      <w:divBdr>
        <w:top w:val="none" w:sz="0" w:space="0" w:color="auto"/>
        <w:left w:val="none" w:sz="0" w:space="0" w:color="auto"/>
        <w:bottom w:val="none" w:sz="0" w:space="0" w:color="auto"/>
        <w:right w:val="none" w:sz="0" w:space="0" w:color="auto"/>
      </w:divBdr>
      <w:divsChild>
        <w:div w:id="1847939509">
          <w:marLeft w:val="0"/>
          <w:marRight w:val="0"/>
          <w:marTop w:val="0"/>
          <w:marBottom w:val="0"/>
          <w:divBdr>
            <w:top w:val="none" w:sz="0" w:space="0" w:color="auto"/>
            <w:left w:val="none" w:sz="0" w:space="0" w:color="auto"/>
            <w:bottom w:val="none" w:sz="0" w:space="0" w:color="auto"/>
            <w:right w:val="none" w:sz="0" w:space="0" w:color="auto"/>
          </w:divBdr>
          <w:divsChild>
            <w:div w:id="342706160">
              <w:marLeft w:val="0"/>
              <w:marRight w:val="0"/>
              <w:marTop w:val="0"/>
              <w:marBottom w:val="0"/>
              <w:divBdr>
                <w:top w:val="none" w:sz="0" w:space="0" w:color="auto"/>
                <w:left w:val="none" w:sz="0" w:space="0" w:color="auto"/>
                <w:bottom w:val="none" w:sz="0" w:space="0" w:color="auto"/>
                <w:right w:val="none" w:sz="0" w:space="0" w:color="auto"/>
              </w:divBdr>
              <w:divsChild>
                <w:div w:id="357006892">
                  <w:marLeft w:val="0"/>
                  <w:marRight w:val="0"/>
                  <w:marTop w:val="0"/>
                  <w:marBottom w:val="0"/>
                  <w:divBdr>
                    <w:top w:val="none" w:sz="0" w:space="0" w:color="auto"/>
                    <w:left w:val="none" w:sz="0" w:space="0" w:color="auto"/>
                    <w:bottom w:val="none" w:sz="0" w:space="0" w:color="auto"/>
                    <w:right w:val="none" w:sz="0" w:space="0" w:color="auto"/>
                  </w:divBdr>
                  <w:divsChild>
                    <w:div w:id="1527716539">
                      <w:marLeft w:val="0"/>
                      <w:marRight w:val="0"/>
                      <w:marTop w:val="0"/>
                      <w:marBottom w:val="0"/>
                      <w:divBdr>
                        <w:top w:val="none" w:sz="0" w:space="0" w:color="auto"/>
                        <w:left w:val="none" w:sz="0" w:space="0" w:color="auto"/>
                        <w:bottom w:val="none" w:sz="0" w:space="0" w:color="auto"/>
                        <w:right w:val="none" w:sz="0" w:space="0" w:color="auto"/>
                      </w:divBdr>
                      <w:divsChild>
                        <w:div w:id="1107625927">
                          <w:marLeft w:val="0"/>
                          <w:marRight w:val="0"/>
                          <w:marTop w:val="0"/>
                          <w:marBottom w:val="0"/>
                          <w:divBdr>
                            <w:top w:val="none" w:sz="0" w:space="0" w:color="auto"/>
                            <w:left w:val="none" w:sz="0" w:space="0" w:color="auto"/>
                            <w:bottom w:val="none" w:sz="0" w:space="0" w:color="auto"/>
                            <w:right w:val="none" w:sz="0" w:space="0" w:color="auto"/>
                          </w:divBdr>
                          <w:divsChild>
                            <w:div w:id="824973622">
                              <w:marLeft w:val="0"/>
                              <w:marRight w:val="0"/>
                              <w:marTop w:val="0"/>
                              <w:marBottom w:val="0"/>
                              <w:divBdr>
                                <w:top w:val="none" w:sz="0" w:space="0" w:color="auto"/>
                                <w:left w:val="none" w:sz="0" w:space="0" w:color="auto"/>
                                <w:bottom w:val="none" w:sz="0" w:space="0" w:color="auto"/>
                                <w:right w:val="none" w:sz="0" w:space="0" w:color="auto"/>
                              </w:divBdr>
                              <w:divsChild>
                                <w:div w:id="1145658092">
                                  <w:marLeft w:val="0"/>
                                  <w:marRight w:val="0"/>
                                  <w:marTop w:val="0"/>
                                  <w:marBottom w:val="0"/>
                                  <w:divBdr>
                                    <w:top w:val="none" w:sz="0" w:space="0" w:color="auto"/>
                                    <w:left w:val="none" w:sz="0" w:space="0" w:color="auto"/>
                                    <w:bottom w:val="none" w:sz="0" w:space="0" w:color="auto"/>
                                    <w:right w:val="none" w:sz="0" w:space="0" w:color="auto"/>
                                  </w:divBdr>
                                  <w:divsChild>
                                    <w:div w:id="222061897">
                                      <w:marLeft w:val="0"/>
                                      <w:marRight w:val="0"/>
                                      <w:marTop w:val="0"/>
                                      <w:marBottom w:val="0"/>
                                      <w:divBdr>
                                        <w:top w:val="none" w:sz="0" w:space="0" w:color="auto"/>
                                        <w:left w:val="none" w:sz="0" w:space="0" w:color="auto"/>
                                        <w:bottom w:val="none" w:sz="0" w:space="0" w:color="auto"/>
                                        <w:right w:val="none" w:sz="0" w:space="0" w:color="auto"/>
                                      </w:divBdr>
                                      <w:divsChild>
                                        <w:div w:id="1559509927">
                                          <w:marLeft w:val="0"/>
                                          <w:marRight w:val="0"/>
                                          <w:marTop w:val="0"/>
                                          <w:marBottom w:val="0"/>
                                          <w:divBdr>
                                            <w:top w:val="none" w:sz="0" w:space="0" w:color="auto"/>
                                            <w:left w:val="none" w:sz="0" w:space="0" w:color="auto"/>
                                            <w:bottom w:val="none" w:sz="0" w:space="0" w:color="auto"/>
                                            <w:right w:val="none" w:sz="0" w:space="0" w:color="auto"/>
                                          </w:divBdr>
                                          <w:divsChild>
                                            <w:div w:id="1659649554">
                                              <w:marLeft w:val="0"/>
                                              <w:marRight w:val="0"/>
                                              <w:marTop w:val="0"/>
                                              <w:marBottom w:val="0"/>
                                              <w:divBdr>
                                                <w:top w:val="none" w:sz="0" w:space="0" w:color="auto"/>
                                                <w:left w:val="none" w:sz="0" w:space="0" w:color="auto"/>
                                                <w:bottom w:val="none" w:sz="0" w:space="0" w:color="auto"/>
                                                <w:right w:val="none" w:sz="0" w:space="0" w:color="auto"/>
                                              </w:divBdr>
                                              <w:divsChild>
                                                <w:div w:id="15924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3958897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52493872">
      <w:bodyDiv w:val="1"/>
      <w:marLeft w:val="0"/>
      <w:marRight w:val="0"/>
      <w:marTop w:val="0"/>
      <w:marBottom w:val="0"/>
      <w:divBdr>
        <w:top w:val="none" w:sz="0" w:space="0" w:color="auto"/>
        <w:left w:val="none" w:sz="0" w:space="0" w:color="auto"/>
        <w:bottom w:val="none" w:sz="0" w:space="0" w:color="auto"/>
        <w:right w:val="none" w:sz="0" w:space="0" w:color="auto"/>
      </w:divBdr>
    </w:div>
    <w:div w:id="853376225">
      <w:bodyDiv w:val="1"/>
      <w:marLeft w:val="0"/>
      <w:marRight w:val="0"/>
      <w:marTop w:val="0"/>
      <w:marBottom w:val="0"/>
      <w:divBdr>
        <w:top w:val="none" w:sz="0" w:space="0" w:color="auto"/>
        <w:left w:val="none" w:sz="0" w:space="0" w:color="auto"/>
        <w:bottom w:val="none" w:sz="0" w:space="0" w:color="auto"/>
        <w:right w:val="none" w:sz="0" w:space="0" w:color="auto"/>
      </w:divBdr>
    </w:div>
    <w:div w:id="86297948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283860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5846191">
      <w:bodyDiv w:val="1"/>
      <w:marLeft w:val="0"/>
      <w:marRight w:val="0"/>
      <w:marTop w:val="0"/>
      <w:marBottom w:val="0"/>
      <w:divBdr>
        <w:top w:val="none" w:sz="0" w:space="0" w:color="auto"/>
        <w:left w:val="none" w:sz="0" w:space="0" w:color="auto"/>
        <w:bottom w:val="none" w:sz="0" w:space="0" w:color="auto"/>
        <w:right w:val="none" w:sz="0" w:space="0" w:color="auto"/>
      </w:divBdr>
    </w:div>
    <w:div w:id="927468121">
      <w:bodyDiv w:val="1"/>
      <w:marLeft w:val="0"/>
      <w:marRight w:val="0"/>
      <w:marTop w:val="0"/>
      <w:marBottom w:val="0"/>
      <w:divBdr>
        <w:top w:val="none" w:sz="0" w:space="0" w:color="auto"/>
        <w:left w:val="none" w:sz="0" w:space="0" w:color="auto"/>
        <w:bottom w:val="none" w:sz="0" w:space="0" w:color="auto"/>
        <w:right w:val="none" w:sz="0" w:space="0" w:color="auto"/>
      </w:divBdr>
    </w:div>
    <w:div w:id="929579307">
      <w:bodyDiv w:val="1"/>
      <w:marLeft w:val="0"/>
      <w:marRight w:val="0"/>
      <w:marTop w:val="0"/>
      <w:marBottom w:val="0"/>
      <w:divBdr>
        <w:top w:val="none" w:sz="0" w:space="0" w:color="auto"/>
        <w:left w:val="none" w:sz="0" w:space="0" w:color="auto"/>
        <w:bottom w:val="none" w:sz="0" w:space="0" w:color="auto"/>
        <w:right w:val="none" w:sz="0" w:space="0" w:color="auto"/>
      </w:divBdr>
      <w:divsChild>
        <w:div w:id="1978025487">
          <w:marLeft w:val="0"/>
          <w:marRight w:val="0"/>
          <w:marTop w:val="0"/>
          <w:marBottom w:val="0"/>
          <w:divBdr>
            <w:top w:val="none" w:sz="0" w:space="0" w:color="auto"/>
            <w:left w:val="none" w:sz="0" w:space="0" w:color="auto"/>
            <w:bottom w:val="none" w:sz="0" w:space="0" w:color="auto"/>
            <w:right w:val="none" w:sz="0" w:space="0" w:color="auto"/>
          </w:divBdr>
        </w:div>
      </w:divsChild>
    </w:div>
    <w:div w:id="938831598">
      <w:bodyDiv w:val="1"/>
      <w:marLeft w:val="0"/>
      <w:marRight w:val="0"/>
      <w:marTop w:val="0"/>
      <w:marBottom w:val="0"/>
      <w:divBdr>
        <w:top w:val="none" w:sz="0" w:space="0" w:color="auto"/>
        <w:left w:val="none" w:sz="0" w:space="0" w:color="auto"/>
        <w:bottom w:val="none" w:sz="0" w:space="0" w:color="auto"/>
        <w:right w:val="none" w:sz="0" w:space="0" w:color="auto"/>
      </w:divBdr>
      <w:divsChild>
        <w:div w:id="1075587296">
          <w:marLeft w:val="0"/>
          <w:marRight w:val="0"/>
          <w:marTop w:val="0"/>
          <w:marBottom w:val="0"/>
          <w:divBdr>
            <w:top w:val="none" w:sz="0" w:space="0" w:color="auto"/>
            <w:left w:val="none" w:sz="0" w:space="0" w:color="auto"/>
            <w:bottom w:val="none" w:sz="0" w:space="0" w:color="auto"/>
            <w:right w:val="none" w:sz="0" w:space="0" w:color="auto"/>
          </w:divBdr>
          <w:divsChild>
            <w:div w:id="373307484">
              <w:marLeft w:val="0"/>
              <w:marRight w:val="0"/>
              <w:marTop w:val="0"/>
              <w:marBottom w:val="0"/>
              <w:divBdr>
                <w:top w:val="none" w:sz="0" w:space="0" w:color="auto"/>
                <w:left w:val="none" w:sz="0" w:space="0" w:color="auto"/>
                <w:bottom w:val="none" w:sz="0" w:space="0" w:color="auto"/>
                <w:right w:val="none" w:sz="0" w:space="0" w:color="auto"/>
              </w:divBdr>
              <w:divsChild>
                <w:div w:id="257061806">
                  <w:marLeft w:val="0"/>
                  <w:marRight w:val="0"/>
                  <w:marTop w:val="0"/>
                  <w:marBottom w:val="0"/>
                  <w:divBdr>
                    <w:top w:val="none" w:sz="0" w:space="0" w:color="auto"/>
                    <w:left w:val="none" w:sz="0" w:space="0" w:color="auto"/>
                    <w:bottom w:val="none" w:sz="0" w:space="0" w:color="auto"/>
                    <w:right w:val="none" w:sz="0" w:space="0" w:color="auto"/>
                  </w:divBdr>
                  <w:divsChild>
                    <w:div w:id="159472340">
                      <w:marLeft w:val="0"/>
                      <w:marRight w:val="0"/>
                      <w:marTop w:val="0"/>
                      <w:marBottom w:val="0"/>
                      <w:divBdr>
                        <w:top w:val="none" w:sz="0" w:space="0" w:color="auto"/>
                        <w:left w:val="none" w:sz="0" w:space="0" w:color="auto"/>
                        <w:bottom w:val="none" w:sz="0" w:space="0" w:color="auto"/>
                        <w:right w:val="none" w:sz="0" w:space="0" w:color="auto"/>
                      </w:divBdr>
                      <w:divsChild>
                        <w:div w:id="1038773990">
                          <w:marLeft w:val="0"/>
                          <w:marRight w:val="0"/>
                          <w:marTop w:val="0"/>
                          <w:marBottom w:val="0"/>
                          <w:divBdr>
                            <w:top w:val="none" w:sz="0" w:space="0" w:color="auto"/>
                            <w:left w:val="none" w:sz="0" w:space="0" w:color="auto"/>
                            <w:bottom w:val="none" w:sz="0" w:space="0" w:color="auto"/>
                            <w:right w:val="none" w:sz="0" w:space="0" w:color="auto"/>
                          </w:divBdr>
                          <w:divsChild>
                            <w:div w:id="1497964251">
                              <w:marLeft w:val="0"/>
                              <w:marRight w:val="0"/>
                              <w:marTop w:val="0"/>
                              <w:marBottom w:val="0"/>
                              <w:divBdr>
                                <w:top w:val="none" w:sz="0" w:space="0" w:color="auto"/>
                                <w:left w:val="none" w:sz="0" w:space="0" w:color="auto"/>
                                <w:bottom w:val="none" w:sz="0" w:space="0" w:color="auto"/>
                                <w:right w:val="none" w:sz="0" w:space="0" w:color="auto"/>
                              </w:divBdr>
                              <w:divsChild>
                                <w:div w:id="1683966753">
                                  <w:marLeft w:val="0"/>
                                  <w:marRight w:val="0"/>
                                  <w:marTop w:val="0"/>
                                  <w:marBottom w:val="0"/>
                                  <w:divBdr>
                                    <w:top w:val="none" w:sz="0" w:space="0" w:color="auto"/>
                                    <w:left w:val="none" w:sz="0" w:space="0" w:color="auto"/>
                                    <w:bottom w:val="none" w:sz="0" w:space="0" w:color="auto"/>
                                    <w:right w:val="none" w:sz="0" w:space="0" w:color="auto"/>
                                  </w:divBdr>
                                  <w:divsChild>
                                    <w:div w:id="906303566">
                                      <w:marLeft w:val="0"/>
                                      <w:marRight w:val="0"/>
                                      <w:marTop w:val="0"/>
                                      <w:marBottom w:val="0"/>
                                      <w:divBdr>
                                        <w:top w:val="none" w:sz="0" w:space="0" w:color="auto"/>
                                        <w:left w:val="none" w:sz="0" w:space="0" w:color="auto"/>
                                        <w:bottom w:val="none" w:sz="0" w:space="0" w:color="auto"/>
                                        <w:right w:val="none" w:sz="0" w:space="0" w:color="auto"/>
                                      </w:divBdr>
                                      <w:divsChild>
                                        <w:div w:id="1667442315">
                                          <w:marLeft w:val="0"/>
                                          <w:marRight w:val="0"/>
                                          <w:marTop w:val="0"/>
                                          <w:marBottom w:val="0"/>
                                          <w:divBdr>
                                            <w:top w:val="none" w:sz="0" w:space="0" w:color="auto"/>
                                            <w:left w:val="none" w:sz="0" w:space="0" w:color="auto"/>
                                            <w:bottom w:val="none" w:sz="0" w:space="0" w:color="auto"/>
                                            <w:right w:val="none" w:sz="0" w:space="0" w:color="auto"/>
                                          </w:divBdr>
                                          <w:divsChild>
                                            <w:div w:id="575477424">
                                              <w:marLeft w:val="0"/>
                                              <w:marRight w:val="0"/>
                                              <w:marTop w:val="0"/>
                                              <w:marBottom w:val="0"/>
                                              <w:divBdr>
                                                <w:top w:val="none" w:sz="0" w:space="0" w:color="auto"/>
                                                <w:left w:val="none" w:sz="0" w:space="0" w:color="auto"/>
                                                <w:bottom w:val="none" w:sz="0" w:space="0" w:color="auto"/>
                                                <w:right w:val="none" w:sz="0" w:space="0" w:color="auto"/>
                                              </w:divBdr>
                                              <w:divsChild>
                                                <w:div w:id="33964544">
                                                  <w:marLeft w:val="0"/>
                                                  <w:marRight w:val="0"/>
                                                  <w:marTop w:val="0"/>
                                                  <w:marBottom w:val="0"/>
                                                  <w:divBdr>
                                                    <w:top w:val="none" w:sz="0" w:space="0" w:color="auto"/>
                                                    <w:left w:val="none" w:sz="0" w:space="0" w:color="auto"/>
                                                    <w:bottom w:val="none" w:sz="0" w:space="0" w:color="auto"/>
                                                    <w:right w:val="none" w:sz="0" w:space="0" w:color="auto"/>
                                                  </w:divBdr>
                                                  <w:divsChild>
                                                    <w:div w:id="1379084995">
                                                      <w:marLeft w:val="0"/>
                                                      <w:marRight w:val="0"/>
                                                      <w:marTop w:val="0"/>
                                                      <w:marBottom w:val="0"/>
                                                      <w:divBdr>
                                                        <w:top w:val="none" w:sz="0" w:space="0" w:color="auto"/>
                                                        <w:left w:val="none" w:sz="0" w:space="0" w:color="auto"/>
                                                        <w:bottom w:val="none" w:sz="0" w:space="0" w:color="auto"/>
                                                        <w:right w:val="none" w:sz="0" w:space="0" w:color="auto"/>
                                                      </w:divBdr>
                                                      <w:divsChild>
                                                        <w:div w:id="74790574">
                                                          <w:marLeft w:val="0"/>
                                                          <w:marRight w:val="0"/>
                                                          <w:marTop w:val="0"/>
                                                          <w:marBottom w:val="0"/>
                                                          <w:divBdr>
                                                            <w:top w:val="none" w:sz="0" w:space="0" w:color="auto"/>
                                                            <w:left w:val="none" w:sz="0" w:space="0" w:color="auto"/>
                                                            <w:bottom w:val="none" w:sz="0" w:space="0" w:color="auto"/>
                                                            <w:right w:val="none" w:sz="0" w:space="0" w:color="auto"/>
                                                          </w:divBdr>
                                                          <w:divsChild>
                                                            <w:div w:id="185825245">
                                                              <w:marLeft w:val="0"/>
                                                              <w:marRight w:val="0"/>
                                                              <w:marTop w:val="0"/>
                                                              <w:marBottom w:val="0"/>
                                                              <w:divBdr>
                                                                <w:top w:val="none" w:sz="0" w:space="0" w:color="auto"/>
                                                                <w:left w:val="none" w:sz="0" w:space="0" w:color="auto"/>
                                                                <w:bottom w:val="none" w:sz="0" w:space="0" w:color="auto"/>
                                                                <w:right w:val="none" w:sz="0" w:space="0" w:color="auto"/>
                                                              </w:divBdr>
                                                              <w:divsChild>
                                                                <w:div w:id="956134362">
                                                                  <w:marLeft w:val="0"/>
                                                                  <w:marRight w:val="0"/>
                                                                  <w:marTop w:val="0"/>
                                                                  <w:marBottom w:val="0"/>
                                                                  <w:divBdr>
                                                                    <w:top w:val="none" w:sz="0" w:space="0" w:color="auto"/>
                                                                    <w:left w:val="none" w:sz="0" w:space="0" w:color="auto"/>
                                                                    <w:bottom w:val="none" w:sz="0" w:space="0" w:color="auto"/>
                                                                    <w:right w:val="none" w:sz="0" w:space="0" w:color="auto"/>
                                                                  </w:divBdr>
                                                                  <w:divsChild>
                                                                    <w:div w:id="1156338058">
                                                                      <w:marLeft w:val="0"/>
                                                                      <w:marRight w:val="0"/>
                                                                      <w:marTop w:val="0"/>
                                                                      <w:marBottom w:val="0"/>
                                                                      <w:divBdr>
                                                                        <w:top w:val="none" w:sz="0" w:space="0" w:color="auto"/>
                                                                        <w:left w:val="none" w:sz="0" w:space="0" w:color="auto"/>
                                                                        <w:bottom w:val="none" w:sz="0" w:space="0" w:color="auto"/>
                                                                        <w:right w:val="none" w:sz="0" w:space="0" w:color="auto"/>
                                                                      </w:divBdr>
                                                                      <w:divsChild>
                                                                        <w:div w:id="1116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439"/>
              <w:marRight w:val="0"/>
              <w:marTop w:val="0"/>
              <w:marBottom w:val="0"/>
              <w:divBdr>
                <w:top w:val="none" w:sz="0" w:space="0" w:color="auto"/>
                <w:left w:val="none" w:sz="0" w:space="0" w:color="auto"/>
                <w:bottom w:val="none" w:sz="0" w:space="0" w:color="auto"/>
                <w:right w:val="none" w:sz="0" w:space="0" w:color="auto"/>
              </w:divBdr>
              <w:divsChild>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4376">
          <w:marLeft w:val="0"/>
          <w:marRight w:val="0"/>
          <w:marTop w:val="0"/>
          <w:marBottom w:val="0"/>
          <w:divBdr>
            <w:top w:val="none" w:sz="0" w:space="0" w:color="auto"/>
            <w:left w:val="none" w:sz="0" w:space="0" w:color="auto"/>
            <w:bottom w:val="none" w:sz="0" w:space="0" w:color="auto"/>
            <w:right w:val="none" w:sz="0" w:space="0" w:color="auto"/>
          </w:divBdr>
        </w:div>
      </w:divsChild>
    </w:div>
    <w:div w:id="97144280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1040604">
      <w:bodyDiv w:val="1"/>
      <w:marLeft w:val="0"/>
      <w:marRight w:val="0"/>
      <w:marTop w:val="0"/>
      <w:marBottom w:val="0"/>
      <w:divBdr>
        <w:top w:val="none" w:sz="0" w:space="0" w:color="auto"/>
        <w:left w:val="none" w:sz="0" w:space="0" w:color="auto"/>
        <w:bottom w:val="none" w:sz="0" w:space="0" w:color="auto"/>
        <w:right w:val="none" w:sz="0" w:space="0" w:color="auto"/>
      </w:divBdr>
      <w:divsChild>
        <w:div w:id="229006177">
          <w:marLeft w:val="0"/>
          <w:marRight w:val="0"/>
          <w:marTop w:val="0"/>
          <w:marBottom w:val="0"/>
          <w:divBdr>
            <w:top w:val="none" w:sz="0" w:space="0" w:color="auto"/>
            <w:left w:val="none" w:sz="0" w:space="0" w:color="auto"/>
            <w:bottom w:val="none" w:sz="0" w:space="0" w:color="auto"/>
            <w:right w:val="none" w:sz="0" w:space="0" w:color="auto"/>
          </w:divBdr>
          <w:divsChild>
            <w:div w:id="2044404105">
              <w:marLeft w:val="0"/>
              <w:marRight w:val="0"/>
              <w:marTop w:val="0"/>
              <w:marBottom w:val="0"/>
              <w:divBdr>
                <w:top w:val="none" w:sz="0" w:space="0" w:color="auto"/>
                <w:left w:val="none" w:sz="0" w:space="0" w:color="auto"/>
                <w:bottom w:val="none" w:sz="0" w:space="0" w:color="auto"/>
                <w:right w:val="none" w:sz="0" w:space="0" w:color="auto"/>
              </w:divBdr>
              <w:divsChild>
                <w:div w:id="1021662187">
                  <w:marLeft w:val="0"/>
                  <w:marRight w:val="0"/>
                  <w:marTop w:val="0"/>
                  <w:marBottom w:val="0"/>
                  <w:divBdr>
                    <w:top w:val="none" w:sz="0" w:space="0" w:color="auto"/>
                    <w:left w:val="none" w:sz="0" w:space="0" w:color="auto"/>
                    <w:bottom w:val="none" w:sz="0" w:space="0" w:color="auto"/>
                    <w:right w:val="none" w:sz="0" w:space="0" w:color="auto"/>
                  </w:divBdr>
                  <w:divsChild>
                    <w:div w:id="367532819">
                      <w:marLeft w:val="0"/>
                      <w:marRight w:val="0"/>
                      <w:marTop w:val="0"/>
                      <w:marBottom w:val="0"/>
                      <w:divBdr>
                        <w:top w:val="none" w:sz="0" w:space="0" w:color="auto"/>
                        <w:left w:val="none" w:sz="0" w:space="0" w:color="auto"/>
                        <w:bottom w:val="none" w:sz="0" w:space="0" w:color="auto"/>
                        <w:right w:val="none" w:sz="0" w:space="0" w:color="auto"/>
                      </w:divBdr>
                      <w:divsChild>
                        <w:div w:id="852377802">
                          <w:marLeft w:val="0"/>
                          <w:marRight w:val="0"/>
                          <w:marTop w:val="0"/>
                          <w:marBottom w:val="0"/>
                          <w:divBdr>
                            <w:top w:val="none" w:sz="0" w:space="0" w:color="auto"/>
                            <w:left w:val="none" w:sz="0" w:space="0" w:color="auto"/>
                            <w:bottom w:val="none" w:sz="0" w:space="0" w:color="auto"/>
                            <w:right w:val="none" w:sz="0" w:space="0" w:color="auto"/>
                          </w:divBdr>
                          <w:divsChild>
                            <w:div w:id="1773477311">
                              <w:marLeft w:val="0"/>
                              <w:marRight w:val="0"/>
                              <w:marTop w:val="0"/>
                              <w:marBottom w:val="0"/>
                              <w:divBdr>
                                <w:top w:val="none" w:sz="0" w:space="0" w:color="auto"/>
                                <w:left w:val="none" w:sz="0" w:space="0" w:color="auto"/>
                                <w:bottom w:val="none" w:sz="0" w:space="0" w:color="auto"/>
                                <w:right w:val="none" w:sz="0" w:space="0" w:color="auto"/>
                              </w:divBdr>
                              <w:divsChild>
                                <w:div w:id="66391737">
                                  <w:marLeft w:val="0"/>
                                  <w:marRight w:val="0"/>
                                  <w:marTop w:val="0"/>
                                  <w:marBottom w:val="0"/>
                                  <w:divBdr>
                                    <w:top w:val="none" w:sz="0" w:space="0" w:color="auto"/>
                                    <w:left w:val="none" w:sz="0" w:space="0" w:color="auto"/>
                                    <w:bottom w:val="none" w:sz="0" w:space="0" w:color="auto"/>
                                    <w:right w:val="none" w:sz="0" w:space="0" w:color="auto"/>
                                  </w:divBdr>
                                  <w:divsChild>
                                    <w:div w:id="185755872">
                                      <w:marLeft w:val="0"/>
                                      <w:marRight w:val="0"/>
                                      <w:marTop w:val="0"/>
                                      <w:marBottom w:val="0"/>
                                      <w:divBdr>
                                        <w:top w:val="none" w:sz="0" w:space="0" w:color="auto"/>
                                        <w:left w:val="none" w:sz="0" w:space="0" w:color="auto"/>
                                        <w:bottom w:val="none" w:sz="0" w:space="0" w:color="auto"/>
                                        <w:right w:val="none" w:sz="0" w:space="0" w:color="auto"/>
                                      </w:divBdr>
                                      <w:divsChild>
                                        <w:div w:id="59257977">
                                          <w:marLeft w:val="0"/>
                                          <w:marRight w:val="0"/>
                                          <w:marTop w:val="0"/>
                                          <w:marBottom w:val="0"/>
                                          <w:divBdr>
                                            <w:top w:val="none" w:sz="0" w:space="0" w:color="auto"/>
                                            <w:left w:val="none" w:sz="0" w:space="0" w:color="auto"/>
                                            <w:bottom w:val="none" w:sz="0" w:space="0" w:color="auto"/>
                                            <w:right w:val="none" w:sz="0" w:space="0" w:color="auto"/>
                                          </w:divBdr>
                                          <w:divsChild>
                                            <w:div w:id="1318001813">
                                              <w:marLeft w:val="0"/>
                                              <w:marRight w:val="0"/>
                                              <w:marTop w:val="0"/>
                                              <w:marBottom w:val="0"/>
                                              <w:divBdr>
                                                <w:top w:val="none" w:sz="0" w:space="0" w:color="auto"/>
                                                <w:left w:val="none" w:sz="0" w:space="0" w:color="auto"/>
                                                <w:bottom w:val="none" w:sz="0" w:space="0" w:color="auto"/>
                                                <w:right w:val="none" w:sz="0" w:space="0" w:color="auto"/>
                                              </w:divBdr>
                                              <w:divsChild>
                                                <w:div w:id="1740398067">
                                                  <w:marLeft w:val="0"/>
                                                  <w:marRight w:val="0"/>
                                                  <w:marTop w:val="0"/>
                                                  <w:marBottom w:val="0"/>
                                                  <w:divBdr>
                                                    <w:top w:val="none" w:sz="0" w:space="0" w:color="auto"/>
                                                    <w:left w:val="none" w:sz="0" w:space="0" w:color="auto"/>
                                                    <w:bottom w:val="none" w:sz="0" w:space="0" w:color="auto"/>
                                                    <w:right w:val="none" w:sz="0" w:space="0" w:color="auto"/>
                                                  </w:divBdr>
                                                  <w:divsChild>
                                                    <w:div w:id="17245346">
                                                      <w:marLeft w:val="0"/>
                                                      <w:marRight w:val="0"/>
                                                      <w:marTop w:val="0"/>
                                                      <w:marBottom w:val="0"/>
                                                      <w:divBdr>
                                                        <w:top w:val="none" w:sz="0" w:space="0" w:color="auto"/>
                                                        <w:left w:val="none" w:sz="0" w:space="0" w:color="auto"/>
                                                        <w:bottom w:val="none" w:sz="0" w:space="0" w:color="auto"/>
                                                        <w:right w:val="none" w:sz="0" w:space="0" w:color="auto"/>
                                                      </w:divBdr>
                                                      <w:divsChild>
                                                        <w:div w:id="287929312">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562956562">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433086343">
                                                                          <w:marLeft w:val="0"/>
                                                                          <w:marRight w:val="0"/>
                                                                          <w:marTop w:val="0"/>
                                                                          <w:marBottom w:val="0"/>
                                                                          <w:divBdr>
                                                                            <w:top w:val="none" w:sz="0" w:space="0" w:color="auto"/>
                                                                            <w:left w:val="none" w:sz="0" w:space="0" w:color="auto"/>
                                                                            <w:bottom w:val="none" w:sz="0" w:space="0" w:color="auto"/>
                                                                            <w:right w:val="none" w:sz="0" w:space="0" w:color="auto"/>
                                                                          </w:divBdr>
                                                                          <w:divsChild>
                                                                            <w:div w:id="16469657">
                                                                              <w:marLeft w:val="0"/>
                                                                              <w:marRight w:val="0"/>
                                                                              <w:marTop w:val="0"/>
                                                                              <w:marBottom w:val="0"/>
                                                                              <w:divBdr>
                                                                                <w:top w:val="none" w:sz="0" w:space="0" w:color="auto"/>
                                                                                <w:left w:val="none" w:sz="0" w:space="0" w:color="auto"/>
                                                                                <w:bottom w:val="none" w:sz="0" w:space="0" w:color="auto"/>
                                                                                <w:right w:val="none" w:sz="0" w:space="0" w:color="auto"/>
                                                                              </w:divBdr>
                                                                              <w:divsChild>
                                                                                <w:div w:id="973104278">
                                                                                  <w:marLeft w:val="0"/>
                                                                                  <w:marRight w:val="0"/>
                                                                                  <w:marTop w:val="0"/>
                                                                                  <w:marBottom w:val="0"/>
                                                                                  <w:divBdr>
                                                                                    <w:top w:val="none" w:sz="0" w:space="0" w:color="auto"/>
                                                                                    <w:left w:val="none" w:sz="0" w:space="0" w:color="auto"/>
                                                                                    <w:bottom w:val="none" w:sz="0" w:space="0" w:color="auto"/>
                                                                                    <w:right w:val="none" w:sz="0" w:space="0" w:color="auto"/>
                                                                                  </w:divBdr>
                                                                                  <w:divsChild>
                                                                                    <w:div w:id="81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9309559">
      <w:bodyDiv w:val="1"/>
      <w:marLeft w:val="0"/>
      <w:marRight w:val="0"/>
      <w:marTop w:val="0"/>
      <w:marBottom w:val="0"/>
      <w:divBdr>
        <w:top w:val="none" w:sz="0" w:space="0" w:color="auto"/>
        <w:left w:val="none" w:sz="0" w:space="0" w:color="auto"/>
        <w:bottom w:val="none" w:sz="0" w:space="0" w:color="auto"/>
        <w:right w:val="none" w:sz="0" w:space="0" w:color="auto"/>
      </w:divBdr>
    </w:div>
    <w:div w:id="100574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573">
          <w:marLeft w:val="0"/>
          <w:marRight w:val="0"/>
          <w:marTop w:val="0"/>
          <w:marBottom w:val="0"/>
          <w:divBdr>
            <w:top w:val="none" w:sz="0" w:space="0" w:color="auto"/>
            <w:left w:val="none" w:sz="0" w:space="0" w:color="auto"/>
            <w:bottom w:val="none" w:sz="0" w:space="0" w:color="auto"/>
            <w:right w:val="none" w:sz="0" w:space="0" w:color="auto"/>
          </w:divBdr>
          <w:divsChild>
            <w:div w:id="1293706930">
              <w:marLeft w:val="439"/>
              <w:marRight w:val="0"/>
              <w:marTop w:val="0"/>
              <w:marBottom w:val="0"/>
              <w:divBdr>
                <w:top w:val="none" w:sz="0" w:space="0" w:color="auto"/>
                <w:left w:val="none" w:sz="0" w:space="0" w:color="auto"/>
                <w:bottom w:val="none" w:sz="0" w:space="0" w:color="auto"/>
                <w:right w:val="none" w:sz="0" w:space="0" w:color="auto"/>
              </w:divBdr>
              <w:divsChild>
                <w:div w:id="1772621990">
                  <w:marLeft w:val="0"/>
                  <w:marRight w:val="0"/>
                  <w:marTop w:val="0"/>
                  <w:marBottom w:val="0"/>
                  <w:divBdr>
                    <w:top w:val="none" w:sz="0" w:space="0" w:color="auto"/>
                    <w:left w:val="none" w:sz="0" w:space="0" w:color="auto"/>
                    <w:bottom w:val="none" w:sz="0" w:space="0" w:color="auto"/>
                    <w:right w:val="none" w:sz="0" w:space="0" w:color="auto"/>
                  </w:divBdr>
                  <w:divsChild>
                    <w:div w:id="1836218065">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6936">
          <w:marLeft w:val="0"/>
          <w:marRight w:val="0"/>
          <w:marTop w:val="0"/>
          <w:marBottom w:val="0"/>
          <w:divBdr>
            <w:top w:val="none" w:sz="0" w:space="0" w:color="auto"/>
            <w:left w:val="none" w:sz="0" w:space="0" w:color="auto"/>
            <w:bottom w:val="none" w:sz="0" w:space="0" w:color="auto"/>
            <w:right w:val="none" w:sz="0" w:space="0" w:color="auto"/>
          </w:divBdr>
        </w:div>
      </w:divsChild>
    </w:div>
    <w:div w:id="101518376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293862">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401261">
      <w:bodyDiv w:val="1"/>
      <w:marLeft w:val="0"/>
      <w:marRight w:val="0"/>
      <w:marTop w:val="0"/>
      <w:marBottom w:val="0"/>
      <w:divBdr>
        <w:top w:val="none" w:sz="0" w:space="0" w:color="auto"/>
        <w:left w:val="none" w:sz="0" w:space="0" w:color="auto"/>
        <w:bottom w:val="none" w:sz="0" w:space="0" w:color="auto"/>
        <w:right w:val="none" w:sz="0" w:space="0" w:color="auto"/>
      </w:divBdr>
      <w:divsChild>
        <w:div w:id="685250599">
          <w:marLeft w:val="0"/>
          <w:marRight w:val="0"/>
          <w:marTop w:val="0"/>
          <w:marBottom w:val="0"/>
          <w:divBdr>
            <w:top w:val="none" w:sz="0" w:space="0" w:color="auto"/>
            <w:left w:val="none" w:sz="0" w:space="0" w:color="auto"/>
            <w:bottom w:val="none" w:sz="0" w:space="0" w:color="auto"/>
            <w:right w:val="none" w:sz="0" w:space="0" w:color="auto"/>
          </w:divBdr>
          <w:divsChild>
            <w:div w:id="1208031922">
              <w:marLeft w:val="439"/>
              <w:marRight w:val="0"/>
              <w:marTop w:val="0"/>
              <w:marBottom w:val="0"/>
              <w:divBdr>
                <w:top w:val="none" w:sz="0" w:space="0" w:color="auto"/>
                <w:left w:val="none" w:sz="0" w:space="0" w:color="auto"/>
                <w:bottom w:val="none" w:sz="0" w:space="0" w:color="auto"/>
                <w:right w:val="none" w:sz="0" w:space="0" w:color="auto"/>
              </w:divBdr>
              <w:divsChild>
                <w:div w:id="821504385">
                  <w:marLeft w:val="0"/>
                  <w:marRight w:val="0"/>
                  <w:marTop w:val="0"/>
                  <w:marBottom w:val="0"/>
                  <w:divBdr>
                    <w:top w:val="none" w:sz="0" w:space="0" w:color="auto"/>
                    <w:left w:val="none" w:sz="0" w:space="0" w:color="auto"/>
                    <w:bottom w:val="none" w:sz="0" w:space="0" w:color="auto"/>
                    <w:right w:val="none" w:sz="0" w:space="0" w:color="auto"/>
                  </w:divBdr>
                  <w:divsChild>
                    <w:div w:id="19153099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677">
          <w:marLeft w:val="0"/>
          <w:marRight w:val="0"/>
          <w:marTop w:val="0"/>
          <w:marBottom w:val="0"/>
          <w:divBdr>
            <w:top w:val="none" w:sz="0" w:space="0" w:color="auto"/>
            <w:left w:val="none" w:sz="0" w:space="0" w:color="auto"/>
            <w:bottom w:val="none" w:sz="0" w:space="0" w:color="auto"/>
            <w:right w:val="none" w:sz="0" w:space="0" w:color="auto"/>
          </w:divBdr>
        </w:div>
      </w:divsChild>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0056636">
      <w:bodyDiv w:val="1"/>
      <w:marLeft w:val="0"/>
      <w:marRight w:val="0"/>
      <w:marTop w:val="0"/>
      <w:marBottom w:val="0"/>
      <w:divBdr>
        <w:top w:val="none" w:sz="0" w:space="0" w:color="auto"/>
        <w:left w:val="none" w:sz="0" w:space="0" w:color="auto"/>
        <w:bottom w:val="none" w:sz="0" w:space="0" w:color="auto"/>
        <w:right w:val="none" w:sz="0" w:space="0" w:color="auto"/>
      </w:divBdr>
      <w:divsChild>
        <w:div w:id="718668750">
          <w:marLeft w:val="0"/>
          <w:marRight w:val="0"/>
          <w:marTop w:val="0"/>
          <w:marBottom w:val="0"/>
          <w:divBdr>
            <w:top w:val="none" w:sz="0" w:space="0" w:color="auto"/>
            <w:left w:val="none" w:sz="0" w:space="0" w:color="auto"/>
            <w:bottom w:val="none" w:sz="0" w:space="0" w:color="auto"/>
            <w:right w:val="none" w:sz="0" w:space="0" w:color="auto"/>
          </w:divBdr>
        </w:div>
      </w:divsChild>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578114">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52716025">
      <w:bodyDiv w:val="1"/>
      <w:marLeft w:val="0"/>
      <w:marRight w:val="0"/>
      <w:marTop w:val="0"/>
      <w:marBottom w:val="0"/>
      <w:divBdr>
        <w:top w:val="none" w:sz="0" w:space="0" w:color="auto"/>
        <w:left w:val="none" w:sz="0" w:space="0" w:color="auto"/>
        <w:bottom w:val="none" w:sz="0" w:space="0" w:color="auto"/>
        <w:right w:val="none" w:sz="0" w:space="0" w:color="auto"/>
      </w:divBdr>
    </w:div>
    <w:div w:id="1159031042">
      <w:bodyDiv w:val="1"/>
      <w:marLeft w:val="0"/>
      <w:marRight w:val="0"/>
      <w:marTop w:val="0"/>
      <w:marBottom w:val="0"/>
      <w:divBdr>
        <w:top w:val="none" w:sz="0" w:space="0" w:color="auto"/>
        <w:left w:val="none" w:sz="0" w:space="0" w:color="auto"/>
        <w:bottom w:val="none" w:sz="0" w:space="0" w:color="auto"/>
        <w:right w:val="none" w:sz="0" w:space="0" w:color="auto"/>
      </w:divBdr>
      <w:divsChild>
        <w:div w:id="761099194">
          <w:marLeft w:val="0"/>
          <w:marRight w:val="0"/>
          <w:marTop w:val="0"/>
          <w:marBottom w:val="0"/>
          <w:divBdr>
            <w:top w:val="none" w:sz="0" w:space="0" w:color="auto"/>
            <w:left w:val="none" w:sz="0" w:space="0" w:color="auto"/>
            <w:bottom w:val="none" w:sz="0" w:space="0" w:color="auto"/>
            <w:right w:val="none" w:sz="0" w:space="0" w:color="auto"/>
          </w:divBdr>
          <w:divsChild>
            <w:div w:id="1647585454">
              <w:marLeft w:val="0"/>
              <w:marRight w:val="0"/>
              <w:marTop w:val="0"/>
              <w:marBottom w:val="0"/>
              <w:divBdr>
                <w:top w:val="none" w:sz="0" w:space="0" w:color="auto"/>
                <w:left w:val="none" w:sz="0" w:space="0" w:color="auto"/>
                <w:bottom w:val="none" w:sz="0" w:space="0" w:color="auto"/>
                <w:right w:val="none" w:sz="0" w:space="0" w:color="auto"/>
              </w:divBdr>
              <w:divsChild>
                <w:div w:id="1598095416">
                  <w:marLeft w:val="0"/>
                  <w:marRight w:val="0"/>
                  <w:marTop w:val="0"/>
                  <w:marBottom w:val="0"/>
                  <w:divBdr>
                    <w:top w:val="none" w:sz="0" w:space="0" w:color="auto"/>
                    <w:left w:val="none" w:sz="0" w:space="0" w:color="auto"/>
                    <w:bottom w:val="none" w:sz="0" w:space="0" w:color="auto"/>
                    <w:right w:val="none" w:sz="0" w:space="0" w:color="auto"/>
                  </w:divBdr>
                  <w:divsChild>
                    <w:div w:id="1276644298">
                      <w:marLeft w:val="0"/>
                      <w:marRight w:val="0"/>
                      <w:marTop w:val="0"/>
                      <w:marBottom w:val="0"/>
                      <w:divBdr>
                        <w:top w:val="none" w:sz="0" w:space="0" w:color="auto"/>
                        <w:left w:val="none" w:sz="0" w:space="0" w:color="auto"/>
                        <w:bottom w:val="none" w:sz="0" w:space="0" w:color="auto"/>
                        <w:right w:val="none" w:sz="0" w:space="0" w:color="auto"/>
                      </w:divBdr>
                      <w:divsChild>
                        <w:div w:id="949120840">
                          <w:marLeft w:val="0"/>
                          <w:marRight w:val="0"/>
                          <w:marTop w:val="0"/>
                          <w:marBottom w:val="0"/>
                          <w:divBdr>
                            <w:top w:val="none" w:sz="0" w:space="0" w:color="auto"/>
                            <w:left w:val="none" w:sz="0" w:space="0" w:color="auto"/>
                            <w:bottom w:val="none" w:sz="0" w:space="0" w:color="auto"/>
                            <w:right w:val="none" w:sz="0" w:space="0" w:color="auto"/>
                          </w:divBdr>
                          <w:divsChild>
                            <w:div w:id="1893299773">
                              <w:marLeft w:val="0"/>
                              <w:marRight w:val="0"/>
                              <w:marTop w:val="0"/>
                              <w:marBottom w:val="0"/>
                              <w:divBdr>
                                <w:top w:val="none" w:sz="0" w:space="0" w:color="auto"/>
                                <w:left w:val="none" w:sz="0" w:space="0" w:color="auto"/>
                                <w:bottom w:val="none" w:sz="0" w:space="0" w:color="auto"/>
                                <w:right w:val="none" w:sz="0" w:space="0" w:color="auto"/>
                              </w:divBdr>
                              <w:divsChild>
                                <w:div w:id="1370102619">
                                  <w:marLeft w:val="0"/>
                                  <w:marRight w:val="0"/>
                                  <w:marTop w:val="0"/>
                                  <w:marBottom w:val="0"/>
                                  <w:divBdr>
                                    <w:top w:val="none" w:sz="0" w:space="0" w:color="auto"/>
                                    <w:left w:val="none" w:sz="0" w:space="0" w:color="auto"/>
                                    <w:bottom w:val="none" w:sz="0" w:space="0" w:color="auto"/>
                                    <w:right w:val="none" w:sz="0" w:space="0" w:color="auto"/>
                                  </w:divBdr>
                                  <w:divsChild>
                                    <w:div w:id="222564569">
                                      <w:marLeft w:val="0"/>
                                      <w:marRight w:val="0"/>
                                      <w:marTop w:val="0"/>
                                      <w:marBottom w:val="0"/>
                                      <w:divBdr>
                                        <w:top w:val="none" w:sz="0" w:space="0" w:color="auto"/>
                                        <w:left w:val="none" w:sz="0" w:space="0" w:color="auto"/>
                                        <w:bottom w:val="none" w:sz="0" w:space="0" w:color="auto"/>
                                        <w:right w:val="none" w:sz="0" w:space="0" w:color="auto"/>
                                      </w:divBdr>
                                      <w:divsChild>
                                        <w:div w:id="1728406996">
                                          <w:marLeft w:val="0"/>
                                          <w:marRight w:val="0"/>
                                          <w:marTop w:val="165"/>
                                          <w:marBottom w:val="165"/>
                                          <w:divBdr>
                                            <w:top w:val="none" w:sz="0" w:space="0" w:color="auto"/>
                                            <w:left w:val="none" w:sz="0" w:space="0" w:color="auto"/>
                                            <w:bottom w:val="none" w:sz="0" w:space="0" w:color="auto"/>
                                            <w:right w:val="none" w:sz="0" w:space="0" w:color="auto"/>
                                          </w:divBdr>
                                          <w:divsChild>
                                            <w:div w:id="1885478700">
                                              <w:marLeft w:val="0"/>
                                              <w:marRight w:val="0"/>
                                              <w:marTop w:val="0"/>
                                              <w:marBottom w:val="0"/>
                                              <w:divBdr>
                                                <w:top w:val="none" w:sz="0" w:space="0" w:color="auto"/>
                                                <w:left w:val="none" w:sz="0" w:space="0" w:color="auto"/>
                                                <w:bottom w:val="none" w:sz="0" w:space="0" w:color="auto"/>
                                                <w:right w:val="none" w:sz="0" w:space="0" w:color="auto"/>
                                              </w:divBdr>
                                              <w:divsChild>
                                                <w:div w:id="20586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45984">
      <w:bodyDiv w:val="1"/>
      <w:marLeft w:val="0"/>
      <w:marRight w:val="0"/>
      <w:marTop w:val="0"/>
      <w:marBottom w:val="0"/>
      <w:divBdr>
        <w:top w:val="none" w:sz="0" w:space="0" w:color="auto"/>
        <w:left w:val="none" w:sz="0" w:space="0" w:color="auto"/>
        <w:bottom w:val="none" w:sz="0" w:space="0" w:color="auto"/>
        <w:right w:val="none" w:sz="0" w:space="0" w:color="auto"/>
      </w:divBdr>
      <w:divsChild>
        <w:div w:id="2035840066">
          <w:marLeft w:val="0"/>
          <w:marRight w:val="0"/>
          <w:marTop w:val="150"/>
          <w:marBottom w:val="0"/>
          <w:divBdr>
            <w:top w:val="none" w:sz="0" w:space="0" w:color="auto"/>
            <w:left w:val="none" w:sz="0" w:space="0" w:color="auto"/>
            <w:bottom w:val="none" w:sz="0" w:space="0" w:color="auto"/>
            <w:right w:val="none" w:sz="0" w:space="0" w:color="auto"/>
          </w:divBdr>
          <w:divsChild>
            <w:div w:id="1197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936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9638646">
      <w:bodyDiv w:val="1"/>
      <w:marLeft w:val="0"/>
      <w:marRight w:val="0"/>
      <w:marTop w:val="0"/>
      <w:marBottom w:val="0"/>
      <w:divBdr>
        <w:top w:val="none" w:sz="0" w:space="0" w:color="auto"/>
        <w:left w:val="none" w:sz="0" w:space="0" w:color="auto"/>
        <w:bottom w:val="none" w:sz="0" w:space="0" w:color="auto"/>
        <w:right w:val="none" w:sz="0" w:space="0" w:color="auto"/>
      </w:divBdr>
      <w:divsChild>
        <w:div w:id="483854415">
          <w:marLeft w:val="0"/>
          <w:marRight w:val="0"/>
          <w:marTop w:val="0"/>
          <w:marBottom w:val="0"/>
          <w:divBdr>
            <w:top w:val="none" w:sz="0" w:space="0" w:color="auto"/>
            <w:left w:val="none" w:sz="0" w:space="0" w:color="auto"/>
            <w:bottom w:val="none" w:sz="0" w:space="0" w:color="auto"/>
            <w:right w:val="none" w:sz="0" w:space="0" w:color="auto"/>
          </w:divBdr>
          <w:divsChild>
            <w:div w:id="529492807">
              <w:marLeft w:val="439"/>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0"/>
                  <w:marTop w:val="0"/>
                  <w:marBottom w:val="0"/>
                  <w:divBdr>
                    <w:top w:val="none" w:sz="0" w:space="0" w:color="auto"/>
                    <w:left w:val="none" w:sz="0" w:space="0" w:color="auto"/>
                    <w:bottom w:val="none" w:sz="0" w:space="0" w:color="auto"/>
                    <w:right w:val="none" w:sz="0" w:space="0" w:color="auto"/>
                  </w:divBdr>
                  <w:divsChild>
                    <w:div w:id="189307544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899">
          <w:marLeft w:val="0"/>
          <w:marRight w:val="0"/>
          <w:marTop w:val="0"/>
          <w:marBottom w:val="0"/>
          <w:divBdr>
            <w:top w:val="none" w:sz="0" w:space="0" w:color="auto"/>
            <w:left w:val="none" w:sz="0" w:space="0" w:color="auto"/>
            <w:bottom w:val="none" w:sz="0" w:space="0" w:color="auto"/>
            <w:right w:val="none" w:sz="0" w:space="0" w:color="auto"/>
          </w:divBdr>
        </w:div>
      </w:divsChild>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648938">
      <w:bodyDiv w:val="1"/>
      <w:marLeft w:val="0"/>
      <w:marRight w:val="0"/>
      <w:marTop w:val="0"/>
      <w:marBottom w:val="0"/>
      <w:divBdr>
        <w:top w:val="none" w:sz="0" w:space="0" w:color="auto"/>
        <w:left w:val="none" w:sz="0" w:space="0" w:color="auto"/>
        <w:bottom w:val="none" w:sz="0" w:space="0" w:color="auto"/>
        <w:right w:val="none" w:sz="0" w:space="0" w:color="auto"/>
      </w:divBdr>
    </w:div>
    <w:div w:id="1213271843">
      <w:bodyDiv w:val="1"/>
      <w:marLeft w:val="0"/>
      <w:marRight w:val="0"/>
      <w:marTop w:val="0"/>
      <w:marBottom w:val="0"/>
      <w:divBdr>
        <w:top w:val="none" w:sz="0" w:space="0" w:color="auto"/>
        <w:left w:val="none" w:sz="0" w:space="0" w:color="auto"/>
        <w:bottom w:val="none" w:sz="0" w:space="0" w:color="auto"/>
        <w:right w:val="none" w:sz="0" w:space="0" w:color="auto"/>
      </w:divBdr>
    </w:div>
    <w:div w:id="1213930989">
      <w:bodyDiv w:val="1"/>
      <w:marLeft w:val="0"/>
      <w:marRight w:val="0"/>
      <w:marTop w:val="0"/>
      <w:marBottom w:val="0"/>
      <w:divBdr>
        <w:top w:val="none" w:sz="0" w:space="0" w:color="auto"/>
        <w:left w:val="none" w:sz="0" w:space="0" w:color="auto"/>
        <w:bottom w:val="none" w:sz="0" w:space="0" w:color="auto"/>
        <w:right w:val="none" w:sz="0" w:space="0" w:color="auto"/>
      </w:divBdr>
    </w:div>
    <w:div w:id="1215459942">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994291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91835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705081">
      <w:bodyDiv w:val="1"/>
      <w:marLeft w:val="0"/>
      <w:marRight w:val="0"/>
      <w:marTop w:val="0"/>
      <w:marBottom w:val="0"/>
      <w:divBdr>
        <w:top w:val="none" w:sz="0" w:space="0" w:color="auto"/>
        <w:left w:val="none" w:sz="0" w:space="0" w:color="auto"/>
        <w:bottom w:val="none" w:sz="0" w:space="0" w:color="auto"/>
        <w:right w:val="none" w:sz="0" w:space="0" w:color="auto"/>
      </w:divBdr>
      <w:divsChild>
        <w:div w:id="924262120">
          <w:marLeft w:val="0"/>
          <w:marRight w:val="0"/>
          <w:marTop w:val="0"/>
          <w:marBottom w:val="0"/>
          <w:divBdr>
            <w:top w:val="none" w:sz="0" w:space="0" w:color="auto"/>
            <w:left w:val="none" w:sz="0" w:space="0" w:color="auto"/>
            <w:bottom w:val="none" w:sz="0" w:space="0" w:color="auto"/>
            <w:right w:val="none" w:sz="0" w:space="0" w:color="auto"/>
          </w:divBdr>
          <w:divsChild>
            <w:div w:id="634722374">
              <w:marLeft w:val="0"/>
              <w:marRight w:val="0"/>
              <w:marTop w:val="0"/>
              <w:marBottom w:val="0"/>
              <w:divBdr>
                <w:top w:val="none" w:sz="0" w:space="0" w:color="auto"/>
                <w:left w:val="none" w:sz="0" w:space="0" w:color="auto"/>
                <w:bottom w:val="none" w:sz="0" w:space="0" w:color="auto"/>
                <w:right w:val="none" w:sz="0" w:space="0" w:color="auto"/>
              </w:divBdr>
              <w:divsChild>
                <w:div w:id="1564637147">
                  <w:marLeft w:val="0"/>
                  <w:marRight w:val="0"/>
                  <w:marTop w:val="0"/>
                  <w:marBottom w:val="0"/>
                  <w:divBdr>
                    <w:top w:val="none" w:sz="0" w:space="0" w:color="auto"/>
                    <w:left w:val="none" w:sz="0" w:space="0" w:color="auto"/>
                    <w:bottom w:val="none" w:sz="0" w:space="0" w:color="auto"/>
                    <w:right w:val="none" w:sz="0" w:space="0" w:color="auto"/>
                  </w:divBdr>
                  <w:divsChild>
                    <w:div w:id="503790018">
                      <w:marLeft w:val="0"/>
                      <w:marRight w:val="0"/>
                      <w:marTop w:val="0"/>
                      <w:marBottom w:val="0"/>
                      <w:divBdr>
                        <w:top w:val="none" w:sz="0" w:space="0" w:color="auto"/>
                        <w:left w:val="none" w:sz="0" w:space="0" w:color="auto"/>
                        <w:bottom w:val="none" w:sz="0" w:space="0" w:color="auto"/>
                        <w:right w:val="none" w:sz="0" w:space="0" w:color="auto"/>
                      </w:divBdr>
                      <w:divsChild>
                        <w:div w:id="993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766295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8144468">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614969">
      <w:bodyDiv w:val="1"/>
      <w:marLeft w:val="0"/>
      <w:marRight w:val="0"/>
      <w:marTop w:val="0"/>
      <w:marBottom w:val="0"/>
      <w:divBdr>
        <w:top w:val="none" w:sz="0" w:space="0" w:color="auto"/>
        <w:left w:val="none" w:sz="0" w:space="0" w:color="auto"/>
        <w:bottom w:val="none" w:sz="0" w:space="0" w:color="auto"/>
        <w:right w:val="none" w:sz="0" w:space="0" w:color="auto"/>
      </w:divBdr>
      <w:divsChild>
        <w:div w:id="1122765853">
          <w:marLeft w:val="0"/>
          <w:marRight w:val="0"/>
          <w:marTop w:val="0"/>
          <w:marBottom w:val="0"/>
          <w:divBdr>
            <w:top w:val="none" w:sz="0" w:space="0" w:color="auto"/>
            <w:left w:val="none" w:sz="0" w:space="0" w:color="auto"/>
            <w:bottom w:val="none" w:sz="0" w:space="0" w:color="auto"/>
            <w:right w:val="none" w:sz="0" w:space="0" w:color="auto"/>
          </w:divBdr>
          <w:divsChild>
            <w:div w:id="2118327146">
              <w:marLeft w:val="0"/>
              <w:marRight w:val="0"/>
              <w:marTop w:val="0"/>
              <w:marBottom w:val="0"/>
              <w:divBdr>
                <w:top w:val="none" w:sz="0" w:space="0" w:color="auto"/>
                <w:left w:val="none" w:sz="0" w:space="0" w:color="auto"/>
                <w:bottom w:val="none" w:sz="0" w:space="0" w:color="auto"/>
                <w:right w:val="none" w:sz="0" w:space="0" w:color="auto"/>
              </w:divBdr>
              <w:divsChild>
                <w:div w:id="1127285647">
                  <w:marLeft w:val="0"/>
                  <w:marRight w:val="0"/>
                  <w:marTop w:val="0"/>
                  <w:marBottom w:val="0"/>
                  <w:divBdr>
                    <w:top w:val="none" w:sz="0" w:space="0" w:color="auto"/>
                    <w:left w:val="none" w:sz="0" w:space="0" w:color="auto"/>
                    <w:bottom w:val="none" w:sz="0" w:space="0" w:color="auto"/>
                    <w:right w:val="none" w:sz="0" w:space="0" w:color="auto"/>
                  </w:divBdr>
                  <w:divsChild>
                    <w:div w:id="190150980">
                      <w:marLeft w:val="0"/>
                      <w:marRight w:val="0"/>
                      <w:marTop w:val="0"/>
                      <w:marBottom w:val="0"/>
                      <w:divBdr>
                        <w:top w:val="none" w:sz="0" w:space="0" w:color="auto"/>
                        <w:left w:val="none" w:sz="0" w:space="0" w:color="auto"/>
                        <w:bottom w:val="none" w:sz="0" w:space="0" w:color="auto"/>
                        <w:right w:val="none" w:sz="0" w:space="0" w:color="auto"/>
                      </w:divBdr>
                      <w:divsChild>
                        <w:div w:id="1981184763">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sChild>
                                    <w:div w:id="1853951715">
                                      <w:marLeft w:val="0"/>
                                      <w:marRight w:val="0"/>
                                      <w:marTop w:val="0"/>
                                      <w:marBottom w:val="0"/>
                                      <w:divBdr>
                                        <w:top w:val="none" w:sz="0" w:space="0" w:color="auto"/>
                                        <w:left w:val="none" w:sz="0" w:space="0" w:color="auto"/>
                                        <w:bottom w:val="none" w:sz="0" w:space="0" w:color="auto"/>
                                        <w:right w:val="none" w:sz="0" w:space="0" w:color="auto"/>
                                      </w:divBdr>
                                      <w:divsChild>
                                        <w:div w:id="1785884189">
                                          <w:marLeft w:val="0"/>
                                          <w:marRight w:val="0"/>
                                          <w:marTop w:val="0"/>
                                          <w:marBottom w:val="0"/>
                                          <w:divBdr>
                                            <w:top w:val="none" w:sz="0" w:space="0" w:color="auto"/>
                                            <w:left w:val="none" w:sz="0" w:space="0" w:color="auto"/>
                                            <w:bottom w:val="none" w:sz="0" w:space="0" w:color="auto"/>
                                            <w:right w:val="none" w:sz="0" w:space="0" w:color="auto"/>
                                          </w:divBdr>
                                          <w:divsChild>
                                            <w:div w:id="621350529">
                                              <w:marLeft w:val="0"/>
                                              <w:marRight w:val="0"/>
                                              <w:marTop w:val="0"/>
                                              <w:marBottom w:val="0"/>
                                              <w:divBdr>
                                                <w:top w:val="none" w:sz="0" w:space="0" w:color="auto"/>
                                                <w:left w:val="none" w:sz="0" w:space="0" w:color="auto"/>
                                                <w:bottom w:val="none" w:sz="0" w:space="0" w:color="auto"/>
                                                <w:right w:val="none" w:sz="0" w:space="0" w:color="auto"/>
                                              </w:divBdr>
                                              <w:divsChild>
                                                <w:div w:id="1605724348">
                                                  <w:marLeft w:val="0"/>
                                                  <w:marRight w:val="0"/>
                                                  <w:marTop w:val="0"/>
                                                  <w:marBottom w:val="0"/>
                                                  <w:divBdr>
                                                    <w:top w:val="none" w:sz="0" w:space="0" w:color="auto"/>
                                                    <w:left w:val="none" w:sz="0" w:space="0" w:color="auto"/>
                                                    <w:bottom w:val="none" w:sz="0" w:space="0" w:color="auto"/>
                                                    <w:right w:val="none" w:sz="0" w:space="0" w:color="auto"/>
                                                  </w:divBdr>
                                                  <w:divsChild>
                                                    <w:div w:id="246309640">
                                                      <w:marLeft w:val="0"/>
                                                      <w:marRight w:val="0"/>
                                                      <w:marTop w:val="0"/>
                                                      <w:marBottom w:val="0"/>
                                                      <w:divBdr>
                                                        <w:top w:val="none" w:sz="0" w:space="0" w:color="auto"/>
                                                        <w:left w:val="none" w:sz="0" w:space="0" w:color="auto"/>
                                                        <w:bottom w:val="none" w:sz="0" w:space="0" w:color="auto"/>
                                                        <w:right w:val="none" w:sz="0" w:space="0" w:color="auto"/>
                                                      </w:divBdr>
                                                      <w:divsChild>
                                                        <w:div w:id="1522813133">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1688751375">
                                                                  <w:marLeft w:val="0"/>
                                                                  <w:marRight w:val="0"/>
                                                                  <w:marTop w:val="0"/>
                                                                  <w:marBottom w:val="0"/>
                                                                  <w:divBdr>
                                                                    <w:top w:val="none" w:sz="0" w:space="0" w:color="auto"/>
                                                                    <w:left w:val="none" w:sz="0" w:space="0" w:color="auto"/>
                                                                    <w:bottom w:val="none" w:sz="0" w:space="0" w:color="auto"/>
                                                                    <w:right w:val="none" w:sz="0" w:space="0" w:color="auto"/>
                                                                  </w:divBdr>
                                                                  <w:divsChild>
                                                                    <w:div w:id="599996629">
                                                                      <w:marLeft w:val="0"/>
                                                                      <w:marRight w:val="0"/>
                                                                      <w:marTop w:val="0"/>
                                                                      <w:marBottom w:val="0"/>
                                                                      <w:divBdr>
                                                                        <w:top w:val="none" w:sz="0" w:space="0" w:color="auto"/>
                                                                        <w:left w:val="none" w:sz="0" w:space="0" w:color="auto"/>
                                                                        <w:bottom w:val="none" w:sz="0" w:space="0" w:color="auto"/>
                                                                        <w:right w:val="none" w:sz="0" w:space="0" w:color="auto"/>
                                                                      </w:divBdr>
                                                                      <w:divsChild>
                                                                        <w:div w:id="368650884">
                                                                          <w:marLeft w:val="0"/>
                                                                          <w:marRight w:val="0"/>
                                                                          <w:marTop w:val="0"/>
                                                                          <w:marBottom w:val="0"/>
                                                                          <w:divBdr>
                                                                            <w:top w:val="none" w:sz="0" w:space="0" w:color="auto"/>
                                                                            <w:left w:val="none" w:sz="0" w:space="0" w:color="auto"/>
                                                                            <w:bottom w:val="none" w:sz="0" w:space="0" w:color="auto"/>
                                                                            <w:right w:val="none" w:sz="0" w:space="0" w:color="auto"/>
                                                                          </w:divBdr>
                                                                          <w:divsChild>
                                                                            <w:div w:id="726539470">
                                                                              <w:marLeft w:val="0"/>
                                                                              <w:marRight w:val="0"/>
                                                                              <w:marTop w:val="0"/>
                                                                              <w:marBottom w:val="0"/>
                                                                              <w:divBdr>
                                                                                <w:top w:val="none" w:sz="0" w:space="0" w:color="auto"/>
                                                                                <w:left w:val="none" w:sz="0" w:space="0" w:color="auto"/>
                                                                                <w:bottom w:val="none" w:sz="0" w:space="0" w:color="auto"/>
                                                                                <w:right w:val="none" w:sz="0" w:space="0" w:color="auto"/>
                                                                              </w:divBdr>
                                                                              <w:divsChild>
                                                                                <w:div w:id="658777235">
                                                                                  <w:marLeft w:val="0"/>
                                                                                  <w:marRight w:val="0"/>
                                                                                  <w:marTop w:val="0"/>
                                                                                  <w:marBottom w:val="0"/>
                                                                                  <w:divBdr>
                                                                                    <w:top w:val="none" w:sz="0" w:space="0" w:color="auto"/>
                                                                                    <w:left w:val="none" w:sz="0" w:space="0" w:color="auto"/>
                                                                                    <w:bottom w:val="none" w:sz="0" w:space="0" w:color="auto"/>
                                                                                    <w:right w:val="none" w:sz="0" w:space="0" w:color="auto"/>
                                                                                  </w:divBdr>
                                                                                  <w:divsChild>
                                                                                    <w:div w:id="1550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0489850">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3557094">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8382722">
      <w:bodyDiv w:val="1"/>
      <w:marLeft w:val="0"/>
      <w:marRight w:val="0"/>
      <w:marTop w:val="0"/>
      <w:marBottom w:val="0"/>
      <w:divBdr>
        <w:top w:val="none" w:sz="0" w:space="0" w:color="auto"/>
        <w:left w:val="none" w:sz="0" w:space="0" w:color="auto"/>
        <w:bottom w:val="none" w:sz="0" w:space="0" w:color="auto"/>
        <w:right w:val="none" w:sz="0" w:space="0" w:color="auto"/>
      </w:divBdr>
    </w:div>
    <w:div w:id="1410729167">
      <w:bodyDiv w:val="1"/>
      <w:marLeft w:val="0"/>
      <w:marRight w:val="0"/>
      <w:marTop w:val="0"/>
      <w:marBottom w:val="0"/>
      <w:divBdr>
        <w:top w:val="none" w:sz="0" w:space="0" w:color="auto"/>
        <w:left w:val="none" w:sz="0" w:space="0" w:color="auto"/>
        <w:bottom w:val="none" w:sz="0" w:space="0" w:color="auto"/>
        <w:right w:val="none" w:sz="0" w:space="0" w:color="auto"/>
      </w:divBdr>
    </w:div>
    <w:div w:id="1422797567">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6075173">
      <w:bodyDiv w:val="1"/>
      <w:marLeft w:val="0"/>
      <w:marRight w:val="0"/>
      <w:marTop w:val="0"/>
      <w:marBottom w:val="0"/>
      <w:divBdr>
        <w:top w:val="none" w:sz="0" w:space="0" w:color="auto"/>
        <w:left w:val="none" w:sz="0" w:space="0" w:color="auto"/>
        <w:bottom w:val="none" w:sz="0" w:space="0" w:color="auto"/>
        <w:right w:val="none" w:sz="0" w:space="0" w:color="auto"/>
      </w:divBdr>
    </w:div>
    <w:div w:id="1448238852">
      <w:bodyDiv w:val="1"/>
      <w:marLeft w:val="0"/>
      <w:marRight w:val="0"/>
      <w:marTop w:val="0"/>
      <w:marBottom w:val="0"/>
      <w:divBdr>
        <w:top w:val="none" w:sz="0" w:space="0" w:color="auto"/>
        <w:left w:val="none" w:sz="0" w:space="0" w:color="auto"/>
        <w:bottom w:val="none" w:sz="0" w:space="0" w:color="auto"/>
        <w:right w:val="none" w:sz="0" w:space="0" w:color="auto"/>
      </w:divBdr>
    </w:div>
    <w:div w:id="1454253769">
      <w:bodyDiv w:val="1"/>
      <w:marLeft w:val="0"/>
      <w:marRight w:val="0"/>
      <w:marTop w:val="0"/>
      <w:marBottom w:val="0"/>
      <w:divBdr>
        <w:top w:val="none" w:sz="0" w:space="0" w:color="auto"/>
        <w:left w:val="none" w:sz="0" w:space="0" w:color="auto"/>
        <w:bottom w:val="none" w:sz="0" w:space="0" w:color="auto"/>
        <w:right w:val="none" w:sz="0" w:space="0" w:color="auto"/>
      </w:divBdr>
    </w:div>
    <w:div w:id="1459497218">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8790909">
      <w:bodyDiv w:val="1"/>
      <w:marLeft w:val="0"/>
      <w:marRight w:val="0"/>
      <w:marTop w:val="0"/>
      <w:marBottom w:val="0"/>
      <w:divBdr>
        <w:top w:val="none" w:sz="0" w:space="0" w:color="auto"/>
        <w:left w:val="none" w:sz="0" w:space="0" w:color="auto"/>
        <w:bottom w:val="none" w:sz="0" w:space="0" w:color="auto"/>
        <w:right w:val="none" w:sz="0" w:space="0" w:color="auto"/>
      </w:divBdr>
    </w:div>
    <w:div w:id="1492677937">
      <w:bodyDiv w:val="1"/>
      <w:marLeft w:val="0"/>
      <w:marRight w:val="0"/>
      <w:marTop w:val="0"/>
      <w:marBottom w:val="0"/>
      <w:divBdr>
        <w:top w:val="none" w:sz="0" w:space="0" w:color="auto"/>
        <w:left w:val="none" w:sz="0" w:space="0" w:color="auto"/>
        <w:bottom w:val="none" w:sz="0" w:space="0" w:color="auto"/>
        <w:right w:val="none" w:sz="0" w:space="0" w:color="auto"/>
      </w:divBdr>
      <w:divsChild>
        <w:div w:id="210728991">
          <w:marLeft w:val="0"/>
          <w:marRight w:val="0"/>
          <w:marTop w:val="0"/>
          <w:marBottom w:val="0"/>
          <w:divBdr>
            <w:top w:val="none" w:sz="0" w:space="0" w:color="auto"/>
            <w:left w:val="none" w:sz="0" w:space="0" w:color="auto"/>
            <w:bottom w:val="none" w:sz="0" w:space="0" w:color="auto"/>
            <w:right w:val="none" w:sz="0" w:space="0" w:color="auto"/>
          </w:divBdr>
          <w:divsChild>
            <w:div w:id="2132747096">
              <w:marLeft w:val="0"/>
              <w:marRight w:val="0"/>
              <w:marTop w:val="0"/>
              <w:marBottom w:val="0"/>
              <w:divBdr>
                <w:top w:val="none" w:sz="0" w:space="0" w:color="auto"/>
                <w:left w:val="none" w:sz="0" w:space="0" w:color="auto"/>
                <w:bottom w:val="none" w:sz="0" w:space="0" w:color="auto"/>
                <w:right w:val="none" w:sz="0" w:space="0" w:color="auto"/>
              </w:divBdr>
              <w:divsChild>
                <w:div w:id="1703632165">
                  <w:marLeft w:val="0"/>
                  <w:marRight w:val="0"/>
                  <w:marTop w:val="0"/>
                  <w:marBottom w:val="0"/>
                  <w:divBdr>
                    <w:top w:val="none" w:sz="0" w:space="0" w:color="auto"/>
                    <w:left w:val="none" w:sz="0" w:space="0" w:color="auto"/>
                    <w:bottom w:val="none" w:sz="0" w:space="0" w:color="auto"/>
                    <w:right w:val="none" w:sz="0" w:space="0" w:color="auto"/>
                  </w:divBdr>
                  <w:divsChild>
                    <w:div w:id="1576820255">
                      <w:marLeft w:val="-225"/>
                      <w:marRight w:val="-225"/>
                      <w:marTop w:val="0"/>
                      <w:marBottom w:val="0"/>
                      <w:divBdr>
                        <w:top w:val="none" w:sz="0" w:space="0" w:color="auto"/>
                        <w:left w:val="none" w:sz="0" w:space="0" w:color="auto"/>
                        <w:bottom w:val="none" w:sz="0" w:space="0" w:color="auto"/>
                        <w:right w:val="none" w:sz="0" w:space="0" w:color="auto"/>
                      </w:divBdr>
                      <w:divsChild>
                        <w:div w:id="2076659179">
                          <w:marLeft w:val="0"/>
                          <w:marRight w:val="0"/>
                          <w:marTop w:val="0"/>
                          <w:marBottom w:val="0"/>
                          <w:divBdr>
                            <w:top w:val="none" w:sz="0" w:space="0" w:color="auto"/>
                            <w:left w:val="none" w:sz="0" w:space="0" w:color="auto"/>
                            <w:bottom w:val="none" w:sz="0" w:space="0" w:color="auto"/>
                            <w:right w:val="none" w:sz="0" w:space="0" w:color="auto"/>
                          </w:divBdr>
                          <w:divsChild>
                            <w:div w:id="2085715500">
                              <w:marLeft w:val="0"/>
                              <w:marRight w:val="0"/>
                              <w:marTop w:val="0"/>
                              <w:marBottom w:val="0"/>
                              <w:divBdr>
                                <w:top w:val="none" w:sz="0" w:space="0" w:color="auto"/>
                                <w:left w:val="none" w:sz="0" w:space="0" w:color="auto"/>
                                <w:bottom w:val="none" w:sz="0" w:space="0" w:color="auto"/>
                                <w:right w:val="none" w:sz="0" w:space="0" w:color="auto"/>
                              </w:divBdr>
                              <w:divsChild>
                                <w:div w:id="1284968476">
                                  <w:marLeft w:val="-225"/>
                                  <w:marRight w:val="-225"/>
                                  <w:marTop w:val="0"/>
                                  <w:marBottom w:val="0"/>
                                  <w:divBdr>
                                    <w:top w:val="none" w:sz="0" w:space="0" w:color="auto"/>
                                    <w:left w:val="none" w:sz="0" w:space="0" w:color="auto"/>
                                    <w:bottom w:val="none" w:sz="0" w:space="0" w:color="auto"/>
                                    <w:right w:val="none" w:sz="0" w:space="0" w:color="auto"/>
                                  </w:divBdr>
                                  <w:divsChild>
                                    <w:div w:id="61031187">
                                      <w:marLeft w:val="0"/>
                                      <w:marRight w:val="0"/>
                                      <w:marTop w:val="0"/>
                                      <w:marBottom w:val="0"/>
                                      <w:divBdr>
                                        <w:top w:val="none" w:sz="0" w:space="0" w:color="auto"/>
                                        <w:left w:val="none" w:sz="0" w:space="0" w:color="auto"/>
                                        <w:bottom w:val="none" w:sz="0" w:space="0" w:color="auto"/>
                                        <w:right w:val="none" w:sz="0" w:space="0" w:color="auto"/>
                                      </w:divBdr>
                                      <w:divsChild>
                                        <w:div w:id="2098288142">
                                          <w:marLeft w:val="0"/>
                                          <w:marRight w:val="0"/>
                                          <w:marTop w:val="0"/>
                                          <w:marBottom w:val="0"/>
                                          <w:divBdr>
                                            <w:top w:val="none" w:sz="0" w:space="0" w:color="auto"/>
                                            <w:left w:val="none" w:sz="0" w:space="0" w:color="auto"/>
                                            <w:bottom w:val="none" w:sz="0" w:space="0" w:color="auto"/>
                                            <w:right w:val="none" w:sz="0" w:space="0" w:color="auto"/>
                                          </w:divBdr>
                                          <w:divsChild>
                                            <w:div w:id="289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624016">
      <w:bodyDiv w:val="1"/>
      <w:marLeft w:val="0"/>
      <w:marRight w:val="0"/>
      <w:marTop w:val="0"/>
      <w:marBottom w:val="0"/>
      <w:divBdr>
        <w:top w:val="none" w:sz="0" w:space="0" w:color="auto"/>
        <w:left w:val="none" w:sz="0" w:space="0" w:color="auto"/>
        <w:bottom w:val="none" w:sz="0" w:space="0" w:color="auto"/>
        <w:right w:val="none" w:sz="0" w:space="0" w:color="auto"/>
      </w:divBdr>
    </w:div>
    <w:div w:id="150709212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434746">
      <w:bodyDiv w:val="1"/>
      <w:marLeft w:val="0"/>
      <w:marRight w:val="0"/>
      <w:marTop w:val="0"/>
      <w:marBottom w:val="0"/>
      <w:divBdr>
        <w:top w:val="none" w:sz="0" w:space="0" w:color="auto"/>
        <w:left w:val="none" w:sz="0" w:space="0" w:color="auto"/>
        <w:bottom w:val="none" w:sz="0" w:space="0" w:color="auto"/>
        <w:right w:val="none" w:sz="0" w:space="0" w:color="auto"/>
      </w:divBdr>
    </w:div>
    <w:div w:id="1522433706">
      <w:bodyDiv w:val="1"/>
      <w:marLeft w:val="0"/>
      <w:marRight w:val="0"/>
      <w:marTop w:val="0"/>
      <w:marBottom w:val="0"/>
      <w:divBdr>
        <w:top w:val="none" w:sz="0" w:space="0" w:color="auto"/>
        <w:left w:val="none" w:sz="0" w:space="0" w:color="auto"/>
        <w:bottom w:val="none" w:sz="0" w:space="0" w:color="auto"/>
        <w:right w:val="none" w:sz="0" w:space="0" w:color="auto"/>
      </w:divBdr>
    </w:div>
    <w:div w:id="1530794462">
      <w:bodyDiv w:val="1"/>
      <w:marLeft w:val="0"/>
      <w:marRight w:val="0"/>
      <w:marTop w:val="0"/>
      <w:marBottom w:val="0"/>
      <w:divBdr>
        <w:top w:val="none" w:sz="0" w:space="0" w:color="auto"/>
        <w:left w:val="none" w:sz="0" w:space="0" w:color="auto"/>
        <w:bottom w:val="none" w:sz="0" w:space="0" w:color="auto"/>
        <w:right w:val="none" w:sz="0" w:space="0" w:color="auto"/>
      </w:divBdr>
      <w:divsChild>
        <w:div w:id="930818157">
          <w:marLeft w:val="0"/>
          <w:marRight w:val="0"/>
          <w:marTop w:val="0"/>
          <w:marBottom w:val="0"/>
          <w:divBdr>
            <w:top w:val="none" w:sz="0" w:space="0" w:color="auto"/>
            <w:left w:val="none" w:sz="0" w:space="0" w:color="auto"/>
            <w:bottom w:val="none" w:sz="0" w:space="0" w:color="auto"/>
            <w:right w:val="none" w:sz="0" w:space="0" w:color="auto"/>
          </w:divBdr>
          <w:divsChild>
            <w:div w:id="1300460206">
              <w:marLeft w:val="439"/>
              <w:marRight w:val="0"/>
              <w:marTop w:val="0"/>
              <w:marBottom w:val="0"/>
              <w:divBdr>
                <w:top w:val="none" w:sz="0" w:space="0" w:color="auto"/>
                <w:left w:val="none" w:sz="0" w:space="0" w:color="auto"/>
                <w:bottom w:val="none" w:sz="0" w:space="0" w:color="auto"/>
                <w:right w:val="none" w:sz="0" w:space="0" w:color="auto"/>
              </w:divBdr>
              <w:divsChild>
                <w:div w:id="1982268852">
                  <w:marLeft w:val="0"/>
                  <w:marRight w:val="0"/>
                  <w:marTop w:val="0"/>
                  <w:marBottom w:val="0"/>
                  <w:divBdr>
                    <w:top w:val="none" w:sz="0" w:space="0" w:color="auto"/>
                    <w:left w:val="none" w:sz="0" w:space="0" w:color="auto"/>
                    <w:bottom w:val="none" w:sz="0" w:space="0" w:color="auto"/>
                    <w:right w:val="none" w:sz="0" w:space="0" w:color="auto"/>
                  </w:divBdr>
                  <w:divsChild>
                    <w:div w:id="2094085727">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8471">
      <w:bodyDiv w:val="1"/>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1169517640">
              <w:marLeft w:val="439"/>
              <w:marRight w:val="0"/>
              <w:marTop w:val="0"/>
              <w:marBottom w:val="0"/>
              <w:divBdr>
                <w:top w:val="none" w:sz="0" w:space="0" w:color="auto"/>
                <w:left w:val="none" w:sz="0" w:space="0" w:color="auto"/>
                <w:bottom w:val="none" w:sz="0" w:space="0" w:color="auto"/>
                <w:right w:val="none" w:sz="0" w:space="0" w:color="auto"/>
              </w:divBdr>
              <w:divsChild>
                <w:div w:id="1513764242">
                  <w:marLeft w:val="0"/>
                  <w:marRight w:val="0"/>
                  <w:marTop w:val="0"/>
                  <w:marBottom w:val="0"/>
                  <w:divBdr>
                    <w:top w:val="none" w:sz="0" w:space="0" w:color="auto"/>
                    <w:left w:val="none" w:sz="0" w:space="0" w:color="auto"/>
                    <w:bottom w:val="none" w:sz="0" w:space="0" w:color="auto"/>
                    <w:right w:val="none" w:sz="0" w:space="0" w:color="auto"/>
                  </w:divBdr>
                  <w:divsChild>
                    <w:div w:id="1015158541">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9716">
          <w:marLeft w:val="0"/>
          <w:marRight w:val="0"/>
          <w:marTop w:val="0"/>
          <w:marBottom w:val="0"/>
          <w:divBdr>
            <w:top w:val="none" w:sz="0" w:space="0" w:color="auto"/>
            <w:left w:val="none" w:sz="0" w:space="0" w:color="auto"/>
            <w:bottom w:val="none" w:sz="0" w:space="0" w:color="auto"/>
            <w:right w:val="none" w:sz="0" w:space="0" w:color="auto"/>
          </w:divBdr>
        </w:div>
      </w:divsChild>
    </w:div>
    <w:div w:id="1583637646">
      <w:bodyDiv w:val="1"/>
      <w:marLeft w:val="0"/>
      <w:marRight w:val="0"/>
      <w:marTop w:val="0"/>
      <w:marBottom w:val="0"/>
      <w:divBdr>
        <w:top w:val="none" w:sz="0" w:space="0" w:color="auto"/>
        <w:left w:val="none" w:sz="0" w:space="0" w:color="auto"/>
        <w:bottom w:val="none" w:sz="0" w:space="0" w:color="auto"/>
        <w:right w:val="none" w:sz="0" w:space="0" w:color="auto"/>
      </w:divBdr>
      <w:divsChild>
        <w:div w:id="1092122708">
          <w:marLeft w:val="720"/>
          <w:marRight w:val="0"/>
          <w:marTop w:val="101"/>
          <w:marBottom w:val="0"/>
          <w:divBdr>
            <w:top w:val="none" w:sz="0" w:space="0" w:color="auto"/>
            <w:left w:val="none" w:sz="0" w:space="0" w:color="auto"/>
            <w:bottom w:val="none" w:sz="0" w:space="0" w:color="auto"/>
            <w:right w:val="none" w:sz="0" w:space="0" w:color="auto"/>
          </w:divBdr>
        </w:div>
      </w:divsChild>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996016">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5136">
      <w:bodyDiv w:val="1"/>
      <w:marLeft w:val="0"/>
      <w:marRight w:val="0"/>
      <w:marTop w:val="0"/>
      <w:marBottom w:val="0"/>
      <w:divBdr>
        <w:top w:val="none" w:sz="0" w:space="0" w:color="auto"/>
        <w:left w:val="none" w:sz="0" w:space="0" w:color="auto"/>
        <w:bottom w:val="none" w:sz="0" w:space="0" w:color="auto"/>
        <w:right w:val="none" w:sz="0" w:space="0" w:color="auto"/>
      </w:divBdr>
      <w:divsChild>
        <w:div w:id="1055158476">
          <w:marLeft w:val="0"/>
          <w:marRight w:val="0"/>
          <w:marTop w:val="0"/>
          <w:marBottom w:val="0"/>
          <w:divBdr>
            <w:top w:val="none" w:sz="0" w:space="0" w:color="auto"/>
            <w:left w:val="none" w:sz="0" w:space="0" w:color="auto"/>
            <w:bottom w:val="none" w:sz="0" w:space="0" w:color="auto"/>
            <w:right w:val="none" w:sz="0" w:space="0" w:color="auto"/>
          </w:divBdr>
          <w:divsChild>
            <w:div w:id="2013408854">
              <w:marLeft w:val="0"/>
              <w:marRight w:val="0"/>
              <w:marTop w:val="0"/>
              <w:marBottom w:val="0"/>
              <w:divBdr>
                <w:top w:val="none" w:sz="0" w:space="0" w:color="auto"/>
                <w:left w:val="none" w:sz="0" w:space="0" w:color="auto"/>
                <w:bottom w:val="none" w:sz="0" w:space="0" w:color="auto"/>
                <w:right w:val="none" w:sz="0" w:space="0" w:color="auto"/>
              </w:divBdr>
              <w:divsChild>
                <w:div w:id="2012021286">
                  <w:marLeft w:val="0"/>
                  <w:marRight w:val="0"/>
                  <w:marTop w:val="0"/>
                  <w:marBottom w:val="0"/>
                  <w:divBdr>
                    <w:top w:val="none" w:sz="0" w:space="0" w:color="auto"/>
                    <w:left w:val="none" w:sz="0" w:space="0" w:color="auto"/>
                    <w:bottom w:val="none" w:sz="0" w:space="0" w:color="auto"/>
                    <w:right w:val="none" w:sz="0" w:space="0" w:color="auto"/>
                  </w:divBdr>
                  <w:divsChild>
                    <w:div w:id="1898124970">
                      <w:marLeft w:val="0"/>
                      <w:marRight w:val="0"/>
                      <w:marTop w:val="0"/>
                      <w:marBottom w:val="0"/>
                      <w:divBdr>
                        <w:top w:val="none" w:sz="0" w:space="0" w:color="auto"/>
                        <w:left w:val="none" w:sz="0" w:space="0" w:color="auto"/>
                        <w:bottom w:val="none" w:sz="0" w:space="0" w:color="auto"/>
                        <w:right w:val="none" w:sz="0" w:space="0" w:color="auto"/>
                      </w:divBdr>
                      <w:divsChild>
                        <w:div w:id="1567180621">
                          <w:marLeft w:val="0"/>
                          <w:marRight w:val="0"/>
                          <w:marTop w:val="0"/>
                          <w:marBottom w:val="0"/>
                          <w:divBdr>
                            <w:top w:val="none" w:sz="0" w:space="0" w:color="auto"/>
                            <w:left w:val="none" w:sz="0" w:space="0" w:color="auto"/>
                            <w:bottom w:val="none" w:sz="0" w:space="0" w:color="auto"/>
                            <w:right w:val="none" w:sz="0" w:space="0" w:color="auto"/>
                          </w:divBdr>
                          <w:divsChild>
                            <w:div w:id="2136823896">
                              <w:marLeft w:val="0"/>
                              <w:marRight w:val="0"/>
                              <w:marTop w:val="0"/>
                              <w:marBottom w:val="0"/>
                              <w:divBdr>
                                <w:top w:val="none" w:sz="0" w:space="0" w:color="auto"/>
                                <w:left w:val="none" w:sz="0" w:space="0" w:color="auto"/>
                                <w:bottom w:val="none" w:sz="0" w:space="0" w:color="auto"/>
                                <w:right w:val="none" w:sz="0" w:space="0" w:color="auto"/>
                              </w:divBdr>
                              <w:divsChild>
                                <w:div w:id="856120416">
                                  <w:marLeft w:val="0"/>
                                  <w:marRight w:val="0"/>
                                  <w:marTop w:val="0"/>
                                  <w:marBottom w:val="0"/>
                                  <w:divBdr>
                                    <w:top w:val="none" w:sz="0" w:space="0" w:color="auto"/>
                                    <w:left w:val="none" w:sz="0" w:space="0" w:color="auto"/>
                                    <w:bottom w:val="none" w:sz="0" w:space="0" w:color="auto"/>
                                    <w:right w:val="none" w:sz="0" w:space="0" w:color="auto"/>
                                  </w:divBdr>
                                  <w:divsChild>
                                    <w:div w:id="834224320">
                                      <w:marLeft w:val="0"/>
                                      <w:marRight w:val="0"/>
                                      <w:marTop w:val="0"/>
                                      <w:marBottom w:val="0"/>
                                      <w:divBdr>
                                        <w:top w:val="none" w:sz="0" w:space="0" w:color="auto"/>
                                        <w:left w:val="none" w:sz="0" w:space="0" w:color="auto"/>
                                        <w:bottom w:val="none" w:sz="0" w:space="0" w:color="auto"/>
                                        <w:right w:val="none" w:sz="0" w:space="0" w:color="auto"/>
                                      </w:divBdr>
                                      <w:divsChild>
                                        <w:div w:id="232589010">
                                          <w:marLeft w:val="0"/>
                                          <w:marRight w:val="0"/>
                                          <w:marTop w:val="0"/>
                                          <w:marBottom w:val="0"/>
                                          <w:divBdr>
                                            <w:top w:val="none" w:sz="0" w:space="0" w:color="auto"/>
                                            <w:left w:val="none" w:sz="0" w:space="0" w:color="auto"/>
                                            <w:bottom w:val="none" w:sz="0" w:space="0" w:color="auto"/>
                                            <w:right w:val="none" w:sz="0" w:space="0" w:color="auto"/>
                                          </w:divBdr>
                                          <w:divsChild>
                                            <w:div w:id="2095465587">
                                              <w:marLeft w:val="0"/>
                                              <w:marRight w:val="0"/>
                                              <w:marTop w:val="0"/>
                                              <w:marBottom w:val="0"/>
                                              <w:divBdr>
                                                <w:top w:val="none" w:sz="0" w:space="0" w:color="auto"/>
                                                <w:left w:val="none" w:sz="0" w:space="0" w:color="auto"/>
                                                <w:bottom w:val="none" w:sz="0" w:space="0" w:color="auto"/>
                                                <w:right w:val="none" w:sz="0" w:space="0" w:color="auto"/>
                                              </w:divBdr>
                                              <w:divsChild>
                                                <w:div w:id="432014223">
                                                  <w:marLeft w:val="0"/>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766804296">
                                                          <w:marLeft w:val="0"/>
                                                          <w:marRight w:val="0"/>
                                                          <w:marTop w:val="0"/>
                                                          <w:marBottom w:val="0"/>
                                                          <w:divBdr>
                                                            <w:top w:val="none" w:sz="0" w:space="0" w:color="auto"/>
                                                            <w:left w:val="none" w:sz="0" w:space="0" w:color="auto"/>
                                                            <w:bottom w:val="none" w:sz="0" w:space="0" w:color="auto"/>
                                                            <w:right w:val="none" w:sz="0" w:space="0" w:color="auto"/>
                                                          </w:divBdr>
                                                          <w:divsChild>
                                                            <w:div w:id="1044060128">
                                                              <w:marLeft w:val="0"/>
                                                              <w:marRight w:val="0"/>
                                                              <w:marTop w:val="0"/>
                                                              <w:marBottom w:val="0"/>
                                                              <w:divBdr>
                                                                <w:top w:val="none" w:sz="0" w:space="0" w:color="auto"/>
                                                                <w:left w:val="none" w:sz="0" w:space="0" w:color="auto"/>
                                                                <w:bottom w:val="none" w:sz="0" w:space="0" w:color="auto"/>
                                                                <w:right w:val="none" w:sz="0" w:space="0" w:color="auto"/>
                                                              </w:divBdr>
                                                              <w:divsChild>
                                                                <w:div w:id="1014041435">
                                                                  <w:marLeft w:val="0"/>
                                                                  <w:marRight w:val="0"/>
                                                                  <w:marTop w:val="0"/>
                                                                  <w:marBottom w:val="0"/>
                                                                  <w:divBdr>
                                                                    <w:top w:val="none" w:sz="0" w:space="0" w:color="auto"/>
                                                                    <w:left w:val="none" w:sz="0" w:space="0" w:color="auto"/>
                                                                    <w:bottom w:val="none" w:sz="0" w:space="0" w:color="auto"/>
                                                                    <w:right w:val="none" w:sz="0" w:space="0" w:color="auto"/>
                                                                  </w:divBdr>
                                                                  <w:divsChild>
                                                                    <w:div w:id="15129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858109">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41691639">
      <w:bodyDiv w:val="1"/>
      <w:marLeft w:val="0"/>
      <w:marRight w:val="0"/>
      <w:marTop w:val="0"/>
      <w:marBottom w:val="0"/>
      <w:divBdr>
        <w:top w:val="none" w:sz="0" w:space="0" w:color="auto"/>
        <w:left w:val="none" w:sz="0" w:space="0" w:color="auto"/>
        <w:bottom w:val="none" w:sz="0" w:space="0" w:color="auto"/>
        <w:right w:val="none" w:sz="0" w:space="0" w:color="auto"/>
      </w:divBdr>
    </w:div>
    <w:div w:id="1647667301">
      <w:bodyDiv w:val="1"/>
      <w:marLeft w:val="0"/>
      <w:marRight w:val="0"/>
      <w:marTop w:val="0"/>
      <w:marBottom w:val="0"/>
      <w:divBdr>
        <w:top w:val="none" w:sz="0" w:space="0" w:color="auto"/>
        <w:left w:val="none" w:sz="0" w:space="0" w:color="auto"/>
        <w:bottom w:val="none" w:sz="0" w:space="0" w:color="auto"/>
        <w:right w:val="none" w:sz="0" w:space="0" w:color="auto"/>
      </w:divBdr>
    </w:div>
    <w:div w:id="165544983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42023300">
      <w:bodyDiv w:val="1"/>
      <w:marLeft w:val="0"/>
      <w:marRight w:val="0"/>
      <w:marTop w:val="0"/>
      <w:marBottom w:val="0"/>
      <w:divBdr>
        <w:top w:val="none" w:sz="0" w:space="0" w:color="auto"/>
        <w:left w:val="none" w:sz="0" w:space="0" w:color="auto"/>
        <w:bottom w:val="none" w:sz="0" w:space="0" w:color="auto"/>
        <w:right w:val="none" w:sz="0" w:space="0" w:color="auto"/>
      </w:divBdr>
      <w:divsChild>
        <w:div w:id="928781226">
          <w:marLeft w:val="0"/>
          <w:marRight w:val="1"/>
          <w:marTop w:val="0"/>
          <w:marBottom w:val="0"/>
          <w:divBdr>
            <w:top w:val="none" w:sz="0" w:space="0" w:color="auto"/>
            <w:left w:val="none" w:sz="0" w:space="0" w:color="auto"/>
            <w:bottom w:val="none" w:sz="0" w:space="0" w:color="auto"/>
            <w:right w:val="none" w:sz="0" w:space="0" w:color="auto"/>
          </w:divBdr>
          <w:divsChild>
            <w:div w:id="521092218">
              <w:marLeft w:val="0"/>
              <w:marRight w:val="0"/>
              <w:marTop w:val="0"/>
              <w:marBottom w:val="0"/>
              <w:divBdr>
                <w:top w:val="none" w:sz="0" w:space="0" w:color="auto"/>
                <w:left w:val="none" w:sz="0" w:space="0" w:color="auto"/>
                <w:bottom w:val="none" w:sz="0" w:space="0" w:color="auto"/>
                <w:right w:val="none" w:sz="0" w:space="0" w:color="auto"/>
              </w:divBdr>
              <w:divsChild>
                <w:div w:id="206533507">
                  <w:marLeft w:val="0"/>
                  <w:marRight w:val="1"/>
                  <w:marTop w:val="0"/>
                  <w:marBottom w:val="0"/>
                  <w:divBdr>
                    <w:top w:val="none" w:sz="0" w:space="0" w:color="auto"/>
                    <w:left w:val="none" w:sz="0" w:space="0" w:color="auto"/>
                    <w:bottom w:val="none" w:sz="0" w:space="0" w:color="auto"/>
                    <w:right w:val="none" w:sz="0" w:space="0" w:color="auto"/>
                  </w:divBdr>
                  <w:divsChild>
                    <w:div w:id="628516368">
                      <w:marLeft w:val="0"/>
                      <w:marRight w:val="0"/>
                      <w:marTop w:val="0"/>
                      <w:marBottom w:val="0"/>
                      <w:divBdr>
                        <w:top w:val="none" w:sz="0" w:space="0" w:color="auto"/>
                        <w:left w:val="none" w:sz="0" w:space="0" w:color="auto"/>
                        <w:bottom w:val="none" w:sz="0" w:space="0" w:color="auto"/>
                        <w:right w:val="none" w:sz="0" w:space="0" w:color="auto"/>
                      </w:divBdr>
                      <w:divsChild>
                        <w:div w:id="241840206">
                          <w:marLeft w:val="0"/>
                          <w:marRight w:val="0"/>
                          <w:marTop w:val="0"/>
                          <w:marBottom w:val="0"/>
                          <w:divBdr>
                            <w:top w:val="none" w:sz="0" w:space="0" w:color="auto"/>
                            <w:left w:val="none" w:sz="0" w:space="0" w:color="auto"/>
                            <w:bottom w:val="none" w:sz="0" w:space="0" w:color="auto"/>
                            <w:right w:val="none" w:sz="0" w:space="0" w:color="auto"/>
                          </w:divBdr>
                          <w:divsChild>
                            <w:div w:id="2050297020">
                              <w:marLeft w:val="0"/>
                              <w:marRight w:val="0"/>
                              <w:marTop w:val="120"/>
                              <w:marBottom w:val="360"/>
                              <w:divBdr>
                                <w:top w:val="none" w:sz="0" w:space="0" w:color="auto"/>
                                <w:left w:val="none" w:sz="0" w:space="0" w:color="auto"/>
                                <w:bottom w:val="none" w:sz="0" w:space="0" w:color="auto"/>
                                <w:right w:val="none" w:sz="0" w:space="0" w:color="auto"/>
                              </w:divBdr>
                              <w:divsChild>
                                <w:div w:id="50856966">
                                  <w:marLeft w:val="0"/>
                                  <w:marRight w:val="0"/>
                                  <w:marTop w:val="0"/>
                                  <w:marBottom w:val="0"/>
                                  <w:divBdr>
                                    <w:top w:val="none" w:sz="0" w:space="0" w:color="auto"/>
                                    <w:left w:val="none" w:sz="0" w:space="0" w:color="auto"/>
                                    <w:bottom w:val="none" w:sz="0" w:space="0" w:color="auto"/>
                                    <w:right w:val="none" w:sz="0" w:space="0" w:color="auto"/>
                                  </w:divBdr>
                                </w:div>
                                <w:div w:id="193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8669165">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sChild>
        <w:div w:id="97798693">
          <w:marLeft w:val="0"/>
          <w:marRight w:val="0"/>
          <w:marTop w:val="0"/>
          <w:marBottom w:val="0"/>
          <w:divBdr>
            <w:top w:val="none" w:sz="0" w:space="0" w:color="auto"/>
            <w:left w:val="none" w:sz="0" w:space="0" w:color="auto"/>
            <w:bottom w:val="none" w:sz="0" w:space="0" w:color="auto"/>
            <w:right w:val="none" w:sz="0" w:space="0" w:color="auto"/>
          </w:divBdr>
          <w:divsChild>
            <w:div w:id="1672904349">
              <w:marLeft w:val="439"/>
              <w:marRight w:val="0"/>
              <w:marTop w:val="0"/>
              <w:marBottom w:val="0"/>
              <w:divBdr>
                <w:top w:val="none" w:sz="0" w:space="0" w:color="auto"/>
                <w:left w:val="none" w:sz="0" w:space="0" w:color="auto"/>
                <w:bottom w:val="none" w:sz="0" w:space="0" w:color="auto"/>
                <w:right w:val="none" w:sz="0" w:space="0" w:color="auto"/>
              </w:divBdr>
              <w:divsChild>
                <w:div w:id="2035375330">
                  <w:marLeft w:val="0"/>
                  <w:marRight w:val="0"/>
                  <w:marTop w:val="0"/>
                  <w:marBottom w:val="0"/>
                  <w:divBdr>
                    <w:top w:val="none" w:sz="0" w:space="0" w:color="auto"/>
                    <w:left w:val="none" w:sz="0" w:space="0" w:color="auto"/>
                    <w:bottom w:val="none" w:sz="0" w:space="0" w:color="auto"/>
                    <w:right w:val="none" w:sz="0" w:space="0" w:color="auto"/>
                  </w:divBdr>
                  <w:divsChild>
                    <w:div w:id="796143399">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39">
          <w:marLeft w:val="0"/>
          <w:marRight w:val="0"/>
          <w:marTop w:val="0"/>
          <w:marBottom w:val="0"/>
          <w:divBdr>
            <w:top w:val="none" w:sz="0" w:space="0" w:color="auto"/>
            <w:left w:val="none" w:sz="0" w:space="0" w:color="auto"/>
            <w:bottom w:val="none" w:sz="0" w:space="0" w:color="auto"/>
            <w:right w:val="none" w:sz="0" w:space="0" w:color="auto"/>
          </w:divBdr>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03035630">
      <w:bodyDiv w:val="1"/>
      <w:marLeft w:val="0"/>
      <w:marRight w:val="0"/>
      <w:marTop w:val="0"/>
      <w:marBottom w:val="0"/>
      <w:divBdr>
        <w:top w:val="none" w:sz="0" w:space="0" w:color="auto"/>
        <w:left w:val="none" w:sz="0" w:space="0" w:color="auto"/>
        <w:bottom w:val="none" w:sz="0" w:space="0" w:color="auto"/>
        <w:right w:val="none" w:sz="0" w:space="0" w:color="auto"/>
      </w:divBdr>
      <w:divsChild>
        <w:div w:id="1259943816">
          <w:marLeft w:val="0"/>
          <w:marRight w:val="0"/>
          <w:marTop w:val="0"/>
          <w:marBottom w:val="0"/>
          <w:divBdr>
            <w:top w:val="none" w:sz="0" w:space="0" w:color="auto"/>
            <w:left w:val="none" w:sz="0" w:space="0" w:color="auto"/>
            <w:bottom w:val="none" w:sz="0" w:space="0" w:color="auto"/>
            <w:right w:val="none" w:sz="0" w:space="0" w:color="auto"/>
          </w:divBdr>
          <w:divsChild>
            <w:div w:id="2139715718">
              <w:marLeft w:val="0"/>
              <w:marRight w:val="0"/>
              <w:marTop w:val="0"/>
              <w:marBottom w:val="0"/>
              <w:divBdr>
                <w:top w:val="none" w:sz="0" w:space="0" w:color="auto"/>
                <w:left w:val="none" w:sz="0" w:space="0" w:color="auto"/>
                <w:bottom w:val="none" w:sz="0" w:space="0" w:color="auto"/>
                <w:right w:val="none" w:sz="0" w:space="0" w:color="auto"/>
              </w:divBdr>
              <w:divsChild>
                <w:div w:id="763720232">
                  <w:marLeft w:val="0"/>
                  <w:marRight w:val="0"/>
                  <w:marTop w:val="0"/>
                  <w:marBottom w:val="0"/>
                  <w:divBdr>
                    <w:top w:val="none" w:sz="0" w:space="0" w:color="auto"/>
                    <w:left w:val="none" w:sz="0" w:space="0" w:color="auto"/>
                    <w:bottom w:val="none" w:sz="0" w:space="0" w:color="auto"/>
                    <w:right w:val="none" w:sz="0" w:space="0" w:color="auto"/>
                  </w:divBdr>
                  <w:divsChild>
                    <w:div w:id="537738225">
                      <w:marLeft w:val="0"/>
                      <w:marRight w:val="0"/>
                      <w:marTop w:val="0"/>
                      <w:marBottom w:val="0"/>
                      <w:divBdr>
                        <w:top w:val="none" w:sz="0" w:space="0" w:color="auto"/>
                        <w:left w:val="none" w:sz="0" w:space="0" w:color="auto"/>
                        <w:bottom w:val="none" w:sz="0" w:space="0" w:color="auto"/>
                        <w:right w:val="none" w:sz="0" w:space="0" w:color="auto"/>
                      </w:divBdr>
                      <w:divsChild>
                        <w:div w:id="846211833">
                          <w:marLeft w:val="0"/>
                          <w:marRight w:val="0"/>
                          <w:marTop w:val="0"/>
                          <w:marBottom w:val="0"/>
                          <w:divBdr>
                            <w:top w:val="none" w:sz="0" w:space="0" w:color="auto"/>
                            <w:left w:val="none" w:sz="0" w:space="0" w:color="auto"/>
                            <w:bottom w:val="none" w:sz="0" w:space="0" w:color="auto"/>
                            <w:right w:val="none" w:sz="0" w:space="0" w:color="auto"/>
                          </w:divBdr>
                          <w:divsChild>
                            <w:div w:id="1711685584">
                              <w:marLeft w:val="0"/>
                              <w:marRight w:val="0"/>
                              <w:marTop w:val="0"/>
                              <w:marBottom w:val="0"/>
                              <w:divBdr>
                                <w:top w:val="none" w:sz="0" w:space="0" w:color="auto"/>
                                <w:left w:val="none" w:sz="0" w:space="0" w:color="auto"/>
                                <w:bottom w:val="none" w:sz="0" w:space="0" w:color="auto"/>
                                <w:right w:val="none" w:sz="0" w:space="0" w:color="auto"/>
                              </w:divBdr>
                              <w:divsChild>
                                <w:div w:id="755130334">
                                  <w:marLeft w:val="0"/>
                                  <w:marRight w:val="0"/>
                                  <w:marTop w:val="0"/>
                                  <w:marBottom w:val="0"/>
                                  <w:divBdr>
                                    <w:top w:val="none" w:sz="0" w:space="0" w:color="auto"/>
                                    <w:left w:val="none" w:sz="0" w:space="0" w:color="auto"/>
                                    <w:bottom w:val="none" w:sz="0" w:space="0" w:color="auto"/>
                                    <w:right w:val="none" w:sz="0" w:space="0" w:color="auto"/>
                                  </w:divBdr>
                                  <w:divsChild>
                                    <w:div w:id="799885405">
                                      <w:marLeft w:val="0"/>
                                      <w:marRight w:val="0"/>
                                      <w:marTop w:val="0"/>
                                      <w:marBottom w:val="0"/>
                                      <w:divBdr>
                                        <w:top w:val="none" w:sz="0" w:space="0" w:color="auto"/>
                                        <w:left w:val="none" w:sz="0" w:space="0" w:color="auto"/>
                                        <w:bottom w:val="none" w:sz="0" w:space="0" w:color="auto"/>
                                        <w:right w:val="none" w:sz="0" w:space="0" w:color="auto"/>
                                      </w:divBdr>
                                      <w:divsChild>
                                        <w:div w:id="405078267">
                                          <w:marLeft w:val="0"/>
                                          <w:marRight w:val="0"/>
                                          <w:marTop w:val="0"/>
                                          <w:marBottom w:val="0"/>
                                          <w:divBdr>
                                            <w:top w:val="none" w:sz="0" w:space="0" w:color="auto"/>
                                            <w:left w:val="none" w:sz="0" w:space="0" w:color="auto"/>
                                            <w:bottom w:val="none" w:sz="0" w:space="0" w:color="auto"/>
                                            <w:right w:val="none" w:sz="0" w:space="0" w:color="auto"/>
                                          </w:divBdr>
                                          <w:divsChild>
                                            <w:div w:id="1349285850">
                                              <w:marLeft w:val="0"/>
                                              <w:marRight w:val="0"/>
                                              <w:marTop w:val="0"/>
                                              <w:marBottom w:val="0"/>
                                              <w:divBdr>
                                                <w:top w:val="none" w:sz="0" w:space="0" w:color="auto"/>
                                                <w:left w:val="none" w:sz="0" w:space="0" w:color="auto"/>
                                                <w:bottom w:val="none" w:sz="0" w:space="0" w:color="auto"/>
                                                <w:right w:val="none" w:sz="0" w:space="0" w:color="auto"/>
                                              </w:divBdr>
                                              <w:divsChild>
                                                <w:div w:id="1854685686">
                                                  <w:marLeft w:val="0"/>
                                                  <w:marRight w:val="0"/>
                                                  <w:marTop w:val="0"/>
                                                  <w:marBottom w:val="0"/>
                                                  <w:divBdr>
                                                    <w:top w:val="none" w:sz="0" w:space="0" w:color="auto"/>
                                                    <w:left w:val="none" w:sz="0" w:space="0" w:color="auto"/>
                                                    <w:bottom w:val="none" w:sz="0" w:space="0" w:color="auto"/>
                                                    <w:right w:val="none" w:sz="0" w:space="0" w:color="auto"/>
                                                  </w:divBdr>
                                                  <w:divsChild>
                                                    <w:div w:id="413670629">
                                                      <w:marLeft w:val="0"/>
                                                      <w:marRight w:val="0"/>
                                                      <w:marTop w:val="0"/>
                                                      <w:marBottom w:val="0"/>
                                                      <w:divBdr>
                                                        <w:top w:val="none" w:sz="0" w:space="0" w:color="auto"/>
                                                        <w:left w:val="none" w:sz="0" w:space="0" w:color="auto"/>
                                                        <w:bottom w:val="none" w:sz="0" w:space="0" w:color="auto"/>
                                                        <w:right w:val="none" w:sz="0" w:space="0" w:color="auto"/>
                                                      </w:divBdr>
                                                      <w:divsChild>
                                                        <w:div w:id="162404825">
                                                          <w:marLeft w:val="0"/>
                                                          <w:marRight w:val="0"/>
                                                          <w:marTop w:val="0"/>
                                                          <w:marBottom w:val="0"/>
                                                          <w:divBdr>
                                                            <w:top w:val="none" w:sz="0" w:space="0" w:color="auto"/>
                                                            <w:left w:val="none" w:sz="0" w:space="0" w:color="auto"/>
                                                            <w:bottom w:val="none" w:sz="0" w:space="0" w:color="auto"/>
                                                            <w:right w:val="none" w:sz="0" w:space="0" w:color="auto"/>
                                                          </w:divBdr>
                                                        </w:div>
                                                      </w:divsChild>
                                                    </w:div>
                                                    <w:div w:id="219707881">
                                                      <w:marLeft w:val="0"/>
                                                      <w:marRight w:val="0"/>
                                                      <w:marTop w:val="0"/>
                                                      <w:marBottom w:val="0"/>
                                                      <w:divBdr>
                                                        <w:top w:val="none" w:sz="0" w:space="0" w:color="auto"/>
                                                        <w:left w:val="none" w:sz="0" w:space="0" w:color="auto"/>
                                                        <w:bottom w:val="none" w:sz="0" w:space="0" w:color="auto"/>
                                                        <w:right w:val="none" w:sz="0" w:space="0" w:color="auto"/>
                                                      </w:divBdr>
                                                      <w:divsChild>
                                                        <w:div w:id="299767613">
                                                          <w:marLeft w:val="0"/>
                                                          <w:marRight w:val="0"/>
                                                          <w:marTop w:val="0"/>
                                                          <w:marBottom w:val="75"/>
                                                          <w:divBdr>
                                                            <w:top w:val="none" w:sz="0" w:space="0" w:color="auto"/>
                                                            <w:left w:val="none" w:sz="0" w:space="0" w:color="auto"/>
                                                            <w:bottom w:val="none" w:sz="0" w:space="0" w:color="auto"/>
                                                            <w:right w:val="none" w:sz="0" w:space="0" w:color="auto"/>
                                                          </w:divBdr>
                                                          <w:divsChild>
                                                            <w:div w:id="20610478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9153311">
                                                      <w:marLeft w:val="0"/>
                                                      <w:marRight w:val="0"/>
                                                      <w:marTop w:val="240"/>
                                                      <w:marBottom w:val="0"/>
                                                      <w:divBdr>
                                                        <w:top w:val="none" w:sz="0" w:space="0" w:color="auto"/>
                                                        <w:left w:val="none" w:sz="0" w:space="0" w:color="auto"/>
                                                        <w:bottom w:val="none" w:sz="0" w:space="0" w:color="auto"/>
                                                        <w:right w:val="none" w:sz="0" w:space="0" w:color="auto"/>
                                                      </w:divBdr>
                                                    </w:div>
                                                    <w:div w:id="2040933813">
                                                      <w:marLeft w:val="0"/>
                                                      <w:marRight w:val="240"/>
                                                      <w:marTop w:val="0"/>
                                                      <w:marBottom w:val="0"/>
                                                      <w:divBdr>
                                                        <w:top w:val="none" w:sz="0" w:space="0" w:color="auto"/>
                                                        <w:left w:val="none" w:sz="0" w:space="0" w:color="auto"/>
                                                        <w:bottom w:val="none" w:sz="0" w:space="0" w:color="auto"/>
                                                        <w:right w:val="none" w:sz="0" w:space="0" w:color="auto"/>
                                                      </w:divBdr>
                                                    </w:div>
                                                    <w:div w:id="2102481741">
                                                      <w:marLeft w:val="0"/>
                                                      <w:marRight w:val="240"/>
                                                      <w:marTop w:val="0"/>
                                                      <w:marBottom w:val="0"/>
                                                      <w:divBdr>
                                                        <w:top w:val="none" w:sz="0" w:space="0" w:color="auto"/>
                                                        <w:left w:val="none" w:sz="0" w:space="0" w:color="auto"/>
                                                        <w:bottom w:val="none" w:sz="0" w:space="0" w:color="auto"/>
                                                        <w:right w:val="none" w:sz="0" w:space="0" w:color="auto"/>
                                                      </w:divBdr>
                                                    </w:div>
                                                    <w:div w:id="1079911389">
                                                      <w:marLeft w:val="0"/>
                                                      <w:marRight w:val="240"/>
                                                      <w:marTop w:val="0"/>
                                                      <w:marBottom w:val="0"/>
                                                      <w:divBdr>
                                                        <w:top w:val="none" w:sz="0" w:space="0" w:color="auto"/>
                                                        <w:left w:val="none" w:sz="0" w:space="0" w:color="auto"/>
                                                        <w:bottom w:val="none" w:sz="0" w:space="0" w:color="auto"/>
                                                        <w:right w:val="none" w:sz="0" w:space="0" w:color="auto"/>
                                                      </w:divBdr>
                                                    </w:div>
                                                  </w:divsChild>
                                                </w:div>
                                                <w:div w:id="1968005219">
                                                  <w:marLeft w:val="0"/>
                                                  <w:marRight w:val="0"/>
                                                  <w:marTop w:val="0"/>
                                                  <w:marBottom w:val="0"/>
                                                  <w:divBdr>
                                                    <w:top w:val="none" w:sz="0" w:space="0" w:color="auto"/>
                                                    <w:left w:val="none" w:sz="0" w:space="0" w:color="auto"/>
                                                    <w:bottom w:val="none" w:sz="0" w:space="0" w:color="auto"/>
                                                    <w:right w:val="none" w:sz="0" w:space="0" w:color="auto"/>
                                                  </w:divBdr>
                                                  <w:divsChild>
                                                    <w:div w:id="126971019">
                                                      <w:marLeft w:val="0"/>
                                                      <w:marRight w:val="0"/>
                                                      <w:marTop w:val="0"/>
                                                      <w:marBottom w:val="0"/>
                                                      <w:divBdr>
                                                        <w:top w:val="none" w:sz="0" w:space="0" w:color="auto"/>
                                                        <w:left w:val="none" w:sz="0" w:space="0" w:color="auto"/>
                                                        <w:bottom w:val="none" w:sz="0" w:space="0" w:color="auto"/>
                                                        <w:right w:val="none" w:sz="0" w:space="0" w:color="auto"/>
                                                      </w:divBdr>
                                                      <w:divsChild>
                                                        <w:div w:id="157885219">
                                                          <w:marLeft w:val="0"/>
                                                          <w:marRight w:val="0"/>
                                                          <w:marTop w:val="0"/>
                                                          <w:marBottom w:val="0"/>
                                                          <w:divBdr>
                                                            <w:top w:val="none" w:sz="0" w:space="0" w:color="auto"/>
                                                            <w:left w:val="none" w:sz="0" w:space="0" w:color="auto"/>
                                                            <w:bottom w:val="none" w:sz="0" w:space="0" w:color="auto"/>
                                                            <w:right w:val="none" w:sz="0" w:space="0" w:color="auto"/>
                                                          </w:divBdr>
                                                        </w:div>
                                                      </w:divsChild>
                                                    </w:div>
                                                    <w:div w:id="1744643657">
                                                      <w:marLeft w:val="0"/>
                                                      <w:marRight w:val="0"/>
                                                      <w:marTop w:val="0"/>
                                                      <w:marBottom w:val="0"/>
                                                      <w:divBdr>
                                                        <w:top w:val="none" w:sz="0" w:space="0" w:color="auto"/>
                                                        <w:left w:val="none" w:sz="0" w:space="0" w:color="auto"/>
                                                        <w:bottom w:val="none" w:sz="0" w:space="0" w:color="auto"/>
                                                        <w:right w:val="none" w:sz="0" w:space="0" w:color="auto"/>
                                                      </w:divBdr>
                                                      <w:divsChild>
                                                        <w:div w:id="1983847446">
                                                          <w:marLeft w:val="0"/>
                                                          <w:marRight w:val="0"/>
                                                          <w:marTop w:val="0"/>
                                                          <w:marBottom w:val="75"/>
                                                          <w:divBdr>
                                                            <w:top w:val="none" w:sz="0" w:space="0" w:color="auto"/>
                                                            <w:left w:val="none" w:sz="0" w:space="0" w:color="auto"/>
                                                            <w:bottom w:val="none" w:sz="0" w:space="0" w:color="auto"/>
                                                            <w:right w:val="none" w:sz="0" w:space="0" w:color="auto"/>
                                                          </w:divBdr>
                                                          <w:divsChild>
                                                            <w:div w:id="923762453">
                                                              <w:marLeft w:val="0"/>
                                                              <w:marRight w:val="75"/>
                                                              <w:marTop w:val="0"/>
                                                              <w:marBottom w:val="0"/>
                                                              <w:divBdr>
                                                                <w:top w:val="none" w:sz="0" w:space="0" w:color="auto"/>
                                                                <w:left w:val="none" w:sz="0" w:space="0" w:color="auto"/>
                                                                <w:bottom w:val="none" w:sz="0" w:space="0" w:color="auto"/>
                                                                <w:right w:val="none" w:sz="0" w:space="0" w:color="auto"/>
                                                              </w:divBdr>
                                                            </w:div>
                                                          </w:divsChild>
                                                        </w:div>
                                                        <w:div w:id="689644776">
                                                          <w:marLeft w:val="0"/>
                                                          <w:marRight w:val="0"/>
                                                          <w:marTop w:val="0"/>
                                                          <w:marBottom w:val="75"/>
                                                          <w:divBdr>
                                                            <w:top w:val="none" w:sz="0" w:space="0" w:color="auto"/>
                                                            <w:left w:val="none" w:sz="0" w:space="0" w:color="auto"/>
                                                            <w:bottom w:val="none" w:sz="0" w:space="0" w:color="auto"/>
                                                            <w:right w:val="none" w:sz="0" w:space="0" w:color="auto"/>
                                                          </w:divBdr>
                                                          <w:divsChild>
                                                            <w:div w:id="3683383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76413550">
                                                      <w:marLeft w:val="0"/>
                                                      <w:marRight w:val="0"/>
                                                      <w:marTop w:val="240"/>
                                                      <w:marBottom w:val="0"/>
                                                      <w:divBdr>
                                                        <w:top w:val="none" w:sz="0" w:space="0" w:color="auto"/>
                                                        <w:left w:val="none" w:sz="0" w:space="0" w:color="auto"/>
                                                        <w:bottom w:val="none" w:sz="0" w:space="0" w:color="auto"/>
                                                        <w:right w:val="none" w:sz="0" w:space="0" w:color="auto"/>
                                                      </w:divBdr>
                                                    </w:div>
                                                    <w:div w:id="1257520298">
                                                      <w:marLeft w:val="0"/>
                                                      <w:marRight w:val="240"/>
                                                      <w:marTop w:val="0"/>
                                                      <w:marBottom w:val="0"/>
                                                      <w:divBdr>
                                                        <w:top w:val="none" w:sz="0" w:space="0" w:color="auto"/>
                                                        <w:left w:val="none" w:sz="0" w:space="0" w:color="auto"/>
                                                        <w:bottom w:val="none" w:sz="0" w:space="0" w:color="auto"/>
                                                        <w:right w:val="none" w:sz="0" w:space="0" w:color="auto"/>
                                                      </w:divBdr>
                                                    </w:div>
                                                    <w:div w:id="1708985729">
                                                      <w:marLeft w:val="0"/>
                                                      <w:marRight w:val="240"/>
                                                      <w:marTop w:val="0"/>
                                                      <w:marBottom w:val="0"/>
                                                      <w:divBdr>
                                                        <w:top w:val="none" w:sz="0" w:space="0" w:color="auto"/>
                                                        <w:left w:val="none" w:sz="0" w:space="0" w:color="auto"/>
                                                        <w:bottom w:val="none" w:sz="0" w:space="0" w:color="auto"/>
                                                        <w:right w:val="none" w:sz="0" w:space="0" w:color="auto"/>
                                                      </w:divBdr>
                                                    </w:div>
                                                    <w:div w:id="263390955">
                                                      <w:marLeft w:val="0"/>
                                                      <w:marRight w:val="240"/>
                                                      <w:marTop w:val="0"/>
                                                      <w:marBottom w:val="0"/>
                                                      <w:divBdr>
                                                        <w:top w:val="none" w:sz="0" w:space="0" w:color="auto"/>
                                                        <w:left w:val="none" w:sz="0" w:space="0" w:color="auto"/>
                                                        <w:bottom w:val="none" w:sz="0" w:space="0" w:color="auto"/>
                                                        <w:right w:val="none" w:sz="0" w:space="0" w:color="auto"/>
                                                      </w:divBdr>
                                                    </w:div>
                                                  </w:divsChild>
                                                </w:div>
                                                <w:div w:id="808745896">
                                                  <w:marLeft w:val="0"/>
                                                  <w:marRight w:val="0"/>
                                                  <w:marTop w:val="0"/>
                                                  <w:marBottom w:val="0"/>
                                                  <w:divBdr>
                                                    <w:top w:val="none" w:sz="0" w:space="0" w:color="auto"/>
                                                    <w:left w:val="none" w:sz="0" w:space="0" w:color="auto"/>
                                                    <w:bottom w:val="none" w:sz="0" w:space="0" w:color="auto"/>
                                                    <w:right w:val="none" w:sz="0" w:space="0" w:color="auto"/>
                                                  </w:divBdr>
                                                  <w:divsChild>
                                                    <w:div w:id="1579630513">
                                                      <w:marLeft w:val="0"/>
                                                      <w:marRight w:val="0"/>
                                                      <w:marTop w:val="0"/>
                                                      <w:marBottom w:val="0"/>
                                                      <w:divBdr>
                                                        <w:top w:val="none" w:sz="0" w:space="0" w:color="auto"/>
                                                        <w:left w:val="none" w:sz="0" w:space="0" w:color="auto"/>
                                                        <w:bottom w:val="none" w:sz="0" w:space="0" w:color="auto"/>
                                                        <w:right w:val="none" w:sz="0" w:space="0" w:color="auto"/>
                                                      </w:divBdr>
                                                      <w:divsChild>
                                                        <w:div w:id="1452939455">
                                                          <w:marLeft w:val="0"/>
                                                          <w:marRight w:val="0"/>
                                                          <w:marTop w:val="0"/>
                                                          <w:marBottom w:val="0"/>
                                                          <w:divBdr>
                                                            <w:top w:val="none" w:sz="0" w:space="0" w:color="auto"/>
                                                            <w:left w:val="none" w:sz="0" w:space="0" w:color="auto"/>
                                                            <w:bottom w:val="none" w:sz="0" w:space="0" w:color="auto"/>
                                                            <w:right w:val="none" w:sz="0" w:space="0" w:color="auto"/>
                                                          </w:divBdr>
                                                        </w:div>
                                                      </w:divsChild>
                                                    </w:div>
                                                    <w:div w:id="880632239">
                                                      <w:marLeft w:val="0"/>
                                                      <w:marRight w:val="0"/>
                                                      <w:marTop w:val="0"/>
                                                      <w:marBottom w:val="0"/>
                                                      <w:divBdr>
                                                        <w:top w:val="none" w:sz="0" w:space="0" w:color="auto"/>
                                                        <w:left w:val="none" w:sz="0" w:space="0" w:color="auto"/>
                                                        <w:bottom w:val="none" w:sz="0" w:space="0" w:color="auto"/>
                                                        <w:right w:val="none" w:sz="0" w:space="0" w:color="auto"/>
                                                      </w:divBdr>
                                                      <w:divsChild>
                                                        <w:div w:id="1937904889">
                                                          <w:marLeft w:val="0"/>
                                                          <w:marRight w:val="0"/>
                                                          <w:marTop w:val="0"/>
                                                          <w:marBottom w:val="75"/>
                                                          <w:divBdr>
                                                            <w:top w:val="none" w:sz="0" w:space="0" w:color="auto"/>
                                                            <w:left w:val="none" w:sz="0" w:space="0" w:color="auto"/>
                                                            <w:bottom w:val="none" w:sz="0" w:space="0" w:color="auto"/>
                                                            <w:right w:val="none" w:sz="0" w:space="0" w:color="auto"/>
                                                          </w:divBdr>
                                                          <w:divsChild>
                                                            <w:div w:id="20438943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27048689">
                                                      <w:marLeft w:val="0"/>
                                                      <w:marRight w:val="0"/>
                                                      <w:marTop w:val="240"/>
                                                      <w:marBottom w:val="0"/>
                                                      <w:divBdr>
                                                        <w:top w:val="none" w:sz="0" w:space="0" w:color="auto"/>
                                                        <w:left w:val="none" w:sz="0" w:space="0" w:color="auto"/>
                                                        <w:bottom w:val="none" w:sz="0" w:space="0" w:color="auto"/>
                                                        <w:right w:val="none" w:sz="0" w:space="0" w:color="auto"/>
                                                      </w:divBdr>
                                                    </w:div>
                                                    <w:div w:id="1342973303">
                                                      <w:marLeft w:val="0"/>
                                                      <w:marRight w:val="240"/>
                                                      <w:marTop w:val="0"/>
                                                      <w:marBottom w:val="0"/>
                                                      <w:divBdr>
                                                        <w:top w:val="none" w:sz="0" w:space="0" w:color="auto"/>
                                                        <w:left w:val="none" w:sz="0" w:space="0" w:color="auto"/>
                                                        <w:bottom w:val="none" w:sz="0" w:space="0" w:color="auto"/>
                                                        <w:right w:val="none" w:sz="0" w:space="0" w:color="auto"/>
                                                      </w:divBdr>
                                                    </w:div>
                                                    <w:div w:id="1468468131">
                                                      <w:marLeft w:val="0"/>
                                                      <w:marRight w:val="240"/>
                                                      <w:marTop w:val="0"/>
                                                      <w:marBottom w:val="0"/>
                                                      <w:divBdr>
                                                        <w:top w:val="none" w:sz="0" w:space="0" w:color="auto"/>
                                                        <w:left w:val="none" w:sz="0" w:space="0" w:color="auto"/>
                                                        <w:bottom w:val="none" w:sz="0" w:space="0" w:color="auto"/>
                                                        <w:right w:val="none" w:sz="0" w:space="0" w:color="auto"/>
                                                      </w:divBdr>
                                                    </w:div>
                                                    <w:div w:id="1934046656">
                                                      <w:marLeft w:val="0"/>
                                                      <w:marRight w:val="240"/>
                                                      <w:marTop w:val="0"/>
                                                      <w:marBottom w:val="0"/>
                                                      <w:divBdr>
                                                        <w:top w:val="none" w:sz="0" w:space="0" w:color="auto"/>
                                                        <w:left w:val="none" w:sz="0" w:space="0" w:color="auto"/>
                                                        <w:bottom w:val="none" w:sz="0" w:space="0" w:color="auto"/>
                                                        <w:right w:val="none" w:sz="0" w:space="0" w:color="auto"/>
                                                      </w:divBdr>
                                                    </w:div>
                                                  </w:divsChild>
                                                </w:div>
                                                <w:div w:id="185214392">
                                                  <w:marLeft w:val="0"/>
                                                  <w:marRight w:val="0"/>
                                                  <w:marTop w:val="0"/>
                                                  <w:marBottom w:val="0"/>
                                                  <w:divBdr>
                                                    <w:top w:val="none" w:sz="0" w:space="0" w:color="auto"/>
                                                    <w:left w:val="none" w:sz="0" w:space="0" w:color="auto"/>
                                                    <w:bottom w:val="none" w:sz="0" w:space="0" w:color="auto"/>
                                                    <w:right w:val="none" w:sz="0" w:space="0" w:color="auto"/>
                                                  </w:divBdr>
                                                  <w:divsChild>
                                                    <w:div w:id="179974784">
                                                      <w:marLeft w:val="0"/>
                                                      <w:marRight w:val="0"/>
                                                      <w:marTop w:val="0"/>
                                                      <w:marBottom w:val="0"/>
                                                      <w:divBdr>
                                                        <w:top w:val="none" w:sz="0" w:space="0" w:color="auto"/>
                                                        <w:left w:val="none" w:sz="0" w:space="0" w:color="auto"/>
                                                        <w:bottom w:val="none" w:sz="0" w:space="0" w:color="auto"/>
                                                        <w:right w:val="none" w:sz="0" w:space="0" w:color="auto"/>
                                                      </w:divBdr>
                                                      <w:divsChild>
                                                        <w:div w:id="443234548">
                                                          <w:marLeft w:val="0"/>
                                                          <w:marRight w:val="0"/>
                                                          <w:marTop w:val="0"/>
                                                          <w:marBottom w:val="0"/>
                                                          <w:divBdr>
                                                            <w:top w:val="none" w:sz="0" w:space="0" w:color="auto"/>
                                                            <w:left w:val="none" w:sz="0" w:space="0" w:color="auto"/>
                                                            <w:bottom w:val="none" w:sz="0" w:space="0" w:color="auto"/>
                                                            <w:right w:val="none" w:sz="0" w:space="0" w:color="auto"/>
                                                          </w:divBdr>
                                                        </w:div>
                                                      </w:divsChild>
                                                    </w:div>
                                                    <w:div w:id="974607601">
                                                      <w:marLeft w:val="0"/>
                                                      <w:marRight w:val="0"/>
                                                      <w:marTop w:val="0"/>
                                                      <w:marBottom w:val="0"/>
                                                      <w:divBdr>
                                                        <w:top w:val="none" w:sz="0" w:space="0" w:color="auto"/>
                                                        <w:left w:val="none" w:sz="0" w:space="0" w:color="auto"/>
                                                        <w:bottom w:val="none" w:sz="0" w:space="0" w:color="auto"/>
                                                        <w:right w:val="none" w:sz="0" w:space="0" w:color="auto"/>
                                                      </w:divBdr>
                                                      <w:divsChild>
                                                        <w:div w:id="1410613070">
                                                          <w:marLeft w:val="0"/>
                                                          <w:marRight w:val="0"/>
                                                          <w:marTop w:val="0"/>
                                                          <w:marBottom w:val="75"/>
                                                          <w:divBdr>
                                                            <w:top w:val="none" w:sz="0" w:space="0" w:color="auto"/>
                                                            <w:left w:val="none" w:sz="0" w:space="0" w:color="auto"/>
                                                            <w:bottom w:val="none" w:sz="0" w:space="0" w:color="auto"/>
                                                            <w:right w:val="none" w:sz="0" w:space="0" w:color="auto"/>
                                                          </w:divBdr>
                                                          <w:divsChild>
                                                            <w:div w:id="17686208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7166106">
                                                      <w:marLeft w:val="0"/>
                                                      <w:marRight w:val="0"/>
                                                      <w:marTop w:val="240"/>
                                                      <w:marBottom w:val="0"/>
                                                      <w:divBdr>
                                                        <w:top w:val="none" w:sz="0" w:space="0" w:color="auto"/>
                                                        <w:left w:val="none" w:sz="0" w:space="0" w:color="auto"/>
                                                        <w:bottom w:val="none" w:sz="0" w:space="0" w:color="auto"/>
                                                        <w:right w:val="none" w:sz="0" w:space="0" w:color="auto"/>
                                                      </w:divBdr>
                                                    </w:div>
                                                    <w:div w:id="362362918">
                                                      <w:marLeft w:val="0"/>
                                                      <w:marRight w:val="240"/>
                                                      <w:marTop w:val="0"/>
                                                      <w:marBottom w:val="0"/>
                                                      <w:divBdr>
                                                        <w:top w:val="none" w:sz="0" w:space="0" w:color="auto"/>
                                                        <w:left w:val="none" w:sz="0" w:space="0" w:color="auto"/>
                                                        <w:bottom w:val="none" w:sz="0" w:space="0" w:color="auto"/>
                                                        <w:right w:val="none" w:sz="0" w:space="0" w:color="auto"/>
                                                      </w:divBdr>
                                                    </w:div>
                                                    <w:div w:id="734089591">
                                                      <w:marLeft w:val="0"/>
                                                      <w:marRight w:val="240"/>
                                                      <w:marTop w:val="0"/>
                                                      <w:marBottom w:val="0"/>
                                                      <w:divBdr>
                                                        <w:top w:val="none" w:sz="0" w:space="0" w:color="auto"/>
                                                        <w:left w:val="none" w:sz="0" w:space="0" w:color="auto"/>
                                                        <w:bottom w:val="none" w:sz="0" w:space="0" w:color="auto"/>
                                                        <w:right w:val="none" w:sz="0" w:space="0" w:color="auto"/>
                                                      </w:divBdr>
                                                    </w:div>
                                                    <w:div w:id="1762490323">
                                                      <w:marLeft w:val="0"/>
                                                      <w:marRight w:val="240"/>
                                                      <w:marTop w:val="0"/>
                                                      <w:marBottom w:val="0"/>
                                                      <w:divBdr>
                                                        <w:top w:val="none" w:sz="0" w:space="0" w:color="auto"/>
                                                        <w:left w:val="none" w:sz="0" w:space="0" w:color="auto"/>
                                                        <w:bottom w:val="none" w:sz="0" w:space="0" w:color="auto"/>
                                                        <w:right w:val="none" w:sz="0" w:space="0" w:color="auto"/>
                                                      </w:divBdr>
                                                    </w:div>
                                                  </w:divsChild>
                                                </w:div>
                                                <w:div w:id="194002500">
                                                  <w:marLeft w:val="0"/>
                                                  <w:marRight w:val="0"/>
                                                  <w:marTop w:val="0"/>
                                                  <w:marBottom w:val="0"/>
                                                  <w:divBdr>
                                                    <w:top w:val="none" w:sz="0" w:space="0" w:color="auto"/>
                                                    <w:left w:val="none" w:sz="0" w:space="0" w:color="auto"/>
                                                    <w:bottom w:val="none" w:sz="0" w:space="0" w:color="auto"/>
                                                    <w:right w:val="none" w:sz="0" w:space="0" w:color="auto"/>
                                                  </w:divBdr>
                                                  <w:divsChild>
                                                    <w:div w:id="1063529728">
                                                      <w:marLeft w:val="0"/>
                                                      <w:marRight w:val="0"/>
                                                      <w:marTop w:val="0"/>
                                                      <w:marBottom w:val="0"/>
                                                      <w:divBdr>
                                                        <w:top w:val="none" w:sz="0" w:space="0" w:color="auto"/>
                                                        <w:left w:val="none" w:sz="0" w:space="0" w:color="auto"/>
                                                        <w:bottom w:val="none" w:sz="0" w:space="0" w:color="auto"/>
                                                        <w:right w:val="none" w:sz="0" w:space="0" w:color="auto"/>
                                                      </w:divBdr>
                                                      <w:divsChild>
                                                        <w:div w:id="570115539">
                                                          <w:marLeft w:val="0"/>
                                                          <w:marRight w:val="0"/>
                                                          <w:marTop w:val="0"/>
                                                          <w:marBottom w:val="0"/>
                                                          <w:divBdr>
                                                            <w:top w:val="none" w:sz="0" w:space="0" w:color="auto"/>
                                                            <w:left w:val="none" w:sz="0" w:space="0" w:color="auto"/>
                                                            <w:bottom w:val="none" w:sz="0" w:space="0" w:color="auto"/>
                                                            <w:right w:val="none" w:sz="0" w:space="0" w:color="auto"/>
                                                          </w:divBdr>
                                                        </w:div>
                                                      </w:divsChild>
                                                    </w:div>
                                                    <w:div w:id="842205965">
                                                      <w:marLeft w:val="0"/>
                                                      <w:marRight w:val="0"/>
                                                      <w:marTop w:val="0"/>
                                                      <w:marBottom w:val="0"/>
                                                      <w:divBdr>
                                                        <w:top w:val="none" w:sz="0" w:space="0" w:color="auto"/>
                                                        <w:left w:val="none" w:sz="0" w:space="0" w:color="auto"/>
                                                        <w:bottom w:val="none" w:sz="0" w:space="0" w:color="auto"/>
                                                        <w:right w:val="none" w:sz="0" w:space="0" w:color="auto"/>
                                                      </w:divBdr>
                                                      <w:divsChild>
                                                        <w:div w:id="2170420">
                                                          <w:marLeft w:val="0"/>
                                                          <w:marRight w:val="0"/>
                                                          <w:marTop w:val="0"/>
                                                          <w:marBottom w:val="75"/>
                                                          <w:divBdr>
                                                            <w:top w:val="none" w:sz="0" w:space="0" w:color="auto"/>
                                                            <w:left w:val="none" w:sz="0" w:space="0" w:color="auto"/>
                                                            <w:bottom w:val="none" w:sz="0" w:space="0" w:color="auto"/>
                                                            <w:right w:val="none" w:sz="0" w:space="0" w:color="auto"/>
                                                          </w:divBdr>
                                                          <w:divsChild>
                                                            <w:div w:id="19101183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5550972">
                                                      <w:marLeft w:val="0"/>
                                                      <w:marRight w:val="0"/>
                                                      <w:marTop w:val="240"/>
                                                      <w:marBottom w:val="0"/>
                                                      <w:divBdr>
                                                        <w:top w:val="none" w:sz="0" w:space="0" w:color="auto"/>
                                                        <w:left w:val="none" w:sz="0" w:space="0" w:color="auto"/>
                                                        <w:bottom w:val="none" w:sz="0" w:space="0" w:color="auto"/>
                                                        <w:right w:val="none" w:sz="0" w:space="0" w:color="auto"/>
                                                      </w:divBdr>
                                                    </w:div>
                                                    <w:div w:id="1371758814">
                                                      <w:marLeft w:val="0"/>
                                                      <w:marRight w:val="240"/>
                                                      <w:marTop w:val="0"/>
                                                      <w:marBottom w:val="0"/>
                                                      <w:divBdr>
                                                        <w:top w:val="none" w:sz="0" w:space="0" w:color="auto"/>
                                                        <w:left w:val="none" w:sz="0" w:space="0" w:color="auto"/>
                                                        <w:bottom w:val="none" w:sz="0" w:space="0" w:color="auto"/>
                                                        <w:right w:val="none" w:sz="0" w:space="0" w:color="auto"/>
                                                      </w:divBdr>
                                                    </w:div>
                                                    <w:div w:id="1436369301">
                                                      <w:marLeft w:val="0"/>
                                                      <w:marRight w:val="240"/>
                                                      <w:marTop w:val="0"/>
                                                      <w:marBottom w:val="0"/>
                                                      <w:divBdr>
                                                        <w:top w:val="none" w:sz="0" w:space="0" w:color="auto"/>
                                                        <w:left w:val="none" w:sz="0" w:space="0" w:color="auto"/>
                                                        <w:bottom w:val="none" w:sz="0" w:space="0" w:color="auto"/>
                                                        <w:right w:val="none" w:sz="0" w:space="0" w:color="auto"/>
                                                      </w:divBdr>
                                                    </w:div>
                                                    <w:div w:id="20894261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932967">
      <w:bodyDiv w:val="1"/>
      <w:marLeft w:val="0"/>
      <w:marRight w:val="0"/>
      <w:marTop w:val="0"/>
      <w:marBottom w:val="0"/>
      <w:divBdr>
        <w:top w:val="none" w:sz="0" w:space="0" w:color="auto"/>
        <w:left w:val="none" w:sz="0" w:space="0" w:color="auto"/>
        <w:bottom w:val="none" w:sz="0" w:space="0" w:color="auto"/>
        <w:right w:val="none" w:sz="0" w:space="0" w:color="auto"/>
      </w:divBdr>
    </w:div>
    <w:div w:id="1832596144">
      <w:bodyDiv w:val="1"/>
      <w:marLeft w:val="0"/>
      <w:marRight w:val="0"/>
      <w:marTop w:val="0"/>
      <w:marBottom w:val="0"/>
      <w:divBdr>
        <w:top w:val="none" w:sz="0" w:space="0" w:color="auto"/>
        <w:left w:val="none" w:sz="0" w:space="0" w:color="auto"/>
        <w:bottom w:val="none" w:sz="0" w:space="0" w:color="auto"/>
        <w:right w:val="none" w:sz="0" w:space="0" w:color="auto"/>
      </w:divBdr>
    </w:div>
    <w:div w:id="1856143131">
      <w:bodyDiv w:val="1"/>
      <w:marLeft w:val="0"/>
      <w:marRight w:val="0"/>
      <w:marTop w:val="0"/>
      <w:marBottom w:val="0"/>
      <w:divBdr>
        <w:top w:val="none" w:sz="0" w:space="0" w:color="auto"/>
        <w:left w:val="none" w:sz="0" w:space="0" w:color="auto"/>
        <w:bottom w:val="none" w:sz="0" w:space="0" w:color="auto"/>
        <w:right w:val="none" w:sz="0" w:space="0" w:color="auto"/>
      </w:divBdr>
      <w:divsChild>
        <w:div w:id="805659007">
          <w:marLeft w:val="216"/>
          <w:marRight w:val="0"/>
          <w:marTop w:val="80"/>
          <w:marBottom w:val="0"/>
          <w:divBdr>
            <w:top w:val="none" w:sz="0" w:space="0" w:color="auto"/>
            <w:left w:val="none" w:sz="0" w:space="0" w:color="auto"/>
            <w:bottom w:val="none" w:sz="0" w:space="0" w:color="auto"/>
            <w:right w:val="none" w:sz="0" w:space="0" w:color="auto"/>
          </w:divBdr>
        </w:div>
      </w:divsChild>
    </w:div>
    <w:div w:id="186308968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4608482">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9083038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44518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6553854">
      <w:bodyDiv w:val="1"/>
      <w:marLeft w:val="0"/>
      <w:marRight w:val="0"/>
      <w:marTop w:val="0"/>
      <w:marBottom w:val="0"/>
      <w:divBdr>
        <w:top w:val="none" w:sz="0" w:space="0" w:color="auto"/>
        <w:left w:val="none" w:sz="0" w:space="0" w:color="auto"/>
        <w:bottom w:val="none" w:sz="0" w:space="0" w:color="auto"/>
        <w:right w:val="none" w:sz="0" w:space="0" w:color="auto"/>
      </w:divBdr>
    </w:div>
    <w:div w:id="1945459151">
      <w:bodyDiv w:val="1"/>
      <w:marLeft w:val="0"/>
      <w:marRight w:val="0"/>
      <w:marTop w:val="0"/>
      <w:marBottom w:val="0"/>
      <w:divBdr>
        <w:top w:val="none" w:sz="0" w:space="0" w:color="auto"/>
        <w:left w:val="none" w:sz="0" w:space="0" w:color="auto"/>
        <w:bottom w:val="none" w:sz="0" w:space="0" w:color="auto"/>
        <w:right w:val="none" w:sz="0" w:space="0" w:color="auto"/>
      </w:divBdr>
    </w:div>
    <w:div w:id="1948268370">
      <w:bodyDiv w:val="1"/>
      <w:marLeft w:val="0"/>
      <w:marRight w:val="0"/>
      <w:marTop w:val="0"/>
      <w:marBottom w:val="0"/>
      <w:divBdr>
        <w:top w:val="none" w:sz="0" w:space="0" w:color="auto"/>
        <w:left w:val="none" w:sz="0" w:space="0" w:color="auto"/>
        <w:bottom w:val="none" w:sz="0" w:space="0" w:color="auto"/>
        <w:right w:val="none" w:sz="0" w:space="0" w:color="auto"/>
      </w:divBdr>
    </w:div>
    <w:div w:id="195710502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1166">
      <w:bodyDiv w:val="1"/>
      <w:marLeft w:val="0"/>
      <w:marRight w:val="0"/>
      <w:marTop w:val="0"/>
      <w:marBottom w:val="0"/>
      <w:divBdr>
        <w:top w:val="none" w:sz="0" w:space="0" w:color="auto"/>
        <w:left w:val="none" w:sz="0" w:space="0" w:color="auto"/>
        <w:bottom w:val="none" w:sz="0" w:space="0" w:color="auto"/>
        <w:right w:val="none" w:sz="0" w:space="0" w:color="auto"/>
      </w:divBdr>
      <w:divsChild>
        <w:div w:id="1387148939">
          <w:marLeft w:val="0"/>
          <w:marRight w:val="0"/>
          <w:marTop w:val="0"/>
          <w:marBottom w:val="0"/>
          <w:divBdr>
            <w:top w:val="none" w:sz="0" w:space="0" w:color="auto"/>
            <w:left w:val="none" w:sz="0" w:space="0" w:color="auto"/>
            <w:bottom w:val="none" w:sz="0" w:space="0" w:color="auto"/>
            <w:right w:val="none" w:sz="0" w:space="0" w:color="auto"/>
          </w:divBdr>
        </w:div>
      </w:divsChild>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5836787">
      <w:bodyDiv w:val="1"/>
      <w:marLeft w:val="0"/>
      <w:marRight w:val="0"/>
      <w:marTop w:val="0"/>
      <w:marBottom w:val="0"/>
      <w:divBdr>
        <w:top w:val="none" w:sz="0" w:space="0" w:color="auto"/>
        <w:left w:val="none" w:sz="0" w:space="0" w:color="auto"/>
        <w:bottom w:val="none" w:sz="0" w:space="0" w:color="auto"/>
        <w:right w:val="none" w:sz="0" w:space="0" w:color="auto"/>
      </w:divBdr>
    </w:div>
    <w:div w:id="1996646667">
      <w:bodyDiv w:val="1"/>
      <w:marLeft w:val="0"/>
      <w:marRight w:val="0"/>
      <w:marTop w:val="0"/>
      <w:marBottom w:val="0"/>
      <w:divBdr>
        <w:top w:val="none" w:sz="0" w:space="0" w:color="auto"/>
        <w:left w:val="none" w:sz="0" w:space="0" w:color="auto"/>
        <w:bottom w:val="none" w:sz="0" w:space="0" w:color="auto"/>
        <w:right w:val="none" w:sz="0" w:space="0" w:color="auto"/>
      </w:divBdr>
      <w:divsChild>
        <w:div w:id="876356851">
          <w:marLeft w:val="0"/>
          <w:marRight w:val="0"/>
          <w:marTop w:val="0"/>
          <w:marBottom w:val="0"/>
          <w:divBdr>
            <w:top w:val="none" w:sz="0" w:space="0" w:color="auto"/>
            <w:left w:val="none" w:sz="0" w:space="0" w:color="auto"/>
            <w:bottom w:val="none" w:sz="0" w:space="0" w:color="auto"/>
            <w:right w:val="none" w:sz="0" w:space="0" w:color="auto"/>
          </w:divBdr>
          <w:divsChild>
            <w:div w:id="1071582373">
              <w:marLeft w:val="439"/>
              <w:marRight w:val="0"/>
              <w:marTop w:val="0"/>
              <w:marBottom w:val="0"/>
              <w:divBdr>
                <w:top w:val="none" w:sz="0" w:space="0" w:color="auto"/>
                <w:left w:val="none" w:sz="0" w:space="0" w:color="auto"/>
                <w:bottom w:val="none" w:sz="0" w:space="0" w:color="auto"/>
                <w:right w:val="none" w:sz="0" w:space="0" w:color="auto"/>
              </w:divBdr>
              <w:divsChild>
                <w:div w:id="1959330137">
                  <w:marLeft w:val="0"/>
                  <w:marRight w:val="0"/>
                  <w:marTop w:val="0"/>
                  <w:marBottom w:val="0"/>
                  <w:divBdr>
                    <w:top w:val="none" w:sz="0" w:space="0" w:color="auto"/>
                    <w:left w:val="none" w:sz="0" w:space="0" w:color="auto"/>
                    <w:bottom w:val="none" w:sz="0" w:space="0" w:color="auto"/>
                    <w:right w:val="none" w:sz="0" w:space="0" w:color="auto"/>
                  </w:divBdr>
                  <w:divsChild>
                    <w:div w:id="4873307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4149">
          <w:marLeft w:val="0"/>
          <w:marRight w:val="0"/>
          <w:marTop w:val="0"/>
          <w:marBottom w:val="0"/>
          <w:divBdr>
            <w:top w:val="none" w:sz="0" w:space="0" w:color="auto"/>
            <w:left w:val="none" w:sz="0" w:space="0" w:color="auto"/>
            <w:bottom w:val="none" w:sz="0" w:space="0" w:color="auto"/>
            <w:right w:val="none" w:sz="0" w:space="0" w:color="auto"/>
          </w:divBdr>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1037079">
      <w:bodyDiv w:val="1"/>
      <w:marLeft w:val="0"/>
      <w:marRight w:val="0"/>
      <w:marTop w:val="0"/>
      <w:marBottom w:val="0"/>
      <w:divBdr>
        <w:top w:val="none" w:sz="0" w:space="0" w:color="auto"/>
        <w:left w:val="none" w:sz="0" w:space="0" w:color="auto"/>
        <w:bottom w:val="none" w:sz="0" w:space="0" w:color="auto"/>
        <w:right w:val="none" w:sz="0" w:space="0" w:color="auto"/>
      </w:divBdr>
    </w:div>
    <w:div w:id="2005425073">
      <w:bodyDiv w:val="1"/>
      <w:marLeft w:val="0"/>
      <w:marRight w:val="0"/>
      <w:marTop w:val="0"/>
      <w:marBottom w:val="0"/>
      <w:divBdr>
        <w:top w:val="none" w:sz="0" w:space="0" w:color="auto"/>
        <w:left w:val="none" w:sz="0" w:space="0" w:color="auto"/>
        <w:bottom w:val="none" w:sz="0" w:space="0" w:color="auto"/>
        <w:right w:val="none" w:sz="0" w:space="0" w:color="auto"/>
      </w:divBdr>
    </w:div>
    <w:div w:id="2017685877">
      <w:bodyDiv w:val="1"/>
      <w:marLeft w:val="0"/>
      <w:marRight w:val="0"/>
      <w:marTop w:val="0"/>
      <w:marBottom w:val="0"/>
      <w:divBdr>
        <w:top w:val="none" w:sz="0" w:space="0" w:color="auto"/>
        <w:left w:val="none" w:sz="0" w:space="0" w:color="auto"/>
        <w:bottom w:val="none" w:sz="0" w:space="0" w:color="auto"/>
        <w:right w:val="none" w:sz="0" w:space="0" w:color="auto"/>
      </w:divBdr>
    </w:div>
    <w:div w:id="2025014060">
      <w:bodyDiv w:val="1"/>
      <w:marLeft w:val="0"/>
      <w:marRight w:val="0"/>
      <w:marTop w:val="0"/>
      <w:marBottom w:val="0"/>
      <w:divBdr>
        <w:top w:val="none" w:sz="0" w:space="0" w:color="auto"/>
        <w:left w:val="none" w:sz="0" w:space="0" w:color="auto"/>
        <w:bottom w:val="none" w:sz="0" w:space="0" w:color="auto"/>
        <w:right w:val="none" w:sz="0" w:space="0" w:color="auto"/>
      </w:divBdr>
    </w:div>
    <w:div w:id="2026130859">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8797833">
      <w:bodyDiv w:val="1"/>
      <w:marLeft w:val="0"/>
      <w:marRight w:val="0"/>
      <w:marTop w:val="0"/>
      <w:marBottom w:val="0"/>
      <w:divBdr>
        <w:top w:val="none" w:sz="0" w:space="0" w:color="auto"/>
        <w:left w:val="none" w:sz="0" w:space="0" w:color="auto"/>
        <w:bottom w:val="none" w:sz="0" w:space="0" w:color="auto"/>
        <w:right w:val="none" w:sz="0" w:space="0" w:color="auto"/>
      </w:divBdr>
      <w:divsChild>
        <w:div w:id="139537284">
          <w:marLeft w:val="720"/>
          <w:marRight w:val="0"/>
          <w:marTop w:val="101"/>
          <w:marBottom w:val="0"/>
          <w:divBdr>
            <w:top w:val="none" w:sz="0" w:space="0" w:color="auto"/>
            <w:left w:val="none" w:sz="0" w:space="0" w:color="auto"/>
            <w:bottom w:val="none" w:sz="0" w:space="0" w:color="auto"/>
            <w:right w:val="none" w:sz="0" w:space="0" w:color="auto"/>
          </w:divBdr>
        </w:div>
      </w:divsChild>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258372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781253">
      <w:bodyDiv w:val="1"/>
      <w:marLeft w:val="0"/>
      <w:marRight w:val="0"/>
      <w:marTop w:val="0"/>
      <w:marBottom w:val="0"/>
      <w:divBdr>
        <w:top w:val="none" w:sz="0" w:space="0" w:color="auto"/>
        <w:left w:val="none" w:sz="0" w:space="0" w:color="auto"/>
        <w:bottom w:val="none" w:sz="0" w:space="0" w:color="auto"/>
        <w:right w:val="none" w:sz="0" w:space="0" w:color="auto"/>
      </w:divBdr>
    </w:div>
    <w:div w:id="2098939524">
      <w:bodyDiv w:val="1"/>
      <w:marLeft w:val="0"/>
      <w:marRight w:val="0"/>
      <w:marTop w:val="0"/>
      <w:marBottom w:val="0"/>
      <w:divBdr>
        <w:top w:val="none" w:sz="0" w:space="0" w:color="auto"/>
        <w:left w:val="none" w:sz="0" w:space="0" w:color="auto"/>
        <w:bottom w:val="none" w:sz="0" w:space="0" w:color="auto"/>
        <w:right w:val="none" w:sz="0" w:space="0" w:color="auto"/>
      </w:divBdr>
      <w:divsChild>
        <w:div w:id="1890452964">
          <w:marLeft w:val="0"/>
          <w:marRight w:val="0"/>
          <w:marTop w:val="0"/>
          <w:marBottom w:val="0"/>
          <w:divBdr>
            <w:top w:val="none" w:sz="0" w:space="0" w:color="auto"/>
            <w:left w:val="none" w:sz="0" w:space="0" w:color="auto"/>
            <w:bottom w:val="none" w:sz="0" w:space="0" w:color="auto"/>
            <w:right w:val="none" w:sz="0" w:space="0" w:color="auto"/>
          </w:divBdr>
          <w:divsChild>
            <w:div w:id="1982997162">
              <w:marLeft w:val="0"/>
              <w:marRight w:val="0"/>
              <w:marTop w:val="0"/>
              <w:marBottom w:val="0"/>
              <w:divBdr>
                <w:top w:val="none" w:sz="0" w:space="0" w:color="auto"/>
                <w:left w:val="none" w:sz="0" w:space="0" w:color="auto"/>
                <w:bottom w:val="none" w:sz="0" w:space="0" w:color="auto"/>
                <w:right w:val="none" w:sz="0" w:space="0" w:color="auto"/>
              </w:divBdr>
              <w:divsChild>
                <w:div w:id="1247299672">
                  <w:marLeft w:val="0"/>
                  <w:marRight w:val="0"/>
                  <w:marTop w:val="0"/>
                  <w:marBottom w:val="0"/>
                  <w:divBdr>
                    <w:top w:val="none" w:sz="0" w:space="0" w:color="auto"/>
                    <w:left w:val="none" w:sz="0" w:space="0" w:color="auto"/>
                    <w:bottom w:val="none" w:sz="0" w:space="0" w:color="auto"/>
                    <w:right w:val="none" w:sz="0" w:space="0" w:color="auto"/>
                  </w:divBdr>
                  <w:divsChild>
                    <w:div w:id="179784080">
                      <w:marLeft w:val="0"/>
                      <w:marRight w:val="0"/>
                      <w:marTop w:val="0"/>
                      <w:marBottom w:val="0"/>
                      <w:divBdr>
                        <w:top w:val="none" w:sz="0" w:space="0" w:color="auto"/>
                        <w:left w:val="none" w:sz="0" w:space="0" w:color="auto"/>
                        <w:bottom w:val="none" w:sz="0" w:space="0" w:color="auto"/>
                        <w:right w:val="none" w:sz="0" w:space="0" w:color="auto"/>
                      </w:divBdr>
                      <w:divsChild>
                        <w:div w:id="862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357143">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racgp.org.au/yourracgp/faculties/aboriginal/guides/national-guid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racgp.org.au/yourracgp/faculties/aboriginal/guides/national-guide/"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yperlink" Target="http://www.racgp.org.au/yourracgp/faculties/aboriginal/guides/national-guide/"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26" Type="http://schemas.openxmlformats.org/officeDocument/2006/relationships/hyperlink" Target="https://www.ncbi.nlm.nih.gov/pubmed/?term=Reed%20RL%5BAuthor%5D&amp;cauthor=true&amp;cauthor_uid=29385967" TargetMode="External"/><Relationship Id="rId21" Type="http://schemas.openxmlformats.org/officeDocument/2006/relationships/hyperlink" Target="http://www.health.gov.au/internet/main/publishing.nsf/content/chronic-disease" TargetMode="External"/><Relationship Id="rId42" Type="http://schemas.openxmlformats.org/officeDocument/2006/relationships/hyperlink" Target="https://www.ncbi.nlm.nih.gov/pubmed/?term=Howard%20S%5BAuthor%5D&amp;cauthor=true&amp;cauthor_uid=29385967" TargetMode="External"/><Relationship Id="rId47" Type="http://schemas.openxmlformats.org/officeDocument/2006/relationships/hyperlink" Target="https://www.ncbi.nlm.nih.gov/pubmed/29385967" TargetMode="External"/><Relationship Id="rId63" Type="http://schemas.openxmlformats.org/officeDocument/2006/relationships/hyperlink" Target="https://www.ncbi.nlm.nih.gov/pubmed/?term=Fazel%20S%5BAuthor%5D&amp;cauthor=true&amp;cauthor_uid=21093904" TargetMode="External"/><Relationship Id="rId68" Type="http://schemas.openxmlformats.org/officeDocument/2006/relationships/hyperlink" Target="https://www.ncbi.nlm.nih.gov/pubmed/?term=Magin%20P%5BAuthor%5D&amp;cauthor=true&amp;cauthor_uid=27157887" TargetMode="External"/><Relationship Id="rId84" Type="http://schemas.openxmlformats.org/officeDocument/2006/relationships/hyperlink" Target="https://www.ncbi.nlm.nih.gov/pubmed/?term=Hu%20W%5BAuthor%5D&amp;cauthor=true&amp;cauthor_uid=27157887" TargetMode="External"/><Relationship Id="rId89" Type="http://schemas.openxmlformats.org/officeDocument/2006/relationships/hyperlink" Target="https://www.ncbi.nlm.nih.gov/pubmed/?term=Hu%20W%5BAuthor%5D&amp;cauthor=true&amp;cauthor_uid=27695723" TargetMode="External"/><Relationship Id="rId7" Type="http://schemas.openxmlformats.org/officeDocument/2006/relationships/hyperlink" Target="https://urldefense.proofpoint.com/v2/url?u=http-3A__www.annfammed.org_content_12_6_573.full&amp;d=DwMGaQ&amp;c=yIH1_-b1hO27QV_BdDph9suDL0Jq0WcgndLmIuQXoms&amp;r=iwxXnHUFs01PJgRAZhf0j88SP1jLPgJr0vt0k325egs&amp;m=PlSwHTS3OHf5kamJMBIr3xSEbA45y9BRi5QPyF_RrAo&amp;s=EVYGRsx14-xMtUkRYfNLVvwI6n1hGgEQkrp51gFgNpI&amp;e=" TargetMode="External"/><Relationship Id="rId71" Type="http://schemas.openxmlformats.org/officeDocument/2006/relationships/hyperlink" Target="https://urldefense.proofpoint.com/v2/url?u=https-3A__www.ncbi.nlm.nih.gov_pubmed_27157887&amp;d=DwMGaQ&amp;c=yIH1_-b1hO27QV_BdDph9suDL0Jq0WcgndLmIuQXoms&amp;r=KbHNSq7aDuYFpb2tRRTgOTLl9Ier2v5NclYMs1zzhX0&amp;m=jhCwxOAQPYizMnsnSrU8NHk78-6XrAYbm07xf4AYZVw&amp;s=j3fQkHjY6ifYh30zFLrb342wMBBns-mW5_FCFRnOzx4&amp;e=" TargetMode="External"/><Relationship Id="rId92" Type="http://schemas.openxmlformats.org/officeDocument/2006/relationships/hyperlink" Target="https://www.ncbi.nlm.nih.gov/pubmed/?term=Magin%20P%5BAuthor%5D&amp;cauthor=true&amp;cauthor_uid=28728555" TargetMode="External"/><Relationship Id="rId2" Type="http://schemas.openxmlformats.org/officeDocument/2006/relationships/hyperlink" Target="http://www.health.gov.au/internet/main/publishing.nsf/Content/primary-phcag-report" TargetMode="External"/><Relationship Id="rId16" Type="http://schemas.openxmlformats.org/officeDocument/2006/relationships/hyperlink" Target="http://www.racgp.org.au/becomingagp/what-is-a-gp/what-is-general-practice/" TargetMode="External"/><Relationship Id="rId29" Type="http://schemas.openxmlformats.org/officeDocument/2006/relationships/hyperlink" Target="https://www.ncbi.nlm.nih.gov/pubmed/?term=Oliver-Baxter%20JM%5BAuthor%5D&amp;cauthor=true&amp;cauthor_uid=29385967" TargetMode="External"/><Relationship Id="rId107" Type="http://schemas.openxmlformats.org/officeDocument/2006/relationships/hyperlink" Target="https://www.ncbi.nlm.nih.gov/pubmed/?term=Buchanan%20M%5BAuthor%5D&amp;cauthor=true&amp;cauthor_uid=28928168" TargetMode="External"/><Relationship Id="rId11" Type="http://schemas.openxmlformats.org/officeDocument/2006/relationships/hyperlink" Target="http://www.health.gov.au/internet/main/publishing.nsf/Content/primary-phcag-report" TargetMode="External"/><Relationship Id="rId24" Type="http://schemas.openxmlformats.org/officeDocument/2006/relationships/hyperlink" Target="http://www.who.int/servicedeliverysafety/areas/people-centred-care/ipchs-what/en/" TargetMode="External"/><Relationship Id="rId32" Type="http://schemas.openxmlformats.org/officeDocument/2006/relationships/hyperlink" Target="https://www.ncbi.nlm.nih.gov/pubmed/?term=Osborne%20RH%5BAuthor%5D&amp;cauthor=true&amp;cauthor_uid=29385967" TargetMode="External"/><Relationship Id="rId37" Type="http://schemas.openxmlformats.org/officeDocument/2006/relationships/hyperlink" Target="http://www.health.gov.au/internet/main/publishing.nsf/content/chronic-disease" TargetMode="External"/><Relationship Id="rId40" Type="http://schemas.openxmlformats.org/officeDocument/2006/relationships/hyperlink" Target="https://www.ncbi.nlm.nih.gov/pubmed/?term=Reed%20RL%5BAuthor%5D&amp;cauthor=true&amp;cauthor_uid=29385967" TargetMode="External"/><Relationship Id="rId45" Type="http://schemas.openxmlformats.org/officeDocument/2006/relationships/hyperlink" Target="https://www.ncbi.nlm.nih.gov/pubmed/?term=Bond%20M%5BAuthor%5D&amp;cauthor=true&amp;cauthor_uid=29385967" TargetMode="External"/><Relationship Id="rId53" Type="http://schemas.openxmlformats.org/officeDocument/2006/relationships/hyperlink" Target="https://www.ncbi.nlm.nih.gov/pubmed/?term=Zimbudzi%20E%5BAuthor%5D&amp;cauthor=true&amp;cauthor_uid=29405503" TargetMode="External"/><Relationship Id="rId58" Type="http://schemas.openxmlformats.org/officeDocument/2006/relationships/hyperlink" Target="https://www.ncbi.nlm.nih.gov/pubmed/?term=Kerr%20PG%5BAuthor%5D&amp;cauthor=true&amp;cauthor_uid=29405503" TargetMode="External"/><Relationship Id="rId66" Type="http://schemas.openxmlformats.org/officeDocument/2006/relationships/hyperlink" Target="https://urldefense.proofpoint.com/v2/url?u=https-3A__www.ncbi.nlm.nih.gov_pubmed_21093904&amp;d=DwMGaQ&amp;c=yIH1_-b1hO27QV_BdDph9suDL0Jq0WcgndLmIuQXoms&amp;r=KbHNSq7aDuYFpb2tRRTgOTLl9Ier2v5NclYMs1zzhX0&amp;m=jhCwxOAQPYizMnsnSrU8NHk78-6XrAYbm07xf4AYZVw&amp;s=bHAAOkDLvE9ZEUPh5ns2zf64Tk_8M16jSUDDPjla1tc&amp;e=" TargetMode="External"/><Relationship Id="rId74" Type="http://schemas.openxmlformats.org/officeDocument/2006/relationships/hyperlink" Target="https://www.ncbi.nlm.nih.gov/pubmed/?term=Kinner%20SA%5BAuthor%5D&amp;cauthor=true&amp;cauthor_uid=23895482" TargetMode="External"/><Relationship Id="rId79" Type="http://schemas.openxmlformats.org/officeDocument/2006/relationships/hyperlink" Target="https://www.ncbi.nlm.nih.gov/pubmed/?term=Lujic%20S%5BAuthor%5D&amp;cauthor=true&amp;cauthor_uid=27467100" TargetMode="External"/><Relationship Id="rId87" Type="http://schemas.openxmlformats.org/officeDocument/2006/relationships/hyperlink" Target="https://www.ncbi.nlm.nih.gov/pubmed/?term=Davison%20J%5BAuthor%5D&amp;cauthor=true&amp;cauthor_uid=27695723" TargetMode="External"/><Relationship Id="rId102" Type="http://schemas.openxmlformats.org/officeDocument/2006/relationships/hyperlink" Target="https://www.ncbi.nlm.nih.gov/pubmed/?term=Janssen%20PA%5BAuthor%5D&amp;cauthor=true&amp;cauthor_uid=28928168" TargetMode="External"/><Relationship Id="rId5" Type="http://schemas.openxmlformats.org/officeDocument/2006/relationships/hyperlink" Target="https://urldefense.proofpoint.com/v2/url?u=https-3A__www.healthaffairs.org_doi_10.1377_hlthaff.27.3.759&amp;d=DwMGaQ&amp;c=yIH1_-b1hO27QV_BdDph9suDL0Jq0WcgndLmIuQXoms&amp;r=iwxXnHUFs01PJgRAZhf0j88SP1jLPgJr0vt0k325egs&amp;m=PlSwHTS3OHf5kamJMBIr3xSEbA45y9BRi5QPyF_RrAo&amp;s=sgjZ2Vy4fWuLf4XzAzOFvOj_hbE8dBJqwt28FCLaJvY&amp;e=" TargetMode="External"/><Relationship Id="rId61" Type="http://schemas.openxmlformats.org/officeDocument/2006/relationships/hyperlink" Target="https://www.doctorportal.com.au/has-healthcares-uber-moment-arrived/" TargetMode="External"/><Relationship Id="rId82" Type="http://schemas.openxmlformats.org/officeDocument/2006/relationships/hyperlink" Target="https://www.ncbi.nlm.nih.gov/pubmed/?term=Abbott%20P%5BAuthor%5D&amp;cauthor=true&amp;cauthor_uid=27157887" TargetMode="External"/><Relationship Id="rId90" Type="http://schemas.openxmlformats.org/officeDocument/2006/relationships/hyperlink" Target="https://urldefense.proofpoint.com/v2/url?u=https-3A__www.ncbi.nlm.nih.gov_pubmed_27695723&amp;d=DwMGaQ&amp;c=yIH1_-b1hO27QV_BdDph9suDL0Jq0WcgndLmIuQXoms&amp;r=KbHNSq7aDuYFpb2tRRTgOTLl9Ier2v5NclYMs1zzhX0&amp;m=jhCwxOAQPYizMnsnSrU8NHk78-6XrAYbm07xf4AYZVw&amp;s=Zv9ZGAiSaEyH7UWwFr3spCq1t2l2W8IgBLHPBByb8sg&amp;e=" TargetMode="External"/><Relationship Id="rId95" Type="http://schemas.openxmlformats.org/officeDocument/2006/relationships/hyperlink" Target="https://urldefense.proofpoint.com/v2/url?u=https-3A__www.ncbi.nlm.nih.gov_pubmed_28728555&amp;d=DwMGaQ&amp;c=yIH1_-b1hO27QV_BdDph9suDL0Jq0WcgndLmIuQXoms&amp;r=KbHNSq7aDuYFpb2tRRTgOTLl9Ier2v5NclYMs1zzhX0&amp;m=jhCwxOAQPYizMnsnSrU8NHk78-6XrAYbm07xf4AYZVw&amp;s=8UPAygKWqePjZu9gkn_byleru8k2Z9ePHtQl1gaXGZs&amp;e=" TargetMode="External"/><Relationship Id="rId19" Type="http://schemas.openxmlformats.org/officeDocument/2006/relationships/hyperlink" Target="https://www.ncbi.nlm.nih.gov/pubmed/27744708" TargetMode="External"/><Relationship Id="rId14" Type="http://schemas.openxmlformats.org/officeDocument/2006/relationships/hyperlink" Target="https://www.racgp.org.au/becomingagp/what-is-a-gp/what-is-general-practice/" TargetMode="External"/><Relationship Id="rId22" Type="http://schemas.openxmlformats.org/officeDocument/2006/relationships/hyperlink" Target="http://www.health.gov.au/internet/main/publishing.nsf/content/chronic-disease" TargetMode="External"/><Relationship Id="rId27" Type="http://schemas.openxmlformats.org/officeDocument/2006/relationships/hyperlink" Target="https://www.ncbi.nlm.nih.gov/pubmed/?term=Roeger%20L%5BAuthor%5D&amp;cauthor=true&amp;cauthor_uid=29385967" TargetMode="External"/><Relationship Id="rId30" Type="http://schemas.openxmlformats.org/officeDocument/2006/relationships/hyperlink" Target="https://www.ncbi.nlm.nih.gov/pubmed/?term=Battersby%20MW%5BAuthor%5D&amp;cauthor=true&amp;cauthor_uid=29385967" TargetMode="External"/><Relationship Id="rId35" Type="http://schemas.openxmlformats.org/officeDocument/2006/relationships/hyperlink" Target="http://www.health.gov.au/internet/main/publishing.nsf/Content/eval-rep-dcp" TargetMode="External"/><Relationship Id="rId43" Type="http://schemas.openxmlformats.org/officeDocument/2006/relationships/hyperlink" Target="https://www.ncbi.nlm.nih.gov/pubmed/?term=Oliver-Baxter%20JM%5BAuthor%5D&amp;cauthor=true&amp;cauthor_uid=29385967" TargetMode="External"/><Relationship Id="rId48" Type="http://schemas.openxmlformats.org/officeDocument/2006/relationships/hyperlink" Target="https://www.ncbi.nlm.nih.gov/pubmed/29385967" TargetMode="External"/><Relationship Id="rId56" Type="http://schemas.openxmlformats.org/officeDocument/2006/relationships/hyperlink" Target="https://www.ncbi.nlm.nih.gov/pubmed/?term=Fulcher%20G%5BAuthor%5D&amp;cauthor=true&amp;cauthor_uid=29405503" TargetMode="External"/><Relationship Id="rId64" Type="http://schemas.openxmlformats.org/officeDocument/2006/relationships/hyperlink" Target="https://www.ncbi.nlm.nih.gov/pubmed/?term=Baillargeon%20J%5BAuthor%5D&amp;cauthor=true&amp;cauthor_uid=21093904" TargetMode="External"/><Relationship Id="rId69" Type="http://schemas.openxmlformats.org/officeDocument/2006/relationships/hyperlink" Target="https://www.ncbi.nlm.nih.gov/pubmed/?term=Hu%20W%5BAuthor%5D&amp;cauthor=true&amp;cauthor_uid=27157887" TargetMode="External"/><Relationship Id="rId77" Type="http://schemas.openxmlformats.org/officeDocument/2006/relationships/hyperlink" Target="https://www.ncbi.nlm.nih.gov/pubmed/?term=Abbott%20P%5BAuthor%5D&amp;cauthor=true&amp;cauthor_uid=27467100" TargetMode="External"/><Relationship Id="rId100" Type="http://schemas.openxmlformats.org/officeDocument/2006/relationships/hyperlink" Target="https://www.ncbi.nlm.nih.gov/pubmed/?term=Kinner%20SA%5BAuthor%5D&amp;cauthor=true&amp;cauthor_uid=26068513" TargetMode="External"/><Relationship Id="rId105" Type="http://schemas.openxmlformats.org/officeDocument/2006/relationships/hyperlink" Target="https://www.ncbi.nlm.nih.gov/pubmed/?term=Albert%20AYK%5BAuthor%5D&amp;cauthor=true&amp;cauthor_uid=28928168" TargetMode="External"/><Relationship Id="rId8" Type="http://schemas.openxmlformats.org/officeDocument/2006/relationships/hyperlink" Target="https://urldefense.proofpoint.com/v2/url?u=http-3A__www.who.int_whr_2008_chapter3_en_&amp;d=DwMGaQ&amp;c=yIH1_-b1hO27QV_BdDph9suDL0Jq0WcgndLmIuQXoms&amp;r=iwxXnHUFs01PJgRAZhf0j88SP1jLPgJr0vt0k325egs&amp;m=PlSwHTS3OHf5kamJMBIr3xSEbA45y9BRi5QPyF_RrAo&amp;s=WN-rcnGm4xVgXhPFN_Ml5vY1OmlThDEt3t_dVQacP2Y&amp;e=" TargetMode="External"/><Relationship Id="rId51" Type="http://schemas.openxmlformats.org/officeDocument/2006/relationships/hyperlink" Target="https://www.racgp.org.au/afp/200809/26761" TargetMode="External"/><Relationship Id="rId72" Type="http://schemas.openxmlformats.org/officeDocument/2006/relationships/hyperlink" Target="https://doi.org/10.1093/ije/dyl225" TargetMode="External"/><Relationship Id="rId80" Type="http://schemas.openxmlformats.org/officeDocument/2006/relationships/hyperlink" Target="https://www.ncbi.nlm.nih.gov/pubmed/?term=Hu%20W%5BAuthor%5D&amp;cauthor=true&amp;cauthor_uid=27467100" TargetMode="External"/><Relationship Id="rId85" Type="http://schemas.openxmlformats.org/officeDocument/2006/relationships/hyperlink" Target="https://urldefense.proofpoint.com/v2/url?u=https-3A__www.ncbi.nlm.nih.gov_pubmed_27157887&amp;d=DwMGaQ&amp;c=yIH1_-b1hO27QV_BdDph9suDL0Jq0WcgndLmIuQXoms&amp;r=KbHNSq7aDuYFpb2tRRTgOTLl9Ier2v5NclYMs1zzhX0&amp;m=jhCwxOAQPYizMnsnSrU8NHk78-6XrAYbm07xf4AYZVw&amp;s=j3fQkHjY6ifYh30zFLrb342wMBBns-mW5_FCFRnOzx4&amp;e=" TargetMode="External"/><Relationship Id="rId93" Type="http://schemas.openxmlformats.org/officeDocument/2006/relationships/hyperlink" Target="https://www.ncbi.nlm.nih.gov/pubmed/?term=Davison%20J%5BAuthor%5D&amp;cauthor=true&amp;cauthor_uid=28728555" TargetMode="External"/><Relationship Id="rId98" Type="http://schemas.openxmlformats.org/officeDocument/2006/relationships/hyperlink" Target="https://www.ncbi.nlm.nih.gov/pubmed/?term=Bulsara%20M%5BAuthor%5D&amp;cauthor=true&amp;cauthor_uid=26068513" TargetMode="External"/><Relationship Id="rId3" Type="http://schemas.openxmlformats.org/officeDocument/2006/relationships/hyperlink" Target="https://www.healthaffairs.org/author/Berwick%2C+Donald+M" TargetMode="External"/><Relationship Id="rId12" Type="http://schemas.openxmlformats.org/officeDocument/2006/relationships/hyperlink" Target="https://www.ncbi.nlm.nih.gov/pmc/articles/PMC2690145/" TargetMode="External"/><Relationship Id="rId17" Type="http://schemas.openxmlformats.org/officeDocument/2006/relationships/hyperlink" Target="https://www.racgp.org.au/AJGP/2018/May/How-common-is-multiple-general-practice" TargetMode="External"/><Relationship Id="rId25" Type="http://schemas.openxmlformats.org/officeDocument/2006/relationships/hyperlink" Target="http://www.health.gov.au/internet/main/publishing.nsf/Content/76B2BDC12AE54540CA257F72001102B9/$File/Primary-Health-Care-Advisory-Group_Final-Report.pdf" TargetMode="External"/><Relationship Id="rId33" Type="http://schemas.openxmlformats.org/officeDocument/2006/relationships/hyperlink" Target="https://www.ncbi.nlm.nih.gov/pubmed/29385967" TargetMode="External"/><Relationship Id="rId38" Type="http://schemas.openxmlformats.org/officeDocument/2006/relationships/hyperlink" Target="http://www.bmj.com/content/345/bmj.e5205.long" TargetMode="External"/><Relationship Id="rId46" Type="http://schemas.openxmlformats.org/officeDocument/2006/relationships/hyperlink" Target="https://www.ncbi.nlm.nih.gov/pubmed/?term=Osborne%20RH%5BAuthor%5D&amp;cauthor=true&amp;cauthor_uid=29385967" TargetMode="External"/><Relationship Id="rId59" Type="http://schemas.openxmlformats.org/officeDocument/2006/relationships/hyperlink" Target="https://www.ncbi.nlm.nih.gov/pubmed/29405503" TargetMode="External"/><Relationship Id="rId67" Type="http://schemas.openxmlformats.org/officeDocument/2006/relationships/hyperlink" Target="https://www.ncbi.nlm.nih.gov/pubmed/?term=Abbott%20P%5BAuthor%5D&amp;cauthor=true&amp;cauthor_uid=27157887" TargetMode="External"/><Relationship Id="rId103" Type="http://schemas.openxmlformats.org/officeDocument/2006/relationships/hyperlink" Target="https://www.ncbi.nlm.nih.gov/pubmed/?term=Korchinski%20M%5BAuthor%5D&amp;cauthor=true&amp;cauthor_uid=28928168" TargetMode="External"/><Relationship Id="rId108" Type="http://schemas.openxmlformats.org/officeDocument/2006/relationships/hyperlink" Target="https://urldefense.proofpoint.com/v2/url?u=https-3A__www.ncbi.nlm.nih.gov_pubmed_28928168&amp;d=DwMGaQ&amp;c=yIH1_-b1hO27QV_BdDph9suDL0Jq0WcgndLmIuQXoms&amp;r=KbHNSq7aDuYFpb2tRRTgOTLl9Ier2v5NclYMs1zzhX0&amp;m=hlHibibvtd05b0DQWj-xq-z59fJh86iXqzMilnj7DcI&amp;s=9UQXJmYjLueui0AzIzZ7sAzTFPiPrRU-ufAYiCpd9Ew&amp;e=" TargetMode="External"/><Relationship Id="rId20" Type="http://schemas.openxmlformats.org/officeDocument/2006/relationships/hyperlink" Target="https://www.ncbi.nlm.nih.gov/pubmed/20030770" TargetMode="External"/><Relationship Id="rId41" Type="http://schemas.openxmlformats.org/officeDocument/2006/relationships/hyperlink" Target="https://www.ncbi.nlm.nih.gov/pubmed/?term=Roeger%20L%5BAuthor%5D&amp;cauthor=true&amp;cauthor_uid=29385967" TargetMode="External"/><Relationship Id="rId54" Type="http://schemas.openxmlformats.org/officeDocument/2006/relationships/hyperlink" Target="https://www.ncbi.nlm.nih.gov/pubmed/?term=Teede%20H%5BAuthor%5D&amp;cauthor=true&amp;cauthor_uid=29405503" TargetMode="External"/><Relationship Id="rId62" Type="http://schemas.openxmlformats.org/officeDocument/2006/relationships/hyperlink" Target="http://www.hqontario.ca/Portals/0/Documents/eds/rapid-reviews/periodic-health-exams-121130-en.pdf" TargetMode="External"/><Relationship Id="rId70" Type="http://schemas.openxmlformats.org/officeDocument/2006/relationships/hyperlink" Target="https://www.ncbi.nlm.nih.gov/pubmed/27157887" TargetMode="External"/><Relationship Id="rId75" Type="http://schemas.openxmlformats.org/officeDocument/2006/relationships/hyperlink" Target="https://www.ncbi.nlm.nih.gov/pubmed/?term=Forsyth%20S%5BAuthor%5D&amp;cauthor=true&amp;cauthor_uid=23895482" TargetMode="External"/><Relationship Id="rId83" Type="http://schemas.openxmlformats.org/officeDocument/2006/relationships/hyperlink" Target="https://www.ncbi.nlm.nih.gov/pubmed/?term=Magin%20P%5BAuthor%5D&amp;cauthor=true&amp;cauthor_uid=27157887" TargetMode="External"/><Relationship Id="rId88" Type="http://schemas.openxmlformats.org/officeDocument/2006/relationships/hyperlink" Target="https://www.ncbi.nlm.nih.gov/pubmed/?term=Magin%20PJ%5BAuthor%5D&amp;cauthor=true&amp;cauthor_uid=27695723" TargetMode="External"/><Relationship Id="rId91" Type="http://schemas.openxmlformats.org/officeDocument/2006/relationships/hyperlink" Target="https://www.ncbi.nlm.nih.gov/pubmed/?term=Abbott%20P%5BAuthor%5D&amp;cauthor=true&amp;cauthor_uid=28728555" TargetMode="External"/><Relationship Id="rId96" Type="http://schemas.openxmlformats.org/officeDocument/2006/relationships/hyperlink" Target="https://www.ncbi.nlm.nih.gov/pubmed/?term=Arnold-Reed%20D%5BAuthor%5D&amp;cauthor=true&amp;cauthor_uid=26068513" TargetMode="External"/><Relationship Id="rId1" Type="http://schemas.openxmlformats.org/officeDocument/2006/relationships/hyperlink" Target="https://www.ncbi.nlm.nih.gov/pmc/articles/PMC2690145/" TargetMode="External"/><Relationship Id="rId6" Type="http://schemas.openxmlformats.org/officeDocument/2006/relationships/hyperlink" Target="http://www.annfammed.org/search?author1=Thomas+Bodenheimer&amp;sortspec=date&amp;submit=Submit" TargetMode="External"/><Relationship Id="rId15" Type="http://schemas.openxmlformats.org/officeDocument/2006/relationships/hyperlink" Target="http://www.acrrm.org.au/about-the-college/about-rural-and-remote-medicine/college-definition-of-general-practice" TargetMode="External"/><Relationship Id="rId23" Type="http://schemas.openxmlformats.org/officeDocument/2006/relationships/hyperlink" Target="http://www.who.int/whr/2008/en/" TargetMode="External"/><Relationship Id="rId28" Type="http://schemas.openxmlformats.org/officeDocument/2006/relationships/hyperlink" Target="https://www.ncbi.nlm.nih.gov/pubmed/?term=Howard%20S%5BAuthor%5D&amp;cauthor=true&amp;cauthor_uid=29385967" TargetMode="External"/><Relationship Id="rId36" Type="http://schemas.openxmlformats.org/officeDocument/2006/relationships/hyperlink" Target="https://www.racgp.org.au/afp/200809/26761" TargetMode="External"/><Relationship Id="rId49" Type="http://schemas.openxmlformats.org/officeDocument/2006/relationships/hyperlink" Target="https://www.mckinsey.com/~/media/McKinsey/Industries/Healthcare%20Systems%20and%20Services/Our%20Insights/The%20evidence%20for%20integrated%20care/The%20evidence%20for%20integrated%20care.ashx" TargetMode="External"/><Relationship Id="rId57" Type="http://schemas.openxmlformats.org/officeDocument/2006/relationships/hyperlink" Target="https://www.ncbi.nlm.nih.gov/pubmed/?term=Gallagher%20M%5BAuthor%5D&amp;cauthor=true&amp;cauthor_uid=29405503" TargetMode="External"/><Relationship Id="rId106" Type="http://schemas.openxmlformats.org/officeDocument/2006/relationships/hyperlink" Target="https://www.ncbi.nlm.nih.gov/pubmed/?term=Condello%20LL%5BAuthor%5D&amp;cauthor=true&amp;cauthor_uid=28928168" TargetMode="External"/><Relationship Id="rId10" Type="http://schemas.openxmlformats.org/officeDocument/2006/relationships/hyperlink" Target="https://urldefense.proofpoint.com/v2/url?u=http-3A__www.acrrm.org.au_about-2Dthe-2Dcollege_about-2Drural-2Dand-2Dremote-2Dmedicine_college-2Ddefinition-2Dof-2Dgeneral-2Dpractice&amp;d=DwMGaQ&amp;c=yIH1_-b1hO27QV_BdDph9suDL0Jq0WcgndLmIuQXoms&amp;r=iwxXnHUFs01PJgRAZhf0j88SP1jLPgJr0vt0k325egs&amp;m=PlSwHTS3OHf5kamJMBIr3xSEbA45y9BRi5QPyF_RrAo&amp;s=9RBGSqRN19Uo3N6aPNi8S4WJmWIaA8X-41F8_ZJ6Zz8&amp;e=" TargetMode="External"/><Relationship Id="rId31" Type="http://schemas.openxmlformats.org/officeDocument/2006/relationships/hyperlink" Target="https://www.ncbi.nlm.nih.gov/pubmed/?term=Bond%20M%5BAuthor%5D&amp;cauthor=true&amp;cauthor_uid=29385967" TargetMode="External"/><Relationship Id="rId44" Type="http://schemas.openxmlformats.org/officeDocument/2006/relationships/hyperlink" Target="https://www.ncbi.nlm.nih.gov/pubmed/?term=Battersby%20MW%5BAuthor%5D&amp;cauthor=true&amp;cauthor_uid=29385967" TargetMode="External"/><Relationship Id="rId52" Type="http://schemas.openxmlformats.org/officeDocument/2006/relationships/hyperlink" Target="https://www.ncbi.nlm.nih.gov/pubmed/?term=Lo%20C%5BAuthor%5D&amp;cauthor=true&amp;cauthor_uid=29405503" TargetMode="External"/><Relationship Id="rId60" Type="http://schemas.openxmlformats.org/officeDocument/2006/relationships/hyperlink" Target="https://www.ncbi.nlm.nih.gov/pubmed/29405503" TargetMode="External"/><Relationship Id="rId65" Type="http://schemas.openxmlformats.org/officeDocument/2006/relationships/hyperlink" Target="https://www.ncbi.nlm.nih.gov/pubmed/21093904" TargetMode="External"/><Relationship Id="rId73" Type="http://schemas.openxmlformats.org/officeDocument/2006/relationships/hyperlink" Target="https://www.ncbi.nlm.nih.gov/pubmed/?term=van%20Dooren%20K%5BAuthor%5D&amp;cauthor=true&amp;cauthor_uid=23895482" TargetMode="External"/><Relationship Id="rId78" Type="http://schemas.openxmlformats.org/officeDocument/2006/relationships/hyperlink" Target="https://www.ncbi.nlm.nih.gov/pubmed/?term=Magin%20P%5BAuthor%5D&amp;cauthor=true&amp;cauthor_uid=27467100" TargetMode="External"/><Relationship Id="rId81" Type="http://schemas.openxmlformats.org/officeDocument/2006/relationships/hyperlink" Target="https://urldefense.proofpoint.com/v2/url?u=https-3A__www.ncbi.nlm.nih.gov_pubmed_27467100&amp;d=DwMGaQ&amp;c=yIH1_-b1hO27QV_BdDph9suDL0Jq0WcgndLmIuQXoms&amp;r=KbHNSq7aDuYFpb2tRRTgOTLl9Ier2v5NclYMs1zzhX0&amp;m=jhCwxOAQPYizMnsnSrU8NHk78-6XrAYbm07xf4AYZVw&amp;s=sI8iDho-TuhcT7TSQjaFEaGha8NPUu7VkIbi9ojUgK4&amp;e=" TargetMode="External"/><Relationship Id="rId86" Type="http://schemas.openxmlformats.org/officeDocument/2006/relationships/hyperlink" Target="https://www.ncbi.nlm.nih.gov/pubmed/?term=Abbott%20P%5BAuthor%5D&amp;cauthor=true&amp;cauthor_uid=27695723" TargetMode="External"/><Relationship Id="rId94" Type="http://schemas.openxmlformats.org/officeDocument/2006/relationships/hyperlink" Target="https://www.ncbi.nlm.nih.gov/pubmed/?term=Hu%20W%5BAuthor%5D&amp;cauthor=true&amp;cauthor_uid=28728555" TargetMode="External"/><Relationship Id="rId99" Type="http://schemas.openxmlformats.org/officeDocument/2006/relationships/hyperlink" Target="https://www.ncbi.nlm.nih.gov/pubmed/?term=Lennox%20N%5BAuthor%5D&amp;cauthor=true&amp;cauthor_uid=26068513" TargetMode="External"/><Relationship Id="rId101" Type="http://schemas.openxmlformats.org/officeDocument/2006/relationships/hyperlink" Target="https://urldefense.proofpoint.com/v2/url?u=https-3A__www.ncbi.nlm.nih.gov_pmc_articles_PMC4466622_&amp;d=DwMGaQ&amp;c=yIH1_-b1hO27QV_BdDph9suDL0Jq0WcgndLmIuQXoms&amp;r=KbHNSq7aDuYFpb2tRRTgOTLl9Ier2v5NclYMs1zzhX0&amp;m=hlHibibvtd05b0DQWj-xq-z59fJh86iXqzMilnj7DcI&amp;s=YSRkfThBEMqjxrXuiTmQ6MxJDlZsDAQkYBtAJqdcGjc&amp;e=" TargetMode="External"/><Relationship Id="rId4" Type="http://schemas.openxmlformats.org/officeDocument/2006/relationships/hyperlink" Target="https://www.healthaffairs.org/toc/hlthaff/27/3" TargetMode="External"/><Relationship Id="rId9" Type="http://schemas.openxmlformats.org/officeDocument/2006/relationships/hyperlink" Target="https://urldefense.proofpoint.com/v2/url?u=http-3A__www.racgp.org.au_becomingagp_what-2Dis-2Da-2Dgp_what-2Dis-2Dgeneral-2Dpractice_&amp;d=DwMGaQ&amp;c=yIH1_-b1hO27QV_BdDph9suDL0Jq0WcgndLmIuQXoms&amp;r=iwxXnHUFs01PJgRAZhf0j88SP1jLPgJr0vt0k325egs&amp;m=PlSwHTS3OHf5kamJMBIr3xSEbA45y9BRi5QPyF_RrAo&amp;s=u_i1soWkDsjV1xrpgeL0v_YBB57tr0neSIzKJat1B5c&amp;e=" TargetMode="External"/><Relationship Id="rId13" Type="http://schemas.openxmlformats.org/officeDocument/2006/relationships/hyperlink" Target="http://www.who.int/whr/2008/chapter3/en/" TargetMode="External"/><Relationship Id="rId18" Type="http://schemas.openxmlformats.org/officeDocument/2006/relationships/hyperlink" Target="https://www.ncbi.nlm.nih.gov/pmc/articles/PMC4762824/" TargetMode="External"/><Relationship Id="rId39" Type="http://schemas.openxmlformats.org/officeDocument/2006/relationships/hyperlink" Target="http://www.health.gov.au/internet/main/publishing.nsf/Content/76B2BDC12AE54540CA257F72001102B9/$File/Primary-Health-Care-Advisory-Group_Final-Report.pdf" TargetMode="External"/><Relationship Id="rId34" Type="http://schemas.openxmlformats.org/officeDocument/2006/relationships/hyperlink" Target="https://www.mckinsey.com/~/media/McKinsey/Industries/Healthcare%20Systems%20and%20Services/Our%20Insights/The%20evidence%20for%20integrated%20care/The%20evidence%20for%20integrated%20care.ashx" TargetMode="External"/><Relationship Id="rId50" Type="http://schemas.openxmlformats.org/officeDocument/2006/relationships/hyperlink" Target="http://www.health.gov.au/internet/main/publishing.nsf/Content/eval-rep-dcp" TargetMode="External"/><Relationship Id="rId55" Type="http://schemas.openxmlformats.org/officeDocument/2006/relationships/hyperlink" Target="https://www.ncbi.nlm.nih.gov/pubmed/?term=Cass%20A%5BAuthor%5D&amp;cauthor=true&amp;cauthor_uid=29405503" TargetMode="External"/><Relationship Id="rId76" Type="http://schemas.openxmlformats.org/officeDocument/2006/relationships/hyperlink" Target="https://urldefense.proofpoint.com/v2/url?u=https-3A__www.ncbi.nlm.nih.gov_pubmed_23895482&amp;d=DwMGaQ&amp;c=yIH1_-b1hO27QV_BdDph9suDL0Jq0WcgndLmIuQXoms&amp;r=KbHNSq7aDuYFpb2tRRTgOTLl9Ier2v5NclYMs1zzhX0&amp;m=jhCwxOAQPYizMnsnSrU8NHk78-6XrAYbm07xf4AYZVw&amp;s=WsoizdS4abwi2jqKI2s4iez-YJVsVkVng71YmAWzlDY&amp;e=" TargetMode="External"/><Relationship Id="rId97" Type="http://schemas.openxmlformats.org/officeDocument/2006/relationships/hyperlink" Target="https://www.ncbi.nlm.nih.gov/pubmed/?term=Preen%20D%5BAuthor%5D&amp;cauthor=true&amp;cauthor_uid=26068513" TargetMode="External"/><Relationship Id="rId104" Type="http://schemas.openxmlformats.org/officeDocument/2006/relationships/hyperlink" Target="https://www.ncbi.nlm.nih.gov/pubmed/?term=Desmarais%20SL%5BAuthor%5D&amp;cauthor=true&amp;cauthor_uid=2892816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0417B5A4-E8C1-420E-9BC2-5D02539D7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29106</Words>
  <Characters>165909</Characters>
  <Application>Microsoft Office Word</Application>
  <DocSecurity>4</DocSecurity>
  <Lines>1382</Lines>
  <Paragraphs>389</Paragraphs>
  <ScaleCrop>false</ScaleCrop>
  <HeadingPairs>
    <vt:vector size="2" baseType="variant">
      <vt:variant>
        <vt:lpstr>Title</vt:lpstr>
      </vt:variant>
      <vt:variant>
        <vt:i4>1</vt:i4>
      </vt:variant>
    </vt:vector>
  </HeadingPairs>
  <TitlesOfParts>
    <vt:vector size="1" baseType="lpstr">
      <vt:lpstr>Report from the General Practice and Primary Care Clinical Committee: Phase 2</vt:lpstr>
    </vt:vector>
  </TitlesOfParts>
  <Company>Dept Health And Ageing</Company>
  <LinksUpToDate>false</LinksUpToDate>
  <CharactersWithSpaces>194626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from the General Practice and Primary Care Clinical Committee: Phase 2</dc:title>
  <dc:creator>Featherston, Emily</dc:creator>
  <cp:keywords>General Pracice and Primary Care Clinical Committee; Review; Report</cp:keywords>
  <cp:lastModifiedBy>DONNELLY, Sophie</cp:lastModifiedBy>
  <cp:revision>2</cp:revision>
  <cp:lastPrinted>2019-08-01T01:51:00Z</cp:lastPrinted>
  <dcterms:created xsi:type="dcterms:W3CDTF">2020-11-30T23:35:00Z</dcterms:created>
  <dcterms:modified xsi:type="dcterms:W3CDTF">2020-11-30T23:35:00Z</dcterms:modified>
  <cp:category>Medicare Benefits Schedule Review Taskforce</cp:category>
  <cp:contentStatus>Final</cp:contentStatus>
</cp:coreProperties>
</file>