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91639" w14:textId="77777777" w:rsidR="00627772" w:rsidRDefault="00627772" w:rsidP="00585C6B">
      <w:pPr>
        <w:jc w:val="center"/>
        <w:rPr>
          <w:sz w:val="28"/>
        </w:rPr>
      </w:pPr>
    </w:p>
    <w:p w14:paraId="4B0640CA" w14:textId="554B0E1B" w:rsidR="00585C6B" w:rsidRPr="0088062C" w:rsidRDefault="00A51B9A" w:rsidP="00585C6B">
      <w:pPr>
        <w:jc w:val="center"/>
        <w:rPr>
          <w:sz w:val="28"/>
        </w:rPr>
      </w:pPr>
      <w:r>
        <w:rPr>
          <w:sz w:val="28"/>
        </w:rPr>
        <w:t xml:space="preserve">Communique </w:t>
      </w:r>
      <w:r w:rsidR="00457DEB">
        <w:rPr>
          <w:sz w:val="28"/>
        </w:rPr>
        <w:t>27</w:t>
      </w:r>
      <w:r w:rsidR="00557A19">
        <w:rPr>
          <w:sz w:val="28"/>
        </w:rPr>
        <w:t xml:space="preserve"> November</w:t>
      </w:r>
      <w:r w:rsidR="009C02C4">
        <w:rPr>
          <w:sz w:val="28"/>
        </w:rPr>
        <w:t xml:space="preserve"> 2020</w:t>
      </w:r>
    </w:p>
    <w:p w14:paraId="49F070CB" w14:textId="77777777" w:rsidR="00280050" w:rsidRPr="0088062C" w:rsidRDefault="00585C6B" w:rsidP="00585C6B">
      <w:pPr>
        <w:jc w:val="center"/>
        <w:rPr>
          <w:sz w:val="28"/>
        </w:rPr>
      </w:pPr>
      <w:r w:rsidRPr="0088062C">
        <w:rPr>
          <w:sz w:val="28"/>
        </w:rPr>
        <w:t>National Mental Health Workforce Strategy Taskforce</w:t>
      </w:r>
    </w:p>
    <w:p w14:paraId="2823F104" w14:textId="77777777" w:rsidR="00585C6B" w:rsidRDefault="00585C6B" w:rsidP="00585C6B">
      <w:pPr>
        <w:pBdr>
          <w:bottom w:val="single" w:sz="6" w:space="1" w:color="auto"/>
        </w:pBdr>
      </w:pPr>
    </w:p>
    <w:p w14:paraId="4064D69F" w14:textId="18ABEA79" w:rsidR="00697BBB" w:rsidRDefault="00585C6B" w:rsidP="00585C6B">
      <w:r>
        <w:t xml:space="preserve">On </w:t>
      </w:r>
      <w:r w:rsidR="00457DEB">
        <w:t>27</w:t>
      </w:r>
      <w:r w:rsidR="00557A19">
        <w:t xml:space="preserve"> November </w:t>
      </w:r>
      <w:r w:rsidR="00F41A07">
        <w:t>2020</w:t>
      </w:r>
      <w:r>
        <w:t xml:space="preserve">, the </w:t>
      </w:r>
      <w:r w:rsidR="00457DEB">
        <w:t>thirteenth</w:t>
      </w:r>
      <w:r>
        <w:t xml:space="preserve"> meeting of the National Mental Health Workforce Strateg</w:t>
      </w:r>
      <w:r w:rsidR="009115F6">
        <w:t>y Taskforce (the Taskforce) was</w:t>
      </w:r>
      <w:r w:rsidR="00C354D5">
        <w:t xml:space="preserve"> </w:t>
      </w:r>
      <w:r>
        <w:t>held</w:t>
      </w:r>
      <w:r w:rsidR="009C02C4">
        <w:t xml:space="preserve"> by </w:t>
      </w:r>
      <w:r w:rsidR="00EE75DD">
        <w:t xml:space="preserve">video </w:t>
      </w:r>
      <w:r w:rsidR="009C02C4">
        <w:t>conference</w:t>
      </w:r>
      <w:r w:rsidR="009D6DF1">
        <w:t>.</w:t>
      </w:r>
    </w:p>
    <w:p w14:paraId="19DC1A7A" w14:textId="64C0A6F9" w:rsidR="005637B1" w:rsidRPr="000C5B14" w:rsidRDefault="00457DEB" w:rsidP="00585C6B">
      <w:pPr>
        <w:rPr>
          <w:u w:val="single"/>
        </w:rPr>
      </w:pPr>
      <w:r>
        <w:rPr>
          <w:u w:val="single"/>
        </w:rPr>
        <w:t>The Productivity Commission’s Inquiry Report into Mental Health</w:t>
      </w:r>
    </w:p>
    <w:p w14:paraId="29BEB811" w14:textId="619C19BB" w:rsidR="00491BBC" w:rsidRDefault="00491BBC" w:rsidP="00E40E0E">
      <w:r>
        <w:t>Mark Roddam, the Commonwealth Department of Health representative, addressed the Taskforce members on the release of the Productivity Commission’s Final Inquiry Report into Mental Health (the Report). The Report was released on 16 November 2020 and contains a discussion on the mental health workforce (Chapter 16) and recommendations for the National Mental Health Workforce Strategy.</w:t>
      </w:r>
    </w:p>
    <w:p w14:paraId="583B403B" w14:textId="6D7441F6" w:rsidR="00EA7594" w:rsidRDefault="00491BBC" w:rsidP="00EA7594">
      <w:r>
        <w:t>ACIL Allen provided an overview of the findings of the Report in relation to the work of the Taskforce</w:t>
      </w:r>
      <w:r w:rsidR="00EA7594">
        <w:t xml:space="preserve">. The Report is </w:t>
      </w:r>
      <w:r>
        <w:t>supportive and aligns with the discussions held within the Taskforce</w:t>
      </w:r>
      <w:r w:rsidR="00EA7594">
        <w:t xml:space="preserve"> and broader stakeholders</w:t>
      </w:r>
      <w:r w:rsidR="00742EB3">
        <w:t xml:space="preserve"> to date</w:t>
      </w:r>
      <w:r w:rsidR="002F1ED8">
        <w:t>.</w:t>
      </w:r>
      <w:r w:rsidR="00EA7594">
        <w:t xml:space="preserve"> </w:t>
      </w:r>
      <w:r w:rsidR="00B43722">
        <w:t xml:space="preserve">Members </w:t>
      </w:r>
      <w:r w:rsidR="002F1ED8">
        <w:t>raised the need for the Taskforce to further consider the following</w:t>
      </w:r>
      <w:r w:rsidR="00EA7594">
        <w:t>:</w:t>
      </w:r>
    </w:p>
    <w:p w14:paraId="77C4FB2A" w14:textId="695F43A8" w:rsidR="00EA7594" w:rsidRDefault="00EA7594" w:rsidP="00EA7594">
      <w:pPr>
        <w:pStyle w:val="ListParagraph"/>
        <w:numPr>
          <w:ilvl w:val="0"/>
          <w:numId w:val="17"/>
        </w:numPr>
      </w:pPr>
      <w:r>
        <w:t>Building/growing specific workforces</w:t>
      </w:r>
      <w:bookmarkStart w:id="0" w:name="_GoBack"/>
      <w:bookmarkEnd w:id="0"/>
    </w:p>
    <w:p w14:paraId="4DF7D382" w14:textId="6EC2C513" w:rsidR="00EA7594" w:rsidRDefault="00EA7594" w:rsidP="00EA7594">
      <w:pPr>
        <w:pStyle w:val="ListParagraph"/>
        <w:numPr>
          <w:ilvl w:val="0"/>
          <w:numId w:val="17"/>
        </w:numPr>
      </w:pPr>
      <w:r>
        <w:t>Evaluation of evidence-based service/practice</w:t>
      </w:r>
    </w:p>
    <w:p w14:paraId="7080BE3A" w14:textId="6F53863F" w:rsidR="00742EB3" w:rsidRDefault="00742EB3" w:rsidP="00EA7594">
      <w:pPr>
        <w:pStyle w:val="ListParagraph"/>
        <w:numPr>
          <w:ilvl w:val="0"/>
          <w:numId w:val="17"/>
        </w:numPr>
      </w:pPr>
      <w:r>
        <w:t>Identification of service and setting gaps</w:t>
      </w:r>
    </w:p>
    <w:p w14:paraId="183229F1" w14:textId="6BFDB8C0" w:rsidR="00EA7594" w:rsidRDefault="00EA7594" w:rsidP="00742EB3">
      <w:pPr>
        <w:pStyle w:val="ListParagraph"/>
        <w:numPr>
          <w:ilvl w:val="0"/>
          <w:numId w:val="17"/>
        </w:numPr>
      </w:pPr>
      <w:r>
        <w:t>The need for further consultation on the recommendations to identify where responsibilities are most appropriate in terms of placements, experience and funding.</w:t>
      </w:r>
    </w:p>
    <w:p w14:paraId="77DA3429" w14:textId="7C9D2F4E" w:rsidR="00491BBC" w:rsidRDefault="00EA7594" w:rsidP="00EA7594">
      <w:r>
        <w:t xml:space="preserve">Members noted that given the broad depth of mental health and the mental health workforce, it is difficult </w:t>
      </w:r>
      <w:r w:rsidR="002F1ED8">
        <w:t xml:space="preserve">for any one report or strategy </w:t>
      </w:r>
      <w:r>
        <w:t>to address all underlying gaps in knowledge and understanding.</w:t>
      </w:r>
    </w:p>
    <w:p w14:paraId="78CDBC6E" w14:textId="0AAB9897" w:rsidR="009463CD" w:rsidRPr="00A45BB4" w:rsidRDefault="00457DEB" w:rsidP="009463CD">
      <w:pPr>
        <w:rPr>
          <w:u w:val="single"/>
        </w:rPr>
      </w:pPr>
      <w:r>
        <w:rPr>
          <w:u w:val="single"/>
        </w:rPr>
        <w:t>Prioritisation of the</w:t>
      </w:r>
      <w:r w:rsidR="001D69BE">
        <w:rPr>
          <w:u w:val="single"/>
        </w:rPr>
        <w:t xml:space="preserve"> Working Group Recommendations</w:t>
      </w:r>
    </w:p>
    <w:p w14:paraId="0AC94EB4" w14:textId="33984D91" w:rsidR="00D27D99" w:rsidRDefault="00D27D99" w:rsidP="00D27D99">
      <w:r>
        <w:t>ACIL Allen presented an approach for prioritising the working group recommendations. This i</w:t>
      </w:r>
      <w:r w:rsidR="00F1315A">
        <w:t>nvolved</w:t>
      </w:r>
      <w:r>
        <w:t xml:space="preserve"> an assessment of the recommendations against five criteria, including:</w:t>
      </w:r>
    </w:p>
    <w:p w14:paraId="0A463067" w14:textId="32DF81C6" w:rsidR="00D27D99" w:rsidRDefault="00D27D99" w:rsidP="00D27D99">
      <w:pPr>
        <w:pStyle w:val="ListParagraph"/>
        <w:numPr>
          <w:ilvl w:val="0"/>
          <w:numId w:val="17"/>
        </w:numPr>
      </w:pPr>
      <w:r>
        <w:t>Sufficiently formed recommendation to be implementable</w:t>
      </w:r>
    </w:p>
    <w:p w14:paraId="68BD091C" w14:textId="0FE3CA7A" w:rsidR="008050BD" w:rsidRPr="00D27D99" w:rsidRDefault="00F1315A" w:rsidP="00D27D99">
      <w:pPr>
        <w:pStyle w:val="ListParagraph"/>
        <w:numPr>
          <w:ilvl w:val="0"/>
          <w:numId w:val="17"/>
        </w:numPr>
      </w:pPr>
      <w:r w:rsidRPr="00D27D99">
        <w:t>Evidence of need</w:t>
      </w:r>
      <w:r w:rsidR="00D27D99">
        <w:t xml:space="preserve"> (consistent with evidence-base)</w:t>
      </w:r>
    </w:p>
    <w:p w14:paraId="3713714E" w14:textId="7305F44C" w:rsidR="008050BD" w:rsidRPr="00D27D99" w:rsidRDefault="00F1315A" w:rsidP="00D27D99">
      <w:pPr>
        <w:pStyle w:val="ListParagraph"/>
        <w:numPr>
          <w:ilvl w:val="0"/>
          <w:numId w:val="17"/>
        </w:numPr>
      </w:pPr>
      <w:r w:rsidRPr="00D27D99">
        <w:t>Existing policy and strategy documents</w:t>
      </w:r>
    </w:p>
    <w:p w14:paraId="7FEE9A05" w14:textId="57F9517A" w:rsidR="008050BD" w:rsidRPr="00D27D99" w:rsidRDefault="00F1315A" w:rsidP="00D27D99">
      <w:pPr>
        <w:pStyle w:val="ListParagraph"/>
        <w:numPr>
          <w:ilvl w:val="0"/>
          <w:numId w:val="17"/>
        </w:numPr>
      </w:pPr>
      <w:r w:rsidRPr="00D27D99">
        <w:t>Clarity around who is responsible for implementation</w:t>
      </w:r>
    </w:p>
    <w:p w14:paraId="0829CAC9" w14:textId="72470F5B" w:rsidR="00D27D99" w:rsidRDefault="00F1315A" w:rsidP="00D27D99">
      <w:pPr>
        <w:pStyle w:val="ListParagraph"/>
        <w:numPr>
          <w:ilvl w:val="0"/>
          <w:numId w:val="17"/>
        </w:numPr>
      </w:pPr>
      <w:r w:rsidRPr="00D27D99">
        <w:lastRenderedPageBreak/>
        <w:t>Supports the existing mental health workforce to better meet the needs of consumers and carers.</w:t>
      </w:r>
    </w:p>
    <w:p w14:paraId="2B24FD9C" w14:textId="1E7B67CD" w:rsidR="00545A93" w:rsidRDefault="00545A93" w:rsidP="00545A93">
      <w:r>
        <w:t>Assessment against criteria would be indicated by either meeting/not meeting them, rather than the criteria being weighted.</w:t>
      </w:r>
    </w:p>
    <w:p w14:paraId="5A47AD43" w14:textId="11D03B4B" w:rsidR="00545A93" w:rsidRDefault="00D27D99" w:rsidP="00545A93">
      <w:r>
        <w:t xml:space="preserve">Members were supportive of the approach but had concerns regarding </w:t>
      </w:r>
      <w:r w:rsidR="00545A93">
        <w:t>certain workforces not having as robust research or experience behind them compared to larger</w:t>
      </w:r>
      <w:r w:rsidR="00F1315A">
        <w:t>,</w:t>
      </w:r>
      <w:r w:rsidR="00545A93">
        <w:t xml:space="preserve"> more established workforces. ACIL Allen noted that the criteria were preliminary</w:t>
      </w:r>
      <w:r w:rsidR="00F1315A">
        <w:t xml:space="preserve"> at this stage</w:t>
      </w:r>
      <w:r w:rsidR="00545A93">
        <w:t xml:space="preserve">, </w:t>
      </w:r>
      <w:r w:rsidR="00F1315A">
        <w:t xml:space="preserve">with the approach </w:t>
      </w:r>
      <w:r w:rsidR="00545A93">
        <w:t>ensuring that recommendations are evidence-based.</w:t>
      </w:r>
    </w:p>
    <w:p w14:paraId="2715D2C2" w14:textId="64B32C3D" w:rsidR="00545A93" w:rsidRDefault="00545A93" w:rsidP="00545A93">
      <w:r>
        <w:t>Members were advised that ACIL Allen would assess the recommendations based on the criteria and develop a list of prioritised recommendations</w:t>
      </w:r>
      <w:r w:rsidR="00F1315A">
        <w:t>. This will then be circulated out-of-session for Member feedback and input prior to the next Taskforce meeting.</w:t>
      </w:r>
    </w:p>
    <w:p w14:paraId="09869F21" w14:textId="77777777" w:rsidR="009463CD" w:rsidRDefault="009463CD" w:rsidP="009463CD">
      <w:pPr>
        <w:rPr>
          <w:u w:val="single"/>
        </w:rPr>
      </w:pPr>
      <w:r w:rsidRPr="005E3B89">
        <w:rPr>
          <w:u w:val="single"/>
        </w:rPr>
        <w:t>Next Meeting</w:t>
      </w:r>
    </w:p>
    <w:p w14:paraId="0C936FF6" w14:textId="40BB8A47" w:rsidR="009463CD" w:rsidRDefault="009463CD" w:rsidP="009463CD">
      <w:r w:rsidRPr="005E3B89">
        <w:t>The next meeting of the Taskforce</w:t>
      </w:r>
      <w:r w:rsidR="003023C2">
        <w:t xml:space="preserve"> will be held on </w:t>
      </w:r>
      <w:r w:rsidR="00F1315A">
        <w:t>11 December</w:t>
      </w:r>
      <w:r>
        <w:t xml:space="preserve"> 2020. </w:t>
      </w:r>
    </w:p>
    <w:p w14:paraId="75C61FAF" w14:textId="6B1193A9" w:rsidR="00A45BB4" w:rsidRDefault="00A45BB4" w:rsidP="009463CD">
      <w:r>
        <w:t>The meeting will include</w:t>
      </w:r>
      <w:r w:rsidR="008F7EC2">
        <w:t xml:space="preserve"> </w:t>
      </w:r>
      <w:r w:rsidR="00F1315A">
        <w:t xml:space="preserve">a discussion on the findings of the Labour Market Analysis and Educational Institutions Review undertaken by the ACIL Allen, and </w:t>
      </w:r>
      <w:r w:rsidR="003023C2">
        <w:t xml:space="preserve">further </w:t>
      </w:r>
      <w:r w:rsidR="004928E6">
        <w:t xml:space="preserve">discussion </w:t>
      </w:r>
      <w:r w:rsidR="00F1315A">
        <w:t>and finalisation of the prioritised recommendations.</w:t>
      </w:r>
    </w:p>
    <w:p w14:paraId="0F9CF823" w14:textId="3F16508E" w:rsidR="000D291D" w:rsidRPr="00327A25" w:rsidRDefault="009463CD" w:rsidP="00E40E0E">
      <w:r>
        <w:t xml:space="preserve">Previous Taskforce meeting communiques are published </w:t>
      </w:r>
      <w:hyperlink r:id="rId7" w:history="1">
        <w:r w:rsidRPr="00D333F5">
          <w:rPr>
            <w:rStyle w:val="Hyperlink"/>
          </w:rPr>
          <w:t>here</w:t>
        </w:r>
      </w:hyperlink>
      <w:r w:rsidR="008F7EC2">
        <w:t>.</w:t>
      </w:r>
      <w:r w:rsidR="000D291D">
        <w:t xml:space="preserve"> </w:t>
      </w:r>
    </w:p>
    <w:sectPr w:rsidR="000D291D" w:rsidRPr="00327A25" w:rsidSect="00627772">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3402" w16cex:dateUtc="2020-04-01T2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38493" w16cid:durableId="223034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3753" w14:textId="77777777" w:rsidR="002E0DC3" w:rsidRDefault="002E0DC3" w:rsidP="00585C6B">
      <w:pPr>
        <w:spacing w:after="0" w:line="240" w:lineRule="auto"/>
      </w:pPr>
      <w:r>
        <w:separator/>
      </w:r>
    </w:p>
  </w:endnote>
  <w:endnote w:type="continuationSeparator" w:id="0">
    <w:p w14:paraId="5D5FD625" w14:textId="77777777" w:rsidR="002E0DC3" w:rsidRDefault="002E0DC3" w:rsidP="005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00652"/>
      <w:docPartObj>
        <w:docPartGallery w:val="Page Numbers (Bottom of Page)"/>
        <w:docPartUnique/>
      </w:docPartObj>
    </w:sdtPr>
    <w:sdtEndPr>
      <w:rPr>
        <w:noProof/>
      </w:rPr>
    </w:sdtEndPr>
    <w:sdtContent>
      <w:p w14:paraId="37C0A2D8" w14:textId="71457972" w:rsidR="005E536A" w:rsidRDefault="005E536A">
        <w:pPr>
          <w:pStyle w:val="Footer"/>
          <w:jc w:val="right"/>
        </w:pPr>
        <w:r>
          <w:fldChar w:fldCharType="begin"/>
        </w:r>
        <w:r>
          <w:instrText xml:space="preserve"> PAGE   \* MERGEFORMAT </w:instrText>
        </w:r>
        <w:r>
          <w:fldChar w:fldCharType="separate"/>
        </w:r>
        <w:r w:rsidR="00654177">
          <w:rPr>
            <w:noProof/>
          </w:rPr>
          <w:t>2</w:t>
        </w:r>
        <w:r>
          <w:rPr>
            <w:noProof/>
          </w:rPr>
          <w:fldChar w:fldCharType="end"/>
        </w:r>
      </w:p>
    </w:sdtContent>
  </w:sdt>
  <w:p w14:paraId="74340E69" w14:textId="77777777" w:rsidR="005E536A" w:rsidRDefault="005E5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140765"/>
      <w:docPartObj>
        <w:docPartGallery w:val="Page Numbers (Bottom of Page)"/>
        <w:docPartUnique/>
      </w:docPartObj>
    </w:sdtPr>
    <w:sdtEndPr>
      <w:rPr>
        <w:noProof/>
      </w:rPr>
    </w:sdtEndPr>
    <w:sdtContent>
      <w:p w14:paraId="4F761EC9" w14:textId="72137808" w:rsidR="005E536A" w:rsidRDefault="005E536A">
        <w:pPr>
          <w:pStyle w:val="Footer"/>
          <w:jc w:val="right"/>
        </w:pPr>
        <w:r>
          <w:fldChar w:fldCharType="begin"/>
        </w:r>
        <w:r>
          <w:instrText xml:space="preserve"> PAGE   \* MERGEFORMAT </w:instrText>
        </w:r>
        <w:r>
          <w:fldChar w:fldCharType="separate"/>
        </w:r>
        <w:r w:rsidR="00654177">
          <w:rPr>
            <w:noProof/>
          </w:rPr>
          <w:t>1</w:t>
        </w:r>
        <w:r>
          <w:rPr>
            <w:noProof/>
          </w:rPr>
          <w:fldChar w:fldCharType="end"/>
        </w:r>
      </w:p>
    </w:sdtContent>
  </w:sdt>
  <w:p w14:paraId="0187F56B" w14:textId="77777777" w:rsidR="005E536A" w:rsidRDefault="005E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6BC7A" w14:textId="77777777" w:rsidR="002E0DC3" w:rsidRDefault="002E0DC3" w:rsidP="00585C6B">
      <w:pPr>
        <w:spacing w:after="0" w:line="240" w:lineRule="auto"/>
      </w:pPr>
      <w:r>
        <w:separator/>
      </w:r>
    </w:p>
  </w:footnote>
  <w:footnote w:type="continuationSeparator" w:id="0">
    <w:p w14:paraId="0F82A2F1" w14:textId="77777777" w:rsidR="002E0DC3" w:rsidRDefault="002E0DC3" w:rsidP="0058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9CEC" w14:textId="77777777" w:rsidR="0088062C" w:rsidRDefault="0088062C" w:rsidP="00372B14">
    <w:pPr>
      <w:pStyle w:val="Header"/>
      <w:jc w:val="center"/>
    </w:pPr>
  </w:p>
  <w:p w14:paraId="4014ECCA" w14:textId="77777777" w:rsidR="00372B14" w:rsidRDefault="00372B14" w:rsidP="00372B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BDBC" w14:textId="77777777" w:rsidR="00627772" w:rsidRDefault="00627772" w:rsidP="00627772">
    <w:pPr>
      <w:pStyle w:val="Header"/>
      <w:jc w:val="center"/>
    </w:pPr>
    <w:bookmarkStart w:id="1" w:name="imageHolder"/>
    <w:bookmarkEnd w:id="1"/>
    <w:r w:rsidRPr="00D912DB">
      <w:rPr>
        <w:noProof/>
        <w:sz w:val="28"/>
        <w:szCs w:val="28"/>
        <w:lang w:eastAsia="en-AU"/>
      </w:rPr>
      <w:drawing>
        <wp:inline distT="0" distB="0" distL="0" distR="0" wp14:anchorId="63FECE64" wp14:editId="4140CA9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85pt;height:57.05pt" o:bullet="t">
        <v:imagedata r:id="rId1" o:title="art778E"/>
      </v:shape>
    </w:pict>
  </w:numPicBullet>
  <w:numPicBullet w:numPicBulletId="1">
    <w:pict>
      <v:shape id="_x0000_i1027" type="#_x0000_t75" style="width:116.85pt;height:57.05pt" o:bullet="t">
        <v:imagedata r:id="rId2" o:title="art778F"/>
      </v:shape>
    </w:pict>
  </w:numPicBullet>
  <w:abstractNum w:abstractNumId="0" w15:restartNumberingAfterBreak="0">
    <w:nsid w:val="05AC5637"/>
    <w:multiLevelType w:val="hybridMultilevel"/>
    <w:tmpl w:val="0A1AFB68"/>
    <w:lvl w:ilvl="0" w:tplc="61EC148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A6D2B"/>
    <w:multiLevelType w:val="hybridMultilevel"/>
    <w:tmpl w:val="F5A42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16670"/>
    <w:multiLevelType w:val="hybridMultilevel"/>
    <w:tmpl w:val="BA20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90674"/>
    <w:multiLevelType w:val="hybridMultilevel"/>
    <w:tmpl w:val="2CF06AEE"/>
    <w:lvl w:ilvl="0" w:tplc="C9D45ED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B64A8"/>
    <w:multiLevelType w:val="hybridMultilevel"/>
    <w:tmpl w:val="320A18DA"/>
    <w:lvl w:ilvl="0" w:tplc="D7DE037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930A5"/>
    <w:multiLevelType w:val="hybridMultilevel"/>
    <w:tmpl w:val="C4E4F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24A4C"/>
    <w:multiLevelType w:val="hybridMultilevel"/>
    <w:tmpl w:val="315276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34782873"/>
    <w:multiLevelType w:val="hybridMultilevel"/>
    <w:tmpl w:val="FA066B50"/>
    <w:lvl w:ilvl="0" w:tplc="77F6BBE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E232F5"/>
    <w:multiLevelType w:val="hybridMultilevel"/>
    <w:tmpl w:val="EAB4B828"/>
    <w:lvl w:ilvl="0" w:tplc="082C040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70DD9"/>
    <w:multiLevelType w:val="hybridMultilevel"/>
    <w:tmpl w:val="074AFE56"/>
    <w:lvl w:ilvl="0" w:tplc="7D60588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C05539"/>
    <w:multiLevelType w:val="hybridMultilevel"/>
    <w:tmpl w:val="598E3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934BA6"/>
    <w:multiLevelType w:val="hybridMultilevel"/>
    <w:tmpl w:val="BF78D6A8"/>
    <w:lvl w:ilvl="0" w:tplc="68504D3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73DB5"/>
    <w:multiLevelType w:val="hybridMultilevel"/>
    <w:tmpl w:val="F5EE37B4"/>
    <w:lvl w:ilvl="0" w:tplc="80B4F0A6">
      <w:start w:val="1"/>
      <w:numFmt w:val="bullet"/>
      <w:lvlText w:val=""/>
      <w:lvlPicBulletId w:val="0"/>
      <w:lvlJc w:val="left"/>
      <w:pPr>
        <w:tabs>
          <w:tab w:val="num" w:pos="720"/>
        </w:tabs>
        <w:ind w:left="720" w:hanging="360"/>
      </w:pPr>
      <w:rPr>
        <w:rFonts w:ascii="Symbol" w:hAnsi="Symbol" w:hint="default"/>
      </w:rPr>
    </w:lvl>
    <w:lvl w:ilvl="1" w:tplc="A9464F36" w:tentative="1">
      <w:start w:val="1"/>
      <w:numFmt w:val="bullet"/>
      <w:lvlText w:val=""/>
      <w:lvlPicBulletId w:val="0"/>
      <w:lvlJc w:val="left"/>
      <w:pPr>
        <w:tabs>
          <w:tab w:val="num" w:pos="1440"/>
        </w:tabs>
        <w:ind w:left="1440" w:hanging="360"/>
      </w:pPr>
      <w:rPr>
        <w:rFonts w:ascii="Symbol" w:hAnsi="Symbol" w:hint="default"/>
      </w:rPr>
    </w:lvl>
    <w:lvl w:ilvl="2" w:tplc="59E2BECC">
      <w:start w:val="242"/>
      <w:numFmt w:val="bullet"/>
      <w:lvlText w:val=""/>
      <w:lvlPicBulletId w:val="1"/>
      <w:lvlJc w:val="left"/>
      <w:pPr>
        <w:tabs>
          <w:tab w:val="num" w:pos="2160"/>
        </w:tabs>
        <w:ind w:left="2160" w:hanging="360"/>
      </w:pPr>
      <w:rPr>
        <w:rFonts w:ascii="Symbol" w:hAnsi="Symbol" w:hint="default"/>
      </w:rPr>
    </w:lvl>
    <w:lvl w:ilvl="3" w:tplc="303CE92C" w:tentative="1">
      <w:start w:val="1"/>
      <w:numFmt w:val="bullet"/>
      <w:lvlText w:val=""/>
      <w:lvlPicBulletId w:val="0"/>
      <w:lvlJc w:val="left"/>
      <w:pPr>
        <w:tabs>
          <w:tab w:val="num" w:pos="2880"/>
        </w:tabs>
        <w:ind w:left="2880" w:hanging="360"/>
      </w:pPr>
      <w:rPr>
        <w:rFonts w:ascii="Symbol" w:hAnsi="Symbol" w:hint="default"/>
      </w:rPr>
    </w:lvl>
    <w:lvl w:ilvl="4" w:tplc="C8B69A10" w:tentative="1">
      <w:start w:val="1"/>
      <w:numFmt w:val="bullet"/>
      <w:lvlText w:val=""/>
      <w:lvlPicBulletId w:val="0"/>
      <w:lvlJc w:val="left"/>
      <w:pPr>
        <w:tabs>
          <w:tab w:val="num" w:pos="3600"/>
        </w:tabs>
        <w:ind w:left="3600" w:hanging="360"/>
      </w:pPr>
      <w:rPr>
        <w:rFonts w:ascii="Symbol" w:hAnsi="Symbol" w:hint="default"/>
      </w:rPr>
    </w:lvl>
    <w:lvl w:ilvl="5" w:tplc="D51E6A36" w:tentative="1">
      <w:start w:val="1"/>
      <w:numFmt w:val="bullet"/>
      <w:lvlText w:val=""/>
      <w:lvlPicBulletId w:val="0"/>
      <w:lvlJc w:val="left"/>
      <w:pPr>
        <w:tabs>
          <w:tab w:val="num" w:pos="4320"/>
        </w:tabs>
        <w:ind w:left="4320" w:hanging="360"/>
      </w:pPr>
      <w:rPr>
        <w:rFonts w:ascii="Symbol" w:hAnsi="Symbol" w:hint="default"/>
      </w:rPr>
    </w:lvl>
    <w:lvl w:ilvl="6" w:tplc="FF702ACA" w:tentative="1">
      <w:start w:val="1"/>
      <w:numFmt w:val="bullet"/>
      <w:lvlText w:val=""/>
      <w:lvlPicBulletId w:val="0"/>
      <w:lvlJc w:val="left"/>
      <w:pPr>
        <w:tabs>
          <w:tab w:val="num" w:pos="5040"/>
        </w:tabs>
        <w:ind w:left="5040" w:hanging="360"/>
      </w:pPr>
      <w:rPr>
        <w:rFonts w:ascii="Symbol" w:hAnsi="Symbol" w:hint="default"/>
      </w:rPr>
    </w:lvl>
    <w:lvl w:ilvl="7" w:tplc="E5E050BE" w:tentative="1">
      <w:start w:val="1"/>
      <w:numFmt w:val="bullet"/>
      <w:lvlText w:val=""/>
      <w:lvlPicBulletId w:val="0"/>
      <w:lvlJc w:val="left"/>
      <w:pPr>
        <w:tabs>
          <w:tab w:val="num" w:pos="5760"/>
        </w:tabs>
        <w:ind w:left="5760" w:hanging="360"/>
      </w:pPr>
      <w:rPr>
        <w:rFonts w:ascii="Symbol" w:hAnsi="Symbol" w:hint="default"/>
      </w:rPr>
    </w:lvl>
    <w:lvl w:ilvl="8" w:tplc="1D98C516"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60FD185C"/>
    <w:multiLevelType w:val="hybridMultilevel"/>
    <w:tmpl w:val="A05C64DE"/>
    <w:lvl w:ilvl="0" w:tplc="FD924FC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C657F"/>
    <w:multiLevelType w:val="hybridMultilevel"/>
    <w:tmpl w:val="2AD0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A3D69"/>
    <w:multiLevelType w:val="hybridMultilevel"/>
    <w:tmpl w:val="56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67CC8"/>
    <w:multiLevelType w:val="hybridMultilevel"/>
    <w:tmpl w:val="9446ECA6"/>
    <w:lvl w:ilvl="0" w:tplc="58E0DC7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BA18B8"/>
    <w:multiLevelType w:val="hybridMultilevel"/>
    <w:tmpl w:val="9398C474"/>
    <w:lvl w:ilvl="0" w:tplc="75A4B04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6"/>
  </w:num>
  <w:num w:numId="5">
    <w:abstractNumId w:val="17"/>
  </w:num>
  <w:num w:numId="6">
    <w:abstractNumId w:val="15"/>
  </w:num>
  <w:num w:numId="7">
    <w:abstractNumId w:val="7"/>
  </w:num>
  <w:num w:numId="8">
    <w:abstractNumId w:val="1"/>
  </w:num>
  <w:num w:numId="9">
    <w:abstractNumId w:val="8"/>
  </w:num>
  <w:num w:numId="10">
    <w:abstractNumId w:val="3"/>
  </w:num>
  <w:num w:numId="11">
    <w:abstractNumId w:val="11"/>
  </w:num>
  <w:num w:numId="12">
    <w:abstractNumId w:val="2"/>
  </w:num>
  <w:num w:numId="13">
    <w:abstractNumId w:val="10"/>
  </w:num>
  <w:num w:numId="14">
    <w:abstractNumId w:val="4"/>
  </w:num>
  <w:num w:numId="15">
    <w:abstractNumId w:val="0"/>
  </w:num>
  <w:num w:numId="16">
    <w:abstractNumId w:val="9"/>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6B"/>
    <w:rsid w:val="00076E80"/>
    <w:rsid w:val="00094BDD"/>
    <w:rsid w:val="000C24B1"/>
    <w:rsid w:val="000C5B14"/>
    <w:rsid w:val="000D291D"/>
    <w:rsid w:val="000E35B7"/>
    <w:rsid w:val="00160FA0"/>
    <w:rsid w:val="001B5116"/>
    <w:rsid w:val="001C2321"/>
    <w:rsid w:val="001D2500"/>
    <w:rsid w:val="001D69BE"/>
    <w:rsid w:val="001E1892"/>
    <w:rsid w:val="001F5935"/>
    <w:rsid w:val="00202F4F"/>
    <w:rsid w:val="0027699F"/>
    <w:rsid w:val="00280050"/>
    <w:rsid w:val="002B0A7B"/>
    <w:rsid w:val="002C6FA6"/>
    <w:rsid w:val="002E0DC3"/>
    <w:rsid w:val="002E28B7"/>
    <w:rsid w:val="002E7CD7"/>
    <w:rsid w:val="002F1ED8"/>
    <w:rsid w:val="003023C2"/>
    <w:rsid w:val="00327A25"/>
    <w:rsid w:val="00327BB8"/>
    <w:rsid w:val="003420AD"/>
    <w:rsid w:val="0036186E"/>
    <w:rsid w:val="00372B14"/>
    <w:rsid w:val="003801B4"/>
    <w:rsid w:val="003A06AE"/>
    <w:rsid w:val="003A447C"/>
    <w:rsid w:val="003A6D7C"/>
    <w:rsid w:val="003B393E"/>
    <w:rsid w:val="003D2C31"/>
    <w:rsid w:val="003E30C5"/>
    <w:rsid w:val="003E6A74"/>
    <w:rsid w:val="003E6D0D"/>
    <w:rsid w:val="003F75A6"/>
    <w:rsid w:val="00404733"/>
    <w:rsid w:val="00420E79"/>
    <w:rsid w:val="00451860"/>
    <w:rsid w:val="00457DEB"/>
    <w:rsid w:val="00491BBC"/>
    <w:rsid w:val="004928E6"/>
    <w:rsid w:val="00494EC0"/>
    <w:rsid w:val="004A4CAA"/>
    <w:rsid w:val="004E7ACC"/>
    <w:rsid w:val="00502738"/>
    <w:rsid w:val="00506C27"/>
    <w:rsid w:val="005119D7"/>
    <w:rsid w:val="005156D6"/>
    <w:rsid w:val="00527D5E"/>
    <w:rsid w:val="00545A93"/>
    <w:rsid w:val="00557A19"/>
    <w:rsid w:val="005637B1"/>
    <w:rsid w:val="00585C6B"/>
    <w:rsid w:val="005961F7"/>
    <w:rsid w:val="005B2288"/>
    <w:rsid w:val="005B6C81"/>
    <w:rsid w:val="005E3B89"/>
    <w:rsid w:val="005E536A"/>
    <w:rsid w:val="005F4241"/>
    <w:rsid w:val="005F760D"/>
    <w:rsid w:val="006061CC"/>
    <w:rsid w:val="00613E1E"/>
    <w:rsid w:val="00627772"/>
    <w:rsid w:val="00634618"/>
    <w:rsid w:val="00654177"/>
    <w:rsid w:val="00682879"/>
    <w:rsid w:val="00697BBB"/>
    <w:rsid w:val="006A5FA2"/>
    <w:rsid w:val="006E054B"/>
    <w:rsid w:val="006F01DF"/>
    <w:rsid w:val="00706753"/>
    <w:rsid w:val="0073030D"/>
    <w:rsid w:val="00742EB3"/>
    <w:rsid w:val="007467D4"/>
    <w:rsid w:val="007676E6"/>
    <w:rsid w:val="007741F5"/>
    <w:rsid w:val="0077469C"/>
    <w:rsid w:val="00785E7B"/>
    <w:rsid w:val="007F2C76"/>
    <w:rsid w:val="008050BD"/>
    <w:rsid w:val="00820E0D"/>
    <w:rsid w:val="008437FA"/>
    <w:rsid w:val="00854E7B"/>
    <w:rsid w:val="008658F7"/>
    <w:rsid w:val="0088062C"/>
    <w:rsid w:val="0089752F"/>
    <w:rsid w:val="008F0CB7"/>
    <w:rsid w:val="008F7EC2"/>
    <w:rsid w:val="009115F6"/>
    <w:rsid w:val="009463CD"/>
    <w:rsid w:val="00964177"/>
    <w:rsid w:val="009B1293"/>
    <w:rsid w:val="009C02C4"/>
    <w:rsid w:val="009D6DF1"/>
    <w:rsid w:val="00A14960"/>
    <w:rsid w:val="00A45BB4"/>
    <w:rsid w:val="00A47EC2"/>
    <w:rsid w:val="00A51B9A"/>
    <w:rsid w:val="00A5248A"/>
    <w:rsid w:val="00A67C68"/>
    <w:rsid w:val="00AA4E5D"/>
    <w:rsid w:val="00AC79F5"/>
    <w:rsid w:val="00AD585A"/>
    <w:rsid w:val="00AD7CD7"/>
    <w:rsid w:val="00AE2549"/>
    <w:rsid w:val="00B0347A"/>
    <w:rsid w:val="00B43722"/>
    <w:rsid w:val="00B61BFE"/>
    <w:rsid w:val="00B85B41"/>
    <w:rsid w:val="00C047E5"/>
    <w:rsid w:val="00C16E16"/>
    <w:rsid w:val="00C354D5"/>
    <w:rsid w:val="00CB352F"/>
    <w:rsid w:val="00CB5783"/>
    <w:rsid w:val="00CC443C"/>
    <w:rsid w:val="00CE365B"/>
    <w:rsid w:val="00CF3CFA"/>
    <w:rsid w:val="00CF4EF3"/>
    <w:rsid w:val="00D12CD0"/>
    <w:rsid w:val="00D27D99"/>
    <w:rsid w:val="00D31EC2"/>
    <w:rsid w:val="00D333F5"/>
    <w:rsid w:val="00D41E31"/>
    <w:rsid w:val="00D60F20"/>
    <w:rsid w:val="00D83138"/>
    <w:rsid w:val="00D878C6"/>
    <w:rsid w:val="00DB041E"/>
    <w:rsid w:val="00DC046D"/>
    <w:rsid w:val="00DF5C7F"/>
    <w:rsid w:val="00E12FD4"/>
    <w:rsid w:val="00E16814"/>
    <w:rsid w:val="00E21D08"/>
    <w:rsid w:val="00E237B9"/>
    <w:rsid w:val="00E40E0E"/>
    <w:rsid w:val="00E563C1"/>
    <w:rsid w:val="00E7497A"/>
    <w:rsid w:val="00EA3B41"/>
    <w:rsid w:val="00EA7594"/>
    <w:rsid w:val="00EC149D"/>
    <w:rsid w:val="00EC1F76"/>
    <w:rsid w:val="00ED1E30"/>
    <w:rsid w:val="00EE0DFC"/>
    <w:rsid w:val="00EE2373"/>
    <w:rsid w:val="00EE75DD"/>
    <w:rsid w:val="00EF0E8D"/>
    <w:rsid w:val="00F066BF"/>
    <w:rsid w:val="00F1315A"/>
    <w:rsid w:val="00F14D6C"/>
    <w:rsid w:val="00F41A07"/>
    <w:rsid w:val="00F43379"/>
    <w:rsid w:val="00F4701F"/>
    <w:rsid w:val="00F6362D"/>
    <w:rsid w:val="00FA0AD2"/>
    <w:rsid w:val="00FE5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8693E"/>
  <w15:chartTrackingRefBased/>
  <w15:docId w15:val="{DD6C225F-D3CF-462E-A39A-F912DAA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4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C6B"/>
    <w:rPr>
      <w:rFonts w:asciiTheme="minorHAnsi" w:hAnsiTheme="minorHAnsi"/>
    </w:rPr>
  </w:style>
  <w:style w:type="paragraph" w:styleId="Footer">
    <w:name w:val="footer"/>
    <w:basedOn w:val="Normal"/>
    <w:link w:val="FooterChar"/>
    <w:uiPriority w:val="99"/>
    <w:unhideWhenUsed/>
    <w:rsid w:val="00585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C6B"/>
    <w:rPr>
      <w:rFonts w:asciiTheme="minorHAnsi" w:hAnsiTheme="minorHAnsi"/>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A4CAA"/>
    <w:pPr>
      <w:ind w:left="720"/>
      <w:contextualSpacing/>
    </w:pPr>
  </w:style>
  <w:style w:type="character" w:styleId="CommentReference">
    <w:name w:val="annotation reference"/>
    <w:basedOn w:val="DefaultParagraphFont"/>
    <w:uiPriority w:val="99"/>
    <w:semiHidden/>
    <w:unhideWhenUsed/>
    <w:rsid w:val="009B1293"/>
    <w:rPr>
      <w:sz w:val="16"/>
      <w:szCs w:val="16"/>
    </w:rPr>
  </w:style>
  <w:style w:type="paragraph" w:styleId="CommentText">
    <w:name w:val="annotation text"/>
    <w:basedOn w:val="Normal"/>
    <w:link w:val="CommentTextChar"/>
    <w:uiPriority w:val="99"/>
    <w:semiHidden/>
    <w:unhideWhenUsed/>
    <w:rsid w:val="009B1293"/>
    <w:pPr>
      <w:spacing w:line="240" w:lineRule="auto"/>
    </w:pPr>
    <w:rPr>
      <w:sz w:val="20"/>
      <w:szCs w:val="20"/>
    </w:rPr>
  </w:style>
  <w:style w:type="character" w:customStyle="1" w:styleId="CommentTextChar">
    <w:name w:val="Comment Text Char"/>
    <w:basedOn w:val="DefaultParagraphFont"/>
    <w:link w:val="CommentText"/>
    <w:uiPriority w:val="99"/>
    <w:semiHidden/>
    <w:rsid w:val="009B129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B1293"/>
    <w:rPr>
      <w:b/>
      <w:bCs/>
    </w:rPr>
  </w:style>
  <w:style w:type="character" w:customStyle="1" w:styleId="CommentSubjectChar">
    <w:name w:val="Comment Subject Char"/>
    <w:basedOn w:val="CommentTextChar"/>
    <w:link w:val="CommentSubject"/>
    <w:uiPriority w:val="99"/>
    <w:semiHidden/>
    <w:rsid w:val="009B1293"/>
    <w:rPr>
      <w:rFonts w:asciiTheme="minorHAnsi" w:hAnsiTheme="minorHAnsi"/>
      <w:b/>
      <w:bCs/>
      <w:sz w:val="20"/>
      <w:szCs w:val="20"/>
    </w:rPr>
  </w:style>
  <w:style w:type="paragraph" w:styleId="BalloonText">
    <w:name w:val="Balloon Text"/>
    <w:basedOn w:val="Normal"/>
    <w:link w:val="BalloonTextChar"/>
    <w:uiPriority w:val="99"/>
    <w:semiHidden/>
    <w:unhideWhenUsed/>
    <w:rsid w:val="009B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93"/>
    <w:rPr>
      <w:rFonts w:ascii="Segoe UI" w:hAnsi="Segoe UI" w:cs="Segoe UI"/>
      <w:sz w:val="18"/>
      <w:szCs w:val="18"/>
    </w:rPr>
  </w:style>
  <w:style w:type="character" w:styleId="Hyperlink">
    <w:name w:val="Hyperlink"/>
    <w:basedOn w:val="DefaultParagraphFont"/>
    <w:uiPriority w:val="99"/>
    <w:unhideWhenUsed/>
    <w:rsid w:val="00D333F5"/>
    <w:rPr>
      <w:color w:val="0563C1" w:themeColor="hyperlink"/>
      <w:u w:val="singl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5E3B8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787166">
      <w:bodyDiv w:val="1"/>
      <w:marLeft w:val="0"/>
      <w:marRight w:val="0"/>
      <w:marTop w:val="0"/>
      <w:marBottom w:val="0"/>
      <w:divBdr>
        <w:top w:val="none" w:sz="0" w:space="0" w:color="auto"/>
        <w:left w:val="none" w:sz="0" w:space="0" w:color="auto"/>
        <w:bottom w:val="none" w:sz="0" w:space="0" w:color="auto"/>
        <w:right w:val="none" w:sz="0" w:space="0" w:color="auto"/>
      </w:divBdr>
    </w:div>
    <w:div w:id="1139149446">
      <w:bodyDiv w:val="1"/>
      <w:marLeft w:val="0"/>
      <w:marRight w:val="0"/>
      <w:marTop w:val="0"/>
      <w:marBottom w:val="0"/>
      <w:divBdr>
        <w:top w:val="none" w:sz="0" w:space="0" w:color="auto"/>
        <w:left w:val="none" w:sz="0" w:space="0" w:color="auto"/>
        <w:bottom w:val="none" w:sz="0" w:space="0" w:color="auto"/>
        <w:right w:val="none" w:sz="0" w:space="0" w:color="auto"/>
      </w:divBdr>
      <w:divsChild>
        <w:div w:id="187449935">
          <w:marLeft w:val="1181"/>
          <w:marRight w:val="0"/>
          <w:marTop w:val="120"/>
          <w:marBottom w:val="120"/>
          <w:divBdr>
            <w:top w:val="none" w:sz="0" w:space="0" w:color="auto"/>
            <w:left w:val="none" w:sz="0" w:space="0" w:color="auto"/>
            <w:bottom w:val="none" w:sz="0" w:space="0" w:color="auto"/>
            <w:right w:val="none" w:sz="0" w:space="0" w:color="auto"/>
          </w:divBdr>
        </w:div>
        <w:div w:id="657348867">
          <w:marLeft w:val="2923"/>
          <w:marRight w:val="0"/>
          <w:marTop w:val="80"/>
          <w:marBottom w:val="80"/>
          <w:divBdr>
            <w:top w:val="none" w:sz="0" w:space="0" w:color="auto"/>
            <w:left w:val="none" w:sz="0" w:space="0" w:color="auto"/>
            <w:bottom w:val="none" w:sz="0" w:space="0" w:color="auto"/>
            <w:right w:val="none" w:sz="0" w:space="0" w:color="auto"/>
          </w:divBdr>
        </w:div>
        <w:div w:id="1554660008">
          <w:marLeft w:val="2923"/>
          <w:marRight w:val="0"/>
          <w:marTop w:val="80"/>
          <w:marBottom w:val="80"/>
          <w:divBdr>
            <w:top w:val="none" w:sz="0" w:space="0" w:color="auto"/>
            <w:left w:val="none" w:sz="0" w:space="0" w:color="auto"/>
            <w:bottom w:val="none" w:sz="0" w:space="0" w:color="auto"/>
            <w:right w:val="none" w:sz="0" w:space="0" w:color="auto"/>
          </w:divBdr>
        </w:div>
        <w:div w:id="1832066225">
          <w:marLeft w:val="2923"/>
          <w:marRight w:val="0"/>
          <w:marTop w:val="80"/>
          <w:marBottom w:val="80"/>
          <w:divBdr>
            <w:top w:val="none" w:sz="0" w:space="0" w:color="auto"/>
            <w:left w:val="none" w:sz="0" w:space="0" w:color="auto"/>
            <w:bottom w:val="none" w:sz="0" w:space="0" w:color="auto"/>
            <w:right w:val="none" w:sz="0" w:space="0" w:color="auto"/>
          </w:divBdr>
        </w:div>
      </w:divsChild>
    </w:div>
    <w:div w:id="126854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1.health.gov.au/internet/main/publishing.nsf/Content/national-mental-health-workforce-strategy"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 Nathan</dc:creator>
  <cp:keywords/>
  <dc:description/>
  <cp:lastModifiedBy>BORG, Nathan</cp:lastModifiedBy>
  <cp:revision>3</cp:revision>
  <cp:lastPrinted>2020-11-02T22:11:00Z</cp:lastPrinted>
  <dcterms:created xsi:type="dcterms:W3CDTF">2020-12-10T01:17:00Z</dcterms:created>
  <dcterms:modified xsi:type="dcterms:W3CDTF">2020-12-14T01:02:00Z</dcterms:modified>
</cp:coreProperties>
</file>