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16555F" w:rsidRDefault="0045107B" w:rsidP="0016555F">
      <w:pPr>
        <w:pStyle w:val="Title"/>
        <w:spacing w:line="240" w:lineRule="auto"/>
      </w:pPr>
      <w:bookmarkStart w:id="0" w:name="_GoBack"/>
      <w:bookmarkEnd w:id="0"/>
      <w:r>
        <w:rPr>
          <w:noProof/>
          <w:lang w:val="en-AU" w:eastAsia="en-AU"/>
        </w:rPr>
        <w:drawing>
          <wp:anchor distT="0" distB="0" distL="114300" distR="114300" simplePos="0" relativeHeight="251659264" behindDoc="0" locked="0" layoutInCell="1" allowOverlap="1" wp14:anchorId="5B95048A" wp14:editId="7EDC1BBD">
            <wp:simplePos x="0" y="0"/>
            <wp:positionH relativeFrom="column">
              <wp:posOffset>-1080135</wp:posOffset>
            </wp:positionH>
            <wp:positionV relativeFrom="paragraph">
              <wp:posOffset>-720090</wp:posOffset>
            </wp:positionV>
            <wp:extent cx="7638415" cy="10877550"/>
            <wp:effectExtent l="0" t="0" r="635" b="0"/>
            <wp:wrapNone/>
            <wp:docPr id="3" name="Picture 3" descr="My Life My Lead title picture" title="Titl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38415" cy="10877550"/>
                    </a:xfrm>
                    <a:prstGeom prst="rect">
                      <a:avLst/>
                    </a:prstGeom>
                    <a:noFill/>
                  </pic:spPr>
                </pic:pic>
              </a:graphicData>
            </a:graphic>
            <wp14:sizeRelH relativeFrom="page">
              <wp14:pctWidth>0</wp14:pctWidth>
            </wp14:sizeRelH>
            <wp14:sizeRelV relativeFrom="page">
              <wp14:pctHeight>0</wp14:pctHeight>
            </wp14:sizeRelV>
          </wp:anchor>
        </w:drawing>
      </w:r>
      <w:r w:rsidR="002A4B0D" w:rsidRPr="002A4B0D">
        <w:t>My Life My Lead - Opportunities for strengthening approaches to the social</w:t>
      </w:r>
      <w:r w:rsidR="0016555F">
        <w:t xml:space="preserve"> d</w:t>
      </w:r>
      <w:r w:rsidR="002A4B0D" w:rsidRPr="002A4B0D">
        <w:t>eterminants and cultural determinants of Indigenous health: Report on the national consultations December 2017</w:t>
      </w:r>
    </w:p>
    <w:p w:rsidR="0016555F" w:rsidRDefault="0016555F" w:rsidP="0016555F">
      <w:pPr>
        <w:rPr>
          <w:rFonts w:eastAsia="Armata" w:cs="Arial"/>
          <w:color w:val="auto"/>
          <w:kern w:val="24"/>
          <w:sz w:val="12"/>
          <w:szCs w:val="96"/>
          <w:lang w:val="en-US"/>
        </w:rPr>
      </w:pPr>
      <w:r>
        <w:br w:type="page"/>
      </w:r>
    </w:p>
    <w:p w:rsidR="0045107B" w:rsidRDefault="0045107B" w:rsidP="0016555F">
      <w:pPr>
        <w:pStyle w:val="Title"/>
        <w:spacing w:line="240" w:lineRule="auto"/>
      </w:pPr>
    </w:p>
    <w:p w:rsidR="00543F0C" w:rsidRPr="00014765" w:rsidRDefault="00543F0C" w:rsidP="00014765">
      <w:pPr>
        <w:autoSpaceDE w:val="0"/>
        <w:autoSpaceDN w:val="0"/>
        <w:spacing w:after="240"/>
        <w:jc w:val="both"/>
        <w:rPr>
          <w:rFonts w:cs="Arial"/>
          <w:sz w:val="20"/>
          <w:szCs w:val="20"/>
          <w:lang w:eastAsia="en-AU"/>
        </w:rPr>
      </w:pPr>
      <w:r>
        <w:rPr>
          <w:color w:val="auto"/>
          <w:sz w:val="20"/>
        </w:rPr>
        <w:t xml:space="preserve">My Life My Lead - Opportunities for strengthening approaches to the social determinants and </w:t>
      </w:r>
      <w:r w:rsidRPr="00014765">
        <w:rPr>
          <w:rFonts w:cs="Arial"/>
          <w:sz w:val="20"/>
          <w:szCs w:val="20"/>
          <w:lang w:eastAsia="en-AU"/>
        </w:rPr>
        <w:t xml:space="preserve">cultural determinants of Indigenous health: Report on the national consultations December 2017. </w:t>
      </w:r>
    </w:p>
    <w:p w:rsidR="00543F0C" w:rsidRPr="00014765" w:rsidRDefault="00543F0C" w:rsidP="00014765">
      <w:pPr>
        <w:autoSpaceDE w:val="0"/>
        <w:autoSpaceDN w:val="0"/>
        <w:spacing w:after="240"/>
        <w:jc w:val="both"/>
        <w:rPr>
          <w:rFonts w:cs="Arial"/>
          <w:b/>
          <w:sz w:val="20"/>
          <w:szCs w:val="20"/>
          <w:lang w:eastAsia="en-AU"/>
        </w:rPr>
      </w:pPr>
      <w:r w:rsidRPr="00014765">
        <w:rPr>
          <w:rFonts w:cs="Arial"/>
          <w:b/>
          <w:sz w:val="20"/>
          <w:szCs w:val="20"/>
          <w:lang w:eastAsia="en-AU"/>
        </w:rPr>
        <w:t xml:space="preserve"> Copyright </w:t>
      </w:r>
    </w:p>
    <w:p w:rsidR="00543F0C" w:rsidRDefault="00543F0C" w:rsidP="00543F0C">
      <w:pPr>
        <w:autoSpaceDE w:val="0"/>
        <w:autoSpaceDN w:val="0"/>
        <w:spacing w:after="240"/>
        <w:rPr>
          <w:rFonts w:cs="Arial"/>
          <w:color w:val="auto"/>
          <w:sz w:val="20"/>
          <w:szCs w:val="20"/>
        </w:rPr>
      </w:pPr>
      <w:r>
        <w:rPr>
          <w:rFonts w:cs="Arial"/>
          <w:sz w:val="20"/>
          <w:szCs w:val="20"/>
        </w:rPr>
        <w:t xml:space="preserve">© 2017 Commonwealth of Australia as represented by the Department of Health </w:t>
      </w:r>
    </w:p>
    <w:p w:rsidR="00543F0C" w:rsidRDefault="00543F0C" w:rsidP="00543F0C">
      <w:pPr>
        <w:autoSpaceDE w:val="0"/>
        <w:autoSpaceDN w:val="0"/>
        <w:spacing w:after="240"/>
        <w:jc w:val="both"/>
        <w:rPr>
          <w:rFonts w:cs="Arial"/>
          <w:sz w:val="20"/>
          <w:szCs w:val="20"/>
          <w:lang w:eastAsia="en-AU"/>
        </w:rPr>
      </w:pPr>
      <w:r>
        <w:rPr>
          <w:rFonts w:cs="Arial"/>
          <w:sz w:val="20"/>
          <w:szCs w:val="20"/>
          <w:lang w:eastAsia="en-AU"/>
        </w:rPr>
        <w:t>This work is copyright. You may copy, print, download, display and reproduce the whole or part of this work in unaltered form for your own personal use or, if you are part of an organisation, for internal use within your organisation, but only if you or your organisation:</w:t>
      </w:r>
    </w:p>
    <w:p w:rsidR="00543F0C" w:rsidRDefault="00543F0C" w:rsidP="00543F0C">
      <w:pPr>
        <w:numPr>
          <w:ilvl w:val="0"/>
          <w:numId w:val="23"/>
        </w:numPr>
        <w:pBdr>
          <w:top w:val="none" w:sz="0" w:space="0" w:color="auto"/>
          <w:left w:val="none" w:sz="0" w:space="0" w:color="auto"/>
          <w:bottom w:val="none" w:sz="0" w:space="0" w:color="auto"/>
          <w:right w:val="none" w:sz="0" w:space="0" w:color="auto"/>
          <w:between w:val="none" w:sz="0" w:space="0" w:color="auto"/>
        </w:pBdr>
        <w:autoSpaceDE w:val="0"/>
        <w:autoSpaceDN w:val="0"/>
        <w:spacing w:after="240" w:line="240" w:lineRule="auto"/>
        <w:ind w:hanging="720"/>
        <w:jc w:val="both"/>
        <w:rPr>
          <w:rFonts w:cs="Arial"/>
          <w:sz w:val="20"/>
          <w:szCs w:val="20"/>
          <w:lang w:eastAsia="en-AU"/>
        </w:rPr>
      </w:pPr>
      <w:r>
        <w:rPr>
          <w:rFonts w:cs="Arial"/>
          <w:sz w:val="20"/>
          <w:szCs w:val="20"/>
          <w:lang w:eastAsia="en-AU"/>
        </w:rPr>
        <w:t>do not use the copy or reproduction for any commercial purpose; and</w:t>
      </w:r>
    </w:p>
    <w:p w:rsidR="00543F0C" w:rsidRDefault="00543F0C" w:rsidP="00543F0C">
      <w:pPr>
        <w:numPr>
          <w:ilvl w:val="0"/>
          <w:numId w:val="23"/>
        </w:numPr>
        <w:pBdr>
          <w:top w:val="none" w:sz="0" w:space="0" w:color="auto"/>
          <w:left w:val="none" w:sz="0" w:space="0" w:color="auto"/>
          <w:bottom w:val="none" w:sz="0" w:space="0" w:color="auto"/>
          <w:right w:val="none" w:sz="0" w:space="0" w:color="auto"/>
          <w:between w:val="none" w:sz="0" w:space="0" w:color="auto"/>
        </w:pBdr>
        <w:autoSpaceDE w:val="0"/>
        <w:autoSpaceDN w:val="0"/>
        <w:spacing w:after="240" w:line="240" w:lineRule="auto"/>
        <w:ind w:hanging="720"/>
        <w:jc w:val="both"/>
        <w:rPr>
          <w:rFonts w:cs="Arial"/>
          <w:sz w:val="20"/>
          <w:szCs w:val="20"/>
          <w:lang w:eastAsia="en-AU"/>
        </w:rPr>
      </w:pPr>
      <w:r>
        <w:rPr>
          <w:rFonts w:cs="Arial"/>
          <w:sz w:val="20"/>
          <w:szCs w:val="20"/>
          <w:lang w:eastAsia="en-AU"/>
        </w:rPr>
        <w:t>retain this copyright notice and all disclaimer notices as part of that copy or reproduction.</w:t>
      </w:r>
    </w:p>
    <w:p w:rsidR="00543F0C" w:rsidRDefault="00543F0C" w:rsidP="00543F0C">
      <w:pPr>
        <w:autoSpaceDE w:val="0"/>
        <w:autoSpaceDN w:val="0"/>
        <w:spacing w:after="240"/>
        <w:jc w:val="both"/>
        <w:rPr>
          <w:rFonts w:cs="Arial"/>
          <w:sz w:val="20"/>
          <w:szCs w:val="20"/>
          <w:lang w:eastAsia="en-AU"/>
        </w:rPr>
      </w:pPr>
      <w:r>
        <w:rPr>
          <w:rFonts w:cs="Arial"/>
          <w:sz w:val="20"/>
          <w:szCs w:val="20"/>
          <w:lang w:eastAsia="en-AU"/>
        </w:rPr>
        <w:t xml:space="preserve">Apart from rights as permitted by the </w:t>
      </w:r>
      <w:r>
        <w:rPr>
          <w:rFonts w:cs="Arial"/>
          <w:i/>
          <w:iCs/>
          <w:sz w:val="20"/>
          <w:szCs w:val="20"/>
          <w:lang w:eastAsia="en-AU"/>
        </w:rPr>
        <w:t xml:space="preserve">Copyright Act 1968 </w:t>
      </w:r>
      <w:r>
        <w:rPr>
          <w:rFonts w:cs="Arial"/>
          <w:sz w:val="20"/>
          <w:szCs w:val="20"/>
          <w:lang w:eastAsia="en-AU"/>
        </w:rPr>
        <w:t>(Cth)</w:t>
      </w:r>
      <w:r>
        <w:rPr>
          <w:rFonts w:cs="Arial"/>
          <w:i/>
          <w:iCs/>
          <w:sz w:val="20"/>
          <w:szCs w:val="20"/>
          <w:lang w:eastAsia="en-AU"/>
        </w:rPr>
        <w:t xml:space="preserve"> </w:t>
      </w:r>
      <w:r>
        <w:rPr>
          <w:rFonts w:cs="Arial"/>
          <w:sz w:val="20"/>
          <w:szCs w:val="20"/>
          <w:lang w:eastAsia="en-AU"/>
        </w:rPr>
        <w:t>or allowed by this copyright notice</w:t>
      </w:r>
      <w:r>
        <w:rPr>
          <w:rFonts w:cs="Arial"/>
          <w:i/>
          <w:iCs/>
          <w:sz w:val="20"/>
          <w:szCs w:val="20"/>
          <w:lang w:eastAsia="en-AU"/>
        </w:rPr>
        <w:t xml:space="preserve">, </w:t>
      </w:r>
      <w:r>
        <w:rPr>
          <w:rFonts w:cs="Arial"/>
          <w:sz w:val="20"/>
          <w:szCs w:val="20"/>
          <w:lang w:eastAsia="en-AU"/>
        </w:rPr>
        <w:t>all other rights are reserved, including (but not limited to) all commercial rights.</w:t>
      </w:r>
    </w:p>
    <w:p w:rsidR="00543F0C" w:rsidRDefault="00543F0C" w:rsidP="00543F0C">
      <w:pPr>
        <w:spacing w:after="0"/>
        <w:rPr>
          <w:rFonts w:cs="Arial"/>
          <w:sz w:val="20"/>
          <w:szCs w:val="20"/>
          <w:lang w:eastAsia="en-AU"/>
        </w:rPr>
      </w:pPr>
      <w:r>
        <w:rPr>
          <w:rFonts w:cs="Arial"/>
          <w:sz w:val="20"/>
          <w:szCs w:val="20"/>
          <w:lang w:eastAsia="en-AU"/>
        </w:rPr>
        <w:t xml:space="preserve">Requests and inquiries concerning reproduction and other rights to use are to be sent to the Communication Branch, Department of Health, GPO Box 9848, Canberra ACT 2601, or via </w:t>
      </w:r>
      <w:r>
        <w:rPr>
          <w:rFonts w:cs="Arial"/>
          <w:sz w:val="20"/>
          <w:szCs w:val="20"/>
          <w:lang w:eastAsia="en-AU"/>
        </w:rPr>
        <w:br/>
        <w:t xml:space="preserve">e-mail to </w:t>
      </w:r>
      <w:hyperlink r:id="rId12" w:history="1">
        <w:r>
          <w:rPr>
            <w:rStyle w:val="Hyperlink"/>
            <w:rFonts w:cs="Arial"/>
            <w:sz w:val="20"/>
            <w:szCs w:val="20"/>
            <w:lang w:eastAsia="en-AU"/>
          </w:rPr>
          <w:t>copyright@health.gov.au</w:t>
        </w:r>
      </w:hyperlink>
    </w:p>
    <w:p w:rsidR="00543F0C" w:rsidRDefault="00543F0C" w:rsidP="00543F0C">
      <w:pPr>
        <w:spacing w:after="0"/>
        <w:rPr>
          <w:color w:val="auto"/>
          <w:sz w:val="20"/>
        </w:rPr>
      </w:pPr>
    </w:p>
    <w:p w:rsidR="00543F0C" w:rsidRDefault="00543F0C" w:rsidP="00543F0C">
      <w:pPr>
        <w:spacing w:after="0"/>
        <w:rPr>
          <w:color w:val="auto"/>
          <w:sz w:val="20"/>
        </w:rPr>
      </w:pPr>
      <w:r>
        <w:rPr>
          <w:b/>
          <w:color w:val="auto"/>
          <w:sz w:val="20"/>
        </w:rPr>
        <w:t>Attribution</w:t>
      </w:r>
      <w:r>
        <w:rPr>
          <w:color w:val="auto"/>
          <w:sz w:val="20"/>
        </w:rPr>
        <w:t xml:space="preserve"> </w:t>
      </w:r>
    </w:p>
    <w:p w:rsidR="00543F0C" w:rsidRDefault="00543F0C" w:rsidP="00543F0C">
      <w:pPr>
        <w:spacing w:after="0"/>
        <w:rPr>
          <w:color w:val="auto"/>
          <w:sz w:val="20"/>
        </w:rPr>
      </w:pPr>
      <w:r>
        <w:rPr>
          <w:color w:val="auto"/>
          <w:sz w:val="20"/>
        </w:rPr>
        <w:t xml:space="preserve">This publication should be attributed as follows: Commonwealth of Australia, Department of Health, My Life My Lead - Opportunities for strengthening approaches to the social determinants and cultural determinants of Indigenous health: Report on the national consultations December 2017. </w:t>
      </w:r>
    </w:p>
    <w:p w:rsidR="00543F0C" w:rsidRDefault="00543F0C" w:rsidP="00543F0C">
      <w:pPr>
        <w:spacing w:after="0"/>
        <w:rPr>
          <w:color w:val="auto"/>
          <w:sz w:val="20"/>
        </w:rPr>
      </w:pPr>
    </w:p>
    <w:p w:rsidR="00543F0C" w:rsidRDefault="00543F0C" w:rsidP="00543F0C">
      <w:pPr>
        <w:spacing w:after="0"/>
        <w:rPr>
          <w:b/>
          <w:color w:val="auto"/>
          <w:sz w:val="20"/>
        </w:rPr>
      </w:pPr>
      <w:r>
        <w:rPr>
          <w:b/>
          <w:color w:val="auto"/>
          <w:sz w:val="20"/>
        </w:rPr>
        <w:t>Acknowledgement of Gilimbaa</w:t>
      </w:r>
    </w:p>
    <w:p w:rsidR="00543F0C" w:rsidRDefault="00543F0C" w:rsidP="00543F0C">
      <w:pPr>
        <w:spacing w:after="0"/>
        <w:rPr>
          <w:color w:val="auto"/>
          <w:sz w:val="20"/>
        </w:rPr>
      </w:pPr>
      <w:r>
        <w:rPr>
          <w:color w:val="auto"/>
          <w:sz w:val="20"/>
        </w:rPr>
        <w:t xml:space="preserve">The original artwork was produced by Gilimbaa. Gilimbaa is an Indigenous creative agency accredited by Supply Nation. </w:t>
      </w:r>
    </w:p>
    <w:p w:rsidR="00543F0C" w:rsidRDefault="00543F0C" w:rsidP="00543F0C">
      <w:pPr>
        <w:spacing w:after="0"/>
        <w:rPr>
          <w:color w:val="auto"/>
          <w:sz w:val="20"/>
        </w:rPr>
      </w:pPr>
    </w:p>
    <w:p w:rsidR="00543F0C" w:rsidRDefault="00543F0C" w:rsidP="00543F0C">
      <w:pPr>
        <w:spacing w:after="0"/>
        <w:rPr>
          <w:color w:val="auto"/>
          <w:sz w:val="20"/>
        </w:rPr>
      </w:pPr>
      <w:r>
        <w:rPr>
          <w:color w:val="auto"/>
          <w:sz w:val="20"/>
        </w:rPr>
        <w:t xml:space="preserve">Please be aware that this document may contain the images of Aboriginal and Torres Strait Islander people who may have passed away. </w:t>
      </w:r>
    </w:p>
    <w:p w:rsidR="00543F0C" w:rsidRDefault="00543F0C" w:rsidP="00543F0C">
      <w:pPr>
        <w:spacing w:after="0"/>
        <w:rPr>
          <w:color w:val="auto"/>
          <w:sz w:val="20"/>
        </w:rPr>
      </w:pPr>
    </w:p>
    <w:p w:rsidR="00543F0C" w:rsidRDefault="00543F0C" w:rsidP="00543F0C">
      <w:pPr>
        <w:pStyle w:val="xBodytext1"/>
        <w:spacing w:after="0"/>
      </w:pPr>
      <w:r>
        <w:rPr>
          <w:color w:val="auto"/>
          <w:sz w:val="20"/>
        </w:rPr>
        <w:t>Images have been provided courtesy of the Department of the Prime Minister and Cabinet.</w:t>
      </w:r>
    </w:p>
    <w:p w:rsidR="0045107B" w:rsidRDefault="0045107B" w:rsidP="00AA7946">
      <w:pPr>
        <w:pStyle w:val="xBodytext1"/>
        <w:rPr>
          <w:color w:val="0070C0"/>
          <w:sz w:val="32"/>
          <w:szCs w:val="32"/>
        </w:rPr>
      </w:pPr>
      <w:r>
        <w:rPr>
          <w:color w:val="0070C0"/>
          <w:sz w:val="32"/>
          <w:szCs w:val="32"/>
        </w:rPr>
        <w:br w:type="page"/>
      </w:r>
    </w:p>
    <w:p w:rsidR="00AA7946" w:rsidRDefault="00AD38EF" w:rsidP="00AA7946">
      <w:pPr>
        <w:pStyle w:val="xBodytext1"/>
        <w:rPr>
          <w:color w:val="0070C0"/>
          <w:sz w:val="32"/>
          <w:szCs w:val="32"/>
        </w:rPr>
      </w:pPr>
      <w:r w:rsidRPr="00AD38EF">
        <w:rPr>
          <w:color w:val="0070C0"/>
          <w:sz w:val="32"/>
          <w:szCs w:val="32"/>
        </w:rPr>
        <w:lastRenderedPageBreak/>
        <w:t xml:space="preserve">TABLE OF CONTENTS </w:t>
      </w:r>
    </w:p>
    <w:p w:rsidR="00A32418" w:rsidRDefault="00141E1B">
      <w:pPr>
        <w:pStyle w:val="TOC1"/>
        <w:tabs>
          <w:tab w:val="right" w:leader="dot" w:pos="8636"/>
        </w:tabs>
        <w:rPr>
          <w:rFonts w:asciiTheme="minorHAnsi" w:eastAsiaTheme="minorEastAsia" w:hAnsiTheme="minorHAnsi"/>
          <w:bCs w:val="0"/>
          <w:smallCaps w:val="0"/>
          <w:noProof/>
          <w:color w:val="auto"/>
          <w:sz w:val="22"/>
          <w:szCs w:val="22"/>
          <w:lang w:eastAsia="en-AU"/>
        </w:rPr>
      </w:pPr>
      <w:r>
        <w:fldChar w:fldCharType="begin"/>
      </w:r>
      <w:r>
        <w:instrText xml:space="preserve"> TOC \o "1-1" \h \z \u </w:instrText>
      </w:r>
      <w:r>
        <w:fldChar w:fldCharType="separate"/>
      </w:r>
      <w:hyperlink w:anchor="_Toc500401387" w:history="1">
        <w:r w:rsidR="00A32418" w:rsidRPr="00A70CF7">
          <w:rPr>
            <w:rStyle w:val="Hyperlink"/>
            <w:noProof/>
          </w:rPr>
          <w:t>INTRODUCTION</w:t>
        </w:r>
        <w:r w:rsidR="00A32418">
          <w:rPr>
            <w:noProof/>
            <w:webHidden/>
          </w:rPr>
          <w:tab/>
        </w:r>
        <w:r w:rsidR="00A32418">
          <w:rPr>
            <w:noProof/>
            <w:webHidden/>
          </w:rPr>
          <w:fldChar w:fldCharType="begin"/>
        </w:r>
        <w:r w:rsidR="00A32418">
          <w:rPr>
            <w:noProof/>
            <w:webHidden/>
          </w:rPr>
          <w:instrText xml:space="preserve"> PAGEREF _Toc500401387 \h </w:instrText>
        </w:r>
        <w:r w:rsidR="00A32418">
          <w:rPr>
            <w:noProof/>
            <w:webHidden/>
          </w:rPr>
        </w:r>
        <w:r w:rsidR="00A32418">
          <w:rPr>
            <w:noProof/>
            <w:webHidden/>
          </w:rPr>
          <w:fldChar w:fldCharType="separate"/>
        </w:r>
        <w:r w:rsidR="00A32418">
          <w:rPr>
            <w:noProof/>
            <w:webHidden/>
          </w:rPr>
          <w:t>4</w:t>
        </w:r>
        <w:r w:rsidR="00A32418">
          <w:rPr>
            <w:noProof/>
            <w:webHidden/>
          </w:rPr>
          <w:fldChar w:fldCharType="end"/>
        </w:r>
      </w:hyperlink>
    </w:p>
    <w:p w:rsidR="00A32418" w:rsidRDefault="007C26A9">
      <w:pPr>
        <w:pStyle w:val="TOC1"/>
        <w:tabs>
          <w:tab w:val="right" w:leader="dot" w:pos="8636"/>
        </w:tabs>
        <w:rPr>
          <w:rFonts w:asciiTheme="minorHAnsi" w:eastAsiaTheme="minorEastAsia" w:hAnsiTheme="minorHAnsi"/>
          <w:bCs w:val="0"/>
          <w:smallCaps w:val="0"/>
          <w:noProof/>
          <w:color w:val="auto"/>
          <w:sz w:val="22"/>
          <w:szCs w:val="22"/>
          <w:lang w:eastAsia="en-AU"/>
        </w:rPr>
      </w:pPr>
      <w:hyperlink w:anchor="_Toc500401388" w:history="1">
        <w:r w:rsidR="00A32418" w:rsidRPr="00A70CF7">
          <w:rPr>
            <w:rStyle w:val="Hyperlink"/>
            <w:noProof/>
          </w:rPr>
          <w:t>WHY IS A SOCIAL DETERMINANTS AND CULTURAL DETERMINANTS TO HEALTH APPROACH NEEDED?</w:t>
        </w:r>
        <w:r w:rsidR="00A32418">
          <w:rPr>
            <w:noProof/>
            <w:webHidden/>
          </w:rPr>
          <w:tab/>
        </w:r>
        <w:r w:rsidR="00A32418">
          <w:rPr>
            <w:noProof/>
            <w:webHidden/>
          </w:rPr>
          <w:fldChar w:fldCharType="begin"/>
        </w:r>
        <w:r w:rsidR="00A32418">
          <w:rPr>
            <w:noProof/>
            <w:webHidden/>
          </w:rPr>
          <w:instrText xml:space="preserve"> PAGEREF _Toc500401388 \h </w:instrText>
        </w:r>
        <w:r w:rsidR="00A32418">
          <w:rPr>
            <w:noProof/>
            <w:webHidden/>
          </w:rPr>
        </w:r>
        <w:r w:rsidR="00A32418">
          <w:rPr>
            <w:noProof/>
            <w:webHidden/>
          </w:rPr>
          <w:fldChar w:fldCharType="separate"/>
        </w:r>
        <w:r w:rsidR="00A32418">
          <w:rPr>
            <w:noProof/>
            <w:webHidden/>
          </w:rPr>
          <w:t>6</w:t>
        </w:r>
        <w:r w:rsidR="00A32418">
          <w:rPr>
            <w:noProof/>
            <w:webHidden/>
          </w:rPr>
          <w:fldChar w:fldCharType="end"/>
        </w:r>
      </w:hyperlink>
    </w:p>
    <w:p w:rsidR="00A32418" w:rsidRDefault="007C26A9">
      <w:pPr>
        <w:pStyle w:val="TOC1"/>
        <w:tabs>
          <w:tab w:val="right" w:leader="dot" w:pos="8636"/>
        </w:tabs>
        <w:rPr>
          <w:rFonts w:asciiTheme="minorHAnsi" w:eastAsiaTheme="minorEastAsia" w:hAnsiTheme="minorHAnsi"/>
          <w:bCs w:val="0"/>
          <w:smallCaps w:val="0"/>
          <w:noProof/>
          <w:color w:val="auto"/>
          <w:sz w:val="22"/>
          <w:szCs w:val="22"/>
          <w:lang w:eastAsia="en-AU"/>
        </w:rPr>
      </w:pPr>
      <w:hyperlink w:anchor="_Toc500401389" w:history="1">
        <w:r w:rsidR="00A32418" w:rsidRPr="00A70CF7">
          <w:rPr>
            <w:rStyle w:val="Hyperlink"/>
            <w:noProof/>
          </w:rPr>
          <w:t>WHAT MAKES THIS APPROACH DIFFERENT?</w:t>
        </w:r>
        <w:r w:rsidR="00A32418">
          <w:rPr>
            <w:noProof/>
            <w:webHidden/>
          </w:rPr>
          <w:tab/>
        </w:r>
        <w:r w:rsidR="00A32418">
          <w:rPr>
            <w:noProof/>
            <w:webHidden/>
          </w:rPr>
          <w:fldChar w:fldCharType="begin"/>
        </w:r>
        <w:r w:rsidR="00A32418">
          <w:rPr>
            <w:noProof/>
            <w:webHidden/>
          </w:rPr>
          <w:instrText xml:space="preserve"> PAGEREF _Toc500401389 \h </w:instrText>
        </w:r>
        <w:r w:rsidR="00A32418">
          <w:rPr>
            <w:noProof/>
            <w:webHidden/>
          </w:rPr>
        </w:r>
        <w:r w:rsidR="00A32418">
          <w:rPr>
            <w:noProof/>
            <w:webHidden/>
          </w:rPr>
          <w:fldChar w:fldCharType="separate"/>
        </w:r>
        <w:r w:rsidR="00A32418">
          <w:rPr>
            <w:noProof/>
            <w:webHidden/>
          </w:rPr>
          <w:t>7</w:t>
        </w:r>
        <w:r w:rsidR="00A32418">
          <w:rPr>
            <w:noProof/>
            <w:webHidden/>
          </w:rPr>
          <w:fldChar w:fldCharType="end"/>
        </w:r>
      </w:hyperlink>
    </w:p>
    <w:p w:rsidR="00A32418" w:rsidRDefault="007C26A9">
      <w:pPr>
        <w:pStyle w:val="TOC1"/>
        <w:tabs>
          <w:tab w:val="right" w:leader="dot" w:pos="8636"/>
        </w:tabs>
        <w:rPr>
          <w:rFonts w:asciiTheme="minorHAnsi" w:eastAsiaTheme="minorEastAsia" w:hAnsiTheme="minorHAnsi"/>
          <w:bCs w:val="0"/>
          <w:smallCaps w:val="0"/>
          <w:noProof/>
          <w:color w:val="auto"/>
          <w:sz w:val="22"/>
          <w:szCs w:val="22"/>
          <w:lang w:eastAsia="en-AU"/>
        </w:rPr>
      </w:pPr>
      <w:hyperlink w:anchor="_Toc500401390" w:history="1">
        <w:r w:rsidR="00A32418" w:rsidRPr="00A70CF7">
          <w:rPr>
            <w:rStyle w:val="Hyperlink"/>
            <w:noProof/>
          </w:rPr>
          <w:t>PRIORITY AREA 1: CULTURE AT THE CENTRE OF CHANGE</w:t>
        </w:r>
        <w:r w:rsidR="00A32418">
          <w:rPr>
            <w:noProof/>
            <w:webHidden/>
          </w:rPr>
          <w:tab/>
        </w:r>
        <w:r w:rsidR="00A32418">
          <w:rPr>
            <w:noProof/>
            <w:webHidden/>
          </w:rPr>
          <w:fldChar w:fldCharType="begin"/>
        </w:r>
        <w:r w:rsidR="00A32418">
          <w:rPr>
            <w:noProof/>
            <w:webHidden/>
          </w:rPr>
          <w:instrText xml:space="preserve"> PAGEREF _Toc500401390 \h </w:instrText>
        </w:r>
        <w:r w:rsidR="00A32418">
          <w:rPr>
            <w:noProof/>
            <w:webHidden/>
          </w:rPr>
        </w:r>
        <w:r w:rsidR="00A32418">
          <w:rPr>
            <w:noProof/>
            <w:webHidden/>
          </w:rPr>
          <w:fldChar w:fldCharType="separate"/>
        </w:r>
        <w:r w:rsidR="00A32418">
          <w:rPr>
            <w:noProof/>
            <w:webHidden/>
          </w:rPr>
          <w:t>9</w:t>
        </w:r>
        <w:r w:rsidR="00A32418">
          <w:rPr>
            <w:noProof/>
            <w:webHidden/>
          </w:rPr>
          <w:fldChar w:fldCharType="end"/>
        </w:r>
      </w:hyperlink>
    </w:p>
    <w:p w:rsidR="00A32418" w:rsidRDefault="007C26A9">
      <w:pPr>
        <w:pStyle w:val="TOC1"/>
        <w:tabs>
          <w:tab w:val="right" w:leader="dot" w:pos="8636"/>
        </w:tabs>
        <w:rPr>
          <w:rFonts w:asciiTheme="minorHAnsi" w:eastAsiaTheme="minorEastAsia" w:hAnsiTheme="minorHAnsi"/>
          <w:bCs w:val="0"/>
          <w:smallCaps w:val="0"/>
          <w:noProof/>
          <w:color w:val="auto"/>
          <w:sz w:val="22"/>
          <w:szCs w:val="22"/>
          <w:lang w:eastAsia="en-AU"/>
        </w:rPr>
      </w:pPr>
      <w:hyperlink w:anchor="_Toc500401391" w:history="1">
        <w:r w:rsidR="00A32418" w:rsidRPr="00A70CF7">
          <w:rPr>
            <w:rStyle w:val="Hyperlink"/>
            <w:noProof/>
          </w:rPr>
          <w:t>PRIORITY AREA 2: SUCCESS AND WELLBEING FOR HEALTH THROUGH EMPLOYMENT</w:t>
        </w:r>
        <w:r w:rsidR="00A32418">
          <w:rPr>
            <w:noProof/>
            <w:webHidden/>
          </w:rPr>
          <w:tab/>
        </w:r>
        <w:r w:rsidR="00A32418">
          <w:rPr>
            <w:noProof/>
            <w:webHidden/>
          </w:rPr>
          <w:fldChar w:fldCharType="begin"/>
        </w:r>
        <w:r w:rsidR="00A32418">
          <w:rPr>
            <w:noProof/>
            <w:webHidden/>
          </w:rPr>
          <w:instrText xml:space="preserve"> PAGEREF _Toc500401391 \h </w:instrText>
        </w:r>
        <w:r w:rsidR="00A32418">
          <w:rPr>
            <w:noProof/>
            <w:webHidden/>
          </w:rPr>
        </w:r>
        <w:r w:rsidR="00A32418">
          <w:rPr>
            <w:noProof/>
            <w:webHidden/>
          </w:rPr>
          <w:fldChar w:fldCharType="separate"/>
        </w:r>
        <w:r w:rsidR="00A32418">
          <w:rPr>
            <w:noProof/>
            <w:webHidden/>
          </w:rPr>
          <w:t>11</w:t>
        </w:r>
        <w:r w:rsidR="00A32418">
          <w:rPr>
            <w:noProof/>
            <w:webHidden/>
          </w:rPr>
          <w:fldChar w:fldCharType="end"/>
        </w:r>
      </w:hyperlink>
    </w:p>
    <w:p w:rsidR="00A32418" w:rsidRDefault="007C26A9">
      <w:pPr>
        <w:pStyle w:val="TOC1"/>
        <w:tabs>
          <w:tab w:val="right" w:leader="dot" w:pos="8636"/>
        </w:tabs>
        <w:rPr>
          <w:rFonts w:asciiTheme="minorHAnsi" w:eastAsiaTheme="minorEastAsia" w:hAnsiTheme="minorHAnsi"/>
          <w:bCs w:val="0"/>
          <w:smallCaps w:val="0"/>
          <w:noProof/>
          <w:color w:val="auto"/>
          <w:sz w:val="22"/>
          <w:szCs w:val="22"/>
          <w:lang w:eastAsia="en-AU"/>
        </w:rPr>
      </w:pPr>
      <w:hyperlink w:anchor="_Toc500401392" w:history="1">
        <w:r w:rsidR="00A32418" w:rsidRPr="00A70CF7">
          <w:rPr>
            <w:rStyle w:val="Hyperlink"/>
            <w:noProof/>
          </w:rPr>
          <w:t>PRIORITY AREA 3: FOUNDATIONS FOR A HEALTHY LIFE</w:t>
        </w:r>
        <w:r w:rsidR="00A32418">
          <w:rPr>
            <w:noProof/>
            <w:webHidden/>
          </w:rPr>
          <w:tab/>
        </w:r>
        <w:r w:rsidR="00A32418">
          <w:rPr>
            <w:noProof/>
            <w:webHidden/>
          </w:rPr>
          <w:fldChar w:fldCharType="begin"/>
        </w:r>
        <w:r w:rsidR="00A32418">
          <w:rPr>
            <w:noProof/>
            <w:webHidden/>
          </w:rPr>
          <w:instrText xml:space="preserve"> PAGEREF _Toc500401392 \h </w:instrText>
        </w:r>
        <w:r w:rsidR="00A32418">
          <w:rPr>
            <w:noProof/>
            <w:webHidden/>
          </w:rPr>
        </w:r>
        <w:r w:rsidR="00A32418">
          <w:rPr>
            <w:noProof/>
            <w:webHidden/>
          </w:rPr>
          <w:fldChar w:fldCharType="separate"/>
        </w:r>
        <w:r w:rsidR="00A32418">
          <w:rPr>
            <w:noProof/>
            <w:webHidden/>
          </w:rPr>
          <w:t>14</w:t>
        </w:r>
        <w:r w:rsidR="00A32418">
          <w:rPr>
            <w:noProof/>
            <w:webHidden/>
          </w:rPr>
          <w:fldChar w:fldCharType="end"/>
        </w:r>
      </w:hyperlink>
    </w:p>
    <w:p w:rsidR="00A32418" w:rsidRDefault="007C26A9">
      <w:pPr>
        <w:pStyle w:val="TOC1"/>
        <w:tabs>
          <w:tab w:val="right" w:leader="dot" w:pos="8636"/>
        </w:tabs>
        <w:rPr>
          <w:rFonts w:asciiTheme="minorHAnsi" w:eastAsiaTheme="minorEastAsia" w:hAnsiTheme="minorHAnsi"/>
          <w:bCs w:val="0"/>
          <w:smallCaps w:val="0"/>
          <w:noProof/>
          <w:color w:val="auto"/>
          <w:sz w:val="22"/>
          <w:szCs w:val="22"/>
          <w:lang w:eastAsia="en-AU"/>
        </w:rPr>
      </w:pPr>
      <w:hyperlink w:anchor="_Toc500401393" w:history="1">
        <w:r w:rsidR="00A32418" w:rsidRPr="00A70CF7">
          <w:rPr>
            <w:rStyle w:val="Hyperlink"/>
            <w:noProof/>
          </w:rPr>
          <w:t>PRIORITY AREA 4: ENVIRONMENTAL HEALTH</w:t>
        </w:r>
        <w:r w:rsidR="00A32418">
          <w:rPr>
            <w:noProof/>
            <w:webHidden/>
          </w:rPr>
          <w:tab/>
        </w:r>
        <w:r w:rsidR="00A32418">
          <w:rPr>
            <w:noProof/>
            <w:webHidden/>
          </w:rPr>
          <w:fldChar w:fldCharType="begin"/>
        </w:r>
        <w:r w:rsidR="00A32418">
          <w:rPr>
            <w:noProof/>
            <w:webHidden/>
          </w:rPr>
          <w:instrText xml:space="preserve"> PAGEREF _Toc500401393 \h </w:instrText>
        </w:r>
        <w:r w:rsidR="00A32418">
          <w:rPr>
            <w:noProof/>
            <w:webHidden/>
          </w:rPr>
        </w:r>
        <w:r w:rsidR="00A32418">
          <w:rPr>
            <w:noProof/>
            <w:webHidden/>
          </w:rPr>
          <w:fldChar w:fldCharType="separate"/>
        </w:r>
        <w:r w:rsidR="00A32418">
          <w:rPr>
            <w:noProof/>
            <w:webHidden/>
          </w:rPr>
          <w:t>17</w:t>
        </w:r>
        <w:r w:rsidR="00A32418">
          <w:rPr>
            <w:noProof/>
            <w:webHidden/>
          </w:rPr>
          <w:fldChar w:fldCharType="end"/>
        </w:r>
      </w:hyperlink>
    </w:p>
    <w:p w:rsidR="00A32418" w:rsidRDefault="007C26A9">
      <w:pPr>
        <w:pStyle w:val="TOC1"/>
        <w:tabs>
          <w:tab w:val="right" w:leader="dot" w:pos="8636"/>
        </w:tabs>
        <w:rPr>
          <w:rFonts w:asciiTheme="minorHAnsi" w:eastAsiaTheme="minorEastAsia" w:hAnsiTheme="minorHAnsi"/>
          <w:bCs w:val="0"/>
          <w:smallCaps w:val="0"/>
          <w:noProof/>
          <w:color w:val="auto"/>
          <w:sz w:val="22"/>
          <w:szCs w:val="22"/>
          <w:lang w:eastAsia="en-AU"/>
        </w:rPr>
      </w:pPr>
      <w:hyperlink w:anchor="_Toc500401394" w:history="1">
        <w:r w:rsidR="00A32418" w:rsidRPr="00A70CF7">
          <w:rPr>
            <w:rStyle w:val="Hyperlink"/>
            <w:noProof/>
          </w:rPr>
          <w:t>PRIORITY AREA 5: HEALTHY LIVING AND STRONG COMMUNITIES</w:t>
        </w:r>
        <w:r w:rsidR="00A32418">
          <w:rPr>
            <w:noProof/>
            <w:webHidden/>
          </w:rPr>
          <w:tab/>
        </w:r>
        <w:r w:rsidR="00A32418">
          <w:rPr>
            <w:noProof/>
            <w:webHidden/>
          </w:rPr>
          <w:fldChar w:fldCharType="begin"/>
        </w:r>
        <w:r w:rsidR="00A32418">
          <w:rPr>
            <w:noProof/>
            <w:webHidden/>
          </w:rPr>
          <w:instrText xml:space="preserve"> PAGEREF _Toc500401394 \h </w:instrText>
        </w:r>
        <w:r w:rsidR="00A32418">
          <w:rPr>
            <w:noProof/>
            <w:webHidden/>
          </w:rPr>
        </w:r>
        <w:r w:rsidR="00A32418">
          <w:rPr>
            <w:noProof/>
            <w:webHidden/>
          </w:rPr>
          <w:fldChar w:fldCharType="separate"/>
        </w:r>
        <w:r w:rsidR="00A32418">
          <w:rPr>
            <w:noProof/>
            <w:webHidden/>
          </w:rPr>
          <w:t>20</w:t>
        </w:r>
        <w:r w:rsidR="00A32418">
          <w:rPr>
            <w:noProof/>
            <w:webHidden/>
          </w:rPr>
          <w:fldChar w:fldCharType="end"/>
        </w:r>
      </w:hyperlink>
    </w:p>
    <w:p w:rsidR="00A32418" w:rsidRDefault="007C26A9">
      <w:pPr>
        <w:pStyle w:val="TOC1"/>
        <w:tabs>
          <w:tab w:val="right" w:leader="dot" w:pos="8636"/>
        </w:tabs>
        <w:rPr>
          <w:rFonts w:asciiTheme="minorHAnsi" w:eastAsiaTheme="minorEastAsia" w:hAnsiTheme="minorHAnsi"/>
          <w:bCs w:val="0"/>
          <w:smallCaps w:val="0"/>
          <w:noProof/>
          <w:color w:val="auto"/>
          <w:sz w:val="22"/>
          <w:szCs w:val="22"/>
          <w:lang w:eastAsia="en-AU"/>
        </w:rPr>
      </w:pPr>
      <w:hyperlink w:anchor="_Toc500401395" w:history="1">
        <w:r w:rsidR="00A32418" w:rsidRPr="00A70CF7">
          <w:rPr>
            <w:rStyle w:val="Hyperlink"/>
            <w:noProof/>
          </w:rPr>
          <w:t>PRIORITY AREA 6: HEALTH SERVICE ACCESS</w:t>
        </w:r>
        <w:r w:rsidR="00A32418">
          <w:rPr>
            <w:noProof/>
            <w:webHidden/>
          </w:rPr>
          <w:tab/>
        </w:r>
        <w:r w:rsidR="00A32418">
          <w:rPr>
            <w:noProof/>
            <w:webHidden/>
          </w:rPr>
          <w:fldChar w:fldCharType="begin"/>
        </w:r>
        <w:r w:rsidR="00A32418">
          <w:rPr>
            <w:noProof/>
            <w:webHidden/>
          </w:rPr>
          <w:instrText xml:space="preserve"> PAGEREF _Toc500401395 \h </w:instrText>
        </w:r>
        <w:r w:rsidR="00A32418">
          <w:rPr>
            <w:noProof/>
            <w:webHidden/>
          </w:rPr>
        </w:r>
        <w:r w:rsidR="00A32418">
          <w:rPr>
            <w:noProof/>
            <w:webHidden/>
          </w:rPr>
          <w:fldChar w:fldCharType="separate"/>
        </w:r>
        <w:r w:rsidR="00A32418">
          <w:rPr>
            <w:noProof/>
            <w:webHidden/>
          </w:rPr>
          <w:t>23</w:t>
        </w:r>
        <w:r w:rsidR="00A32418">
          <w:rPr>
            <w:noProof/>
            <w:webHidden/>
          </w:rPr>
          <w:fldChar w:fldCharType="end"/>
        </w:r>
      </w:hyperlink>
    </w:p>
    <w:p w:rsidR="00A32418" w:rsidRDefault="007C26A9">
      <w:pPr>
        <w:pStyle w:val="TOC1"/>
        <w:tabs>
          <w:tab w:val="right" w:leader="dot" w:pos="8636"/>
        </w:tabs>
        <w:rPr>
          <w:rFonts w:asciiTheme="minorHAnsi" w:eastAsiaTheme="minorEastAsia" w:hAnsiTheme="minorHAnsi"/>
          <w:bCs w:val="0"/>
          <w:smallCaps w:val="0"/>
          <w:noProof/>
          <w:color w:val="auto"/>
          <w:sz w:val="22"/>
          <w:szCs w:val="22"/>
          <w:lang w:eastAsia="en-AU"/>
        </w:rPr>
      </w:pPr>
      <w:hyperlink w:anchor="_Toc500401396" w:history="1">
        <w:r w:rsidR="00A32418" w:rsidRPr="00A70CF7">
          <w:rPr>
            <w:rStyle w:val="Hyperlink"/>
            <w:noProof/>
          </w:rPr>
          <w:t>PRIORITY AREA 7: HEALTH AND OPPORTUNITY THROUGH EDUCATION</w:t>
        </w:r>
        <w:r w:rsidR="00A32418">
          <w:rPr>
            <w:noProof/>
            <w:webHidden/>
          </w:rPr>
          <w:tab/>
        </w:r>
        <w:r w:rsidR="00A32418">
          <w:rPr>
            <w:noProof/>
            <w:webHidden/>
          </w:rPr>
          <w:fldChar w:fldCharType="begin"/>
        </w:r>
        <w:r w:rsidR="00A32418">
          <w:rPr>
            <w:noProof/>
            <w:webHidden/>
          </w:rPr>
          <w:instrText xml:space="preserve"> PAGEREF _Toc500401396 \h </w:instrText>
        </w:r>
        <w:r w:rsidR="00A32418">
          <w:rPr>
            <w:noProof/>
            <w:webHidden/>
          </w:rPr>
        </w:r>
        <w:r w:rsidR="00A32418">
          <w:rPr>
            <w:noProof/>
            <w:webHidden/>
          </w:rPr>
          <w:fldChar w:fldCharType="separate"/>
        </w:r>
        <w:r w:rsidR="00A32418">
          <w:rPr>
            <w:noProof/>
            <w:webHidden/>
          </w:rPr>
          <w:t>26</w:t>
        </w:r>
        <w:r w:rsidR="00A32418">
          <w:rPr>
            <w:noProof/>
            <w:webHidden/>
          </w:rPr>
          <w:fldChar w:fldCharType="end"/>
        </w:r>
      </w:hyperlink>
    </w:p>
    <w:p w:rsidR="00A32418" w:rsidRDefault="007C26A9">
      <w:pPr>
        <w:pStyle w:val="TOC1"/>
        <w:tabs>
          <w:tab w:val="right" w:leader="dot" w:pos="8636"/>
        </w:tabs>
        <w:rPr>
          <w:rFonts w:asciiTheme="minorHAnsi" w:eastAsiaTheme="minorEastAsia" w:hAnsiTheme="minorHAnsi"/>
          <w:bCs w:val="0"/>
          <w:smallCaps w:val="0"/>
          <w:noProof/>
          <w:color w:val="auto"/>
          <w:sz w:val="22"/>
          <w:szCs w:val="22"/>
          <w:lang w:eastAsia="en-AU"/>
        </w:rPr>
      </w:pPr>
      <w:hyperlink w:anchor="_Toc500401397" w:history="1">
        <w:r w:rsidR="00A32418" w:rsidRPr="00A70CF7">
          <w:rPr>
            <w:rStyle w:val="Hyperlink"/>
            <w:noProof/>
          </w:rPr>
          <w:t>NEXT STEPS</w:t>
        </w:r>
        <w:r w:rsidR="00A32418">
          <w:rPr>
            <w:noProof/>
            <w:webHidden/>
          </w:rPr>
          <w:tab/>
        </w:r>
        <w:r w:rsidR="00A32418">
          <w:rPr>
            <w:noProof/>
            <w:webHidden/>
          </w:rPr>
          <w:fldChar w:fldCharType="begin"/>
        </w:r>
        <w:r w:rsidR="00A32418">
          <w:rPr>
            <w:noProof/>
            <w:webHidden/>
          </w:rPr>
          <w:instrText xml:space="preserve"> PAGEREF _Toc500401397 \h </w:instrText>
        </w:r>
        <w:r w:rsidR="00A32418">
          <w:rPr>
            <w:noProof/>
            <w:webHidden/>
          </w:rPr>
        </w:r>
        <w:r w:rsidR="00A32418">
          <w:rPr>
            <w:noProof/>
            <w:webHidden/>
          </w:rPr>
          <w:fldChar w:fldCharType="separate"/>
        </w:r>
        <w:r w:rsidR="00A32418">
          <w:rPr>
            <w:noProof/>
            <w:webHidden/>
          </w:rPr>
          <w:t>29</w:t>
        </w:r>
        <w:r w:rsidR="00A32418">
          <w:rPr>
            <w:noProof/>
            <w:webHidden/>
          </w:rPr>
          <w:fldChar w:fldCharType="end"/>
        </w:r>
      </w:hyperlink>
    </w:p>
    <w:p w:rsidR="00A32418" w:rsidRDefault="007C26A9">
      <w:pPr>
        <w:pStyle w:val="TOC1"/>
        <w:tabs>
          <w:tab w:val="right" w:leader="dot" w:pos="8636"/>
        </w:tabs>
        <w:rPr>
          <w:rFonts w:asciiTheme="minorHAnsi" w:eastAsiaTheme="minorEastAsia" w:hAnsiTheme="minorHAnsi"/>
          <w:bCs w:val="0"/>
          <w:smallCaps w:val="0"/>
          <w:noProof/>
          <w:color w:val="auto"/>
          <w:sz w:val="22"/>
          <w:szCs w:val="22"/>
          <w:lang w:eastAsia="en-AU"/>
        </w:rPr>
      </w:pPr>
      <w:hyperlink w:anchor="_Toc500401398" w:history="1">
        <w:r w:rsidR="00A32418" w:rsidRPr="00A70CF7">
          <w:rPr>
            <w:rStyle w:val="Hyperlink"/>
            <w:noProof/>
          </w:rPr>
          <w:t>REFERENCES</w:t>
        </w:r>
        <w:r w:rsidR="00A32418">
          <w:rPr>
            <w:noProof/>
            <w:webHidden/>
          </w:rPr>
          <w:tab/>
        </w:r>
        <w:r w:rsidR="00A32418">
          <w:rPr>
            <w:noProof/>
            <w:webHidden/>
          </w:rPr>
          <w:fldChar w:fldCharType="begin"/>
        </w:r>
        <w:r w:rsidR="00A32418">
          <w:rPr>
            <w:noProof/>
            <w:webHidden/>
          </w:rPr>
          <w:instrText xml:space="preserve"> PAGEREF _Toc500401398 \h </w:instrText>
        </w:r>
        <w:r w:rsidR="00A32418">
          <w:rPr>
            <w:noProof/>
            <w:webHidden/>
          </w:rPr>
        </w:r>
        <w:r w:rsidR="00A32418">
          <w:rPr>
            <w:noProof/>
            <w:webHidden/>
          </w:rPr>
          <w:fldChar w:fldCharType="separate"/>
        </w:r>
        <w:r w:rsidR="00A32418">
          <w:rPr>
            <w:noProof/>
            <w:webHidden/>
          </w:rPr>
          <w:t>30</w:t>
        </w:r>
        <w:r w:rsidR="00A32418">
          <w:rPr>
            <w:noProof/>
            <w:webHidden/>
          </w:rPr>
          <w:fldChar w:fldCharType="end"/>
        </w:r>
      </w:hyperlink>
    </w:p>
    <w:p w:rsidR="00EA204A" w:rsidRPr="007D6A23" w:rsidRDefault="00141E1B" w:rsidP="007D6A23">
      <w:pPr>
        <w:pStyle w:val="xbodytext"/>
      </w:pPr>
      <w:r>
        <w:fldChar w:fldCharType="end"/>
      </w:r>
    </w:p>
    <w:p w:rsidR="005C71B6" w:rsidRDefault="007A2DDA" w:rsidP="005C71B6">
      <w:pPr>
        <w:pStyle w:val="xBodyText10"/>
        <w:rPr>
          <w:rFonts w:eastAsia="Times New Roman"/>
          <w:sz w:val="22"/>
          <w:szCs w:val="22"/>
          <w:lang w:val="en"/>
        </w:rPr>
      </w:pPr>
      <w:bookmarkStart w:id="1" w:name="_1fob9te" w:colFirst="0" w:colLast="0"/>
      <w:bookmarkEnd w:id="1"/>
      <w:r>
        <w:br w:type="page"/>
      </w:r>
      <w:bookmarkStart w:id="2" w:name="_Toc488832709"/>
      <w:bookmarkStart w:id="3" w:name="_Toc490742925"/>
      <w:bookmarkStart w:id="4" w:name="_Toc490818563"/>
    </w:p>
    <w:p w:rsidR="003A3280" w:rsidRPr="00EA4A9D" w:rsidRDefault="009E0011" w:rsidP="0016555F">
      <w:pPr>
        <w:pStyle w:val="Heading1BlueAllCaps"/>
      </w:pPr>
      <w:bookmarkStart w:id="5" w:name="_Toc500401387"/>
      <w:r>
        <w:lastRenderedPageBreak/>
        <w:t>INTRODUCTION</w:t>
      </w:r>
      <w:bookmarkEnd w:id="5"/>
    </w:p>
    <w:p w:rsidR="00312F00" w:rsidRPr="00A02A83" w:rsidRDefault="001568DD" w:rsidP="00A02A83">
      <w:pPr>
        <w:pBdr>
          <w:top w:val="none" w:sz="0" w:space="0" w:color="auto"/>
          <w:left w:val="none" w:sz="0" w:space="0" w:color="auto"/>
          <w:bottom w:val="none" w:sz="0" w:space="0" w:color="auto"/>
          <w:right w:val="none" w:sz="0" w:space="0" w:color="auto"/>
          <w:between w:val="none" w:sz="0" w:space="0" w:color="auto"/>
        </w:pBdr>
        <w:jc w:val="both"/>
        <w:rPr>
          <w:rFonts w:eastAsia="Calibri" w:cs="Times New Roman"/>
          <w:color w:val="323E4F"/>
          <w:szCs w:val="20"/>
          <w:lang w:eastAsia="en-AU"/>
        </w:rPr>
      </w:pPr>
      <w:r w:rsidRPr="00A02A83">
        <w:rPr>
          <w:rFonts w:eastAsia="Calibri" w:cs="Times New Roman"/>
          <w:color w:val="323E4F"/>
          <w:szCs w:val="20"/>
          <w:lang w:eastAsia="en-AU"/>
        </w:rPr>
        <w:t>Between March and</w:t>
      </w:r>
      <w:r w:rsidR="00312F00" w:rsidRPr="00A02A83">
        <w:rPr>
          <w:rFonts w:eastAsia="Calibri" w:cs="Times New Roman"/>
          <w:color w:val="323E4F"/>
          <w:szCs w:val="20"/>
          <w:lang w:eastAsia="en-AU"/>
        </w:rPr>
        <w:t xml:space="preserve"> May 2017, the </w:t>
      </w:r>
      <w:r w:rsidR="005E13AD">
        <w:rPr>
          <w:rFonts w:eastAsia="Calibri" w:cs="Times New Roman"/>
          <w:color w:val="323E4F"/>
          <w:szCs w:val="20"/>
          <w:lang w:eastAsia="en-AU"/>
        </w:rPr>
        <w:t xml:space="preserve">Australian Government </w:t>
      </w:r>
      <w:r w:rsidR="00312F00" w:rsidRPr="00A02A83">
        <w:rPr>
          <w:rFonts w:eastAsia="Calibri" w:cs="Times New Roman"/>
          <w:color w:val="323E4F"/>
          <w:szCs w:val="20"/>
          <w:lang w:eastAsia="en-AU"/>
        </w:rPr>
        <w:t xml:space="preserve">Department of Health, in conjunction with the Advisory Group on the Implementation Plan for the </w:t>
      </w:r>
      <w:r w:rsidR="00312F00" w:rsidRPr="00A02A83">
        <w:rPr>
          <w:rFonts w:eastAsia="Calibri" w:cs="Times New Roman"/>
          <w:i/>
          <w:color w:val="323E4F"/>
          <w:szCs w:val="20"/>
          <w:lang w:eastAsia="en-AU"/>
        </w:rPr>
        <w:t>National Aboriginal and Torres Strait Islander Health Plan 2013-2023</w:t>
      </w:r>
      <w:r w:rsidR="002471E6" w:rsidRPr="00A02A83">
        <w:rPr>
          <w:rFonts w:eastAsia="Calibri" w:cs="Times New Roman"/>
          <w:color w:val="323E4F"/>
          <w:szCs w:val="20"/>
          <w:lang w:eastAsia="en-AU"/>
        </w:rPr>
        <w:t xml:space="preserve"> (Implementation Plan)</w:t>
      </w:r>
      <w:r w:rsidR="00312F00" w:rsidRPr="00A02A83">
        <w:rPr>
          <w:rFonts w:eastAsia="Calibri" w:cs="Times New Roman"/>
          <w:color w:val="323E4F"/>
          <w:szCs w:val="20"/>
          <w:lang w:eastAsia="en-AU"/>
        </w:rPr>
        <w:t>, led an extensive consultation process (</w:t>
      </w:r>
      <w:r w:rsidR="00312F00" w:rsidRPr="00A02A83">
        <w:rPr>
          <w:rFonts w:eastAsia="Calibri" w:cs="Times New Roman"/>
          <w:i/>
          <w:color w:val="323E4F"/>
          <w:szCs w:val="20"/>
          <w:lang w:eastAsia="en-AU"/>
        </w:rPr>
        <w:t>My Life My Lead</w:t>
      </w:r>
      <w:r w:rsidR="00312F00" w:rsidRPr="00A02A83">
        <w:rPr>
          <w:rFonts w:eastAsia="Calibri" w:cs="Times New Roman"/>
          <w:color w:val="323E4F"/>
          <w:szCs w:val="20"/>
          <w:lang w:eastAsia="en-AU"/>
        </w:rPr>
        <w:t xml:space="preserve">) across Australia to listen to people share their stories and experiences. </w:t>
      </w:r>
      <w:r w:rsidR="002471E6" w:rsidRPr="00A02A83">
        <w:rPr>
          <w:rFonts w:eastAsia="Calibri" w:cs="Times New Roman"/>
          <w:color w:val="323E4F"/>
          <w:szCs w:val="20"/>
          <w:lang w:eastAsia="en-AU"/>
        </w:rPr>
        <w:t xml:space="preserve">This is part of the ongoing commitment under the Implementation Plan to consider the social determinants and cultural determinants of Indigenous health. </w:t>
      </w:r>
    </w:p>
    <w:p w:rsidR="00312F00" w:rsidRPr="00A02A83" w:rsidRDefault="00312F00" w:rsidP="00A02A83">
      <w:pPr>
        <w:pBdr>
          <w:top w:val="none" w:sz="0" w:space="0" w:color="auto"/>
          <w:left w:val="none" w:sz="0" w:space="0" w:color="auto"/>
          <w:bottom w:val="none" w:sz="0" w:space="0" w:color="auto"/>
          <w:right w:val="none" w:sz="0" w:space="0" w:color="auto"/>
          <w:between w:val="none" w:sz="0" w:space="0" w:color="auto"/>
        </w:pBdr>
        <w:jc w:val="both"/>
        <w:rPr>
          <w:rFonts w:eastAsia="Calibri" w:cs="Times New Roman"/>
          <w:color w:val="323E4F"/>
          <w:szCs w:val="20"/>
          <w:lang w:eastAsia="en-AU"/>
        </w:rPr>
      </w:pPr>
      <w:r w:rsidRPr="00A02A83">
        <w:rPr>
          <w:rFonts w:eastAsia="Calibri" w:cs="Times New Roman"/>
          <w:color w:val="323E4F"/>
          <w:szCs w:val="20"/>
          <w:lang w:eastAsia="en-AU"/>
        </w:rPr>
        <w:t xml:space="preserve">The consultations examined the integral and supportive role culture plays, and analysed how social factors such as education, employment, justice, income and housing impact </w:t>
      </w:r>
      <w:r w:rsidR="003360ED" w:rsidRPr="00A02A83">
        <w:rPr>
          <w:rFonts w:eastAsia="Calibri" w:cs="Times New Roman"/>
          <w:color w:val="323E4F"/>
          <w:szCs w:val="20"/>
          <w:lang w:eastAsia="en-AU"/>
        </w:rPr>
        <w:t xml:space="preserve">on a person’s health and wellbeing </w:t>
      </w:r>
      <w:r w:rsidRPr="00A02A83">
        <w:rPr>
          <w:rFonts w:eastAsia="Calibri" w:cs="Times New Roman"/>
          <w:color w:val="323E4F"/>
          <w:szCs w:val="20"/>
          <w:lang w:eastAsia="en-AU"/>
        </w:rPr>
        <w:t xml:space="preserve">at each stage of life. </w:t>
      </w:r>
    </w:p>
    <w:p w:rsidR="002471E6" w:rsidRPr="00A02A83" w:rsidRDefault="00D26159" w:rsidP="00A02A83">
      <w:pPr>
        <w:pBdr>
          <w:top w:val="none" w:sz="0" w:space="0" w:color="auto"/>
          <w:left w:val="none" w:sz="0" w:space="0" w:color="auto"/>
          <w:bottom w:val="none" w:sz="0" w:space="0" w:color="auto"/>
          <w:right w:val="none" w:sz="0" w:space="0" w:color="auto"/>
          <w:between w:val="none" w:sz="0" w:space="0" w:color="auto"/>
        </w:pBdr>
        <w:jc w:val="both"/>
        <w:rPr>
          <w:rFonts w:eastAsia="Calibri" w:cs="Times New Roman"/>
          <w:color w:val="323E4F"/>
          <w:szCs w:val="20"/>
          <w:lang w:eastAsia="en-AU"/>
        </w:rPr>
      </w:pPr>
      <w:r w:rsidRPr="00A02A83">
        <w:rPr>
          <w:rFonts w:eastAsia="Calibri" w:cs="Times New Roman"/>
          <w:color w:val="323E4F"/>
          <w:szCs w:val="20"/>
          <w:lang w:eastAsia="en-AU"/>
        </w:rPr>
        <w:t>The</w:t>
      </w:r>
      <w:r w:rsidR="002471E6" w:rsidRPr="00A02A83">
        <w:rPr>
          <w:rFonts w:eastAsia="Calibri" w:cs="Times New Roman"/>
          <w:color w:val="323E4F"/>
          <w:szCs w:val="20"/>
          <w:lang w:eastAsia="en-AU"/>
        </w:rPr>
        <w:t xml:space="preserve"> learnings from the</w:t>
      </w:r>
      <w:r w:rsidRPr="00A02A83">
        <w:rPr>
          <w:rFonts w:eastAsia="Calibri" w:cs="Times New Roman"/>
          <w:color w:val="323E4F"/>
          <w:szCs w:val="20"/>
          <w:lang w:eastAsia="en-AU"/>
        </w:rPr>
        <w:t xml:space="preserve"> </w:t>
      </w:r>
      <w:r w:rsidR="006C100D">
        <w:rPr>
          <w:rFonts w:eastAsia="Calibri" w:cs="Times New Roman"/>
          <w:i/>
          <w:color w:val="323E4F"/>
          <w:szCs w:val="20"/>
          <w:lang w:eastAsia="en-AU"/>
        </w:rPr>
        <w:t>My Life</w:t>
      </w:r>
      <w:r w:rsidR="00312F00" w:rsidRPr="00A02A83">
        <w:rPr>
          <w:rFonts w:eastAsia="Calibri" w:cs="Times New Roman"/>
          <w:i/>
          <w:color w:val="323E4F"/>
          <w:szCs w:val="20"/>
          <w:lang w:eastAsia="en-AU"/>
        </w:rPr>
        <w:t xml:space="preserve"> My Lead</w:t>
      </w:r>
      <w:r w:rsidR="00312F00" w:rsidRPr="00A02A83">
        <w:rPr>
          <w:rFonts w:eastAsia="Calibri" w:cs="Times New Roman"/>
          <w:color w:val="323E4F"/>
          <w:szCs w:val="20"/>
          <w:lang w:eastAsia="en-AU"/>
        </w:rPr>
        <w:t xml:space="preserve"> </w:t>
      </w:r>
      <w:r w:rsidR="002471E6" w:rsidRPr="00A02A83">
        <w:rPr>
          <w:rFonts w:eastAsia="Calibri" w:cs="Times New Roman"/>
          <w:color w:val="323E4F"/>
          <w:szCs w:val="20"/>
          <w:lang w:eastAsia="en-AU"/>
        </w:rPr>
        <w:t xml:space="preserve">consultations are summarised in this Report and </w:t>
      </w:r>
      <w:r w:rsidR="00312F00" w:rsidRPr="00A02A83">
        <w:rPr>
          <w:rFonts w:eastAsia="Calibri" w:cs="Times New Roman"/>
          <w:color w:val="323E4F"/>
          <w:szCs w:val="20"/>
          <w:lang w:eastAsia="en-AU"/>
        </w:rPr>
        <w:t>will guide the ongoing development, implementation and delivery of future policy and programs</w:t>
      </w:r>
      <w:r w:rsidRPr="00A02A83">
        <w:rPr>
          <w:rFonts w:eastAsia="Calibri" w:cs="Times New Roman"/>
          <w:color w:val="323E4F"/>
          <w:szCs w:val="20"/>
          <w:lang w:eastAsia="en-AU"/>
        </w:rPr>
        <w:t>,</w:t>
      </w:r>
      <w:r w:rsidR="00312F00" w:rsidRPr="00A02A83">
        <w:rPr>
          <w:rFonts w:eastAsia="Calibri" w:cs="Times New Roman"/>
          <w:color w:val="323E4F"/>
          <w:szCs w:val="20"/>
          <w:lang w:eastAsia="en-AU"/>
        </w:rPr>
        <w:t xml:space="preserve"> and support the ongoing commitment from the Australian Government to Closing the Gap</w:t>
      </w:r>
      <w:r w:rsidR="003360ED">
        <w:rPr>
          <w:rFonts w:eastAsia="Calibri" w:cs="Times New Roman"/>
          <w:color w:val="323E4F"/>
          <w:szCs w:val="20"/>
          <w:lang w:eastAsia="en-AU"/>
        </w:rPr>
        <w:t>.</w:t>
      </w:r>
    </w:p>
    <w:p w:rsidR="00312F00" w:rsidRPr="00A02A83" w:rsidRDefault="00170AF2" w:rsidP="00A02A83">
      <w:pPr>
        <w:pBdr>
          <w:top w:val="none" w:sz="0" w:space="0" w:color="auto"/>
          <w:left w:val="none" w:sz="0" w:space="0" w:color="auto"/>
          <w:bottom w:val="none" w:sz="0" w:space="0" w:color="auto"/>
          <w:right w:val="none" w:sz="0" w:space="0" w:color="auto"/>
          <w:between w:val="none" w:sz="0" w:space="0" w:color="auto"/>
        </w:pBdr>
        <w:jc w:val="both"/>
        <w:rPr>
          <w:rFonts w:eastAsia="Calibri" w:cs="Times New Roman"/>
          <w:color w:val="323E4F"/>
          <w:szCs w:val="20"/>
          <w:lang w:eastAsia="en-AU"/>
        </w:rPr>
      </w:pPr>
      <w:r>
        <w:rPr>
          <w:rFonts w:eastAsia="Calibri" w:cs="Times New Roman"/>
          <w:color w:val="323E4F"/>
          <w:szCs w:val="20"/>
          <w:lang w:eastAsia="en-AU"/>
        </w:rPr>
        <w:t xml:space="preserve">It is expected that Australian governments will undertake </w:t>
      </w:r>
      <w:r w:rsidR="005011C4">
        <w:rPr>
          <w:rFonts w:eastAsia="Calibri" w:cs="Times New Roman"/>
          <w:color w:val="323E4F"/>
          <w:szCs w:val="20"/>
          <w:lang w:eastAsia="en-AU"/>
        </w:rPr>
        <w:t xml:space="preserve">nationwide </w:t>
      </w:r>
      <w:r w:rsidR="00312F00" w:rsidRPr="00A02A83">
        <w:rPr>
          <w:rFonts w:eastAsia="Calibri" w:cs="Times New Roman"/>
          <w:color w:val="323E4F"/>
          <w:szCs w:val="20"/>
          <w:lang w:eastAsia="en-AU"/>
        </w:rPr>
        <w:t>consultations to infor</w:t>
      </w:r>
      <w:r w:rsidR="00A67C76">
        <w:rPr>
          <w:rFonts w:eastAsia="Calibri" w:cs="Times New Roman"/>
          <w:color w:val="323E4F"/>
          <w:szCs w:val="20"/>
          <w:lang w:eastAsia="en-AU"/>
        </w:rPr>
        <w:t xml:space="preserve">m the Closing the Gap refresh. </w:t>
      </w:r>
      <w:r w:rsidR="00312F00" w:rsidRPr="00A02A83">
        <w:rPr>
          <w:rFonts w:eastAsia="Calibri" w:cs="Times New Roman"/>
          <w:color w:val="323E4F"/>
          <w:szCs w:val="20"/>
          <w:lang w:eastAsia="en-AU"/>
        </w:rPr>
        <w:t>This Report is an important contribution to this process. To make inroads, all levels of government need to work together</w:t>
      </w:r>
      <w:r w:rsidR="003360ED">
        <w:rPr>
          <w:rFonts w:eastAsia="Calibri" w:cs="Times New Roman"/>
          <w:color w:val="323E4F"/>
          <w:szCs w:val="20"/>
          <w:lang w:eastAsia="en-AU"/>
        </w:rPr>
        <w:t>. T</w:t>
      </w:r>
      <w:r w:rsidR="00312F00" w:rsidRPr="00A02A83">
        <w:rPr>
          <w:rFonts w:eastAsia="Calibri" w:cs="Times New Roman"/>
          <w:color w:val="323E4F"/>
          <w:szCs w:val="20"/>
          <w:lang w:eastAsia="en-AU"/>
        </w:rPr>
        <w:t xml:space="preserve">he </w:t>
      </w:r>
      <w:r w:rsidR="00801A95" w:rsidRPr="00A02A83">
        <w:rPr>
          <w:rFonts w:eastAsia="Calibri" w:cs="Times New Roman"/>
          <w:color w:val="323E4F"/>
          <w:szCs w:val="20"/>
          <w:lang w:eastAsia="en-AU"/>
        </w:rPr>
        <w:t xml:space="preserve">Closing the Gap </w:t>
      </w:r>
      <w:r w:rsidR="00312F00" w:rsidRPr="00A02A83">
        <w:rPr>
          <w:rFonts w:eastAsia="Calibri" w:cs="Times New Roman"/>
          <w:color w:val="323E4F"/>
          <w:szCs w:val="20"/>
          <w:lang w:eastAsia="en-AU"/>
        </w:rPr>
        <w:t xml:space="preserve">refresh provides an opportunity to identify shared areas for collaboration. </w:t>
      </w:r>
    </w:p>
    <w:p w:rsidR="00312F00" w:rsidRPr="00A02A83" w:rsidRDefault="00312F00" w:rsidP="00A02A83">
      <w:pPr>
        <w:pBdr>
          <w:top w:val="none" w:sz="0" w:space="0" w:color="auto"/>
          <w:left w:val="none" w:sz="0" w:space="0" w:color="auto"/>
          <w:bottom w:val="none" w:sz="0" w:space="0" w:color="auto"/>
          <w:right w:val="none" w:sz="0" w:space="0" w:color="auto"/>
          <w:between w:val="none" w:sz="0" w:space="0" w:color="auto"/>
        </w:pBdr>
        <w:jc w:val="both"/>
        <w:rPr>
          <w:rFonts w:eastAsia="Calibri" w:cs="Times New Roman"/>
          <w:color w:val="323E4F"/>
          <w:szCs w:val="20"/>
          <w:lang w:eastAsia="en-AU"/>
        </w:rPr>
      </w:pPr>
      <w:r w:rsidRPr="00A02A83">
        <w:rPr>
          <w:rFonts w:eastAsia="Calibri" w:cs="Times New Roman"/>
          <w:color w:val="323E4F"/>
          <w:szCs w:val="20"/>
          <w:lang w:eastAsia="en-AU"/>
        </w:rPr>
        <w:t>The Report will also inform the development of the next itera</w:t>
      </w:r>
      <w:r w:rsidR="002471E6" w:rsidRPr="00A02A83">
        <w:rPr>
          <w:rFonts w:eastAsia="Calibri" w:cs="Times New Roman"/>
          <w:color w:val="323E4F"/>
          <w:szCs w:val="20"/>
          <w:lang w:eastAsia="en-AU"/>
        </w:rPr>
        <w:t xml:space="preserve">tion of the Implementation Plan </w:t>
      </w:r>
      <w:r w:rsidRPr="00A02A83">
        <w:rPr>
          <w:rFonts w:eastAsia="Calibri" w:cs="Times New Roman"/>
          <w:color w:val="323E4F"/>
          <w:szCs w:val="20"/>
          <w:lang w:eastAsia="en-AU"/>
        </w:rPr>
        <w:t xml:space="preserve">that is due to be released in 2018. This presents an opportunity to consider new ways of working that </w:t>
      </w:r>
      <w:r w:rsidR="00493E8A">
        <w:rPr>
          <w:rFonts w:eastAsia="Calibri" w:cs="Times New Roman"/>
          <w:color w:val="323E4F"/>
          <w:szCs w:val="20"/>
          <w:lang w:eastAsia="en-AU"/>
        </w:rPr>
        <w:t>take into account</w:t>
      </w:r>
      <w:r w:rsidRPr="00A02A83">
        <w:rPr>
          <w:rFonts w:eastAsia="Calibri" w:cs="Times New Roman"/>
          <w:color w:val="323E4F"/>
          <w:szCs w:val="20"/>
          <w:lang w:eastAsia="en-AU"/>
        </w:rPr>
        <w:t xml:space="preserve"> the impacts o</w:t>
      </w:r>
      <w:r w:rsidR="00997F97">
        <w:rPr>
          <w:rFonts w:eastAsia="Calibri" w:cs="Times New Roman"/>
          <w:color w:val="323E4F"/>
          <w:szCs w:val="20"/>
          <w:lang w:eastAsia="en-AU"/>
        </w:rPr>
        <w:t>f</w:t>
      </w:r>
      <w:r w:rsidRPr="00A02A83">
        <w:rPr>
          <w:rFonts w:eastAsia="Calibri" w:cs="Times New Roman"/>
          <w:color w:val="323E4F"/>
          <w:szCs w:val="20"/>
          <w:lang w:eastAsia="en-AU"/>
        </w:rPr>
        <w:t xml:space="preserve"> social determinants and cultural determinants of health for Aboriginal and Torres Strait Islander </w:t>
      </w:r>
      <w:r w:rsidR="008A257D">
        <w:rPr>
          <w:rFonts w:eastAsia="Calibri" w:cs="Times New Roman"/>
          <w:color w:val="323E4F"/>
          <w:szCs w:val="20"/>
          <w:lang w:eastAsia="en-AU"/>
        </w:rPr>
        <w:t>people</w:t>
      </w:r>
      <w:r w:rsidRPr="00A02A83">
        <w:rPr>
          <w:rFonts w:eastAsia="Calibri" w:cs="Times New Roman"/>
          <w:color w:val="323E4F"/>
          <w:szCs w:val="20"/>
          <w:lang w:eastAsia="en-AU"/>
        </w:rPr>
        <w:t xml:space="preserve">. </w:t>
      </w:r>
    </w:p>
    <w:p w:rsidR="004951DA" w:rsidRPr="00A02A83" w:rsidRDefault="00312F00" w:rsidP="00B82503">
      <w:pPr>
        <w:pBdr>
          <w:top w:val="none" w:sz="0" w:space="0" w:color="auto"/>
          <w:left w:val="none" w:sz="0" w:space="0" w:color="auto"/>
          <w:bottom w:val="none" w:sz="0" w:space="0" w:color="auto"/>
          <w:right w:val="none" w:sz="0" w:space="0" w:color="auto"/>
          <w:between w:val="none" w:sz="0" w:space="0" w:color="auto"/>
        </w:pBdr>
        <w:jc w:val="both"/>
        <w:rPr>
          <w:rFonts w:eastAsia="Calibri" w:cs="Times New Roman"/>
          <w:color w:val="323E4F"/>
          <w:szCs w:val="20"/>
          <w:lang w:eastAsia="en-AU"/>
        </w:rPr>
      </w:pPr>
      <w:r w:rsidRPr="00A02A83">
        <w:rPr>
          <w:rFonts w:eastAsia="Calibri" w:cs="Times New Roman"/>
          <w:i/>
          <w:color w:val="323E4F"/>
          <w:szCs w:val="20"/>
          <w:lang w:eastAsia="en-AU"/>
        </w:rPr>
        <w:t>My Life My Lead</w:t>
      </w:r>
      <w:r w:rsidRPr="00A02A83">
        <w:rPr>
          <w:rFonts w:eastAsia="Calibri" w:cs="Times New Roman"/>
          <w:color w:val="323E4F"/>
          <w:szCs w:val="20"/>
          <w:lang w:eastAsia="en-AU"/>
        </w:rPr>
        <w:t xml:space="preserve"> </w:t>
      </w:r>
      <w:r w:rsidR="002471E6" w:rsidRPr="00A02A83">
        <w:rPr>
          <w:rFonts w:eastAsia="Calibri" w:cs="Times New Roman"/>
          <w:color w:val="323E4F"/>
          <w:szCs w:val="20"/>
          <w:lang w:eastAsia="en-AU"/>
        </w:rPr>
        <w:t xml:space="preserve">consultations </w:t>
      </w:r>
      <w:r w:rsidRPr="00A02A83">
        <w:rPr>
          <w:rFonts w:eastAsia="Calibri" w:cs="Times New Roman"/>
          <w:color w:val="323E4F"/>
          <w:szCs w:val="20"/>
          <w:lang w:eastAsia="en-AU"/>
        </w:rPr>
        <w:t>reinforced that governments cannot ignore f</w:t>
      </w:r>
      <w:r w:rsidR="004F4B4B" w:rsidRPr="00A02A83">
        <w:rPr>
          <w:rFonts w:eastAsia="Calibri" w:cs="Times New Roman"/>
          <w:color w:val="323E4F"/>
          <w:szCs w:val="20"/>
          <w:lang w:eastAsia="en-AU"/>
        </w:rPr>
        <w:t xml:space="preserve">actors such as the </w:t>
      </w:r>
      <w:r w:rsidR="005056C4" w:rsidRPr="00A02A83">
        <w:rPr>
          <w:rFonts w:eastAsia="Calibri" w:cs="Times New Roman"/>
          <w:color w:val="323E4F"/>
          <w:szCs w:val="20"/>
          <w:lang w:eastAsia="en-AU"/>
        </w:rPr>
        <w:t>home environment, school</w:t>
      </w:r>
      <w:r w:rsidR="004F4B4B" w:rsidRPr="00A02A83">
        <w:rPr>
          <w:rFonts w:eastAsia="Calibri" w:cs="Times New Roman"/>
          <w:color w:val="323E4F"/>
          <w:szCs w:val="20"/>
          <w:lang w:eastAsia="en-AU"/>
        </w:rPr>
        <w:t xml:space="preserve"> and educational attainment</w:t>
      </w:r>
      <w:r w:rsidR="005056C4" w:rsidRPr="00A02A83">
        <w:rPr>
          <w:rFonts w:eastAsia="Calibri" w:cs="Times New Roman"/>
          <w:color w:val="323E4F"/>
          <w:szCs w:val="20"/>
          <w:lang w:eastAsia="en-AU"/>
        </w:rPr>
        <w:t xml:space="preserve">, </w:t>
      </w:r>
      <w:r w:rsidR="007D3B33" w:rsidRPr="00A02A83">
        <w:rPr>
          <w:rFonts w:eastAsia="Calibri" w:cs="Times New Roman"/>
          <w:color w:val="323E4F"/>
          <w:szCs w:val="20"/>
          <w:lang w:eastAsia="en-AU"/>
        </w:rPr>
        <w:t>employment,</w:t>
      </w:r>
      <w:r w:rsidR="005056C4" w:rsidRPr="00A02A83">
        <w:rPr>
          <w:rFonts w:eastAsia="Calibri" w:cs="Times New Roman"/>
          <w:color w:val="323E4F"/>
          <w:szCs w:val="20"/>
          <w:lang w:eastAsia="en-AU"/>
        </w:rPr>
        <w:t xml:space="preserve"> community and experiences of social institutions and systems, a</w:t>
      </w:r>
      <w:r w:rsidRPr="00A02A83">
        <w:rPr>
          <w:rFonts w:eastAsia="Calibri" w:cs="Times New Roman"/>
          <w:color w:val="323E4F"/>
          <w:szCs w:val="20"/>
          <w:lang w:eastAsia="en-AU"/>
        </w:rPr>
        <w:t>nd the</w:t>
      </w:r>
      <w:r w:rsidR="00D26159" w:rsidRPr="00A02A83">
        <w:rPr>
          <w:rFonts w:eastAsia="Calibri" w:cs="Times New Roman"/>
          <w:color w:val="323E4F"/>
          <w:szCs w:val="20"/>
          <w:lang w:eastAsia="en-AU"/>
        </w:rPr>
        <w:t>ir corresponding</w:t>
      </w:r>
      <w:r w:rsidRPr="00A02A83">
        <w:rPr>
          <w:rFonts w:eastAsia="Calibri" w:cs="Times New Roman"/>
          <w:color w:val="323E4F"/>
          <w:szCs w:val="20"/>
          <w:lang w:eastAsia="en-AU"/>
        </w:rPr>
        <w:t xml:space="preserve"> </w:t>
      </w:r>
      <w:r w:rsidR="00D4146A" w:rsidRPr="00A02A83">
        <w:rPr>
          <w:rFonts w:eastAsia="Calibri" w:cs="Times New Roman"/>
          <w:color w:val="323E4F"/>
          <w:szCs w:val="20"/>
          <w:lang w:eastAsia="en-AU"/>
        </w:rPr>
        <w:t>influences on</w:t>
      </w:r>
      <w:r w:rsidR="005056C4" w:rsidRPr="00A02A83">
        <w:rPr>
          <w:rFonts w:eastAsia="Calibri" w:cs="Times New Roman"/>
          <w:color w:val="323E4F"/>
          <w:szCs w:val="20"/>
          <w:lang w:eastAsia="en-AU"/>
        </w:rPr>
        <w:t xml:space="preserve"> a person’s health. </w:t>
      </w:r>
    </w:p>
    <w:p w:rsidR="00DC7BFF" w:rsidRPr="00A02A83" w:rsidRDefault="007D3B33" w:rsidP="00A02A83">
      <w:pPr>
        <w:pBdr>
          <w:top w:val="none" w:sz="0" w:space="0" w:color="auto"/>
          <w:left w:val="none" w:sz="0" w:space="0" w:color="auto"/>
          <w:bottom w:val="none" w:sz="0" w:space="0" w:color="auto"/>
          <w:right w:val="none" w:sz="0" w:space="0" w:color="auto"/>
          <w:between w:val="none" w:sz="0" w:space="0" w:color="auto"/>
        </w:pBdr>
        <w:jc w:val="both"/>
        <w:rPr>
          <w:rFonts w:eastAsia="Calibri" w:cs="Times New Roman"/>
          <w:color w:val="323E4F"/>
          <w:szCs w:val="20"/>
          <w:lang w:eastAsia="en-AU"/>
        </w:rPr>
      </w:pPr>
      <w:r w:rsidRPr="00A02A83">
        <w:rPr>
          <w:rFonts w:eastAsia="Calibri" w:cs="Times New Roman"/>
          <w:color w:val="323E4F"/>
          <w:szCs w:val="20"/>
          <w:lang w:eastAsia="en-AU"/>
        </w:rPr>
        <w:t>Evidence</w:t>
      </w:r>
      <w:r w:rsidR="00DC7BFF" w:rsidRPr="00A02A83">
        <w:rPr>
          <w:rFonts w:eastAsia="Calibri" w:cs="Times New Roman"/>
          <w:color w:val="323E4F"/>
          <w:szCs w:val="20"/>
          <w:lang w:eastAsia="en-AU"/>
        </w:rPr>
        <w:t xml:space="preserve"> indicates that at least 34.4 per cent of the health gap </w:t>
      </w:r>
      <w:r w:rsidR="00D26159" w:rsidRPr="00A02A83">
        <w:rPr>
          <w:rFonts w:eastAsia="Calibri" w:cs="Times New Roman"/>
          <w:color w:val="323E4F"/>
          <w:szCs w:val="20"/>
          <w:lang w:eastAsia="en-AU"/>
        </w:rPr>
        <w:t xml:space="preserve">for Aboriginal and Torres Strait Islander people </w:t>
      </w:r>
      <w:r w:rsidR="00DC7BFF" w:rsidRPr="00A02A83">
        <w:rPr>
          <w:rFonts w:eastAsia="Calibri" w:cs="Times New Roman"/>
          <w:color w:val="323E4F"/>
          <w:szCs w:val="20"/>
          <w:lang w:eastAsia="en-AU"/>
        </w:rPr>
        <w:t>is linked to social determinants</w:t>
      </w:r>
      <w:r w:rsidR="006D59F5" w:rsidRPr="00A02A83">
        <w:rPr>
          <w:rFonts w:eastAsia="Calibri" w:cs="Times New Roman"/>
          <w:color w:val="323E4F"/>
          <w:szCs w:val="20"/>
          <w:lang w:eastAsia="en-AU"/>
        </w:rPr>
        <w:t>. This</w:t>
      </w:r>
      <w:r w:rsidR="00DC7BFF" w:rsidRPr="00A02A83">
        <w:rPr>
          <w:rFonts w:eastAsia="Calibri" w:cs="Times New Roman"/>
          <w:color w:val="323E4F"/>
          <w:szCs w:val="20"/>
          <w:lang w:eastAsia="en-AU"/>
        </w:rPr>
        <w:t xml:space="preserve"> rises to 53.2 per cent when combined with behavioural risk factors.</w:t>
      </w:r>
      <w:r w:rsidR="00DC7BFF" w:rsidRPr="00CB39ED">
        <w:rPr>
          <w:rFonts w:eastAsia="Calibri" w:cs="Times New Roman"/>
          <w:color w:val="323E4F"/>
          <w:szCs w:val="20"/>
          <w:vertAlign w:val="superscript"/>
          <w:lang w:eastAsia="en-AU"/>
        </w:rPr>
        <w:endnoteReference w:id="2"/>
      </w:r>
      <w:r w:rsidR="00DC7BFF" w:rsidRPr="00CB39ED">
        <w:rPr>
          <w:rFonts w:eastAsia="Calibri" w:cs="Times New Roman"/>
          <w:color w:val="323E4F"/>
          <w:szCs w:val="20"/>
          <w:vertAlign w:val="superscript"/>
          <w:lang w:eastAsia="en-AU"/>
        </w:rPr>
        <w:t xml:space="preserve"> </w:t>
      </w:r>
    </w:p>
    <w:p w:rsidR="009C01EA" w:rsidRDefault="00D26159" w:rsidP="00A02A83">
      <w:pPr>
        <w:pBdr>
          <w:top w:val="none" w:sz="0" w:space="0" w:color="auto"/>
          <w:left w:val="none" w:sz="0" w:space="0" w:color="auto"/>
          <w:bottom w:val="none" w:sz="0" w:space="0" w:color="auto"/>
          <w:right w:val="none" w:sz="0" w:space="0" w:color="auto"/>
          <w:between w:val="none" w:sz="0" w:space="0" w:color="auto"/>
        </w:pBdr>
        <w:jc w:val="both"/>
        <w:rPr>
          <w:rFonts w:eastAsia="Calibri" w:cs="Times New Roman"/>
          <w:color w:val="323E4F"/>
          <w:szCs w:val="20"/>
          <w:lang w:eastAsia="en-AU"/>
        </w:rPr>
      </w:pPr>
      <w:r w:rsidRPr="00A02A83">
        <w:rPr>
          <w:rFonts w:eastAsia="Calibri" w:cs="Times New Roman"/>
          <w:i/>
          <w:color w:val="323E4F"/>
          <w:szCs w:val="20"/>
          <w:lang w:eastAsia="en-AU"/>
        </w:rPr>
        <w:t>My Life My Lead</w:t>
      </w:r>
      <w:r w:rsidRPr="00A02A83">
        <w:rPr>
          <w:rFonts w:eastAsia="Calibri" w:cs="Times New Roman"/>
          <w:color w:val="323E4F"/>
          <w:szCs w:val="20"/>
          <w:lang w:eastAsia="en-AU"/>
        </w:rPr>
        <w:t xml:space="preserve"> conducted t</w:t>
      </w:r>
      <w:r w:rsidR="00B27B50" w:rsidRPr="00A02A83">
        <w:rPr>
          <w:rFonts w:eastAsia="Calibri" w:cs="Times New Roman"/>
          <w:color w:val="323E4F"/>
          <w:szCs w:val="20"/>
          <w:lang w:eastAsia="en-AU"/>
        </w:rPr>
        <w:t>hirteen face-to-face</w:t>
      </w:r>
      <w:r w:rsidR="003A3280" w:rsidRPr="00A02A83">
        <w:rPr>
          <w:rFonts w:eastAsia="Calibri" w:cs="Times New Roman"/>
          <w:color w:val="323E4F"/>
          <w:szCs w:val="20"/>
          <w:lang w:eastAsia="en-AU"/>
        </w:rPr>
        <w:t xml:space="preserve"> consultations</w:t>
      </w:r>
      <w:r w:rsidR="00B27B50" w:rsidRPr="00A02A83">
        <w:rPr>
          <w:rFonts w:eastAsia="Calibri" w:cs="Times New Roman"/>
          <w:color w:val="323E4F"/>
          <w:szCs w:val="20"/>
          <w:lang w:eastAsia="en-AU"/>
        </w:rPr>
        <w:t xml:space="preserve"> across</w:t>
      </w:r>
      <w:r w:rsidR="003A3280" w:rsidRPr="00A02A83">
        <w:rPr>
          <w:rFonts w:eastAsia="Calibri" w:cs="Times New Roman"/>
          <w:color w:val="323E4F"/>
          <w:szCs w:val="20"/>
          <w:lang w:eastAsia="en-AU"/>
        </w:rPr>
        <w:t xml:space="preserve"> every state and territory, </w:t>
      </w:r>
      <w:r w:rsidR="001443B3" w:rsidRPr="00A02A83">
        <w:rPr>
          <w:rFonts w:eastAsia="Calibri" w:cs="Times New Roman"/>
          <w:color w:val="323E4F"/>
          <w:szCs w:val="20"/>
          <w:lang w:eastAsia="en-AU"/>
        </w:rPr>
        <w:t>reaching</w:t>
      </w:r>
      <w:r w:rsidR="00B27B50" w:rsidRPr="00A02A83">
        <w:rPr>
          <w:rFonts w:eastAsia="Calibri" w:cs="Times New Roman"/>
          <w:color w:val="323E4F"/>
          <w:szCs w:val="20"/>
          <w:lang w:eastAsia="en-AU"/>
        </w:rPr>
        <w:t xml:space="preserve"> approximately</w:t>
      </w:r>
      <w:r w:rsidR="003A3280" w:rsidRPr="00A02A83">
        <w:rPr>
          <w:rFonts w:eastAsia="Calibri" w:cs="Times New Roman"/>
          <w:color w:val="323E4F"/>
          <w:szCs w:val="20"/>
          <w:lang w:eastAsia="en-AU"/>
        </w:rPr>
        <w:t xml:space="preserve"> 600 participants. The Department </w:t>
      </w:r>
      <w:r w:rsidR="00801A95">
        <w:rPr>
          <w:rFonts w:eastAsia="Calibri" w:cs="Times New Roman"/>
          <w:color w:val="323E4F"/>
          <w:szCs w:val="20"/>
          <w:lang w:eastAsia="en-AU"/>
        </w:rPr>
        <w:t xml:space="preserve">of Health </w:t>
      </w:r>
      <w:r w:rsidR="003A3280" w:rsidRPr="00A02A83">
        <w:rPr>
          <w:rFonts w:eastAsia="Calibri" w:cs="Times New Roman"/>
          <w:color w:val="323E4F"/>
          <w:szCs w:val="20"/>
          <w:lang w:eastAsia="en-AU"/>
        </w:rPr>
        <w:t>also received 102 written submissions</w:t>
      </w:r>
      <w:r w:rsidR="00B27B50" w:rsidRPr="00A02A83">
        <w:rPr>
          <w:rFonts w:eastAsia="Calibri" w:cs="Times New Roman"/>
          <w:color w:val="323E4F"/>
          <w:szCs w:val="20"/>
          <w:lang w:eastAsia="en-AU"/>
        </w:rPr>
        <w:t xml:space="preserve"> providing evidence and insights on the many factors that contribute </w:t>
      </w:r>
      <w:r w:rsidR="00555394">
        <w:rPr>
          <w:rFonts w:eastAsia="Calibri" w:cs="Times New Roman"/>
          <w:color w:val="323E4F"/>
          <w:szCs w:val="20"/>
          <w:lang w:eastAsia="en-AU"/>
        </w:rPr>
        <w:t xml:space="preserve">to </w:t>
      </w:r>
      <w:r w:rsidR="003360ED">
        <w:rPr>
          <w:rFonts w:eastAsia="Calibri" w:cs="Times New Roman"/>
          <w:color w:val="323E4F"/>
          <w:szCs w:val="20"/>
          <w:lang w:eastAsia="en-AU"/>
        </w:rPr>
        <w:t xml:space="preserve">improved </w:t>
      </w:r>
      <w:r w:rsidR="00EC516D">
        <w:rPr>
          <w:rFonts w:eastAsia="Calibri" w:cs="Times New Roman"/>
          <w:color w:val="323E4F"/>
          <w:szCs w:val="20"/>
          <w:lang w:eastAsia="en-AU"/>
        </w:rPr>
        <w:t xml:space="preserve">health </w:t>
      </w:r>
      <w:r w:rsidR="00555394">
        <w:rPr>
          <w:rFonts w:eastAsia="Calibri" w:cs="Times New Roman"/>
          <w:color w:val="323E4F"/>
          <w:szCs w:val="20"/>
          <w:lang w:eastAsia="en-AU"/>
        </w:rPr>
        <w:t xml:space="preserve">outcomes </w:t>
      </w:r>
      <w:r w:rsidR="00B27B50" w:rsidRPr="00A02A83">
        <w:rPr>
          <w:rFonts w:eastAsia="Calibri" w:cs="Times New Roman"/>
          <w:color w:val="323E4F"/>
          <w:szCs w:val="20"/>
          <w:lang w:eastAsia="en-AU"/>
        </w:rPr>
        <w:t xml:space="preserve">throughout the life course and highlighting the role of many </w:t>
      </w:r>
      <w:r w:rsidR="00FF4472" w:rsidRPr="00A02A83">
        <w:rPr>
          <w:rFonts w:eastAsia="Calibri" w:cs="Times New Roman"/>
          <w:color w:val="323E4F"/>
          <w:szCs w:val="20"/>
          <w:lang w:eastAsia="en-AU"/>
        </w:rPr>
        <w:t>sectors</w:t>
      </w:r>
      <w:r w:rsidR="00B27B50" w:rsidRPr="00A02A83">
        <w:rPr>
          <w:rFonts w:eastAsia="Calibri" w:cs="Times New Roman"/>
          <w:color w:val="323E4F"/>
          <w:szCs w:val="20"/>
          <w:lang w:eastAsia="en-AU"/>
        </w:rPr>
        <w:t xml:space="preserve"> and players outside the health system.</w:t>
      </w:r>
    </w:p>
    <w:p w:rsidR="00F91A71" w:rsidRDefault="00F91A71" w:rsidP="00A02A83">
      <w:pPr>
        <w:pBdr>
          <w:top w:val="none" w:sz="0" w:space="0" w:color="auto"/>
          <w:left w:val="none" w:sz="0" w:space="0" w:color="auto"/>
          <w:bottom w:val="none" w:sz="0" w:space="0" w:color="auto"/>
          <w:right w:val="none" w:sz="0" w:space="0" w:color="auto"/>
          <w:between w:val="none" w:sz="0" w:space="0" w:color="auto"/>
        </w:pBdr>
        <w:jc w:val="both"/>
        <w:rPr>
          <w:rFonts w:eastAsia="Calibri" w:cs="Times New Roman"/>
          <w:color w:val="323E4F"/>
          <w:szCs w:val="20"/>
          <w:lang w:eastAsia="en-AU"/>
        </w:rPr>
        <w:sectPr w:rsidR="00F91A71" w:rsidSect="002A03B1">
          <w:headerReference w:type="default" r:id="rId13"/>
          <w:footerReference w:type="default" r:id="rId14"/>
          <w:footerReference w:type="first" r:id="rId15"/>
          <w:endnotePr>
            <w:numFmt w:val="decimal"/>
          </w:endnotePr>
          <w:pgSz w:w="11906" w:h="16838"/>
          <w:pgMar w:top="1134" w:right="1559" w:bottom="1134" w:left="1701" w:header="0" w:footer="113" w:gutter="0"/>
          <w:cols w:space="720"/>
          <w:titlePg/>
          <w:docGrid w:linePitch="299"/>
        </w:sectPr>
      </w:pPr>
    </w:p>
    <w:p w:rsidR="003A3280" w:rsidRPr="00A02A83" w:rsidRDefault="003A3280" w:rsidP="00A02A83">
      <w:pPr>
        <w:pBdr>
          <w:top w:val="none" w:sz="0" w:space="0" w:color="auto"/>
          <w:left w:val="none" w:sz="0" w:space="0" w:color="auto"/>
          <w:bottom w:val="none" w:sz="0" w:space="0" w:color="auto"/>
          <w:right w:val="none" w:sz="0" w:space="0" w:color="auto"/>
          <w:between w:val="none" w:sz="0" w:space="0" w:color="auto"/>
        </w:pBdr>
        <w:jc w:val="both"/>
        <w:rPr>
          <w:rFonts w:eastAsia="Calibri" w:cs="Times New Roman"/>
          <w:color w:val="323E4F"/>
          <w:szCs w:val="20"/>
          <w:lang w:eastAsia="en-AU"/>
        </w:rPr>
      </w:pPr>
      <w:r w:rsidRPr="00A02A83">
        <w:rPr>
          <w:rFonts w:eastAsia="Calibri" w:cs="Times New Roman"/>
          <w:color w:val="323E4F"/>
          <w:szCs w:val="20"/>
          <w:lang w:eastAsia="en-AU"/>
        </w:rPr>
        <w:lastRenderedPageBreak/>
        <w:t xml:space="preserve">The following four themes were </w:t>
      </w:r>
      <w:r w:rsidR="00FF4472" w:rsidRPr="00A02A83">
        <w:rPr>
          <w:rFonts w:eastAsia="Calibri" w:cs="Times New Roman"/>
          <w:color w:val="323E4F"/>
          <w:szCs w:val="20"/>
          <w:lang w:eastAsia="en-AU"/>
        </w:rPr>
        <w:t>consistent</w:t>
      </w:r>
      <w:r w:rsidRPr="00A02A83">
        <w:rPr>
          <w:rFonts w:eastAsia="Calibri" w:cs="Times New Roman"/>
          <w:color w:val="323E4F"/>
          <w:szCs w:val="20"/>
          <w:lang w:eastAsia="en-AU"/>
        </w:rPr>
        <w:t xml:space="preserve"> features of </w:t>
      </w:r>
      <w:r w:rsidR="00B27B50" w:rsidRPr="00A02A83">
        <w:rPr>
          <w:rFonts w:eastAsia="Calibri" w:cs="Times New Roman"/>
          <w:color w:val="323E4F"/>
          <w:szCs w:val="20"/>
          <w:lang w:eastAsia="en-AU"/>
        </w:rPr>
        <w:t xml:space="preserve">the </w:t>
      </w:r>
      <w:r w:rsidR="001443B3" w:rsidRPr="00A02A83">
        <w:rPr>
          <w:rFonts w:eastAsia="Calibri" w:cs="Times New Roman"/>
          <w:color w:val="323E4F"/>
          <w:szCs w:val="20"/>
          <w:lang w:eastAsia="en-AU"/>
        </w:rPr>
        <w:t>verbal and written feedback</w:t>
      </w:r>
      <w:r w:rsidR="00B27B50" w:rsidRPr="00A02A83">
        <w:rPr>
          <w:rFonts w:eastAsia="Calibri" w:cs="Times New Roman"/>
          <w:color w:val="323E4F"/>
          <w:szCs w:val="20"/>
          <w:lang w:eastAsia="en-AU"/>
        </w:rPr>
        <w:t xml:space="preserve"> provided</w:t>
      </w:r>
      <w:r w:rsidRPr="00A02A83">
        <w:rPr>
          <w:rFonts w:eastAsia="Calibri" w:cs="Times New Roman"/>
          <w:color w:val="323E4F"/>
          <w:szCs w:val="20"/>
          <w:lang w:eastAsia="en-AU"/>
        </w:rPr>
        <w:t>:</w:t>
      </w:r>
    </w:p>
    <w:p w:rsidR="003A3280" w:rsidRPr="00A02A83" w:rsidRDefault="003A3280" w:rsidP="00A02A83">
      <w:pPr>
        <w:pStyle w:val="ListParagraph"/>
        <w:numPr>
          <w:ilvl w:val="0"/>
          <w:numId w:val="18"/>
        </w:numPr>
        <w:pBdr>
          <w:top w:val="none" w:sz="0" w:space="0" w:color="auto"/>
          <w:left w:val="none" w:sz="0" w:space="0" w:color="auto"/>
          <w:bottom w:val="none" w:sz="0" w:space="0" w:color="auto"/>
          <w:right w:val="none" w:sz="0" w:space="0" w:color="auto"/>
          <w:between w:val="none" w:sz="0" w:space="0" w:color="auto"/>
        </w:pBdr>
        <w:jc w:val="both"/>
        <w:rPr>
          <w:rFonts w:eastAsia="Calibri" w:cs="Times New Roman"/>
          <w:color w:val="323E4F"/>
          <w:szCs w:val="20"/>
          <w:lang w:eastAsia="en-AU"/>
        </w:rPr>
      </w:pPr>
      <w:r w:rsidRPr="00A02A83">
        <w:rPr>
          <w:rFonts w:eastAsia="Calibri" w:cs="Times New Roman"/>
          <w:color w:val="323E4F"/>
          <w:szCs w:val="20"/>
          <w:lang w:eastAsia="en-AU"/>
        </w:rPr>
        <w:t>Culture is central to Aboriginal and Torres Strait Islander wellbeing and needs to be embraced and embedded across a range of Aboriginal and Torres Strait Islander and mainstream services—both as a protector and enabler of health and wellbeing.</w:t>
      </w:r>
    </w:p>
    <w:p w:rsidR="003A3280" w:rsidRPr="00A02A83" w:rsidRDefault="003A3280" w:rsidP="00A02A83">
      <w:pPr>
        <w:pStyle w:val="ListParagraph"/>
        <w:numPr>
          <w:ilvl w:val="0"/>
          <w:numId w:val="18"/>
        </w:numPr>
        <w:pBdr>
          <w:top w:val="none" w:sz="0" w:space="0" w:color="auto"/>
          <w:left w:val="none" w:sz="0" w:space="0" w:color="auto"/>
          <w:bottom w:val="none" w:sz="0" w:space="0" w:color="auto"/>
          <w:right w:val="none" w:sz="0" w:space="0" w:color="auto"/>
          <w:between w:val="none" w:sz="0" w:space="0" w:color="auto"/>
        </w:pBdr>
        <w:jc w:val="both"/>
        <w:rPr>
          <w:rFonts w:eastAsia="Calibri" w:cs="Times New Roman"/>
          <w:color w:val="323E4F"/>
          <w:szCs w:val="20"/>
          <w:lang w:eastAsia="en-AU"/>
        </w:rPr>
      </w:pPr>
      <w:r w:rsidRPr="00A02A83">
        <w:rPr>
          <w:rFonts w:eastAsia="Calibri" w:cs="Times New Roman"/>
          <w:color w:val="323E4F"/>
          <w:szCs w:val="20"/>
          <w:lang w:eastAsia="en-AU"/>
        </w:rPr>
        <w:t xml:space="preserve">Racism within health and other systems must be addressed to remove barriers to better outcomes in health, education and employment. </w:t>
      </w:r>
    </w:p>
    <w:p w:rsidR="003A3280" w:rsidRPr="00A02A83" w:rsidRDefault="00B27B50" w:rsidP="00A02A83">
      <w:pPr>
        <w:pStyle w:val="ListParagraph"/>
        <w:numPr>
          <w:ilvl w:val="0"/>
          <w:numId w:val="18"/>
        </w:numPr>
        <w:pBdr>
          <w:top w:val="none" w:sz="0" w:space="0" w:color="auto"/>
          <w:left w:val="none" w:sz="0" w:space="0" w:color="auto"/>
          <w:bottom w:val="none" w:sz="0" w:space="0" w:color="auto"/>
          <w:right w:val="none" w:sz="0" w:space="0" w:color="auto"/>
          <w:between w:val="none" w:sz="0" w:space="0" w:color="auto"/>
        </w:pBdr>
        <w:jc w:val="both"/>
        <w:rPr>
          <w:rFonts w:eastAsia="Calibri" w:cs="Times New Roman"/>
          <w:color w:val="323E4F"/>
          <w:szCs w:val="20"/>
          <w:lang w:eastAsia="en-AU"/>
        </w:rPr>
      </w:pPr>
      <w:r w:rsidRPr="00A02A83">
        <w:rPr>
          <w:rFonts w:eastAsia="Calibri" w:cs="Times New Roman"/>
          <w:color w:val="323E4F"/>
          <w:szCs w:val="20"/>
          <w:lang w:eastAsia="en-AU"/>
        </w:rPr>
        <w:t>The</w:t>
      </w:r>
      <w:r w:rsidR="003A3280" w:rsidRPr="00A02A83">
        <w:rPr>
          <w:rFonts w:eastAsia="Calibri" w:cs="Times New Roman"/>
          <w:color w:val="323E4F"/>
          <w:szCs w:val="20"/>
          <w:lang w:eastAsia="en-AU"/>
        </w:rPr>
        <w:t xml:space="preserve"> impacts of trauma </w:t>
      </w:r>
      <w:r w:rsidRPr="00A02A83">
        <w:rPr>
          <w:rFonts w:eastAsia="Calibri" w:cs="Times New Roman"/>
          <w:color w:val="323E4F"/>
          <w:szCs w:val="20"/>
          <w:lang w:eastAsia="en-AU"/>
        </w:rPr>
        <w:t xml:space="preserve">across generations </w:t>
      </w:r>
      <w:r w:rsidR="003360ED">
        <w:rPr>
          <w:rFonts w:eastAsia="Calibri" w:cs="Times New Roman"/>
          <w:color w:val="323E4F"/>
          <w:szCs w:val="20"/>
          <w:lang w:eastAsia="en-AU"/>
        </w:rPr>
        <w:t>of</w:t>
      </w:r>
      <w:r w:rsidR="003A3280" w:rsidRPr="00A02A83">
        <w:rPr>
          <w:rFonts w:eastAsia="Calibri" w:cs="Times New Roman"/>
          <w:color w:val="323E4F"/>
          <w:szCs w:val="20"/>
          <w:lang w:eastAsia="en-AU"/>
        </w:rPr>
        <w:t xml:space="preserve"> Aboriginal and Torres Strait Islander </w:t>
      </w:r>
      <w:r w:rsidR="008A257D">
        <w:rPr>
          <w:rFonts w:eastAsia="Calibri" w:cs="Times New Roman"/>
          <w:color w:val="323E4F"/>
          <w:szCs w:val="20"/>
          <w:lang w:eastAsia="en-AU"/>
        </w:rPr>
        <w:t>people</w:t>
      </w:r>
      <w:r w:rsidRPr="00A02A83">
        <w:rPr>
          <w:rFonts w:eastAsia="Calibri" w:cs="Times New Roman"/>
          <w:color w:val="323E4F"/>
          <w:szCs w:val="20"/>
          <w:lang w:eastAsia="en-AU"/>
        </w:rPr>
        <w:t xml:space="preserve"> must be acknowledged and addressed</w:t>
      </w:r>
      <w:r w:rsidR="003A3280" w:rsidRPr="00A02A83">
        <w:rPr>
          <w:rFonts w:eastAsia="Calibri" w:cs="Times New Roman"/>
          <w:color w:val="323E4F"/>
          <w:szCs w:val="20"/>
          <w:lang w:eastAsia="en-AU"/>
        </w:rPr>
        <w:t xml:space="preserve">. </w:t>
      </w:r>
    </w:p>
    <w:p w:rsidR="003A3280" w:rsidRPr="00A02A83" w:rsidRDefault="003A3280" w:rsidP="00A02A83">
      <w:pPr>
        <w:pStyle w:val="ListParagraph"/>
        <w:numPr>
          <w:ilvl w:val="0"/>
          <w:numId w:val="18"/>
        </w:numPr>
        <w:pBdr>
          <w:top w:val="none" w:sz="0" w:space="0" w:color="auto"/>
          <w:left w:val="none" w:sz="0" w:space="0" w:color="auto"/>
          <w:bottom w:val="none" w:sz="0" w:space="0" w:color="auto"/>
          <w:right w:val="none" w:sz="0" w:space="0" w:color="auto"/>
          <w:between w:val="none" w:sz="0" w:space="0" w:color="auto"/>
        </w:pBdr>
        <w:jc w:val="both"/>
        <w:rPr>
          <w:rFonts w:eastAsia="Calibri" w:cs="Times New Roman"/>
          <w:color w:val="323E4F"/>
          <w:szCs w:val="20"/>
          <w:lang w:eastAsia="en-AU"/>
        </w:rPr>
      </w:pPr>
      <w:r w:rsidRPr="00A02A83">
        <w:rPr>
          <w:rFonts w:eastAsia="Calibri" w:cs="Times New Roman"/>
          <w:color w:val="323E4F"/>
          <w:szCs w:val="20"/>
          <w:lang w:eastAsia="en-AU"/>
        </w:rPr>
        <w:t>Governments need to support long-term, coordinated, placed-based approaches that honour communit</w:t>
      </w:r>
      <w:r w:rsidR="003360ED">
        <w:rPr>
          <w:rFonts w:eastAsia="Calibri" w:cs="Times New Roman"/>
          <w:color w:val="323E4F"/>
          <w:szCs w:val="20"/>
          <w:lang w:eastAsia="en-AU"/>
        </w:rPr>
        <w:t>y</w:t>
      </w:r>
      <w:r w:rsidRPr="00A02A83">
        <w:rPr>
          <w:rFonts w:eastAsia="Calibri" w:cs="Times New Roman"/>
          <w:color w:val="323E4F"/>
          <w:szCs w:val="20"/>
          <w:lang w:eastAsia="en-AU"/>
        </w:rPr>
        <w:t xml:space="preserve"> priorities and embed participation.</w:t>
      </w:r>
      <w:r w:rsidR="00C07856" w:rsidRPr="00A02A83">
        <w:rPr>
          <w:rFonts w:eastAsia="Calibri" w:cs="Times New Roman"/>
          <w:color w:val="323E4F"/>
          <w:szCs w:val="20"/>
          <w:lang w:eastAsia="en-AU"/>
        </w:rPr>
        <w:t xml:space="preserve"> </w:t>
      </w:r>
    </w:p>
    <w:p w:rsidR="001568DD" w:rsidRPr="00A02A83" w:rsidRDefault="001568DD" w:rsidP="00A02A83">
      <w:pPr>
        <w:pBdr>
          <w:top w:val="none" w:sz="0" w:space="0" w:color="auto"/>
          <w:left w:val="none" w:sz="0" w:space="0" w:color="auto"/>
          <w:bottom w:val="none" w:sz="0" w:space="0" w:color="auto"/>
          <w:right w:val="none" w:sz="0" w:space="0" w:color="auto"/>
          <w:between w:val="none" w:sz="0" w:space="0" w:color="auto"/>
        </w:pBdr>
        <w:jc w:val="both"/>
        <w:rPr>
          <w:rFonts w:eastAsia="Calibri" w:cs="Times New Roman"/>
          <w:color w:val="323E4F"/>
          <w:szCs w:val="20"/>
          <w:lang w:eastAsia="en-AU"/>
        </w:rPr>
      </w:pPr>
      <w:r w:rsidRPr="00A02A83">
        <w:rPr>
          <w:rFonts w:eastAsia="Calibri" w:cs="Times New Roman"/>
          <w:color w:val="323E4F"/>
          <w:szCs w:val="20"/>
          <w:lang w:eastAsia="en-AU"/>
        </w:rPr>
        <w:t xml:space="preserve">The </w:t>
      </w:r>
      <w:r w:rsidRPr="00A02A83">
        <w:rPr>
          <w:rFonts w:eastAsia="Calibri" w:cs="Times New Roman"/>
          <w:i/>
          <w:color w:val="323E4F"/>
          <w:szCs w:val="20"/>
          <w:lang w:eastAsia="en-AU"/>
        </w:rPr>
        <w:t>My Life My Lead</w:t>
      </w:r>
      <w:r w:rsidRPr="00A02A83">
        <w:rPr>
          <w:rFonts w:eastAsia="Calibri" w:cs="Times New Roman"/>
          <w:color w:val="323E4F"/>
          <w:szCs w:val="20"/>
          <w:lang w:eastAsia="en-AU"/>
        </w:rPr>
        <w:t xml:space="preserve"> Consultation Report is an account of what was heard from participants and contributors about the factors impacting on health, and is further informed by literature and research on the identified priority areas. </w:t>
      </w:r>
      <w:r w:rsidRPr="00555394">
        <w:rPr>
          <w:rFonts w:eastAsia="Calibri" w:cs="Times New Roman"/>
          <w:color w:val="323E4F"/>
          <w:szCs w:val="20"/>
          <w:lang w:eastAsia="en-AU"/>
        </w:rPr>
        <w:t>There was strong support for an approach to improving health that accounted for the social determinants that frequently contribute to poor health and the cultural determinants that can potentially be enormously positive for health.</w:t>
      </w:r>
      <w:r w:rsidRPr="00A02A83">
        <w:rPr>
          <w:rFonts w:eastAsia="Calibri" w:cs="Times New Roman"/>
          <w:color w:val="323E4F"/>
          <w:szCs w:val="20"/>
          <w:lang w:eastAsia="en-AU"/>
        </w:rPr>
        <w:t xml:space="preserve"> </w:t>
      </w:r>
    </w:p>
    <w:p w:rsidR="001568DD" w:rsidRPr="00A02A83" w:rsidRDefault="008E0B12" w:rsidP="00A02A83">
      <w:pPr>
        <w:pBdr>
          <w:top w:val="none" w:sz="0" w:space="0" w:color="auto"/>
          <w:left w:val="none" w:sz="0" w:space="0" w:color="auto"/>
          <w:bottom w:val="none" w:sz="0" w:space="0" w:color="auto"/>
          <w:right w:val="none" w:sz="0" w:space="0" w:color="auto"/>
          <w:between w:val="none" w:sz="0" w:space="0" w:color="auto"/>
        </w:pBdr>
        <w:jc w:val="both"/>
        <w:rPr>
          <w:rFonts w:eastAsia="Calibri" w:cs="Times New Roman"/>
          <w:color w:val="323E4F"/>
          <w:szCs w:val="20"/>
          <w:lang w:eastAsia="en-AU"/>
        </w:rPr>
      </w:pPr>
      <w:r w:rsidRPr="00A02A83">
        <w:rPr>
          <w:rFonts w:eastAsia="Calibri" w:cs="Times New Roman"/>
          <w:color w:val="323E4F"/>
          <w:szCs w:val="20"/>
          <w:lang w:eastAsia="en-AU"/>
        </w:rPr>
        <w:t>Th</w:t>
      </w:r>
      <w:r w:rsidR="001F14B7" w:rsidRPr="00A02A83">
        <w:rPr>
          <w:rFonts w:eastAsia="Calibri" w:cs="Times New Roman"/>
          <w:color w:val="323E4F"/>
          <w:szCs w:val="20"/>
          <w:lang w:eastAsia="en-AU"/>
        </w:rPr>
        <w:t xml:space="preserve">is </w:t>
      </w:r>
      <w:r w:rsidR="00C94AFC" w:rsidRPr="00A02A83">
        <w:rPr>
          <w:rFonts w:eastAsia="Calibri" w:cs="Times New Roman"/>
          <w:color w:val="323E4F"/>
          <w:szCs w:val="20"/>
          <w:lang w:eastAsia="en-AU"/>
        </w:rPr>
        <w:t>R</w:t>
      </w:r>
      <w:r w:rsidR="001443B3" w:rsidRPr="00A02A83">
        <w:rPr>
          <w:rFonts w:eastAsia="Calibri" w:cs="Times New Roman"/>
          <w:color w:val="323E4F"/>
          <w:szCs w:val="20"/>
          <w:lang w:eastAsia="en-AU"/>
        </w:rPr>
        <w:t>eport</w:t>
      </w:r>
      <w:r w:rsidRPr="00A02A83">
        <w:rPr>
          <w:rFonts w:eastAsia="Calibri" w:cs="Times New Roman"/>
          <w:color w:val="323E4F"/>
          <w:szCs w:val="20"/>
          <w:lang w:eastAsia="en-AU"/>
        </w:rPr>
        <w:t xml:space="preserve"> </w:t>
      </w:r>
      <w:r w:rsidR="00A723FA" w:rsidRPr="00A02A83">
        <w:rPr>
          <w:rFonts w:eastAsia="Calibri" w:cs="Times New Roman"/>
          <w:color w:val="323E4F"/>
          <w:szCs w:val="20"/>
          <w:lang w:eastAsia="en-AU"/>
        </w:rPr>
        <w:t>captures</w:t>
      </w:r>
      <w:r w:rsidRPr="00A02A83">
        <w:rPr>
          <w:rFonts w:eastAsia="Calibri" w:cs="Times New Roman"/>
          <w:color w:val="323E4F"/>
          <w:szCs w:val="20"/>
          <w:lang w:eastAsia="en-AU"/>
        </w:rPr>
        <w:t xml:space="preserve"> the </w:t>
      </w:r>
      <w:r w:rsidR="001443B3" w:rsidRPr="00A02A83">
        <w:rPr>
          <w:rFonts w:eastAsia="Calibri" w:cs="Times New Roman"/>
          <w:color w:val="323E4F"/>
          <w:szCs w:val="20"/>
          <w:lang w:eastAsia="en-AU"/>
        </w:rPr>
        <w:t xml:space="preserve">seven key </w:t>
      </w:r>
      <w:r w:rsidRPr="00A02A83">
        <w:rPr>
          <w:rFonts w:eastAsia="Calibri" w:cs="Times New Roman"/>
          <w:color w:val="323E4F"/>
          <w:szCs w:val="20"/>
          <w:lang w:eastAsia="en-AU"/>
        </w:rPr>
        <w:t xml:space="preserve">priorities raised by </w:t>
      </w:r>
      <w:r w:rsidR="00C41E06" w:rsidRPr="00A02A83">
        <w:rPr>
          <w:rFonts w:eastAsia="Calibri" w:cs="Times New Roman"/>
          <w:color w:val="323E4F"/>
          <w:szCs w:val="20"/>
          <w:lang w:eastAsia="en-AU"/>
        </w:rPr>
        <w:t>consultation participants</w:t>
      </w:r>
      <w:r w:rsidR="00170AF2">
        <w:rPr>
          <w:rFonts w:eastAsia="Calibri" w:cs="Times New Roman"/>
          <w:color w:val="323E4F"/>
          <w:szCs w:val="20"/>
          <w:lang w:eastAsia="en-AU"/>
        </w:rPr>
        <w:t xml:space="preserve"> and in written submissions. These priority areas encompass </w:t>
      </w:r>
      <w:r w:rsidR="00C41E06" w:rsidRPr="00A02A83">
        <w:rPr>
          <w:rFonts w:eastAsia="Calibri" w:cs="Times New Roman"/>
          <w:color w:val="323E4F"/>
          <w:szCs w:val="20"/>
          <w:lang w:eastAsia="en-AU"/>
        </w:rPr>
        <w:t xml:space="preserve">a </w:t>
      </w:r>
      <w:r w:rsidR="00B27B50" w:rsidRPr="00A02A83">
        <w:rPr>
          <w:rFonts w:eastAsia="Calibri" w:cs="Times New Roman"/>
          <w:color w:val="323E4F"/>
          <w:szCs w:val="20"/>
          <w:lang w:eastAsia="en-AU"/>
        </w:rPr>
        <w:t>range of sectors and</w:t>
      </w:r>
      <w:r w:rsidR="00C41E06" w:rsidRPr="00A02A83">
        <w:rPr>
          <w:rFonts w:eastAsia="Calibri" w:cs="Times New Roman"/>
          <w:color w:val="323E4F"/>
          <w:szCs w:val="20"/>
          <w:lang w:eastAsia="en-AU"/>
        </w:rPr>
        <w:t xml:space="preserve"> areas, including</w:t>
      </w:r>
      <w:r w:rsidR="00B27B50" w:rsidRPr="00A02A83">
        <w:rPr>
          <w:rFonts w:eastAsia="Calibri" w:cs="Times New Roman"/>
          <w:color w:val="323E4F"/>
          <w:szCs w:val="20"/>
          <w:lang w:eastAsia="en-AU"/>
        </w:rPr>
        <w:t>,</w:t>
      </w:r>
      <w:r w:rsidR="00C41E06" w:rsidRPr="00A02A83">
        <w:rPr>
          <w:rFonts w:eastAsia="Calibri" w:cs="Times New Roman"/>
          <w:color w:val="323E4F"/>
          <w:szCs w:val="20"/>
          <w:lang w:eastAsia="en-AU"/>
        </w:rPr>
        <w:t xml:space="preserve"> but not limited to</w:t>
      </w:r>
      <w:r w:rsidR="00B27B50" w:rsidRPr="00A02A83">
        <w:rPr>
          <w:rFonts w:eastAsia="Calibri" w:cs="Times New Roman"/>
          <w:color w:val="323E4F"/>
          <w:szCs w:val="20"/>
          <w:lang w:eastAsia="en-AU"/>
        </w:rPr>
        <w:t>,</w:t>
      </w:r>
      <w:r w:rsidR="001F14B7" w:rsidRPr="00A02A83">
        <w:rPr>
          <w:rFonts w:eastAsia="Calibri" w:cs="Times New Roman"/>
          <w:color w:val="323E4F"/>
          <w:szCs w:val="20"/>
          <w:lang w:eastAsia="en-AU"/>
        </w:rPr>
        <w:t xml:space="preserve"> health, education, housing, employment and justice</w:t>
      </w:r>
      <w:r w:rsidR="00950729">
        <w:rPr>
          <w:rFonts w:eastAsia="Calibri" w:cs="Times New Roman"/>
          <w:color w:val="323E4F"/>
          <w:szCs w:val="20"/>
          <w:lang w:eastAsia="en-AU"/>
        </w:rPr>
        <w:t xml:space="preserve">. </w:t>
      </w:r>
      <w:r w:rsidR="001443B3" w:rsidRPr="00A02A83">
        <w:rPr>
          <w:rFonts w:eastAsia="Calibri" w:cs="Times New Roman"/>
          <w:color w:val="323E4F"/>
          <w:szCs w:val="20"/>
          <w:lang w:eastAsia="en-AU"/>
        </w:rPr>
        <w:t xml:space="preserve">The report </w:t>
      </w:r>
      <w:r w:rsidR="00D4146A" w:rsidRPr="00A02A83">
        <w:rPr>
          <w:rFonts w:eastAsia="Calibri" w:cs="Times New Roman"/>
          <w:color w:val="323E4F"/>
          <w:szCs w:val="20"/>
          <w:lang w:eastAsia="en-AU"/>
        </w:rPr>
        <w:t>also notes</w:t>
      </w:r>
      <w:r w:rsidRPr="00A02A83">
        <w:rPr>
          <w:rFonts w:eastAsia="Calibri" w:cs="Times New Roman"/>
          <w:color w:val="323E4F"/>
          <w:szCs w:val="20"/>
          <w:lang w:eastAsia="en-AU"/>
        </w:rPr>
        <w:t xml:space="preserve"> where there is need for further work and exploration.</w:t>
      </w:r>
      <w:r w:rsidR="00C17377" w:rsidRPr="00A02A83">
        <w:rPr>
          <w:rFonts w:eastAsia="Calibri" w:cs="Times New Roman"/>
          <w:color w:val="323E4F"/>
          <w:szCs w:val="20"/>
          <w:lang w:eastAsia="en-AU"/>
        </w:rPr>
        <w:t xml:space="preserve"> </w:t>
      </w:r>
    </w:p>
    <w:p w:rsidR="003A3280" w:rsidRPr="00A02A83" w:rsidRDefault="003A3280" w:rsidP="00B82503">
      <w:pPr>
        <w:pBdr>
          <w:top w:val="none" w:sz="0" w:space="0" w:color="auto"/>
          <w:left w:val="none" w:sz="0" w:space="0" w:color="auto"/>
          <w:bottom w:val="none" w:sz="0" w:space="0" w:color="auto"/>
          <w:right w:val="none" w:sz="0" w:space="0" w:color="auto"/>
          <w:between w:val="none" w:sz="0" w:space="0" w:color="auto"/>
        </w:pBdr>
        <w:jc w:val="both"/>
        <w:rPr>
          <w:rFonts w:eastAsia="Calibri" w:cs="Times New Roman"/>
          <w:color w:val="323E4F"/>
          <w:szCs w:val="20"/>
          <w:lang w:eastAsia="en-AU"/>
        </w:rPr>
      </w:pPr>
      <w:r w:rsidRPr="00A02A83">
        <w:rPr>
          <w:rFonts w:eastAsia="Calibri" w:cs="Times New Roman"/>
          <w:color w:val="323E4F"/>
          <w:szCs w:val="20"/>
          <w:lang w:eastAsia="en-AU"/>
        </w:rPr>
        <w:t xml:space="preserve">A social determinants and cultural determinants approach to health also supports </w:t>
      </w:r>
      <w:r w:rsidR="001443B3" w:rsidRPr="00A02A83">
        <w:rPr>
          <w:rFonts w:eastAsia="Calibri" w:cs="Times New Roman"/>
          <w:color w:val="323E4F"/>
          <w:szCs w:val="20"/>
          <w:lang w:eastAsia="en-AU"/>
        </w:rPr>
        <w:t>the Australian Government’s</w:t>
      </w:r>
      <w:r w:rsidRPr="00A02A83">
        <w:rPr>
          <w:rFonts w:eastAsia="Calibri" w:cs="Times New Roman"/>
          <w:color w:val="323E4F"/>
          <w:szCs w:val="20"/>
          <w:lang w:eastAsia="en-AU"/>
        </w:rPr>
        <w:t xml:space="preserve"> commitment to a range of international treaties and obligations, </w:t>
      </w:r>
      <w:r w:rsidR="00997F97">
        <w:rPr>
          <w:rFonts w:eastAsia="Calibri" w:cs="Times New Roman"/>
          <w:color w:val="323E4F"/>
          <w:szCs w:val="20"/>
          <w:lang w:eastAsia="en-AU"/>
        </w:rPr>
        <w:t>including</w:t>
      </w:r>
      <w:r w:rsidRPr="00A02A83">
        <w:rPr>
          <w:rFonts w:eastAsia="Calibri" w:cs="Times New Roman"/>
          <w:color w:val="323E4F"/>
          <w:szCs w:val="20"/>
          <w:lang w:eastAsia="en-AU"/>
        </w:rPr>
        <w:t xml:space="preserve"> our commitments under the 2030 Agenda for Sustainable Development and its seventeen Sustainable Development Goals.  </w:t>
      </w:r>
    </w:p>
    <w:p w:rsidR="003A3280" w:rsidRPr="00A02A83" w:rsidRDefault="009E0011" w:rsidP="00A02A83">
      <w:pPr>
        <w:pBdr>
          <w:top w:val="none" w:sz="0" w:space="0" w:color="auto"/>
          <w:left w:val="none" w:sz="0" w:space="0" w:color="auto"/>
          <w:bottom w:val="none" w:sz="0" w:space="0" w:color="auto"/>
          <w:right w:val="none" w:sz="0" w:space="0" w:color="auto"/>
          <w:between w:val="none" w:sz="0" w:space="0" w:color="auto"/>
        </w:pBdr>
        <w:jc w:val="both"/>
        <w:rPr>
          <w:rFonts w:eastAsia="Calibri" w:cs="Times New Roman"/>
          <w:color w:val="323E4F"/>
          <w:szCs w:val="20"/>
          <w:lang w:eastAsia="en-AU"/>
        </w:rPr>
      </w:pPr>
      <w:r w:rsidRPr="00A02A83">
        <w:rPr>
          <w:rFonts w:eastAsia="Calibri" w:cs="Times New Roman"/>
          <w:color w:val="323E4F"/>
          <w:szCs w:val="20"/>
          <w:lang w:eastAsia="en-AU"/>
        </w:rPr>
        <w:t>The Department</w:t>
      </w:r>
      <w:r w:rsidR="003A3280" w:rsidRPr="00A02A83">
        <w:rPr>
          <w:rFonts w:eastAsia="Calibri" w:cs="Times New Roman"/>
          <w:color w:val="323E4F"/>
          <w:szCs w:val="20"/>
          <w:lang w:eastAsia="en-AU"/>
        </w:rPr>
        <w:t xml:space="preserve"> </w:t>
      </w:r>
      <w:r w:rsidR="00801A95">
        <w:rPr>
          <w:rFonts w:eastAsia="Calibri" w:cs="Times New Roman"/>
          <w:color w:val="323E4F"/>
          <w:szCs w:val="20"/>
          <w:lang w:eastAsia="en-AU"/>
        </w:rPr>
        <w:t xml:space="preserve">of Health </w:t>
      </w:r>
      <w:r w:rsidR="003A3280" w:rsidRPr="00A02A83">
        <w:rPr>
          <w:rFonts w:eastAsia="Calibri" w:cs="Times New Roman"/>
          <w:color w:val="323E4F"/>
          <w:szCs w:val="20"/>
          <w:lang w:eastAsia="en-AU"/>
        </w:rPr>
        <w:t xml:space="preserve">would like to thank the members of the Implementation Plan Advisory Group and the National Health Leadership Forum for their leadership and advice </w:t>
      </w:r>
      <w:r w:rsidR="00997F97">
        <w:rPr>
          <w:rFonts w:eastAsia="Calibri" w:cs="Times New Roman"/>
          <w:color w:val="323E4F"/>
          <w:szCs w:val="20"/>
          <w:lang w:eastAsia="en-AU"/>
        </w:rPr>
        <w:t>throughout the consultation</w:t>
      </w:r>
      <w:r w:rsidR="0069296D" w:rsidRPr="00A02A83">
        <w:rPr>
          <w:rFonts w:eastAsia="Calibri" w:cs="Times New Roman"/>
          <w:color w:val="323E4F"/>
          <w:szCs w:val="20"/>
          <w:lang w:eastAsia="en-AU"/>
        </w:rPr>
        <w:t xml:space="preserve"> process</w:t>
      </w:r>
      <w:r w:rsidR="003A3280" w:rsidRPr="00A02A83">
        <w:rPr>
          <w:rFonts w:eastAsia="Calibri" w:cs="Times New Roman"/>
          <w:color w:val="323E4F"/>
          <w:szCs w:val="20"/>
          <w:lang w:eastAsia="en-AU"/>
        </w:rPr>
        <w:t xml:space="preserve">. </w:t>
      </w:r>
      <w:r w:rsidRPr="00A02A83">
        <w:rPr>
          <w:rFonts w:eastAsia="Calibri" w:cs="Times New Roman"/>
          <w:color w:val="323E4F"/>
          <w:szCs w:val="20"/>
          <w:lang w:eastAsia="en-AU"/>
        </w:rPr>
        <w:t>The Department</w:t>
      </w:r>
      <w:r w:rsidR="003360ED">
        <w:rPr>
          <w:rFonts w:eastAsia="Calibri" w:cs="Times New Roman"/>
          <w:color w:val="323E4F"/>
          <w:szCs w:val="20"/>
          <w:lang w:eastAsia="en-AU"/>
        </w:rPr>
        <w:t xml:space="preserve"> also</w:t>
      </w:r>
      <w:r w:rsidRPr="00A02A83">
        <w:rPr>
          <w:rFonts w:eastAsia="Calibri" w:cs="Times New Roman"/>
          <w:color w:val="323E4F"/>
          <w:szCs w:val="20"/>
          <w:lang w:eastAsia="en-AU"/>
        </w:rPr>
        <w:t xml:space="preserve"> acknowledges</w:t>
      </w:r>
      <w:r w:rsidR="003A3280" w:rsidRPr="00A02A83">
        <w:rPr>
          <w:rFonts w:eastAsia="Calibri" w:cs="Times New Roman"/>
          <w:color w:val="323E4F"/>
          <w:szCs w:val="20"/>
          <w:lang w:eastAsia="en-AU"/>
        </w:rPr>
        <w:t xml:space="preserve"> those who attended the consultation forums, including the many participants who travelled long distances, and the organisations and individuals who provided submissions. </w:t>
      </w:r>
    </w:p>
    <w:bookmarkEnd w:id="2"/>
    <w:bookmarkEnd w:id="3"/>
    <w:bookmarkEnd w:id="4"/>
    <w:p w:rsidR="00144300" w:rsidRDefault="00144300">
      <w:pPr>
        <w:rPr>
          <w:rFonts w:eastAsia="Arial" w:cs="Arial"/>
          <w:b/>
          <w:bCs/>
          <w:i/>
          <w:iCs/>
          <w:color w:val="E36C09"/>
          <w:sz w:val="28"/>
          <w:szCs w:val="24"/>
          <w:lang w:eastAsia="en-AU"/>
        </w:rPr>
      </w:pPr>
      <w:r>
        <w:br w:type="page"/>
      </w:r>
    </w:p>
    <w:p w:rsidR="0026447B" w:rsidRPr="005D1E20" w:rsidRDefault="00375CD7" w:rsidP="0016555F">
      <w:pPr>
        <w:pStyle w:val="Heading1BlueAllCaps"/>
      </w:pPr>
      <w:bookmarkStart w:id="6" w:name="_Toc490818564"/>
      <w:bookmarkStart w:id="7" w:name="_Toc500401388"/>
      <w:r>
        <w:lastRenderedPageBreak/>
        <w:t xml:space="preserve">WHY IS A SOCIAL DETERMINANTS AND CULTURAL DETERMINANTS TO HEALTH </w:t>
      </w:r>
      <w:r w:rsidR="00723A11">
        <w:t xml:space="preserve">APPROACH </w:t>
      </w:r>
      <w:r>
        <w:t>NEEDED</w:t>
      </w:r>
      <w:r w:rsidR="0026447B" w:rsidRPr="005D1E20">
        <w:t>?</w:t>
      </w:r>
      <w:bookmarkEnd w:id="6"/>
      <w:bookmarkEnd w:id="7"/>
      <w:r w:rsidR="0026447B" w:rsidRPr="005D1E20">
        <w:t xml:space="preserve"> </w:t>
      </w:r>
    </w:p>
    <w:p w:rsidR="00BF710E" w:rsidRPr="00B93A41" w:rsidRDefault="00347DAB" w:rsidP="00674053">
      <w:pPr>
        <w:pStyle w:val="xBodytext1"/>
        <w:shd w:val="clear" w:color="auto" w:fill="FFFFFF" w:themeFill="background1"/>
        <w:jc w:val="both"/>
      </w:pPr>
      <w:r>
        <w:t>Poor health impacts negatively on wellbeing</w:t>
      </w:r>
      <w:r w:rsidR="003360ED">
        <w:t>. I</w:t>
      </w:r>
      <w:r>
        <w:t xml:space="preserve">t may limit participation in daily activities, or prevent people from living a meaningful life and </w:t>
      </w:r>
      <w:r w:rsidR="003360ED">
        <w:t>reduce a person’s</w:t>
      </w:r>
      <w:r>
        <w:t xml:space="preserve"> sense of fulfilment and purpose. Conversely, g</w:t>
      </w:r>
      <w:r w:rsidR="00BF710E" w:rsidRPr="004A18CC">
        <w:t>ood health builds the foundations for a good life</w:t>
      </w:r>
      <w:r w:rsidR="00BF710E">
        <w:t xml:space="preserve"> and supports greater </w:t>
      </w:r>
      <w:r w:rsidR="00AC4045">
        <w:t>opportunities</w:t>
      </w:r>
      <w:r w:rsidR="00BF710E">
        <w:t xml:space="preserve"> </w:t>
      </w:r>
      <w:r w:rsidR="00312F00">
        <w:t xml:space="preserve">and wellbeing </w:t>
      </w:r>
      <w:r w:rsidR="00BF710E">
        <w:t>over the life course</w:t>
      </w:r>
      <w:r w:rsidR="00BF710E" w:rsidRPr="004A18CC">
        <w:t xml:space="preserve">. </w:t>
      </w:r>
      <w:r w:rsidR="00BF710E">
        <w:t xml:space="preserve">A healthy child is more likely to engage at school. Those who have completed </w:t>
      </w:r>
      <w:r w:rsidR="00302FE6">
        <w:t>secondary school</w:t>
      </w:r>
      <w:r w:rsidR="00BF710E">
        <w:t xml:space="preserve"> are more likely to be employed. Those </w:t>
      </w:r>
      <w:r w:rsidR="00A36C50">
        <w:t xml:space="preserve">who </w:t>
      </w:r>
      <w:r w:rsidR="00BF710E">
        <w:t>are employed have a regular source of income and are therefore more likely to live in a house in good repair.</w:t>
      </w:r>
      <w:r w:rsidR="00BF710E">
        <w:rPr>
          <w:rStyle w:val="EndnoteReference"/>
        </w:rPr>
        <w:endnoteReference w:id="3"/>
      </w:r>
      <w:r w:rsidR="00BF710E">
        <w:t xml:space="preserve">  </w:t>
      </w:r>
    </w:p>
    <w:p w:rsidR="00041855" w:rsidRDefault="00F23F3F" w:rsidP="00674053">
      <w:pPr>
        <w:pStyle w:val="xBodytext1"/>
        <w:jc w:val="both"/>
      </w:pPr>
      <w:r>
        <w:t xml:space="preserve">Aboriginal and Torres Strait Islander people </w:t>
      </w:r>
      <w:r w:rsidR="0008306E">
        <w:t xml:space="preserve">generally </w:t>
      </w:r>
      <w:r>
        <w:t xml:space="preserve">have poorer health outcomes than non-Indigenous </w:t>
      </w:r>
      <w:r w:rsidR="005132AB">
        <w:t xml:space="preserve">Australians, with a shorter life expectancy, </w:t>
      </w:r>
      <w:r w:rsidR="00CD072D">
        <w:t xml:space="preserve">a </w:t>
      </w:r>
      <w:r w:rsidR="005132AB">
        <w:t>higher child mortality rate and a greater burden of chronic disease.</w:t>
      </w:r>
      <w:r w:rsidR="00441C92">
        <w:t xml:space="preserve"> </w:t>
      </w:r>
    </w:p>
    <w:p w:rsidR="005F6DFB" w:rsidRDefault="0008306E" w:rsidP="00674053">
      <w:pPr>
        <w:pStyle w:val="xBodytext1"/>
        <w:jc w:val="both"/>
      </w:pPr>
      <w:r>
        <w:t>As displayed in Figure 1, a</w:t>
      </w:r>
      <w:r w:rsidR="00441C92">
        <w:t xml:space="preserve">t least 34.4 per cent of the health gap </w:t>
      </w:r>
      <w:r w:rsidR="00442467">
        <w:t xml:space="preserve">between Aboriginal and Torres Strait Islander </w:t>
      </w:r>
      <w:r w:rsidR="008A257D">
        <w:t>people</w:t>
      </w:r>
      <w:r w:rsidR="00442467">
        <w:t xml:space="preserve"> and non-Indigenous Australians </w:t>
      </w:r>
      <w:r w:rsidR="00441C92">
        <w:t xml:space="preserve">is linked </w:t>
      </w:r>
      <w:r w:rsidR="007206B3">
        <w:t xml:space="preserve">to </w:t>
      </w:r>
      <w:r w:rsidR="00441C92">
        <w:t>social determinants, which rises to 53.2 per cent when combined with behavioural risk factors, such as tobacco use, alcohol use, dietary factors and physical inactivity.</w:t>
      </w:r>
      <w:r w:rsidR="00347862">
        <w:rPr>
          <w:rStyle w:val="EndnoteReference"/>
        </w:rPr>
        <w:endnoteReference w:id="4"/>
      </w:r>
      <w:r w:rsidR="00441C92">
        <w:t xml:space="preserve"> </w:t>
      </w:r>
      <w:r w:rsidR="00A931B0">
        <w:t>Consideration of the cultural determinants of health is just as important for Aboriginal and Torres Strait Islander people, as a strong connection to culture is strongly correlated with good health</w:t>
      </w:r>
      <w:r w:rsidR="00442467">
        <w:t>, through strengthened identity, resilience and wellbeing.</w:t>
      </w:r>
    </w:p>
    <w:p w:rsidR="009C01EA" w:rsidRDefault="009C01EA" w:rsidP="00674053">
      <w:pPr>
        <w:pStyle w:val="xBodytext1"/>
        <w:jc w:val="both"/>
        <w:rPr>
          <w:color w:val="5F497A" w:themeColor="accent4" w:themeShade="BF"/>
          <w:sz w:val="20"/>
        </w:rPr>
      </w:pPr>
      <w:r>
        <w:rPr>
          <w:color w:val="5F497A" w:themeColor="accent4" w:themeShade="BF"/>
          <w:sz w:val="20"/>
        </w:rPr>
        <w:t>Figure 1</w:t>
      </w:r>
      <w:r w:rsidRPr="00066507">
        <w:rPr>
          <w:color w:val="5F497A" w:themeColor="accent4" w:themeShade="BF"/>
          <w:sz w:val="20"/>
        </w:rPr>
        <w:t>: Proportion of health gap explained by social determinants of health</w:t>
      </w:r>
      <w:r>
        <w:rPr>
          <w:color w:val="5F497A" w:themeColor="accent4" w:themeShade="BF"/>
          <w:sz w:val="20"/>
        </w:rPr>
        <w:t xml:space="preserve"> 2011-13</w:t>
      </w:r>
      <w:r w:rsidRPr="00066507">
        <w:rPr>
          <w:b/>
          <w:color w:val="5F497A" w:themeColor="accent4" w:themeShade="BF"/>
          <w:sz w:val="20"/>
          <w:vertAlign w:val="superscript"/>
        </w:rPr>
        <w:endnoteReference w:id="5"/>
      </w:r>
    </w:p>
    <w:p w:rsidR="00656DC3" w:rsidRDefault="00656DC3" w:rsidP="00656DC3">
      <w:pPr>
        <w:pStyle w:val="xBodytext1"/>
        <w:jc w:val="center"/>
      </w:pPr>
      <w:r>
        <w:rPr>
          <w:noProof/>
        </w:rPr>
        <w:drawing>
          <wp:inline distT="0" distB="0" distL="0" distR="0" wp14:anchorId="24BEF650" wp14:editId="4CFC24B7">
            <wp:extent cx="4005580" cy="2566670"/>
            <wp:effectExtent l="0" t="0" r="0" b="5080"/>
            <wp:docPr id="10" name="Picture 10" descr="Proportion of health gap explained by social determinants of health 2011-13"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05580" cy="2566670"/>
                    </a:xfrm>
                    <a:prstGeom prst="rect">
                      <a:avLst/>
                    </a:prstGeom>
                    <a:noFill/>
                  </pic:spPr>
                </pic:pic>
              </a:graphicData>
            </a:graphic>
          </wp:inline>
        </w:drawing>
      </w:r>
    </w:p>
    <w:p w:rsidR="003D23E5" w:rsidRDefault="00442467" w:rsidP="00A02A83">
      <w:pPr>
        <w:pStyle w:val="xBodytext1"/>
        <w:jc w:val="both"/>
      </w:pPr>
      <w:r>
        <w:t xml:space="preserve">There is already extensive work underway across governments on a shared </w:t>
      </w:r>
      <w:r w:rsidR="003360ED">
        <w:t>Closing the Gap</w:t>
      </w:r>
      <w:r>
        <w:t xml:space="preserve"> agenda, with efforts spanning across health, infancy and early childhood, education, employment and economic development. While significant improvements in health outcomes for Aboriginal and Torres Strait Islander </w:t>
      </w:r>
      <w:r w:rsidR="008A257D">
        <w:t>people</w:t>
      </w:r>
      <w:r>
        <w:t xml:space="preserve"> have been made over the last twenty years, these gains are in danger of flat-lining and the gap in life expectancy is not on track to be closed by 2031.</w:t>
      </w:r>
      <w:r w:rsidRPr="00A02A83">
        <w:rPr>
          <w:vertAlign w:val="superscript"/>
        </w:rPr>
        <w:endnoteReference w:id="6"/>
      </w:r>
    </w:p>
    <w:p w:rsidR="008A11DF" w:rsidRDefault="00144300" w:rsidP="002B4407">
      <w:pPr>
        <w:jc w:val="both"/>
        <w:rPr>
          <w:rFonts w:eastAsia="Calibri" w:cs="Times New Roman"/>
          <w:color w:val="323E4F"/>
          <w:szCs w:val="20"/>
          <w:lang w:eastAsia="en-AU"/>
        </w:rPr>
      </w:pPr>
      <w:r w:rsidRPr="00144300">
        <w:rPr>
          <w:rFonts w:eastAsia="Calibri" w:cs="Times New Roman"/>
          <w:color w:val="323E4F"/>
          <w:szCs w:val="20"/>
          <w:lang w:eastAsia="en-AU"/>
        </w:rPr>
        <w:t xml:space="preserve">A social determinants of health approach entails consideration of both health and wellbeing through a holistic, whole-of-life lens. </w:t>
      </w:r>
      <w:r w:rsidR="00BB3BC1">
        <w:rPr>
          <w:rFonts w:eastAsia="Calibri" w:cs="Times New Roman"/>
          <w:color w:val="323E4F"/>
          <w:szCs w:val="20"/>
          <w:lang w:eastAsia="en-AU"/>
        </w:rPr>
        <w:t>Health</w:t>
      </w:r>
      <w:r w:rsidR="00893FA3">
        <w:rPr>
          <w:rFonts w:eastAsia="Calibri" w:cs="Times New Roman"/>
          <w:color w:val="323E4F"/>
          <w:szCs w:val="20"/>
          <w:lang w:eastAsia="en-AU"/>
        </w:rPr>
        <w:t xml:space="preserve"> is </w:t>
      </w:r>
      <w:r w:rsidRPr="00144300">
        <w:rPr>
          <w:rFonts w:eastAsia="Calibri" w:cs="Times New Roman"/>
          <w:color w:val="323E4F"/>
          <w:szCs w:val="20"/>
          <w:lang w:eastAsia="en-AU"/>
        </w:rPr>
        <w:t xml:space="preserve">a holistic concept that incorporates the physical, social, emotional </w:t>
      </w:r>
      <w:r w:rsidRPr="00144300">
        <w:rPr>
          <w:color w:val="323E4F"/>
          <w:szCs w:val="20"/>
          <w:lang w:eastAsia="en-AU"/>
        </w:rPr>
        <w:t>and cultural wellbeing</w:t>
      </w:r>
      <w:r w:rsidRPr="00144300">
        <w:rPr>
          <w:rFonts w:eastAsia="Calibri" w:cs="Times New Roman"/>
          <w:color w:val="323E4F"/>
          <w:szCs w:val="20"/>
          <w:lang w:eastAsia="en-AU"/>
        </w:rPr>
        <w:t xml:space="preserve"> of individuals and their communities.</w:t>
      </w:r>
      <w:r w:rsidRPr="00FE4142">
        <w:rPr>
          <w:rStyle w:val="EndnoteReference"/>
          <w:rFonts w:eastAsia="Calibri" w:cs="Times New Roman"/>
          <w:color w:val="323E4F"/>
          <w:szCs w:val="20"/>
          <w:lang w:eastAsia="en-AU"/>
        </w:rPr>
        <w:endnoteReference w:id="7"/>
      </w:r>
      <w:r w:rsidR="00FB2E05" w:rsidRPr="00FE4142">
        <w:rPr>
          <w:rStyle w:val="EndnoteReference"/>
          <w:rFonts w:eastAsia="Calibri" w:cs="Times New Roman"/>
          <w:color w:val="323E4F"/>
          <w:szCs w:val="20"/>
          <w:lang w:eastAsia="en-AU"/>
        </w:rPr>
        <w:t xml:space="preserve"> </w:t>
      </w:r>
      <w:r w:rsidR="00893FA3">
        <w:rPr>
          <w:rStyle w:val="EndnoteReference"/>
          <w:rFonts w:eastAsia="Calibri" w:cs="Times New Roman"/>
          <w:color w:val="323E4F"/>
          <w:szCs w:val="20"/>
          <w:lang w:eastAsia="en-AU"/>
        </w:rPr>
        <w:endnoteReference w:id="8"/>
      </w:r>
      <w:r w:rsidR="00FB2E05" w:rsidRPr="00FE4142">
        <w:rPr>
          <w:rStyle w:val="EndnoteReference"/>
          <w:rFonts w:eastAsia="Calibri" w:cs="Times New Roman"/>
          <w:color w:val="323E4F"/>
          <w:szCs w:val="20"/>
          <w:lang w:eastAsia="en-AU"/>
        </w:rPr>
        <w:t xml:space="preserve"> </w:t>
      </w:r>
    </w:p>
    <w:p w:rsidR="00C028CB" w:rsidRPr="00C028CB" w:rsidRDefault="00C028CB" w:rsidP="002B4407">
      <w:pPr>
        <w:jc w:val="both"/>
        <w:rPr>
          <w:rFonts w:eastAsia="Calibri" w:cs="Times New Roman"/>
          <w:color w:val="323E4F"/>
          <w:szCs w:val="20"/>
          <w:lang w:eastAsia="en-AU"/>
        </w:rPr>
      </w:pPr>
      <w:r w:rsidRPr="00C028CB">
        <w:rPr>
          <w:rFonts w:eastAsia="Calibri" w:cs="Times New Roman"/>
          <w:color w:val="323E4F"/>
          <w:szCs w:val="20"/>
          <w:lang w:eastAsia="en-AU"/>
        </w:rPr>
        <w:lastRenderedPageBreak/>
        <w:t>The cultural determinants of health encompass the cultural factors that promote resilience, foster a sense of identity and support good mental and physical health and wellbeing for individuals, families and communities. While the cultural determinants of health is a less understood concept compared to the social determinants of health, there is strong evidence emerging around the various ways that culture can support b</w:t>
      </w:r>
      <w:r w:rsidR="00BB3BC1">
        <w:rPr>
          <w:rFonts w:eastAsia="Calibri" w:cs="Times New Roman"/>
          <w:color w:val="323E4F"/>
          <w:szCs w:val="20"/>
          <w:lang w:eastAsia="en-AU"/>
        </w:rPr>
        <w:t xml:space="preserve">etter health outcomes. </w:t>
      </w:r>
    </w:p>
    <w:p w:rsidR="00C028CB" w:rsidRPr="00C028CB" w:rsidRDefault="00C028CB" w:rsidP="00AC4045">
      <w:pPr>
        <w:pStyle w:val="xquotes"/>
        <w:rPr>
          <w:lang w:eastAsia="en-AU"/>
        </w:rPr>
      </w:pPr>
      <w:r w:rsidRPr="00C028CB">
        <w:rPr>
          <w:lang w:eastAsia="en-AU"/>
        </w:rPr>
        <w:t>Cultural Determinants originate from and promote a strength based perspective, acknowledging that stronger connections to culture and Country build stronger individual and collective identities, a sense of self-esteem, resilience, and improved outcomes across the other determinants of health including education, economic stability and community safety.</w:t>
      </w:r>
      <w:r w:rsidR="00B97BF7">
        <w:rPr>
          <w:rStyle w:val="EndnoteReference"/>
          <w:rFonts w:cs="Times New Roman"/>
          <w:color w:val="323E4F"/>
          <w:szCs w:val="20"/>
          <w:lang w:eastAsia="en-AU"/>
        </w:rPr>
        <w:endnoteReference w:id="9"/>
      </w:r>
    </w:p>
    <w:p w:rsidR="00282807" w:rsidRDefault="00C028CB" w:rsidP="002B4407">
      <w:pPr>
        <w:jc w:val="both"/>
        <w:rPr>
          <w:rFonts w:eastAsia="Calibri" w:cs="Times New Roman"/>
          <w:color w:val="323E4F"/>
          <w:szCs w:val="20"/>
          <w:lang w:eastAsia="en-AU"/>
        </w:rPr>
      </w:pPr>
      <w:r w:rsidRPr="00C028CB">
        <w:rPr>
          <w:rFonts w:eastAsia="Calibri" w:cs="Times New Roman"/>
          <w:color w:val="323E4F"/>
          <w:szCs w:val="20"/>
          <w:lang w:eastAsia="en-AU"/>
        </w:rPr>
        <w:t xml:space="preserve">Aboriginal and Torres Strait Islander cultures are the oldest living cultures in the world, which </w:t>
      </w:r>
      <w:r w:rsidR="00244100" w:rsidRPr="00C028CB">
        <w:rPr>
          <w:rFonts w:eastAsia="Calibri" w:cs="Times New Roman"/>
          <w:color w:val="323E4F"/>
          <w:szCs w:val="20"/>
          <w:lang w:eastAsia="en-AU"/>
        </w:rPr>
        <w:t>exemplify</w:t>
      </w:r>
      <w:r w:rsidRPr="00C028CB">
        <w:rPr>
          <w:rFonts w:eastAsia="Calibri" w:cs="Times New Roman"/>
          <w:color w:val="323E4F"/>
          <w:szCs w:val="20"/>
          <w:lang w:eastAsia="en-AU"/>
        </w:rPr>
        <w:t xml:space="preserve"> the dynamic and adaptive nature of these cultures. Cultural determinants are enabled, supported and protected through traditional cultural practice, kinship, connection to land and Country, art, song and ceremony, dance, healing, spirituality, empowerment, ancestry, belonging and self-determination</w:t>
      </w:r>
      <w:r w:rsidR="00C94AFC">
        <w:rPr>
          <w:rFonts w:eastAsia="Calibri" w:cs="Times New Roman"/>
          <w:color w:val="323E4F"/>
          <w:szCs w:val="20"/>
          <w:lang w:eastAsia="en-AU"/>
        </w:rPr>
        <w:t>.</w:t>
      </w:r>
      <w:r w:rsidRPr="00C028CB">
        <w:rPr>
          <w:rFonts w:eastAsia="Calibri" w:cs="Times New Roman"/>
          <w:color w:val="323E4F"/>
          <w:szCs w:val="20"/>
          <w:lang w:eastAsia="en-AU"/>
        </w:rPr>
        <w:t xml:space="preserve"> While many Aboriginal and Torres Strait Islander people, families and communities that reside in metropolitan and regional areas are separated from their Country and kin, strong cultural determinants of health can still be enabled and maintained through languages, relationships, customs and community networks.</w:t>
      </w:r>
      <w:bookmarkStart w:id="8" w:name="_Toc488047383"/>
      <w:bookmarkStart w:id="9" w:name="_Toc488077095"/>
      <w:bookmarkStart w:id="10" w:name="_Toc488150051"/>
      <w:bookmarkStart w:id="11" w:name="_Toc488157326"/>
      <w:bookmarkStart w:id="12" w:name="_Toc488393506"/>
      <w:bookmarkStart w:id="13" w:name="_Toc488418969"/>
      <w:bookmarkStart w:id="14" w:name="_Toc488419168"/>
      <w:bookmarkStart w:id="15" w:name="_Toc488419581"/>
      <w:bookmarkStart w:id="16" w:name="_Toc488047384"/>
      <w:bookmarkStart w:id="17" w:name="_Toc488767010"/>
      <w:bookmarkStart w:id="18" w:name="_Toc488767112"/>
      <w:bookmarkStart w:id="19" w:name="_Toc488077096"/>
      <w:bookmarkStart w:id="20" w:name="_Toc488150052"/>
      <w:bookmarkStart w:id="21" w:name="_Toc488157327"/>
      <w:bookmarkStart w:id="22" w:name="_Toc488393507"/>
      <w:bookmarkStart w:id="23" w:name="_Toc488418970"/>
      <w:bookmarkStart w:id="24" w:name="_Toc488419169"/>
      <w:bookmarkStart w:id="25" w:name="_Toc488419582"/>
      <w:bookmarkEnd w:id="8"/>
      <w:bookmarkEnd w:id="9"/>
      <w:bookmarkEnd w:id="10"/>
      <w:bookmarkEnd w:id="11"/>
      <w:bookmarkEnd w:id="12"/>
      <w:bookmarkEnd w:id="13"/>
      <w:bookmarkEnd w:id="14"/>
      <w:bookmarkEnd w:id="15"/>
    </w:p>
    <w:p w:rsidR="00781394" w:rsidRPr="005D1E20" w:rsidRDefault="00375CD7" w:rsidP="0016555F">
      <w:pPr>
        <w:pStyle w:val="Heading1BlueAllCaps"/>
      </w:pPr>
      <w:bookmarkStart w:id="26" w:name="26in1rg" w:colFirst="0" w:colLast="0"/>
      <w:bookmarkStart w:id="27" w:name="_Toc500401389"/>
      <w:bookmarkStart w:id="28" w:name="_Toc488047387"/>
      <w:bookmarkStart w:id="29" w:name="_Toc488077099"/>
      <w:bookmarkStart w:id="30" w:name="_Toc488150054"/>
      <w:bookmarkStart w:id="31" w:name="_Toc488157328"/>
      <w:bookmarkStart w:id="32" w:name="_Toc488393508"/>
      <w:bookmarkStart w:id="33" w:name="_Toc488418971"/>
      <w:bookmarkStart w:id="34" w:name="_Toc488419170"/>
      <w:bookmarkStart w:id="35" w:name="_Toc488419583"/>
      <w:bookmarkStart w:id="36" w:name="_Toc488767013"/>
      <w:bookmarkStart w:id="37" w:name="_Toc488767115"/>
      <w:bookmarkStart w:id="38" w:name="_Toc490818569"/>
      <w:bookmarkEnd w:id="16"/>
      <w:bookmarkEnd w:id="17"/>
      <w:bookmarkEnd w:id="18"/>
      <w:bookmarkEnd w:id="19"/>
      <w:bookmarkEnd w:id="20"/>
      <w:bookmarkEnd w:id="21"/>
      <w:bookmarkEnd w:id="22"/>
      <w:bookmarkEnd w:id="23"/>
      <w:bookmarkEnd w:id="24"/>
      <w:bookmarkEnd w:id="25"/>
      <w:bookmarkEnd w:id="26"/>
      <w:r>
        <w:t>WHAT MAKES THIS APPROACH DIFFERENT</w:t>
      </w:r>
      <w:r w:rsidR="00781394" w:rsidRPr="005D1E20">
        <w:t>?</w:t>
      </w:r>
      <w:bookmarkEnd w:id="27"/>
      <w:r w:rsidR="00781394" w:rsidRPr="005D1E20">
        <w:t xml:space="preserve"> </w:t>
      </w:r>
    </w:p>
    <w:p w:rsidR="00781394" w:rsidRDefault="00781394" w:rsidP="00674053">
      <w:pPr>
        <w:pStyle w:val="xBodytext1"/>
        <w:jc w:val="both"/>
      </w:pPr>
      <w:r>
        <w:t>A social determinants and cultural determinants approach will build upon existing efforts to enable</w:t>
      </w:r>
      <w:r w:rsidR="00A41593">
        <w:t xml:space="preserve"> </w:t>
      </w:r>
      <w:r>
        <w:t>more culturally-capable and responsive services and systems</w:t>
      </w:r>
      <w:r w:rsidR="00666C41">
        <w:t xml:space="preserve"> for Aboriginal and Torres Strait Islander people</w:t>
      </w:r>
      <w:r>
        <w:t>. This involves b</w:t>
      </w:r>
      <w:r w:rsidRPr="006336AB">
        <w:t xml:space="preserve">etter planning and coordination </w:t>
      </w:r>
      <w:r>
        <w:t>between governments, communities and service sectors—including mainstream services—</w:t>
      </w:r>
      <w:r w:rsidRPr="006336AB">
        <w:t xml:space="preserve">to </w:t>
      </w:r>
      <w:r w:rsidR="00C94AFC">
        <w:t>meet</w:t>
      </w:r>
      <w:r w:rsidRPr="006336AB">
        <w:t xml:space="preserve"> </w:t>
      </w:r>
      <w:r w:rsidR="00C94AFC">
        <w:t xml:space="preserve">the </w:t>
      </w:r>
      <w:r w:rsidRPr="006336AB">
        <w:t>needs of the person</w:t>
      </w:r>
      <w:r w:rsidR="00666C41">
        <w:t>, and in the context of their family and community,</w:t>
      </w:r>
      <w:r w:rsidRPr="006336AB">
        <w:t xml:space="preserve"> and respond to these unimpeded by organisational </w:t>
      </w:r>
      <w:r>
        <w:t xml:space="preserve">and service </w:t>
      </w:r>
      <w:r w:rsidRPr="006336AB">
        <w:t xml:space="preserve">silos. </w:t>
      </w:r>
      <w:r>
        <w:t>This also involves consideration and planning for how t</w:t>
      </w:r>
      <w:r w:rsidRPr="00B93A41">
        <w:t xml:space="preserve">he health of Aboriginal and Torres Strait Islander people may be impacted at every stage of </w:t>
      </w:r>
      <w:r>
        <w:t xml:space="preserve">policy and </w:t>
      </w:r>
      <w:r w:rsidRPr="00B93A41">
        <w:t>program design, implementation and</w:t>
      </w:r>
      <w:r>
        <w:t xml:space="preserve"> evaluation, regardless of whether the program is explicitly health-focussed. </w:t>
      </w:r>
    </w:p>
    <w:bookmarkEnd w:id="28"/>
    <w:bookmarkEnd w:id="29"/>
    <w:bookmarkEnd w:id="30"/>
    <w:bookmarkEnd w:id="31"/>
    <w:bookmarkEnd w:id="32"/>
    <w:bookmarkEnd w:id="33"/>
    <w:bookmarkEnd w:id="34"/>
    <w:bookmarkEnd w:id="35"/>
    <w:bookmarkEnd w:id="36"/>
    <w:bookmarkEnd w:id="37"/>
    <w:bookmarkEnd w:id="38"/>
    <w:p w:rsidR="00666C41" w:rsidRPr="00426D8E" w:rsidRDefault="00D37DD2" w:rsidP="00666C41">
      <w:pPr>
        <w:pStyle w:val="xBodytext1"/>
        <w:jc w:val="both"/>
      </w:pPr>
      <w:r>
        <w:t xml:space="preserve">During the </w:t>
      </w:r>
      <w:r w:rsidR="006C100D">
        <w:rPr>
          <w:i/>
        </w:rPr>
        <w:t>My Life</w:t>
      </w:r>
      <w:r w:rsidRPr="00EA4A9D">
        <w:rPr>
          <w:i/>
        </w:rPr>
        <w:t xml:space="preserve"> My Lead</w:t>
      </w:r>
      <w:r>
        <w:t xml:space="preserve"> consultations, s</w:t>
      </w:r>
      <w:r w:rsidR="00666C41" w:rsidRPr="00426D8E">
        <w:t xml:space="preserve">takeholders </w:t>
      </w:r>
      <w:r w:rsidR="003360ED">
        <w:t>emphasised</w:t>
      </w:r>
      <w:r w:rsidR="00666C41" w:rsidRPr="00426D8E">
        <w:t xml:space="preserve"> overwhelmingly that, if real change is to be achieved, </w:t>
      </w:r>
      <w:r w:rsidR="00F11D30">
        <w:t>future effort should</w:t>
      </w:r>
      <w:r w:rsidR="00666C41" w:rsidRPr="00426D8E">
        <w:t xml:space="preserve"> be informed and underpinned by the following principles:</w:t>
      </w:r>
    </w:p>
    <w:p w:rsidR="00666C41" w:rsidRPr="00A02A83" w:rsidRDefault="00666C41" w:rsidP="00BB3BC1">
      <w:pPr>
        <w:numPr>
          <w:ilvl w:val="0"/>
          <w:numId w:val="8"/>
        </w:numPr>
        <w:pBdr>
          <w:top w:val="none" w:sz="0" w:space="0" w:color="auto"/>
          <w:left w:val="none" w:sz="0" w:space="0" w:color="auto"/>
          <w:bottom w:val="none" w:sz="0" w:space="0" w:color="auto"/>
          <w:right w:val="none" w:sz="0" w:space="0" w:color="auto"/>
          <w:between w:val="none" w:sz="0" w:space="0" w:color="auto"/>
        </w:pBdr>
        <w:spacing w:after="0"/>
        <w:ind w:hanging="360"/>
        <w:jc w:val="both"/>
        <w:rPr>
          <w:rFonts w:eastAsia="Calibri" w:cs="Times New Roman"/>
          <w:color w:val="323E4F"/>
          <w:szCs w:val="20"/>
          <w:lang w:eastAsia="en-AU"/>
        </w:rPr>
      </w:pPr>
      <w:r w:rsidRPr="00A02A83">
        <w:rPr>
          <w:rFonts w:eastAsia="Calibri" w:cs="Times New Roman"/>
          <w:b/>
          <w:color w:val="323E4F"/>
          <w:szCs w:val="20"/>
          <w:lang w:eastAsia="en-AU"/>
        </w:rPr>
        <w:t xml:space="preserve">Strong connections to culture and family are vital for good health and wellbeing: </w:t>
      </w:r>
      <w:r w:rsidRPr="00A02A83">
        <w:rPr>
          <w:rFonts w:eastAsia="Calibri" w:cs="Times New Roman"/>
          <w:color w:val="323E4F"/>
          <w:szCs w:val="20"/>
          <w:lang w:eastAsia="en-AU"/>
        </w:rPr>
        <w:t xml:space="preserve">Policies, programs and services must ensure a strengths-based approach that acknowledges the importance of culture and family for Aboriginal and Torres Strait Islander </w:t>
      </w:r>
      <w:r w:rsidR="008A257D">
        <w:rPr>
          <w:rFonts w:eastAsia="Calibri" w:cs="Times New Roman"/>
          <w:color w:val="323E4F"/>
          <w:szCs w:val="20"/>
          <w:lang w:eastAsia="en-AU"/>
        </w:rPr>
        <w:t>people</w:t>
      </w:r>
      <w:r w:rsidRPr="00A02A83">
        <w:rPr>
          <w:rFonts w:eastAsia="Calibri" w:cs="Times New Roman"/>
          <w:color w:val="323E4F"/>
          <w:szCs w:val="20"/>
          <w:lang w:eastAsia="en-AU"/>
        </w:rPr>
        <w:t xml:space="preserve"> and builds capacity</w:t>
      </w:r>
      <w:r w:rsidR="00D37DD2" w:rsidRPr="00A02A83">
        <w:rPr>
          <w:rFonts w:eastAsia="Calibri" w:cs="Times New Roman"/>
          <w:color w:val="323E4F"/>
          <w:szCs w:val="20"/>
          <w:lang w:eastAsia="en-AU"/>
        </w:rPr>
        <w:t xml:space="preserve"> of individuals and communities</w:t>
      </w:r>
      <w:r w:rsidRPr="00A02A83">
        <w:rPr>
          <w:rFonts w:eastAsia="Calibri" w:cs="Times New Roman"/>
          <w:color w:val="323E4F"/>
          <w:szCs w:val="20"/>
          <w:lang w:eastAsia="en-AU"/>
        </w:rPr>
        <w:t xml:space="preserve"> t</w:t>
      </w:r>
      <w:r w:rsidR="00D37DD2" w:rsidRPr="00A02A83">
        <w:rPr>
          <w:rFonts w:eastAsia="Calibri" w:cs="Times New Roman"/>
          <w:color w:val="323E4F"/>
          <w:szCs w:val="20"/>
          <w:lang w:eastAsia="en-AU"/>
        </w:rPr>
        <w:t>o exercise choice and control, contributing to greater resilience and wellbeing.</w:t>
      </w:r>
    </w:p>
    <w:p w:rsidR="00666C41" w:rsidRPr="00A02A83" w:rsidRDefault="00666C41" w:rsidP="00BB3BC1">
      <w:pPr>
        <w:numPr>
          <w:ilvl w:val="0"/>
          <w:numId w:val="8"/>
        </w:numPr>
        <w:pBdr>
          <w:top w:val="none" w:sz="0" w:space="0" w:color="auto"/>
          <w:left w:val="none" w:sz="0" w:space="0" w:color="auto"/>
          <w:bottom w:val="none" w:sz="0" w:space="0" w:color="auto"/>
          <w:right w:val="none" w:sz="0" w:space="0" w:color="auto"/>
          <w:between w:val="none" w:sz="0" w:space="0" w:color="auto"/>
        </w:pBdr>
        <w:spacing w:after="0"/>
        <w:ind w:hanging="360"/>
        <w:jc w:val="both"/>
        <w:rPr>
          <w:rFonts w:eastAsia="Calibri" w:cs="Times New Roman"/>
          <w:color w:val="323E4F"/>
          <w:szCs w:val="20"/>
          <w:lang w:eastAsia="en-AU"/>
        </w:rPr>
      </w:pPr>
      <w:r w:rsidRPr="00A02A83">
        <w:rPr>
          <w:rFonts w:eastAsia="Calibri" w:cs="Times New Roman"/>
          <w:b/>
          <w:color w:val="323E4F"/>
          <w:szCs w:val="20"/>
          <w:lang w:eastAsia="en-AU"/>
        </w:rPr>
        <w:t>The best results are achieved through genuine partnerships with communities</w:t>
      </w:r>
      <w:r w:rsidRPr="00A02A83">
        <w:rPr>
          <w:rFonts w:eastAsia="Calibri" w:cs="Times New Roman"/>
          <w:color w:val="323E4F"/>
          <w:szCs w:val="20"/>
          <w:lang w:eastAsia="en-AU"/>
        </w:rPr>
        <w:t xml:space="preserve">: Flexible approaches that deliver the Prime Minister’s commitment to “do things with, not to” Aboriginal and Torres Strait Islander </w:t>
      </w:r>
      <w:r w:rsidR="008A257D">
        <w:rPr>
          <w:rFonts w:eastAsia="Calibri" w:cs="Times New Roman"/>
          <w:color w:val="323E4F"/>
          <w:szCs w:val="20"/>
          <w:lang w:eastAsia="en-AU"/>
        </w:rPr>
        <w:t>people</w:t>
      </w:r>
      <w:r w:rsidRPr="00A02A83">
        <w:rPr>
          <w:rFonts w:eastAsia="Calibri" w:cs="Times New Roman"/>
          <w:color w:val="323E4F"/>
          <w:szCs w:val="20"/>
          <w:lang w:eastAsia="en-AU"/>
        </w:rPr>
        <w:t xml:space="preserve"> and their communities must be a high priority. This includes working with community-controlled organisations and providing opportunities for meaningful input from community members into service delivery</w:t>
      </w:r>
      <w:r w:rsidR="00D37DD2" w:rsidRPr="00A02A83">
        <w:rPr>
          <w:rFonts w:eastAsia="Calibri" w:cs="Times New Roman"/>
          <w:color w:val="323E4F"/>
          <w:szCs w:val="20"/>
          <w:lang w:eastAsia="en-AU"/>
        </w:rPr>
        <w:t xml:space="preserve"> at the local level</w:t>
      </w:r>
      <w:r w:rsidR="00BB3BC1" w:rsidRPr="00A02A83">
        <w:rPr>
          <w:rFonts w:eastAsia="Calibri" w:cs="Times New Roman"/>
          <w:color w:val="323E4F"/>
          <w:szCs w:val="20"/>
          <w:lang w:eastAsia="en-AU"/>
        </w:rPr>
        <w:t>.</w:t>
      </w:r>
    </w:p>
    <w:p w:rsidR="00666C41" w:rsidRPr="00A02A83" w:rsidRDefault="00666C41" w:rsidP="00BB3BC1">
      <w:pPr>
        <w:numPr>
          <w:ilvl w:val="0"/>
          <w:numId w:val="8"/>
        </w:numPr>
        <w:pBdr>
          <w:top w:val="none" w:sz="0" w:space="0" w:color="auto"/>
          <w:left w:val="none" w:sz="0" w:space="0" w:color="auto"/>
          <w:bottom w:val="none" w:sz="0" w:space="0" w:color="auto"/>
          <w:right w:val="none" w:sz="0" w:space="0" w:color="auto"/>
          <w:between w:val="none" w:sz="0" w:space="0" w:color="auto"/>
        </w:pBdr>
        <w:spacing w:after="0"/>
        <w:ind w:hanging="360"/>
        <w:jc w:val="both"/>
        <w:rPr>
          <w:rFonts w:eastAsia="Calibri" w:cs="Times New Roman"/>
          <w:color w:val="323E4F"/>
          <w:szCs w:val="20"/>
          <w:lang w:eastAsia="en-AU"/>
        </w:rPr>
      </w:pPr>
      <w:r w:rsidRPr="00A02A83">
        <w:rPr>
          <w:rFonts w:eastAsia="Calibri" w:cs="Times New Roman"/>
          <w:b/>
          <w:color w:val="323E4F"/>
          <w:szCs w:val="20"/>
          <w:lang w:eastAsia="en-AU"/>
        </w:rPr>
        <w:lastRenderedPageBreak/>
        <w:t>The impacts of trauma on poor health outcomes cannot be ignored</w:t>
      </w:r>
      <w:r w:rsidRPr="00A02A83">
        <w:rPr>
          <w:rFonts w:eastAsia="Calibri" w:cs="Times New Roman"/>
          <w:color w:val="323E4F"/>
          <w:szCs w:val="20"/>
          <w:lang w:eastAsia="en-AU"/>
        </w:rPr>
        <w:t xml:space="preserve">: Significant health impacts result </w:t>
      </w:r>
      <w:r w:rsidR="00540B25">
        <w:rPr>
          <w:rFonts w:eastAsia="Calibri" w:cs="Times New Roman"/>
          <w:color w:val="323E4F"/>
          <w:szCs w:val="20"/>
          <w:lang w:eastAsia="en-AU"/>
        </w:rPr>
        <w:t>from displacement from family, C</w:t>
      </w:r>
      <w:r w:rsidRPr="00A02A83">
        <w:rPr>
          <w:rFonts w:eastAsia="Calibri" w:cs="Times New Roman"/>
          <w:color w:val="323E4F"/>
          <w:szCs w:val="20"/>
          <w:lang w:eastAsia="en-AU"/>
        </w:rPr>
        <w:t>ountry, institutionalisation, racism, abuse and neglect. This has led to increasingly high rates of incarceration and juvenile detention, suicide, family violence, children being taken into care, and poor physical and mental health outcomes.</w:t>
      </w:r>
      <w:r w:rsidRPr="00A02A83">
        <w:rPr>
          <w:rFonts w:eastAsia="Calibri" w:cs="Times New Roman"/>
          <w:color w:val="323E4F"/>
          <w:szCs w:val="20"/>
          <w:vertAlign w:val="superscript"/>
          <w:lang w:eastAsia="en-AU"/>
        </w:rPr>
        <w:endnoteReference w:id="10"/>
      </w:r>
      <w:r w:rsidRPr="00A02A83">
        <w:rPr>
          <w:rFonts w:eastAsia="Calibri" w:cs="Times New Roman"/>
          <w:color w:val="323E4F"/>
          <w:szCs w:val="20"/>
          <w:vertAlign w:val="superscript"/>
          <w:lang w:eastAsia="en-AU"/>
        </w:rPr>
        <w:t xml:space="preserve"> </w:t>
      </w:r>
    </w:p>
    <w:p w:rsidR="00666C41" w:rsidRPr="00BB3BC1" w:rsidRDefault="00666C41" w:rsidP="00674053">
      <w:pPr>
        <w:numPr>
          <w:ilvl w:val="0"/>
          <w:numId w:val="8"/>
        </w:numPr>
        <w:pBdr>
          <w:top w:val="none" w:sz="0" w:space="0" w:color="auto"/>
          <w:left w:val="none" w:sz="0" w:space="0" w:color="auto"/>
          <w:bottom w:val="none" w:sz="0" w:space="0" w:color="auto"/>
          <w:right w:val="none" w:sz="0" w:space="0" w:color="auto"/>
          <w:between w:val="none" w:sz="0" w:space="0" w:color="auto"/>
        </w:pBdr>
        <w:ind w:left="357" w:hanging="357"/>
        <w:jc w:val="both"/>
        <w:rPr>
          <w:rFonts w:eastAsia="Arial"/>
          <w:color w:val="323E4F"/>
        </w:rPr>
      </w:pPr>
      <w:r w:rsidRPr="00A02A83">
        <w:rPr>
          <w:rFonts w:eastAsia="Calibri" w:cs="Times New Roman"/>
          <w:b/>
          <w:color w:val="323E4F"/>
          <w:szCs w:val="20"/>
          <w:lang w:eastAsia="en-AU"/>
        </w:rPr>
        <w:t>Systemic racism and a lack of cultural capability, cultural safety and cultural security remain barriers to health system access</w:t>
      </w:r>
      <w:r w:rsidRPr="00A02A83">
        <w:rPr>
          <w:rFonts w:eastAsia="Calibri" w:cs="Times New Roman"/>
          <w:color w:val="323E4F"/>
          <w:szCs w:val="20"/>
          <w:lang w:eastAsia="en-AU"/>
        </w:rPr>
        <w:t>: Racism makes people sick</w:t>
      </w:r>
      <w:r w:rsidRPr="00A02A83">
        <w:rPr>
          <w:rFonts w:eastAsia="Calibri" w:cs="Times New Roman"/>
          <w:szCs w:val="20"/>
          <w:vertAlign w:val="superscript"/>
          <w:lang w:eastAsia="en-AU"/>
        </w:rPr>
        <w:endnoteReference w:id="11"/>
      </w:r>
      <w:r w:rsidR="00AC4045">
        <w:rPr>
          <w:rFonts w:eastAsia="Calibri" w:cs="Times New Roman"/>
          <w:color w:val="323E4F"/>
          <w:szCs w:val="20"/>
          <w:lang w:eastAsia="en-AU"/>
        </w:rPr>
        <w:t xml:space="preserve"> </w:t>
      </w:r>
      <w:r w:rsidRPr="00A02A83">
        <w:rPr>
          <w:rFonts w:eastAsia="Calibri" w:cs="Times New Roman"/>
          <w:szCs w:val="20"/>
          <w:vertAlign w:val="superscript"/>
          <w:lang w:eastAsia="en-AU"/>
        </w:rPr>
        <w:endnoteReference w:id="12"/>
      </w:r>
      <w:r w:rsidR="00801A95">
        <w:rPr>
          <w:rFonts w:eastAsia="Calibri" w:cs="Times New Roman"/>
          <w:color w:val="323E4F"/>
          <w:szCs w:val="20"/>
          <w:lang w:eastAsia="en-AU"/>
        </w:rPr>
        <w:t xml:space="preserve"> </w:t>
      </w:r>
      <w:r w:rsidRPr="00A02A83">
        <w:rPr>
          <w:rFonts w:eastAsia="Calibri" w:cs="Times New Roman"/>
          <w:color w:val="323E4F"/>
          <w:szCs w:val="20"/>
          <w:lang w:eastAsia="en-AU"/>
        </w:rPr>
        <w:t>and constructive action that addresses its causes an</w:t>
      </w:r>
      <w:r w:rsidR="003360ED">
        <w:rPr>
          <w:rFonts w:eastAsia="Calibri" w:cs="Times New Roman"/>
          <w:color w:val="323E4F"/>
          <w:szCs w:val="20"/>
          <w:lang w:eastAsia="en-AU"/>
        </w:rPr>
        <w:t>d effects will have significant</w:t>
      </w:r>
      <w:r w:rsidRPr="00A02A83">
        <w:rPr>
          <w:rFonts w:eastAsia="Calibri" w:cs="Times New Roman"/>
          <w:color w:val="323E4F"/>
          <w:szCs w:val="20"/>
          <w:lang w:eastAsia="en-AU"/>
        </w:rPr>
        <w:t xml:space="preserve"> positive impacts on health and broader life outcomes.</w:t>
      </w:r>
    </w:p>
    <w:p w:rsidR="00F744AE" w:rsidRPr="00A02A83" w:rsidRDefault="00AC4045" w:rsidP="00A02A83">
      <w:pPr>
        <w:pStyle w:val="CommentText"/>
        <w:jc w:val="both"/>
        <w:rPr>
          <w:rFonts w:eastAsia="Calibri" w:cs="Times New Roman"/>
          <w:color w:val="323E4F"/>
          <w:szCs w:val="20"/>
          <w:lang w:eastAsia="en-AU"/>
        </w:rPr>
      </w:pPr>
      <w:r w:rsidRPr="00AC4045">
        <w:rPr>
          <w:rFonts w:eastAsia="Calibri" w:cs="Times New Roman"/>
          <w:color w:val="323E4F"/>
          <w:szCs w:val="20"/>
          <w:lang w:eastAsia="en-AU"/>
        </w:rPr>
        <w:t>The report</w:t>
      </w:r>
      <w:r w:rsidR="003A3280" w:rsidRPr="00A02A83">
        <w:rPr>
          <w:rFonts w:eastAsia="Calibri" w:cs="Times New Roman"/>
          <w:color w:val="323E4F"/>
          <w:szCs w:val="20"/>
          <w:lang w:eastAsia="en-AU"/>
        </w:rPr>
        <w:t xml:space="preserve"> </w:t>
      </w:r>
      <w:r w:rsidR="00066507" w:rsidRPr="00A02A83">
        <w:rPr>
          <w:rFonts w:eastAsia="Calibri" w:cs="Times New Roman"/>
          <w:color w:val="323E4F"/>
          <w:szCs w:val="20"/>
          <w:lang w:eastAsia="en-AU"/>
        </w:rPr>
        <w:t>outlines seven</w:t>
      </w:r>
      <w:r w:rsidR="00F744AE" w:rsidRPr="00A02A83">
        <w:rPr>
          <w:rFonts w:eastAsia="Calibri" w:cs="Times New Roman"/>
          <w:color w:val="323E4F"/>
          <w:szCs w:val="20"/>
          <w:lang w:eastAsia="en-AU"/>
        </w:rPr>
        <w:t xml:space="preserve"> priority areas</w:t>
      </w:r>
      <w:r w:rsidR="00F11D30">
        <w:rPr>
          <w:rFonts w:eastAsia="Calibri" w:cs="Times New Roman"/>
          <w:color w:val="323E4F"/>
          <w:szCs w:val="20"/>
          <w:lang w:eastAsia="en-AU"/>
        </w:rPr>
        <w:t xml:space="preserve"> that participants indicated are key and should be addressed to</w:t>
      </w:r>
      <w:r w:rsidR="00F95CE0" w:rsidRPr="00A02A83">
        <w:rPr>
          <w:rFonts w:eastAsia="Calibri" w:cs="Times New Roman"/>
          <w:color w:val="323E4F"/>
          <w:szCs w:val="20"/>
          <w:lang w:eastAsia="en-AU"/>
        </w:rPr>
        <w:t xml:space="preserve"> </w:t>
      </w:r>
      <w:r w:rsidR="00F744AE" w:rsidRPr="00A02A83">
        <w:rPr>
          <w:rFonts w:eastAsia="Calibri" w:cs="Times New Roman"/>
          <w:color w:val="323E4F"/>
          <w:szCs w:val="20"/>
          <w:lang w:eastAsia="en-AU"/>
        </w:rPr>
        <w:t>set the foundations for longer term, intergenerational change</w:t>
      </w:r>
      <w:r w:rsidR="003360ED">
        <w:rPr>
          <w:rFonts w:eastAsia="Calibri" w:cs="Times New Roman"/>
          <w:color w:val="323E4F"/>
          <w:szCs w:val="20"/>
          <w:lang w:eastAsia="en-AU"/>
        </w:rPr>
        <w:t>. Addressing these priority areas will require</w:t>
      </w:r>
      <w:r w:rsidR="006146B5" w:rsidRPr="00A02A83">
        <w:rPr>
          <w:rFonts w:eastAsia="Calibri" w:cs="Times New Roman"/>
          <w:color w:val="323E4F"/>
          <w:szCs w:val="20"/>
          <w:lang w:eastAsia="en-AU"/>
        </w:rPr>
        <w:t xml:space="preserve"> targeted strategies</w:t>
      </w:r>
      <w:r w:rsidR="003360ED">
        <w:rPr>
          <w:rFonts w:eastAsia="Calibri" w:cs="Times New Roman"/>
          <w:color w:val="323E4F"/>
          <w:szCs w:val="20"/>
          <w:lang w:eastAsia="en-AU"/>
        </w:rPr>
        <w:t xml:space="preserve"> and meaningful</w:t>
      </w:r>
      <w:r w:rsidR="00F744AE" w:rsidRPr="00A02A83">
        <w:rPr>
          <w:rFonts w:eastAsia="Calibri" w:cs="Times New Roman"/>
          <w:color w:val="323E4F"/>
          <w:szCs w:val="20"/>
          <w:lang w:eastAsia="en-AU"/>
        </w:rPr>
        <w:t xml:space="preserve"> partnership</w:t>
      </w:r>
      <w:r w:rsidR="003360ED">
        <w:rPr>
          <w:rFonts w:eastAsia="Calibri" w:cs="Times New Roman"/>
          <w:color w:val="323E4F"/>
          <w:szCs w:val="20"/>
          <w:lang w:eastAsia="en-AU"/>
        </w:rPr>
        <w:t>s</w:t>
      </w:r>
      <w:r w:rsidR="00F744AE" w:rsidRPr="00A02A83">
        <w:rPr>
          <w:rFonts w:eastAsia="Calibri" w:cs="Times New Roman"/>
          <w:color w:val="323E4F"/>
          <w:szCs w:val="20"/>
          <w:lang w:eastAsia="en-AU"/>
        </w:rPr>
        <w:t xml:space="preserve"> with Aboriginal and Torres Strait Islander </w:t>
      </w:r>
      <w:r w:rsidR="008A257D">
        <w:rPr>
          <w:rFonts w:eastAsia="Calibri" w:cs="Times New Roman"/>
          <w:color w:val="323E4F"/>
          <w:szCs w:val="20"/>
          <w:lang w:eastAsia="en-AU"/>
        </w:rPr>
        <w:t>people</w:t>
      </w:r>
      <w:r w:rsidR="00F744AE" w:rsidRPr="00A02A83">
        <w:rPr>
          <w:rFonts w:eastAsia="Calibri" w:cs="Times New Roman"/>
          <w:color w:val="323E4F"/>
          <w:szCs w:val="20"/>
          <w:lang w:eastAsia="en-AU"/>
        </w:rPr>
        <w:t xml:space="preserve">. </w:t>
      </w:r>
      <w:r w:rsidR="00F11D30">
        <w:rPr>
          <w:rFonts w:eastAsia="Calibri" w:cs="Times New Roman"/>
          <w:color w:val="323E4F"/>
          <w:szCs w:val="20"/>
          <w:lang w:eastAsia="en-AU"/>
        </w:rPr>
        <w:t>Consultations emphasised that future effort</w:t>
      </w:r>
      <w:r w:rsidR="00750815">
        <w:rPr>
          <w:rFonts w:eastAsia="Calibri" w:cs="Times New Roman"/>
          <w:color w:val="323E4F"/>
          <w:szCs w:val="20"/>
          <w:lang w:eastAsia="en-AU"/>
        </w:rPr>
        <w:t>s</w:t>
      </w:r>
      <w:r w:rsidR="00F11D30">
        <w:rPr>
          <w:rFonts w:eastAsia="Calibri" w:cs="Times New Roman"/>
          <w:color w:val="323E4F"/>
          <w:szCs w:val="20"/>
          <w:lang w:eastAsia="en-AU"/>
        </w:rPr>
        <w:t xml:space="preserve"> should</w:t>
      </w:r>
      <w:r w:rsidR="002C07E1" w:rsidRPr="00A02A83">
        <w:rPr>
          <w:rFonts w:eastAsia="Calibri" w:cs="Times New Roman"/>
          <w:color w:val="323E4F"/>
          <w:szCs w:val="20"/>
          <w:lang w:eastAsia="en-AU"/>
        </w:rPr>
        <w:t xml:space="preserve"> be progressed through the ongoing development, implementation and delivery of future policy and programs, including the Closing the Gap refresh and the </w:t>
      </w:r>
      <w:r>
        <w:rPr>
          <w:rFonts w:eastAsia="Calibri" w:cs="Times New Roman"/>
          <w:color w:val="323E4F"/>
          <w:szCs w:val="20"/>
          <w:lang w:eastAsia="en-AU"/>
        </w:rPr>
        <w:t xml:space="preserve">development of the next iteration of the </w:t>
      </w:r>
      <w:r w:rsidR="002C07E1" w:rsidRPr="00A02A83">
        <w:rPr>
          <w:rFonts w:eastAsia="Calibri" w:cs="Times New Roman"/>
          <w:color w:val="323E4F"/>
          <w:szCs w:val="20"/>
          <w:lang w:eastAsia="en-AU"/>
        </w:rPr>
        <w:t xml:space="preserve">Implementation Plan, and </w:t>
      </w:r>
      <w:r w:rsidR="00A434C1" w:rsidRPr="00A02A83">
        <w:rPr>
          <w:rFonts w:eastAsia="Calibri" w:cs="Times New Roman"/>
          <w:color w:val="323E4F"/>
          <w:szCs w:val="20"/>
          <w:lang w:eastAsia="en-AU"/>
        </w:rPr>
        <w:t>in partnership with key stakeholders</w:t>
      </w:r>
      <w:r w:rsidR="00D37DD2" w:rsidRPr="00A02A83">
        <w:rPr>
          <w:rFonts w:eastAsia="Calibri" w:cs="Times New Roman"/>
          <w:color w:val="323E4F"/>
          <w:szCs w:val="20"/>
          <w:lang w:eastAsia="en-AU"/>
        </w:rPr>
        <w:t xml:space="preserve"> across governments and within the health sector</w:t>
      </w:r>
      <w:r w:rsidR="00A434C1" w:rsidRPr="00A02A83">
        <w:rPr>
          <w:rFonts w:eastAsia="Calibri" w:cs="Times New Roman"/>
          <w:color w:val="323E4F"/>
          <w:szCs w:val="20"/>
          <w:lang w:eastAsia="en-AU"/>
        </w:rPr>
        <w:t xml:space="preserve">. </w:t>
      </w:r>
    </w:p>
    <w:p w:rsidR="008B1F42" w:rsidRDefault="00972EA1" w:rsidP="00674053">
      <w:pPr>
        <w:keepNext/>
        <w:spacing w:line="240" w:lineRule="auto"/>
        <w:jc w:val="both"/>
        <w:rPr>
          <w:noProof/>
        </w:rPr>
      </w:pPr>
      <w:r>
        <w:rPr>
          <w:rFonts w:eastAsia="Arial" w:cs="Arial"/>
          <w:color w:val="4F2270"/>
          <w:sz w:val="20"/>
          <w:szCs w:val="20"/>
        </w:rPr>
        <w:t xml:space="preserve">Figure </w:t>
      </w:r>
      <w:r w:rsidR="006E4DFA">
        <w:rPr>
          <w:rFonts w:eastAsia="Arial" w:cs="Arial"/>
          <w:color w:val="4F2270"/>
          <w:sz w:val="20"/>
          <w:szCs w:val="20"/>
        </w:rPr>
        <w:t>2</w:t>
      </w:r>
      <w:r w:rsidR="005B6E7A">
        <w:rPr>
          <w:rFonts w:eastAsia="Arial" w:cs="Arial"/>
          <w:color w:val="4F2270"/>
          <w:sz w:val="20"/>
          <w:szCs w:val="20"/>
        </w:rPr>
        <w:t>: Priority a</w:t>
      </w:r>
      <w:r w:rsidR="00F744AE" w:rsidRPr="00426D8E">
        <w:rPr>
          <w:rFonts w:eastAsia="Arial" w:cs="Arial"/>
          <w:color w:val="4F2270"/>
          <w:sz w:val="20"/>
          <w:szCs w:val="20"/>
        </w:rPr>
        <w:t xml:space="preserve">reas to address the social determinants and cultural determinants of health </w:t>
      </w:r>
      <w:bookmarkStart w:id="39" w:name="_Toc488077100"/>
    </w:p>
    <w:bookmarkEnd w:id="39"/>
    <w:p w:rsidR="007D6A23" w:rsidRPr="00CE393B" w:rsidRDefault="00D1523B" w:rsidP="00CE393B">
      <w:pPr>
        <w:pStyle w:val="xBodyText10"/>
        <w:jc w:val="center"/>
      </w:pPr>
      <w:r>
        <w:rPr>
          <w:noProof/>
        </w:rPr>
        <w:drawing>
          <wp:inline distT="0" distB="0" distL="0" distR="0" wp14:anchorId="00196F87" wp14:editId="6AD848DC">
            <wp:extent cx="5408762" cy="4015032"/>
            <wp:effectExtent l="0" t="0" r="1905" b="5080"/>
            <wp:docPr id="6" name="Picture 6" descr="Priority areas to address the social determinants and cultural determinants of health&#10;"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wadslg\AppData\Local\Microsoft\Windows\Temporary Internet Files\Content.Outlook\HM6JS3P8\Wellbeing in Policy_Concep v13_Priority Infographic.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12518" cy="4017820"/>
                    </a:xfrm>
                    <a:prstGeom prst="rect">
                      <a:avLst/>
                    </a:prstGeom>
                    <a:noFill/>
                    <a:ln>
                      <a:noFill/>
                    </a:ln>
                  </pic:spPr>
                </pic:pic>
              </a:graphicData>
            </a:graphic>
          </wp:inline>
        </w:drawing>
      </w:r>
      <w:bookmarkStart w:id="40" w:name="_Toc488150057"/>
      <w:bookmarkStart w:id="41" w:name="_Toc488769084"/>
      <w:bookmarkStart w:id="42" w:name="_Toc488832710"/>
      <w:bookmarkStart w:id="43" w:name="_Toc488419173"/>
    </w:p>
    <w:p w:rsidR="000F4557" w:rsidRDefault="000F4557" w:rsidP="005D1E20">
      <w:pPr>
        <w:pStyle w:val="xStyle1"/>
        <w:numPr>
          <w:ilvl w:val="0"/>
          <w:numId w:val="0"/>
        </w:numPr>
        <w:rPr>
          <w:sz w:val="28"/>
          <w:szCs w:val="28"/>
        </w:rPr>
      </w:pPr>
      <w:bookmarkStart w:id="44" w:name="_Toc490742926"/>
      <w:bookmarkStart w:id="45" w:name="_Toc490743165"/>
      <w:bookmarkStart w:id="46" w:name="_Toc490743362"/>
      <w:bookmarkStart w:id="47" w:name="_Toc490743615"/>
      <w:bookmarkStart w:id="48" w:name="_Toc490743694"/>
      <w:bookmarkStart w:id="49" w:name="_Toc490818572"/>
      <w:r>
        <w:rPr>
          <w:sz w:val="28"/>
          <w:szCs w:val="28"/>
        </w:rPr>
        <w:br w:type="page"/>
      </w:r>
    </w:p>
    <w:p w:rsidR="00F744AE" w:rsidRPr="005D1E20" w:rsidRDefault="00375CD7" w:rsidP="0016555F">
      <w:pPr>
        <w:pStyle w:val="Heading1BlueAllCaps"/>
        <w:rPr>
          <w:color w:val="17365D"/>
        </w:rPr>
      </w:pPr>
      <w:bookmarkStart w:id="50" w:name="_Toc500401390"/>
      <w:r>
        <w:lastRenderedPageBreak/>
        <w:t>PRIORITY AREA 1</w:t>
      </w:r>
      <w:r w:rsidR="00F744AE" w:rsidRPr="005D1E20">
        <w:t xml:space="preserve">: </w:t>
      </w:r>
      <w:bookmarkEnd w:id="40"/>
      <w:bookmarkEnd w:id="41"/>
      <w:bookmarkEnd w:id="42"/>
      <w:bookmarkEnd w:id="44"/>
      <w:bookmarkEnd w:id="45"/>
      <w:bookmarkEnd w:id="46"/>
      <w:bookmarkEnd w:id="47"/>
      <w:bookmarkEnd w:id="48"/>
      <w:bookmarkEnd w:id="49"/>
      <w:r>
        <w:t>CULTURE AT THE CENTRE OF CHANGE</w:t>
      </w:r>
      <w:bookmarkEnd w:id="50"/>
      <w:r w:rsidR="00F744AE" w:rsidRPr="005D1E20">
        <w:t xml:space="preserve"> </w:t>
      </w:r>
      <w:bookmarkEnd w:id="43"/>
    </w:p>
    <w:p w:rsidR="005A12EC" w:rsidRDefault="00666C41" w:rsidP="00674053">
      <w:pPr>
        <w:pStyle w:val="xBodytext1"/>
        <w:jc w:val="both"/>
      </w:pPr>
      <w:r>
        <w:t>The importance of c</w:t>
      </w:r>
      <w:r w:rsidR="005A12EC" w:rsidRPr="004A12A2">
        <w:t xml:space="preserve">ulture underpins </w:t>
      </w:r>
      <w:r>
        <w:t xml:space="preserve">the value that </w:t>
      </w:r>
      <w:r w:rsidR="005A12EC" w:rsidRPr="004A12A2">
        <w:t xml:space="preserve">Aboriginal and Torres Strait Islander people </w:t>
      </w:r>
      <w:r>
        <w:t>place on</w:t>
      </w:r>
      <w:r w:rsidR="005A12EC" w:rsidRPr="004A12A2">
        <w:t xml:space="preserve"> continu</w:t>
      </w:r>
      <w:r>
        <w:t>ing to</w:t>
      </w:r>
      <w:r w:rsidR="005A12EC" w:rsidRPr="004A12A2">
        <w:t xml:space="preserve"> practic</w:t>
      </w:r>
      <w:r>
        <w:t>e</w:t>
      </w:r>
      <w:r w:rsidR="005A12EC" w:rsidRPr="004A12A2">
        <w:t xml:space="preserve"> ways of knowing and being, which are embodied in </w:t>
      </w:r>
      <w:r>
        <w:t>C</w:t>
      </w:r>
      <w:r w:rsidR="005A12EC" w:rsidRPr="004A12A2">
        <w:t xml:space="preserve">ountry, family, </w:t>
      </w:r>
      <w:r w:rsidR="005A12EC">
        <w:t xml:space="preserve">ancestors, </w:t>
      </w:r>
      <w:r w:rsidR="005A12EC" w:rsidRPr="004A12A2">
        <w:t xml:space="preserve">language, art, dance, songs and ceremony. </w:t>
      </w:r>
    </w:p>
    <w:p w:rsidR="001E22D7" w:rsidRDefault="00666C41" w:rsidP="00666C41">
      <w:pPr>
        <w:pStyle w:val="xBodytext1"/>
        <w:jc w:val="both"/>
      </w:pPr>
      <w:r>
        <w:t>Aboriginal and Torres Strait Islander cultures are diverse and continue to thrive across metropolitan, regional and remote areas of Australia. In 2016, o</w:t>
      </w:r>
      <w:r w:rsidRPr="00026376">
        <w:t>ver one-third of the Aboriginal and Torres Strait Islander population reported living in capital city areas</w:t>
      </w:r>
      <w:r>
        <w:t>,</w:t>
      </w:r>
      <w:r>
        <w:rPr>
          <w:rStyle w:val="EndnoteReference"/>
        </w:rPr>
        <w:endnoteReference w:id="13"/>
      </w:r>
      <w:r>
        <w:t xml:space="preserve"> with a contemporary sense of belonging, along with traditional ties, reinforced through kinship and family networks.</w:t>
      </w:r>
      <w:r>
        <w:rPr>
          <w:rStyle w:val="EndnoteReference"/>
        </w:rPr>
        <w:endnoteReference w:id="14"/>
      </w:r>
      <w:r>
        <w:t xml:space="preserve"> </w:t>
      </w:r>
    </w:p>
    <w:p w:rsidR="00666C41" w:rsidRPr="00897C4A" w:rsidRDefault="00666C41" w:rsidP="00666C41">
      <w:pPr>
        <w:pStyle w:val="xquotes"/>
        <w:jc w:val="both"/>
      </w:pPr>
      <w:r w:rsidRPr="00D31692">
        <w:t xml:space="preserve">Practising culture can involve a living relationship with ancestors, the spiritual dimension of existence, and connection to </w:t>
      </w:r>
      <w:r>
        <w:t>C</w:t>
      </w:r>
      <w:r w:rsidRPr="00D31692">
        <w:t>ountry and language</w:t>
      </w:r>
      <w:r>
        <w:t>.</w:t>
      </w:r>
      <w:r w:rsidRPr="00D31692">
        <w:t xml:space="preserve"> Individual and community control over their physical environment, dignity and self-esteem, respect for Aboriginal and Torres Strait Islander people’s rights and a perception of just and fair treatment </w:t>
      </w:r>
      <w:r>
        <w:t>are</w:t>
      </w:r>
      <w:r w:rsidRPr="00D31692">
        <w:t xml:space="preserve"> also important to social and emotional wel</w:t>
      </w:r>
      <w:r>
        <w:t>lbeing.</w:t>
      </w:r>
      <w:r w:rsidRPr="00950910">
        <w:rPr>
          <w:rStyle w:val="EndnoteReference"/>
          <w:rFonts w:cs="Arial"/>
          <w:color w:val="548DD4" w:themeColor="text2" w:themeTint="99"/>
        </w:rPr>
        <w:endnoteReference w:id="15"/>
      </w:r>
    </w:p>
    <w:p w:rsidR="00833405" w:rsidRDefault="00750815" w:rsidP="00A02A83">
      <w:pPr>
        <w:pStyle w:val="xBodytext1"/>
        <w:jc w:val="both"/>
      </w:pPr>
      <w:r>
        <w:t>Consultations and online submissions emphasised that culture needs to be at the</w:t>
      </w:r>
      <w:r w:rsidR="00833405">
        <w:t xml:space="preserve"> </w:t>
      </w:r>
      <w:r w:rsidR="00CA7BD5" w:rsidRPr="00674053">
        <w:t xml:space="preserve">centre </w:t>
      </w:r>
      <w:r>
        <w:t>of</w:t>
      </w:r>
      <w:r w:rsidR="00833405">
        <w:t xml:space="preserve"> </w:t>
      </w:r>
      <w:r w:rsidR="00CA7BD5" w:rsidRPr="00674053">
        <w:t xml:space="preserve">policies and programs. </w:t>
      </w:r>
      <w:r w:rsidR="00BB3BC1">
        <w:t>The Australian Government is also committed to</w:t>
      </w:r>
      <w:r w:rsidR="001C21E7">
        <w:t xml:space="preserve"> address</w:t>
      </w:r>
      <w:r w:rsidR="00BB3BC1">
        <w:t>ing</w:t>
      </w:r>
      <w:r w:rsidR="001C21E7">
        <w:t xml:space="preserve"> the ongoing barriers that impede access to health, education, employment and other essential services.</w:t>
      </w:r>
      <w:r w:rsidR="002C07E1">
        <w:t xml:space="preserve"> </w:t>
      </w:r>
    </w:p>
    <w:p w:rsidR="001F14B7" w:rsidRDefault="00BB3BC1" w:rsidP="00A02A83">
      <w:pPr>
        <w:pStyle w:val="xBodytext1"/>
        <w:jc w:val="both"/>
      </w:pPr>
      <w:r>
        <w:t>From a systems lens,</w:t>
      </w:r>
      <w:r w:rsidR="00A02B3C" w:rsidRPr="00255F09">
        <w:t xml:space="preserve"> </w:t>
      </w:r>
      <w:r w:rsidR="00A02B3C">
        <w:t>government programs and policies</w:t>
      </w:r>
      <w:r w:rsidR="00CA7BD5" w:rsidRPr="00674053">
        <w:t xml:space="preserve"> must also acknowledg</w:t>
      </w:r>
      <w:r w:rsidR="00F333CC">
        <w:t>e</w:t>
      </w:r>
      <w:r w:rsidR="002C07E1">
        <w:t xml:space="preserve"> and respond</w:t>
      </w:r>
      <w:r w:rsidR="00CA7BD5" w:rsidRPr="00674053">
        <w:t xml:space="preserve"> to the impacts of racism</w:t>
      </w:r>
      <w:r w:rsidR="005130A3">
        <w:t xml:space="preserve"> in the health system,</w:t>
      </w:r>
      <w:r w:rsidR="00CA7BD5" w:rsidRPr="00674053">
        <w:t xml:space="preserve"> and intergenerational trauma to support access and quality within </w:t>
      </w:r>
      <w:r w:rsidR="005130A3">
        <w:t xml:space="preserve">broader </w:t>
      </w:r>
      <w:r w:rsidR="00CA7BD5" w:rsidRPr="00674053">
        <w:t xml:space="preserve">service systems, and </w:t>
      </w:r>
      <w:r w:rsidR="00F333CC" w:rsidRPr="00674053">
        <w:t>improv</w:t>
      </w:r>
      <w:r w:rsidR="00F333CC">
        <w:t>e</w:t>
      </w:r>
      <w:r w:rsidR="00F333CC" w:rsidRPr="00674053">
        <w:t xml:space="preserve"> </w:t>
      </w:r>
      <w:r w:rsidR="00CA7BD5" w:rsidRPr="00674053">
        <w:t xml:space="preserve">the evidence-base that informs government and community action. </w:t>
      </w:r>
    </w:p>
    <w:p w:rsidR="00833405" w:rsidRDefault="00786209" w:rsidP="00A02A83">
      <w:pPr>
        <w:pStyle w:val="xBodytext1"/>
        <w:jc w:val="both"/>
        <w:rPr>
          <w:szCs w:val="22"/>
        </w:rPr>
      </w:pPr>
      <w:r>
        <w:rPr>
          <w:szCs w:val="22"/>
        </w:rPr>
        <w:t>Progress against this priority area can be made by</w:t>
      </w:r>
      <w:r w:rsidR="00CD7B26">
        <w:rPr>
          <w:szCs w:val="22"/>
        </w:rPr>
        <w:t xml:space="preserve"> build</w:t>
      </w:r>
      <w:r>
        <w:rPr>
          <w:szCs w:val="22"/>
        </w:rPr>
        <w:t>ing</w:t>
      </w:r>
      <w:r w:rsidR="00CD7B26">
        <w:rPr>
          <w:szCs w:val="22"/>
        </w:rPr>
        <w:t xml:space="preserve"> on existing effort to improve how governments engage with and respond to the needs of Aboriginal and Torres Strait Islander communities. The Empowered Communities initiative establishes a new way for Aboriginal and Torres Strait Islander communities and governments to work together. This approach puts Aboriginal and Torres Strait Islander culture and participation front and centre of government decision-making. </w:t>
      </w:r>
    </w:p>
    <w:p w:rsidR="00CD7B26" w:rsidRPr="001F14B7" w:rsidRDefault="00CD7B26" w:rsidP="00A02A83">
      <w:pPr>
        <w:pStyle w:val="xBodytext1"/>
        <w:jc w:val="both"/>
        <w:rPr>
          <w:rFonts w:eastAsia="Times New Roman"/>
          <w:lang w:val="en"/>
        </w:rPr>
      </w:pPr>
      <w:r>
        <w:rPr>
          <w:szCs w:val="22"/>
        </w:rPr>
        <w:t xml:space="preserve">Furthermore, all governments have agreed to embed cultural respect and responsiveness across all health systems through the </w:t>
      </w:r>
      <w:r>
        <w:rPr>
          <w:i/>
          <w:iCs/>
          <w:szCs w:val="22"/>
        </w:rPr>
        <w:t>Cultural Respect Framework for Aboriginal and Torres Strait Islander Health 2016–2026</w:t>
      </w:r>
      <w:r>
        <w:rPr>
          <w:szCs w:val="22"/>
        </w:rPr>
        <w:t>. An innovative and strategic approach across government will ensure efforts to support the social determinants and cultural determinants of health are pursued systematically and collaboratively with a broader focus on outcomes.</w:t>
      </w:r>
    </w:p>
    <w:p w:rsidR="00CE393B" w:rsidRDefault="00CE393B">
      <w:pPr>
        <w:rPr>
          <w:sz w:val="28"/>
          <w:szCs w:val="28"/>
        </w:rPr>
      </w:pPr>
      <w:bookmarkStart w:id="51" w:name="_Toc488150058"/>
      <w:bookmarkStart w:id="52" w:name="_Toc488419174"/>
      <w:bookmarkStart w:id="53" w:name="_Toc488769087"/>
      <w:bookmarkStart w:id="54" w:name="_Toc488832711"/>
      <w:bookmarkStart w:id="55" w:name="_Toc490742927"/>
      <w:bookmarkStart w:id="56" w:name="_Toc490743166"/>
      <w:bookmarkStart w:id="57" w:name="_Toc490743363"/>
      <w:bookmarkStart w:id="58" w:name="_Toc490743616"/>
      <w:bookmarkStart w:id="59" w:name="_Toc490743695"/>
      <w:bookmarkStart w:id="60" w:name="_Toc490818573"/>
      <w:r>
        <w:rPr>
          <w:sz w:val="28"/>
          <w:szCs w:val="28"/>
        </w:rPr>
        <w:br w:type="page"/>
      </w:r>
    </w:p>
    <w:p w:rsidR="00CE393B" w:rsidRDefault="00CE393B">
      <w:pPr>
        <w:rPr>
          <w:rFonts w:eastAsia="Times New Roman" w:cs="Arial"/>
          <w:caps/>
          <w:color w:val="0070C0"/>
          <w:kern w:val="28"/>
          <w:sz w:val="28"/>
          <w:szCs w:val="28"/>
        </w:rPr>
      </w:pPr>
      <w:r>
        <w:rPr>
          <w:rFonts w:eastAsia="Calibri" w:cs="Times New Roman"/>
          <w:noProof/>
          <w:color w:val="323E4F"/>
          <w:szCs w:val="20"/>
          <w:lang w:eastAsia="en-AU"/>
        </w:rPr>
        <w:lastRenderedPageBreak/>
        <w:drawing>
          <wp:inline distT="0" distB="0" distL="0" distR="0" wp14:anchorId="34C53C42" wp14:editId="0DA59163">
            <wp:extent cx="6202392" cy="8693532"/>
            <wp:effectExtent l="0" t="0" r="8255" b="0"/>
            <wp:docPr id="9" name="Picture 9" descr="Infographic on culture and the centre of change" title="Prioritiy are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36 Priority Areas_V14_NO PHOTOCREDIT KB_Page_1.jpg"/>
                    <pic:cNvPicPr/>
                  </pic:nvPicPr>
                  <pic:blipFill>
                    <a:blip r:embed="rId18">
                      <a:extLst>
                        <a:ext uri="{28A0092B-C50C-407E-A947-70E740481C1C}">
                          <a14:useLocalDpi xmlns:a14="http://schemas.microsoft.com/office/drawing/2010/main" val="0"/>
                        </a:ext>
                      </a:extLst>
                    </a:blip>
                    <a:stretch>
                      <a:fillRect/>
                    </a:stretch>
                  </pic:blipFill>
                  <pic:spPr>
                    <a:xfrm>
                      <a:off x="0" y="0"/>
                      <a:ext cx="6210524" cy="8704930"/>
                    </a:xfrm>
                    <a:prstGeom prst="rect">
                      <a:avLst/>
                    </a:prstGeom>
                  </pic:spPr>
                </pic:pic>
              </a:graphicData>
            </a:graphic>
          </wp:inline>
        </w:drawing>
      </w:r>
    </w:p>
    <w:p w:rsidR="00F744AE" w:rsidRPr="005D1E20" w:rsidRDefault="00375CD7" w:rsidP="0016555F">
      <w:pPr>
        <w:pStyle w:val="Heading1BlueAllCaps"/>
      </w:pPr>
      <w:bookmarkStart w:id="61" w:name="_Toc500401391"/>
      <w:r>
        <w:lastRenderedPageBreak/>
        <w:t>PRIORITY AREA 2</w:t>
      </w:r>
      <w:r w:rsidR="00F744AE" w:rsidRPr="005D1E20">
        <w:t xml:space="preserve">: </w:t>
      </w:r>
      <w:bookmarkEnd w:id="51"/>
      <w:bookmarkEnd w:id="52"/>
      <w:bookmarkEnd w:id="53"/>
      <w:bookmarkEnd w:id="54"/>
      <w:bookmarkEnd w:id="55"/>
      <w:bookmarkEnd w:id="56"/>
      <w:bookmarkEnd w:id="57"/>
      <w:bookmarkEnd w:id="58"/>
      <w:bookmarkEnd w:id="59"/>
      <w:bookmarkEnd w:id="60"/>
      <w:r w:rsidR="00AD0778">
        <w:t>SUCCESS AND WELLBEING</w:t>
      </w:r>
      <w:r>
        <w:t xml:space="preserve"> FOR HEALTH THROUGH EMPLOYMENT</w:t>
      </w:r>
      <w:bookmarkEnd w:id="61"/>
    </w:p>
    <w:p w:rsidR="00F744AE" w:rsidRPr="001613E4" w:rsidRDefault="00F744AE" w:rsidP="00674053">
      <w:pPr>
        <w:pStyle w:val="xBodytext1"/>
        <w:jc w:val="both"/>
        <w:rPr>
          <w:szCs w:val="22"/>
        </w:rPr>
      </w:pPr>
      <w:r w:rsidRPr="001613E4">
        <w:rPr>
          <w:szCs w:val="22"/>
        </w:rPr>
        <w:t>Employment status is a strong determinant of individual and famil</w:t>
      </w:r>
      <w:r w:rsidR="008C67AB" w:rsidRPr="001613E4">
        <w:rPr>
          <w:szCs w:val="22"/>
        </w:rPr>
        <w:t>y</w:t>
      </w:r>
      <w:r w:rsidRPr="001613E4">
        <w:rPr>
          <w:szCs w:val="22"/>
        </w:rPr>
        <w:t xml:space="preserve"> health outcomes</w:t>
      </w:r>
      <w:r w:rsidRPr="001613E4">
        <w:rPr>
          <w:color w:val="0070C0"/>
          <w:szCs w:val="22"/>
        </w:rPr>
        <w:t xml:space="preserve">, </w:t>
      </w:r>
      <w:r w:rsidRPr="001613E4">
        <w:rPr>
          <w:szCs w:val="22"/>
        </w:rPr>
        <w:t>with unemployment, underemployment and precarious work associated with poorer health status.</w:t>
      </w:r>
      <w:r w:rsidRPr="001613E4">
        <w:rPr>
          <w:szCs w:val="22"/>
          <w:vertAlign w:val="superscript"/>
        </w:rPr>
        <w:endnoteReference w:id="16"/>
      </w:r>
      <w:r w:rsidRPr="001613E4">
        <w:rPr>
          <w:szCs w:val="22"/>
        </w:rPr>
        <w:t xml:space="preserve"> Conversely, chronic health problems can limit participation in the workforce, which can have adverse impacts.</w:t>
      </w:r>
      <w:r w:rsidRPr="001613E4">
        <w:rPr>
          <w:szCs w:val="22"/>
          <w:vertAlign w:val="superscript"/>
        </w:rPr>
        <w:endnoteReference w:id="17"/>
      </w:r>
      <w:r w:rsidRPr="001613E4">
        <w:rPr>
          <w:color w:val="0070C0"/>
          <w:szCs w:val="22"/>
        </w:rPr>
        <w:t xml:space="preserve"> </w:t>
      </w:r>
      <w:r w:rsidRPr="001613E4">
        <w:rPr>
          <w:szCs w:val="22"/>
        </w:rPr>
        <w:t>Poor health explains 42.7 per cent of the known gap in labour force participation for Aboriginal and Torres Strait Islander males and 13.9 per cent for females in non-remote locations.</w:t>
      </w:r>
      <w:r w:rsidRPr="001613E4">
        <w:rPr>
          <w:szCs w:val="22"/>
          <w:vertAlign w:val="superscript"/>
        </w:rPr>
        <w:endnoteReference w:id="18"/>
      </w:r>
      <w:r w:rsidRPr="001613E4">
        <w:rPr>
          <w:szCs w:val="22"/>
        </w:rPr>
        <w:t xml:space="preserve"> People who lack job security or who are unemployed consistently report the lowest levels of self-rated health and subjective wellbeing.</w:t>
      </w:r>
      <w:r w:rsidRPr="001613E4">
        <w:rPr>
          <w:szCs w:val="22"/>
          <w:vertAlign w:val="superscript"/>
        </w:rPr>
        <w:endnoteReference w:id="19"/>
      </w:r>
    </w:p>
    <w:p w:rsidR="00281917" w:rsidRPr="001613E4" w:rsidRDefault="00F744AE" w:rsidP="00674053">
      <w:pPr>
        <w:pStyle w:val="xBodytext1"/>
        <w:jc w:val="both"/>
        <w:rPr>
          <w:szCs w:val="22"/>
        </w:rPr>
      </w:pPr>
      <w:r w:rsidRPr="001613E4">
        <w:rPr>
          <w:szCs w:val="22"/>
        </w:rPr>
        <w:t>Community-driven, place-based initiatives have been proven to be successful in engaging Aboriginal and Torres Strait Islander people in meaningful employment</w:t>
      </w:r>
      <w:r w:rsidR="0058475F" w:rsidRPr="001613E4">
        <w:rPr>
          <w:szCs w:val="22"/>
        </w:rPr>
        <w:t xml:space="preserve"> and</w:t>
      </w:r>
      <w:r w:rsidRPr="001613E4">
        <w:rPr>
          <w:szCs w:val="22"/>
        </w:rPr>
        <w:t xml:space="preserve"> equipping them with transferable skills. P</w:t>
      </w:r>
      <w:r w:rsidR="00C94AFC" w:rsidRPr="001613E4">
        <w:rPr>
          <w:szCs w:val="22"/>
        </w:rPr>
        <w:t xml:space="preserve">articipants at the forums </w:t>
      </w:r>
      <w:r w:rsidR="003360ED">
        <w:rPr>
          <w:szCs w:val="22"/>
        </w:rPr>
        <w:t>emphasised</w:t>
      </w:r>
      <w:r w:rsidR="00C94AFC" w:rsidRPr="001613E4">
        <w:rPr>
          <w:szCs w:val="22"/>
        </w:rPr>
        <w:t xml:space="preserve"> that p</w:t>
      </w:r>
      <w:r w:rsidRPr="001613E4">
        <w:rPr>
          <w:szCs w:val="22"/>
        </w:rPr>
        <w:t xml:space="preserve">rograms linked with </w:t>
      </w:r>
      <w:r w:rsidR="00725A8A" w:rsidRPr="001613E4">
        <w:rPr>
          <w:szCs w:val="22"/>
        </w:rPr>
        <w:t>C</w:t>
      </w:r>
      <w:r w:rsidRPr="001613E4">
        <w:rPr>
          <w:szCs w:val="22"/>
        </w:rPr>
        <w:t>ountry and culture also strengthen resilience in</w:t>
      </w:r>
      <w:r w:rsidR="0005565C" w:rsidRPr="001613E4">
        <w:rPr>
          <w:szCs w:val="22"/>
        </w:rPr>
        <w:t xml:space="preserve"> young people</w:t>
      </w:r>
      <w:r w:rsidR="00593466" w:rsidRPr="001613E4">
        <w:rPr>
          <w:szCs w:val="22"/>
        </w:rPr>
        <w:t>,</w:t>
      </w:r>
      <w:r w:rsidR="0005565C" w:rsidRPr="001613E4">
        <w:rPr>
          <w:szCs w:val="22"/>
        </w:rPr>
        <w:t xml:space="preserve"> helping</w:t>
      </w:r>
      <w:r w:rsidRPr="001613E4">
        <w:rPr>
          <w:szCs w:val="22"/>
        </w:rPr>
        <w:t xml:space="preserve"> build a better understanding and connection with identity. At the community level, these programs cement broader capacity and sustainability, setting up opportunities for future generations.</w:t>
      </w:r>
    </w:p>
    <w:p w:rsidR="00EB060F" w:rsidRPr="001613E4" w:rsidRDefault="0087492B" w:rsidP="00674053">
      <w:pPr>
        <w:pStyle w:val="xBodytext1"/>
        <w:jc w:val="both"/>
        <w:rPr>
          <w:i/>
          <w:szCs w:val="22"/>
        </w:rPr>
      </w:pPr>
      <w:r w:rsidRPr="001613E4">
        <w:rPr>
          <w:szCs w:val="22"/>
        </w:rPr>
        <w:t>The Australian Government’s Indigenous Procurement Policy</w:t>
      </w:r>
      <w:r w:rsidR="008F130A" w:rsidRPr="001613E4">
        <w:rPr>
          <w:szCs w:val="22"/>
        </w:rPr>
        <w:t>,</w:t>
      </w:r>
      <w:r w:rsidR="00FC34E5" w:rsidRPr="001613E4">
        <w:rPr>
          <w:szCs w:val="22"/>
        </w:rPr>
        <w:t xml:space="preserve"> launched in July 2015, </w:t>
      </w:r>
      <w:r w:rsidR="00666C41" w:rsidRPr="001613E4">
        <w:rPr>
          <w:szCs w:val="22"/>
        </w:rPr>
        <w:t>was</w:t>
      </w:r>
      <w:r w:rsidR="008F130A" w:rsidRPr="001613E4">
        <w:rPr>
          <w:szCs w:val="22"/>
        </w:rPr>
        <w:t xml:space="preserve"> designed to give Indigenous businesses greater opportunity at winning</w:t>
      </w:r>
      <w:r w:rsidRPr="001613E4" w:rsidDel="00EF2E79">
        <w:rPr>
          <w:szCs w:val="22"/>
        </w:rPr>
        <w:t xml:space="preserve"> </w:t>
      </w:r>
      <w:r w:rsidRPr="001613E4">
        <w:rPr>
          <w:szCs w:val="22"/>
        </w:rPr>
        <w:t>Commonwealth contracts</w:t>
      </w:r>
      <w:r w:rsidR="003360ED">
        <w:rPr>
          <w:szCs w:val="22"/>
        </w:rPr>
        <w:t>. This policy has</w:t>
      </w:r>
      <w:r w:rsidR="008F130A" w:rsidRPr="001613E4">
        <w:rPr>
          <w:szCs w:val="22"/>
        </w:rPr>
        <w:t xml:space="preserve"> exceeded expectations in its first 18 months. It has resulted in 708 Indigenous businesses winning over $434</w:t>
      </w:r>
      <w:r w:rsidRPr="001613E4">
        <w:rPr>
          <w:szCs w:val="22"/>
        </w:rPr>
        <w:t xml:space="preserve"> million </w:t>
      </w:r>
      <w:r w:rsidR="007F77E8" w:rsidRPr="001613E4">
        <w:rPr>
          <w:szCs w:val="22"/>
        </w:rPr>
        <w:t xml:space="preserve">worth of </w:t>
      </w:r>
      <w:r w:rsidR="008F130A" w:rsidRPr="001613E4">
        <w:rPr>
          <w:szCs w:val="22"/>
        </w:rPr>
        <w:t>contracts.</w:t>
      </w:r>
      <w:r w:rsidRPr="001613E4">
        <w:rPr>
          <w:szCs w:val="22"/>
        </w:rPr>
        <w:t xml:space="preserve"> Similar efforts in developing Indigenous Grant Guidelines </w:t>
      </w:r>
      <w:r w:rsidR="008F130A" w:rsidRPr="001613E4">
        <w:rPr>
          <w:szCs w:val="22"/>
        </w:rPr>
        <w:t xml:space="preserve">and an Indigenous Business Strategy </w:t>
      </w:r>
      <w:r w:rsidR="00286462" w:rsidRPr="001613E4">
        <w:rPr>
          <w:szCs w:val="22"/>
        </w:rPr>
        <w:t>are</w:t>
      </w:r>
      <w:r w:rsidR="0005565C" w:rsidRPr="001613E4">
        <w:rPr>
          <w:szCs w:val="22"/>
        </w:rPr>
        <w:t xml:space="preserve"> </w:t>
      </w:r>
      <w:r w:rsidRPr="001613E4">
        <w:rPr>
          <w:szCs w:val="22"/>
        </w:rPr>
        <w:t>also expected to increase economic opportunities for Indigenous businesses and communities.</w:t>
      </w:r>
    </w:p>
    <w:p w:rsidR="00281917" w:rsidRDefault="00EB060F" w:rsidP="00674053">
      <w:pPr>
        <w:pStyle w:val="xBodytext1"/>
        <w:jc w:val="both"/>
        <w:rPr>
          <w:szCs w:val="22"/>
        </w:rPr>
      </w:pPr>
      <w:r w:rsidRPr="001613E4">
        <w:rPr>
          <w:szCs w:val="22"/>
        </w:rPr>
        <w:t>Jobactive is the Commonwealth employment service for urban and regional centres connecting jobseekers with employers and is delivered by a network of jobactive providers. Since the commencement of jobactive in July 2015, around 72,000 job placements have been achieved for Indigenous Australians. While this is a positive achievement, more needs to be done to close the employment gap. To accelerate progress towards achieving parity in employment outcomes for Indigenous Australians, the Australian Government recently announced an additional $55.7 million investment in the Closing the Gap – Employment Services package. The measures announced as part of this package enhance the ability of employment services (jobactive and Transition to Work) to place more Indigenous job seekers into work.</w:t>
      </w:r>
    </w:p>
    <w:p w:rsidR="009C01EA" w:rsidRDefault="00786209" w:rsidP="00786209">
      <w:pPr>
        <w:pStyle w:val="xBodytext1"/>
        <w:jc w:val="both"/>
        <w:rPr>
          <w:szCs w:val="22"/>
        </w:rPr>
      </w:pPr>
      <w:r w:rsidRPr="00786209">
        <w:rPr>
          <w:szCs w:val="22"/>
        </w:rPr>
        <w:t xml:space="preserve">In addition, </w:t>
      </w:r>
      <w:r w:rsidRPr="00786209">
        <w:rPr>
          <w:i/>
          <w:szCs w:val="22"/>
        </w:rPr>
        <w:t xml:space="preserve">Our North, Our Future: White Paper on Developing Northern Australia </w:t>
      </w:r>
      <w:r w:rsidRPr="00786209">
        <w:rPr>
          <w:szCs w:val="22"/>
        </w:rPr>
        <w:t>identifies opportunities through education, job creation and economic development including through infrastructure and sustainable development. The Norther</w:t>
      </w:r>
      <w:r w:rsidRPr="000F0697">
        <w:rPr>
          <w:szCs w:val="22"/>
        </w:rPr>
        <w:t>n Australia Roads Programmes Indigenous Framework, which is expected to be finalised shortly, includes Indigenous employment and supplier-use targets that seek to balance the need to improve the participation of Indigenous people and current market conditions.</w:t>
      </w:r>
    </w:p>
    <w:p w:rsidR="00786209" w:rsidRPr="001613E4" w:rsidRDefault="00786209" w:rsidP="00786209">
      <w:pPr>
        <w:pStyle w:val="xBodytext1"/>
        <w:jc w:val="both"/>
        <w:rPr>
          <w:szCs w:val="22"/>
        </w:rPr>
      </w:pPr>
      <w:r w:rsidRPr="000F0697">
        <w:rPr>
          <w:szCs w:val="22"/>
        </w:rPr>
        <w:t xml:space="preserve">The </w:t>
      </w:r>
      <w:r w:rsidRPr="00786209">
        <w:rPr>
          <w:szCs w:val="22"/>
        </w:rPr>
        <w:t xml:space="preserve">rollout of national projects, such as the National Disability Insurance Scheme (NDIS) and the National Broadband Network (NBN), provide significant opportunities and should guide skills development to support career pathways for Aboriginal and Torres Strait Islander </w:t>
      </w:r>
      <w:r w:rsidR="008A257D">
        <w:rPr>
          <w:szCs w:val="22"/>
        </w:rPr>
        <w:t>people</w:t>
      </w:r>
      <w:r w:rsidRPr="00786209">
        <w:rPr>
          <w:szCs w:val="22"/>
        </w:rPr>
        <w:t>.</w:t>
      </w:r>
    </w:p>
    <w:p w:rsidR="009557E6" w:rsidRPr="003E0F1F" w:rsidRDefault="008C5566" w:rsidP="003E0F1F">
      <w:pPr>
        <w:pStyle w:val="xBodytext1"/>
        <w:jc w:val="both"/>
        <w:rPr>
          <w:rFonts w:cs="Arial"/>
          <w:szCs w:val="22"/>
        </w:rPr>
      </w:pPr>
      <w:r w:rsidRPr="003E0F1F">
        <w:rPr>
          <w:rFonts w:cs="Arial"/>
          <w:szCs w:val="22"/>
        </w:rPr>
        <w:lastRenderedPageBreak/>
        <w:t>More needs to be done to support employment pathways and opportunities</w:t>
      </w:r>
      <w:r w:rsidR="00A02B3C" w:rsidRPr="003E0F1F">
        <w:rPr>
          <w:rFonts w:cs="Arial"/>
          <w:szCs w:val="22"/>
        </w:rPr>
        <w:t xml:space="preserve"> that</w:t>
      </w:r>
      <w:r w:rsidRPr="003E0F1F">
        <w:rPr>
          <w:rFonts w:cs="Arial"/>
          <w:szCs w:val="22"/>
        </w:rPr>
        <w:t xml:space="preserve"> will lead to better health and other social outcomes</w:t>
      </w:r>
      <w:r w:rsidR="00FC34E5" w:rsidRPr="003E0F1F">
        <w:rPr>
          <w:rFonts w:cs="Arial"/>
          <w:szCs w:val="22"/>
        </w:rPr>
        <w:t xml:space="preserve"> for Aboriginal and Torres Strait Islander people</w:t>
      </w:r>
      <w:r w:rsidR="00E24826" w:rsidRPr="003E0F1F">
        <w:rPr>
          <w:rFonts w:cs="Arial"/>
          <w:szCs w:val="22"/>
        </w:rPr>
        <w:t xml:space="preserve">. </w:t>
      </w:r>
      <w:r w:rsidR="000F5530" w:rsidRPr="003E0F1F">
        <w:rPr>
          <w:rFonts w:cs="Arial"/>
          <w:szCs w:val="22"/>
        </w:rPr>
        <w:t>While gains have been made since 1994, t</w:t>
      </w:r>
      <w:r w:rsidR="00F744AE" w:rsidRPr="003E0F1F">
        <w:rPr>
          <w:rFonts w:cs="Arial"/>
          <w:szCs w:val="22"/>
        </w:rPr>
        <w:t>he Closing the Gap target of halving the gap in employment outcomes within a decade is not on track to be achieved. In 2014–15, the Indigenous employment rate was 48.4 per cent, down from 53.8 per cent in 2008.</w:t>
      </w:r>
      <w:r w:rsidR="00821B64" w:rsidRPr="003E0F1F">
        <w:rPr>
          <w:rFonts w:cs="Arial"/>
          <w:szCs w:val="22"/>
        </w:rPr>
        <w:t xml:space="preserve"> The non-Indigenous employment rate also declined from 75.0 per cent in 2008 to 72.6 per cent in 2014-15. The gap has not changed significantly (21.2 percentage points in 2008 and 24.2 percentage points in 2014-15)</w:t>
      </w:r>
      <w:r w:rsidR="00AA0161" w:rsidRPr="003E0F1F">
        <w:rPr>
          <w:rFonts w:cs="Arial"/>
          <w:szCs w:val="22"/>
        </w:rPr>
        <w:t>.</w:t>
      </w:r>
      <w:r w:rsidR="002F64A7" w:rsidRPr="003E0F1F">
        <w:rPr>
          <w:rFonts w:cs="Arial"/>
          <w:szCs w:val="22"/>
        </w:rPr>
        <w:endnoteReference w:id="20"/>
      </w:r>
    </w:p>
    <w:p w:rsidR="00B71023" w:rsidRPr="003E0F1F" w:rsidRDefault="00FD6A27" w:rsidP="003E0F1F">
      <w:pPr>
        <w:pStyle w:val="xBodytext1"/>
        <w:jc w:val="both"/>
        <w:rPr>
          <w:rFonts w:cs="Arial"/>
          <w:szCs w:val="22"/>
        </w:rPr>
      </w:pPr>
      <w:r w:rsidRPr="003E0F1F">
        <w:rPr>
          <w:rFonts w:cs="Arial"/>
          <w:szCs w:val="22"/>
        </w:rPr>
        <w:t xml:space="preserve">With stark figures showing the huge impact of poor health on labour force participation, a health-focussed approach is the obvious next step to take in </w:t>
      </w:r>
      <w:r w:rsidR="00EB060F" w:rsidRPr="003E0F1F">
        <w:rPr>
          <w:rFonts w:cs="Arial"/>
          <w:szCs w:val="22"/>
        </w:rPr>
        <w:t>building the capacity of employment services to support job seekers to access supports that address their health related barriers to employment</w:t>
      </w:r>
      <w:r w:rsidRPr="003E0F1F">
        <w:rPr>
          <w:rFonts w:cs="Arial"/>
          <w:szCs w:val="22"/>
        </w:rPr>
        <w:t>.</w:t>
      </w:r>
    </w:p>
    <w:p w:rsidR="00CE52E5" w:rsidRDefault="00FD6A27" w:rsidP="00AA0161">
      <w:pPr>
        <w:pStyle w:val="xBodytext1"/>
        <w:jc w:val="both"/>
        <w:rPr>
          <w:rFonts w:cs="Arial"/>
          <w:szCs w:val="22"/>
        </w:rPr>
      </w:pPr>
      <w:r w:rsidRPr="001613E4">
        <w:rPr>
          <w:rFonts w:cs="Arial"/>
          <w:szCs w:val="22"/>
        </w:rPr>
        <w:t>Part of the solution is strengthening connections between the employment and health sectors—particularly</w:t>
      </w:r>
      <w:r w:rsidR="00FC34E5" w:rsidRPr="001613E4">
        <w:rPr>
          <w:rFonts w:cs="Arial"/>
          <w:szCs w:val="22"/>
        </w:rPr>
        <w:t xml:space="preserve"> with</w:t>
      </w:r>
      <w:r w:rsidRPr="001613E4">
        <w:rPr>
          <w:rFonts w:cs="Arial"/>
          <w:szCs w:val="22"/>
        </w:rPr>
        <w:t xml:space="preserve"> </w:t>
      </w:r>
      <w:r w:rsidR="00FC34E5" w:rsidRPr="001613E4">
        <w:rPr>
          <w:rFonts w:cs="Arial"/>
          <w:szCs w:val="22"/>
        </w:rPr>
        <w:t>Aboriginal Controlled Community Health Services (</w:t>
      </w:r>
      <w:r w:rsidRPr="001613E4">
        <w:rPr>
          <w:rFonts w:cs="Arial"/>
          <w:szCs w:val="22"/>
        </w:rPr>
        <w:t>ACCHS</w:t>
      </w:r>
      <w:r w:rsidR="0063363D">
        <w:rPr>
          <w:rFonts w:cs="Arial"/>
          <w:szCs w:val="22"/>
        </w:rPr>
        <w:t>s</w:t>
      </w:r>
      <w:r w:rsidR="00FC34E5" w:rsidRPr="001613E4">
        <w:rPr>
          <w:rFonts w:cs="Arial"/>
          <w:szCs w:val="22"/>
        </w:rPr>
        <w:t>)</w:t>
      </w:r>
      <w:r w:rsidRPr="001613E4">
        <w:rPr>
          <w:rFonts w:cs="Arial"/>
          <w:szCs w:val="22"/>
        </w:rPr>
        <w:t xml:space="preserve"> and Aboriginal Medical Services (AMS)—to support a more holistic, connected and culturally competent system. This includes both culturally-specific and mainstream employment services</w:t>
      </w:r>
      <w:r w:rsidR="003360ED">
        <w:rPr>
          <w:rFonts w:cs="Arial"/>
          <w:szCs w:val="22"/>
        </w:rPr>
        <w:t>. A</w:t>
      </w:r>
      <w:r w:rsidRPr="001613E4">
        <w:rPr>
          <w:rFonts w:cs="Arial"/>
          <w:szCs w:val="22"/>
        </w:rPr>
        <w:t xml:space="preserve"> majority of Aboriginal an</w:t>
      </w:r>
      <w:r w:rsidR="00A54ACA">
        <w:rPr>
          <w:rFonts w:cs="Arial"/>
          <w:szCs w:val="22"/>
        </w:rPr>
        <w:t>d Torres Strait Islander people</w:t>
      </w:r>
      <w:r w:rsidR="003360ED">
        <w:rPr>
          <w:rFonts w:cs="Arial"/>
          <w:szCs w:val="22"/>
        </w:rPr>
        <w:t xml:space="preserve"> receive</w:t>
      </w:r>
      <w:r w:rsidRPr="001613E4">
        <w:rPr>
          <w:rFonts w:cs="Arial"/>
          <w:szCs w:val="22"/>
        </w:rPr>
        <w:t xml:space="preserve"> employment services through mainstream programs, such as </w:t>
      </w:r>
      <w:r w:rsidRPr="001613E4">
        <w:rPr>
          <w:rFonts w:cs="Arial"/>
          <w:i/>
          <w:szCs w:val="22"/>
        </w:rPr>
        <w:t>jobactive</w:t>
      </w:r>
      <w:r w:rsidR="004F2574" w:rsidRPr="001613E4">
        <w:rPr>
          <w:rFonts w:cs="Arial"/>
          <w:i/>
          <w:szCs w:val="22"/>
        </w:rPr>
        <w:t xml:space="preserve">, </w:t>
      </w:r>
      <w:r w:rsidR="00AD0778">
        <w:rPr>
          <w:rFonts w:cs="Arial"/>
          <w:i/>
          <w:szCs w:val="22"/>
        </w:rPr>
        <w:t>D</w:t>
      </w:r>
      <w:r w:rsidR="004F2574" w:rsidRPr="001613E4">
        <w:rPr>
          <w:rFonts w:cs="Arial"/>
          <w:i/>
          <w:szCs w:val="22"/>
        </w:rPr>
        <w:t xml:space="preserve">isability </w:t>
      </w:r>
      <w:r w:rsidR="00AD0778">
        <w:rPr>
          <w:rFonts w:cs="Arial"/>
          <w:i/>
          <w:szCs w:val="22"/>
        </w:rPr>
        <w:t>E</w:t>
      </w:r>
      <w:r w:rsidR="004F2574" w:rsidRPr="001613E4">
        <w:rPr>
          <w:rFonts w:cs="Arial"/>
          <w:i/>
          <w:szCs w:val="22"/>
        </w:rPr>
        <w:t xml:space="preserve">mployment </w:t>
      </w:r>
      <w:r w:rsidR="00AD0778">
        <w:rPr>
          <w:rFonts w:cs="Arial"/>
          <w:i/>
          <w:szCs w:val="22"/>
        </w:rPr>
        <w:t>S</w:t>
      </w:r>
      <w:r w:rsidR="004F2574" w:rsidRPr="001613E4">
        <w:rPr>
          <w:rFonts w:cs="Arial"/>
          <w:i/>
          <w:szCs w:val="22"/>
        </w:rPr>
        <w:t xml:space="preserve">ervices </w:t>
      </w:r>
      <w:r w:rsidR="004F2574" w:rsidRPr="006F6A19">
        <w:rPr>
          <w:rFonts w:cs="Arial"/>
          <w:szCs w:val="22"/>
        </w:rPr>
        <w:t>and the</w:t>
      </w:r>
      <w:r w:rsidR="004F2574" w:rsidRPr="001613E4">
        <w:rPr>
          <w:rFonts w:cs="Arial"/>
          <w:i/>
          <w:szCs w:val="22"/>
        </w:rPr>
        <w:t xml:space="preserve"> Community Development Program</w:t>
      </w:r>
      <w:r w:rsidRPr="001613E4">
        <w:rPr>
          <w:rFonts w:cs="Arial"/>
          <w:szCs w:val="22"/>
        </w:rPr>
        <w:t xml:space="preserve">. In parallel, continued support for increased economic participation by Aboriginal and Torres Strait Islander </w:t>
      </w:r>
      <w:r w:rsidR="008A257D">
        <w:rPr>
          <w:rFonts w:cs="Arial"/>
          <w:szCs w:val="22"/>
        </w:rPr>
        <w:t>people</w:t>
      </w:r>
      <w:r w:rsidRPr="001613E4">
        <w:rPr>
          <w:rFonts w:cs="Arial"/>
          <w:szCs w:val="22"/>
        </w:rPr>
        <w:t xml:space="preserve"> and organisations is needed</w:t>
      </w:r>
      <w:r w:rsidR="00674053" w:rsidRPr="001613E4">
        <w:rPr>
          <w:rFonts w:cs="Arial"/>
          <w:szCs w:val="22"/>
        </w:rPr>
        <w:t>.</w:t>
      </w:r>
    </w:p>
    <w:p w:rsidR="00786209" w:rsidRDefault="00786209" w:rsidP="005574E0">
      <w:pPr>
        <w:pStyle w:val="xBodytext1"/>
        <w:jc w:val="both"/>
        <w:rPr>
          <w:rFonts w:cs="Arial"/>
          <w:szCs w:val="22"/>
        </w:rPr>
      </w:pPr>
    </w:p>
    <w:p w:rsidR="00786209" w:rsidRDefault="00786209" w:rsidP="005574E0">
      <w:pPr>
        <w:pStyle w:val="xBodytext1"/>
        <w:jc w:val="both"/>
        <w:rPr>
          <w:rFonts w:cs="Arial"/>
          <w:szCs w:val="22"/>
        </w:rPr>
        <w:sectPr w:rsidR="00786209" w:rsidSect="00F91A71">
          <w:endnotePr>
            <w:numFmt w:val="decimal"/>
          </w:endnotePr>
          <w:pgSz w:w="11906" w:h="16838"/>
          <w:pgMar w:top="1134" w:right="1559" w:bottom="1134" w:left="1701" w:header="0" w:footer="113" w:gutter="0"/>
          <w:cols w:space="720"/>
          <w:titlePg/>
          <w:docGrid w:linePitch="299"/>
        </w:sectPr>
      </w:pPr>
    </w:p>
    <w:p w:rsidR="007A590D" w:rsidRDefault="00300032" w:rsidP="00300032">
      <w:pPr>
        <w:pStyle w:val="xBodytext1"/>
        <w:jc w:val="center"/>
        <w:rPr>
          <w:caps/>
          <w:color w:val="0070C0"/>
          <w:sz w:val="32"/>
          <w:szCs w:val="36"/>
        </w:rPr>
      </w:pPr>
      <w:r>
        <w:rPr>
          <w:caps/>
          <w:noProof/>
          <w:color w:val="0070C0"/>
          <w:sz w:val="32"/>
          <w:szCs w:val="36"/>
        </w:rPr>
        <w:lastRenderedPageBreak/>
        <w:drawing>
          <wp:inline distT="0" distB="0" distL="0" distR="0" wp14:anchorId="0DE68846" wp14:editId="6006A438">
            <wp:extent cx="6176513" cy="8736392"/>
            <wp:effectExtent l="0" t="0" r="0" b="7620"/>
            <wp:docPr id="7" name="Picture 7" descr="Infographic on success and wellbeing for health through employment" title="Infographic on priority are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wadslg\AppData\Local\Microsoft\Windows\Temporary Internet Files\Content.Outlook\HM6JS3P8\11936 Priority Areas_V16 EB_PA2_NO PIC Cred.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80802" cy="8742459"/>
                    </a:xfrm>
                    <a:prstGeom prst="rect">
                      <a:avLst/>
                    </a:prstGeom>
                    <a:noFill/>
                    <a:ln>
                      <a:noFill/>
                    </a:ln>
                  </pic:spPr>
                </pic:pic>
              </a:graphicData>
            </a:graphic>
          </wp:inline>
        </w:drawing>
      </w:r>
      <w:r w:rsidR="00D47FDB">
        <w:br w:type="page"/>
      </w:r>
      <w:bookmarkStart w:id="62" w:name="_Toc488769088"/>
      <w:bookmarkStart w:id="63" w:name="_Toc488832712"/>
      <w:bookmarkStart w:id="64" w:name="_Toc490742928"/>
      <w:bookmarkStart w:id="65" w:name="_Toc490743167"/>
      <w:bookmarkStart w:id="66" w:name="_Toc490743364"/>
      <w:bookmarkStart w:id="67" w:name="_Toc490743617"/>
      <w:bookmarkStart w:id="68" w:name="_Toc490743696"/>
      <w:bookmarkStart w:id="69" w:name="_Toc490818574"/>
      <w:bookmarkStart w:id="70" w:name="_Toc488150059"/>
      <w:bookmarkStart w:id="71" w:name="_Toc488419175"/>
    </w:p>
    <w:p w:rsidR="00F744AE" w:rsidRPr="005D1E20" w:rsidRDefault="00375CD7" w:rsidP="0016555F">
      <w:pPr>
        <w:pStyle w:val="Heading1BlueAllCaps"/>
      </w:pPr>
      <w:bookmarkStart w:id="72" w:name="_Toc500401392"/>
      <w:r>
        <w:lastRenderedPageBreak/>
        <w:t>PRIORITY AREA 3</w:t>
      </w:r>
      <w:r w:rsidR="00F744AE" w:rsidRPr="005D1E20">
        <w:t xml:space="preserve">: </w:t>
      </w:r>
      <w:bookmarkEnd w:id="62"/>
      <w:bookmarkEnd w:id="63"/>
      <w:bookmarkEnd w:id="64"/>
      <w:bookmarkEnd w:id="65"/>
      <w:bookmarkEnd w:id="66"/>
      <w:bookmarkEnd w:id="67"/>
      <w:bookmarkEnd w:id="68"/>
      <w:bookmarkEnd w:id="69"/>
      <w:r>
        <w:t>FOUNDATIONS FOR A HEALTHY LIFE</w:t>
      </w:r>
      <w:bookmarkEnd w:id="72"/>
      <w:r w:rsidR="00F744AE" w:rsidRPr="005D1E20">
        <w:t xml:space="preserve"> </w:t>
      </w:r>
      <w:bookmarkEnd w:id="70"/>
      <w:bookmarkEnd w:id="71"/>
    </w:p>
    <w:p w:rsidR="00B71023" w:rsidRPr="00CC2902" w:rsidRDefault="00C36560" w:rsidP="00674053">
      <w:pPr>
        <w:pStyle w:val="xBodytext1"/>
        <w:jc w:val="both"/>
        <w:rPr>
          <w:szCs w:val="22"/>
        </w:rPr>
      </w:pPr>
      <w:r w:rsidRPr="00CC2902">
        <w:rPr>
          <w:szCs w:val="22"/>
          <w:highlight w:val="white"/>
        </w:rPr>
        <w:t xml:space="preserve">Healthy development </w:t>
      </w:r>
      <w:r w:rsidR="00FC34E5" w:rsidRPr="00CC2902">
        <w:rPr>
          <w:szCs w:val="22"/>
          <w:highlight w:val="white"/>
        </w:rPr>
        <w:t xml:space="preserve">during gestation and </w:t>
      </w:r>
      <w:r w:rsidRPr="00CC2902">
        <w:rPr>
          <w:szCs w:val="22"/>
          <w:highlight w:val="white"/>
        </w:rPr>
        <w:t>early in life has long-lasting consequences,</w:t>
      </w:r>
      <w:r w:rsidRPr="00CC2902">
        <w:rPr>
          <w:szCs w:val="22"/>
          <w:highlight w:val="white"/>
          <w:vertAlign w:val="superscript"/>
        </w:rPr>
        <w:endnoteReference w:id="21"/>
      </w:r>
      <w:r w:rsidRPr="00CC2902">
        <w:rPr>
          <w:szCs w:val="22"/>
          <w:highlight w:val="white"/>
        </w:rPr>
        <w:t xml:space="preserve"> </w:t>
      </w:r>
      <w:r w:rsidR="00FC34E5" w:rsidRPr="00CC2902">
        <w:rPr>
          <w:szCs w:val="22"/>
          <w:highlight w:val="white"/>
        </w:rPr>
        <w:t xml:space="preserve">these early days are a </w:t>
      </w:r>
      <w:r w:rsidRPr="00CC2902">
        <w:rPr>
          <w:szCs w:val="22"/>
          <w:highlight w:val="white"/>
        </w:rPr>
        <w:t xml:space="preserve">crucial window of opportunity to set children up for a healthy, prosperous life. </w:t>
      </w:r>
      <w:r w:rsidR="00C16295" w:rsidRPr="00CC2902">
        <w:rPr>
          <w:szCs w:val="22"/>
        </w:rPr>
        <w:t xml:space="preserve">This is the period when the foundations are established </w:t>
      </w:r>
      <w:r w:rsidR="00F744AE" w:rsidRPr="00CC2902">
        <w:rPr>
          <w:szCs w:val="22"/>
        </w:rPr>
        <w:t xml:space="preserve">for children </w:t>
      </w:r>
      <w:r w:rsidR="00C16295" w:rsidRPr="00CC2902">
        <w:rPr>
          <w:szCs w:val="22"/>
        </w:rPr>
        <w:t xml:space="preserve">to develop </w:t>
      </w:r>
      <w:r w:rsidR="00F35B80" w:rsidRPr="00CC2902">
        <w:rPr>
          <w:szCs w:val="22"/>
        </w:rPr>
        <w:t xml:space="preserve">physically and </w:t>
      </w:r>
      <w:r w:rsidR="002633E1" w:rsidRPr="00CC2902">
        <w:rPr>
          <w:szCs w:val="22"/>
        </w:rPr>
        <w:t xml:space="preserve">cognitively, form </w:t>
      </w:r>
      <w:r w:rsidR="009006CC" w:rsidRPr="00CC2902">
        <w:rPr>
          <w:szCs w:val="22"/>
        </w:rPr>
        <w:t>secure</w:t>
      </w:r>
      <w:r w:rsidR="00C16295" w:rsidRPr="00CC2902">
        <w:rPr>
          <w:szCs w:val="22"/>
        </w:rPr>
        <w:t xml:space="preserve"> attachments and </w:t>
      </w:r>
      <w:r w:rsidR="002633E1" w:rsidRPr="00CC2902">
        <w:rPr>
          <w:szCs w:val="22"/>
        </w:rPr>
        <w:t>build</w:t>
      </w:r>
      <w:r w:rsidR="004423BF" w:rsidRPr="00CC2902">
        <w:rPr>
          <w:szCs w:val="22"/>
        </w:rPr>
        <w:t xml:space="preserve"> healthy</w:t>
      </w:r>
      <w:r w:rsidR="00C16295" w:rsidRPr="00CC2902">
        <w:rPr>
          <w:szCs w:val="22"/>
        </w:rPr>
        <w:t xml:space="preserve"> social</w:t>
      </w:r>
      <w:r w:rsidR="00A64534" w:rsidRPr="00CC2902">
        <w:rPr>
          <w:szCs w:val="22"/>
        </w:rPr>
        <w:t>, emotional</w:t>
      </w:r>
      <w:r w:rsidR="00C16295" w:rsidRPr="00CC2902">
        <w:rPr>
          <w:szCs w:val="22"/>
        </w:rPr>
        <w:t xml:space="preserve"> and communication skills</w:t>
      </w:r>
      <w:r w:rsidR="00872176" w:rsidRPr="00CC2902">
        <w:rPr>
          <w:szCs w:val="22"/>
        </w:rPr>
        <w:t xml:space="preserve">. </w:t>
      </w:r>
      <w:r w:rsidR="000D2ADA" w:rsidRPr="00CC2902">
        <w:rPr>
          <w:szCs w:val="22"/>
          <w:lang w:val="en"/>
        </w:rPr>
        <w:t xml:space="preserve">While the gap in child mortality has been reduced by 33 per cent </w:t>
      </w:r>
      <w:r w:rsidR="000D2ADA" w:rsidRPr="00CC2902">
        <w:rPr>
          <w:szCs w:val="22"/>
        </w:rPr>
        <w:t xml:space="preserve">for Aboriginal and Torres Strait Islander children, the mortality rate for children aged </w:t>
      </w:r>
      <w:r w:rsidR="004423BF" w:rsidRPr="00CC2902">
        <w:rPr>
          <w:szCs w:val="22"/>
        </w:rPr>
        <w:t xml:space="preserve">up </w:t>
      </w:r>
      <w:r w:rsidR="000D2ADA" w:rsidRPr="00CC2902">
        <w:rPr>
          <w:szCs w:val="22"/>
        </w:rPr>
        <w:t xml:space="preserve">to four remains more than twice the rate of non-Indigenous children in the same age range. </w:t>
      </w:r>
    </w:p>
    <w:p w:rsidR="000D2ADA" w:rsidRPr="00CC2902" w:rsidRDefault="000D2ADA" w:rsidP="00674053">
      <w:pPr>
        <w:pStyle w:val="xBodytext1"/>
        <w:jc w:val="both"/>
        <w:rPr>
          <w:szCs w:val="22"/>
        </w:rPr>
      </w:pPr>
      <w:r w:rsidRPr="00CC2902">
        <w:rPr>
          <w:szCs w:val="22"/>
        </w:rPr>
        <w:t>From 2011 to 2015, over half of the deaths of Aboriginal and Torres Strait Islander children aged zero to four were caused by conditions originating in the perinatal period, such as birth trauma, fetal growth disorders, complications of pregnancy, and respiratory and cardiovascular disorders specific to the perinatal period. In Aboriginal and Torres Strait Islander children aged one to four years, injury accounted for half of the deaths.</w:t>
      </w:r>
      <w:r w:rsidRPr="00CC2902">
        <w:rPr>
          <w:szCs w:val="22"/>
          <w:vertAlign w:val="superscript"/>
        </w:rPr>
        <w:t xml:space="preserve"> </w:t>
      </w:r>
      <w:r w:rsidRPr="00CC2902">
        <w:rPr>
          <w:szCs w:val="22"/>
          <w:vertAlign w:val="superscript"/>
        </w:rPr>
        <w:endnoteReference w:id="22"/>
      </w:r>
      <w:r w:rsidRPr="00CC2902">
        <w:rPr>
          <w:szCs w:val="22"/>
          <w:vertAlign w:val="superscript"/>
        </w:rPr>
        <w:t xml:space="preserve"> </w:t>
      </w:r>
    </w:p>
    <w:p w:rsidR="00B46B73" w:rsidRPr="00CC2902" w:rsidRDefault="00C94AFC" w:rsidP="00674053">
      <w:pPr>
        <w:pStyle w:val="xBodytext1"/>
        <w:jc w:val="both"/>
        <w:rPr>
          <w:szCs w:val="22"/>
        </w:rPr>
      </w:pPr>
      <w:r w:rsidRPr="00CC2902">
        <w:rPr>
          <w:szCs w:val="22"/>
        </w:rPr>
        <w:t xml:space="preserve">As noted earlier, participants in </w:t>
      </w:r>
      <w:r w:rsidRPr="00CC2902">
        <w:rPr>
          <w:i/>
          <w:szCs w:val="22"/>
        </w:rPr>
        <w:t xml:space="preserve">My Life My Lead </w:t>
      </w:r>
      <w:r w:rsidRPr="00CC2902">
        <w:rPr>
          <w:szCs w:val="22"/>
        </w:rPr>
        <w:t xml:space="preserve">raised the need to address the impacts of trauma. </w:t>
      </w:r>
      <w:r w:rsidR="00C36560" w:rsidRPr="00CC2902">
        <w:rPr>
          <w:szCs w:val="22"/>
        </w:rPr>
        <w:t xml:space="preserve">There is strong evidence that unresolved intergenerational </w:t>
      </w:r>
      <w:r w:rsidR="002A7E43" w:rsidRPr="00CC2902">
        <w:rPr>
          <w:szCs w:val="22"/>
        </w:rPr>
        <w:t xml:space="preserve">trauma </w:t>
      </w:r>
      <w:r w:rsidR="00C36560" w:rsidRPr="00CC2902">
        <w:rPr>
          <w:szCs w:val="22"/>
        </w:rPr>
        <w:t xml:space="preserve">is linked to a number of key </w:t>
      </w:r>
      <w:r w:rsidR="008F608F" w:rsidRPr="00CC2902">
        <w:rPr>
          <w:szCs w:val="22"/>
        </w:rPr>
        <w:t xml:space="preserve">health and wellbeing </w:t>
      </w:r>
      <w:r w:rsidR="00C36560" w:rsidRPr="00CC2902">
        <w:rPr>
          <w:szCs w:val="22"/>
        </w:rPr>
        <w:t>outcomes for Aboriginal and Torres Strait Islander people</w:t>
      </w:r>
      <w:r w:rsidR="007844E0" w:rsidRPr="00CC2902">
        <w:rPr>
          <w:szCs w:val="22"/>
        </w:rPr>
        <w:t>—including</w:t>
      </w:r>
      <w:r w:rsidR="00C36560" w:rsidRPr="00CC2902">
        <w:rPr>
          <w:szCs w:val="22"/>
        </w:rPr>
        <w:t xml:space="preserve"> interaction with the child </w:t>
      </w:r>
      <w:r w:rsidR="007844E0" w:rsidRPr="00CC2902">
        <w:rPr>
          <w:szCs w:val="22"/>
        </w:rPr>
        <w:t xml:space="preserve">protection system, </w:t>
      </w:r>
      <w:r w:rsidR="00C36560" w:rsidRPr="00CC2902">
        <w:rPr>
          <w:szCs w:val="22"/>
        </w:rPr>
        <w:t>family violence and the incarceration of young people.</w:t>
      </w:r>
      <w:r w:rsidR="00C36560" w:rsidRPr="00CC2902">
        <w:rPr>
          <w:rStyle w:val="EndnoteReference"/>
          <w:szCs w:val="22"/>
        </w:rPr>
        <w:endnoteReference w:id="23"/>
      </w:r>
      <w:r w:rsidR="00C36560" w:rsidRPr="00CC2902">
        <w:rPr>
          <w:szCs w:val="22"/>
        </w:rPr>
        <w:t xml:space="preserve"> </w:t>
      </w:r>
    </w:p>
    <w:p w:rsidR="00197E0C" w:rsidRPr="00CC2902" w:rsidRDefault="00197E0C" w:rsidP="00674053">
      <w:pPr>
        <w:pStyle w:val="xBodytext1"/>
        <w:jc w:val="both"/>
        <w:rPr>
          <w:szCs w:val="22"/>
        </w:rPr>
      </w:pPr>
      <w:r w:rsidRPr="00CC2902">
        <w:rPr>
          <w:i/>
          <w:szCs w:val="22"/>
        </w:rPr>
        <w:t>The Global Access Partners Taskforce Report</w:t>
      </w:r>
      <w:r w:rsidRPr="00CC2902">
        <w:rPr>
          <w:szCs w:val="22"/>
        </w:rPr>
        <w:t xml:space="preserve"> </w:t>
      </w:r>
      <w:r w:rsidRPr="00CC2902">
        <w:rPr>
          <w:i/>
          <w:szCs w:val="22"/>
        </w:rPr>
        <w:t>on Early Childhood Education</w:t>
      </w:r>
      <w:r w:rsidRPr="00CC2902">
        <w:rPr>
          <w:szCs w:val="22"/>
        </w:rPr>
        <w:t xml:space="preserve"> identified that an integrated approach to </w:t>
      </w:r>
      <w:r w:rsidRPr="00CC2902">
        <w:rPr>
          <w:szCs w:val="22"/>
          <w:lang w:val="en"/>
        </w:rPr>
        <w:t>childhood services is more effective in supporting developmentally vulnerable children, maximising the opportunity for families to access the right services at the right time. This involves service collaboration at the local level to provide holistic, wrap around support to strengthen families.</w:t>
      </w:r>
      <w:r w:rsidRPr="00CC2902">
        <w:rPr>
          <w:rStyle w:val="EndnoteReference"/>
          <w:rFonts w:cs="Arial"/>
          <w:color w:val="auto"/>
          <w:szCs w:val="22"/>
          <w:lang w:val="en"/>
        </w:rPr>
        <w:endnoteReference w:id="24"/>
      </w:r>
      <w:r w:rsidR="00C94AFC" w:rsidRPr="00CC2902">
        <w:rPr>
          <w:szCs w:val="22"/>
          <w:lang w:val="en"/>
        </w:rPr>
        <w:t xml:space="preserve"> In this area, </w:t>
      </w:r>
      <w:r w:rsidR="00A723FA" w:rsidRPr="00CC2902">
        <w:rPr>
          <w:szCs w:val="22"/>
          <w:lang w:val="en"/>
        </w:rPr>
        <w:t>c</w:t>
      </w:r>
      <w:r w:rsidR="00C94AFC" w:rsidRPr="00CC2902">
        <w:rPr>
          <w:szCs w:val="22"/>
          <w:lang w:val="en"/>
        </w:rPr>
        <w:t xml:space="preserve">onsultation participants strongly advocated for key engagement with Indigenous communities and service providers in the </w:t>
      </w:r>
      <w:r w:rsidR="00801A95" w:rsidRPr="00CC2902">
        <w:rPr>
          <w:szCs w:val="22"/>
          <w:lang w:val="en"/>
        </w:rPr>
        <w:t xml:space="preserve">NDIS </w:t>
      </w:r>
      <w:r w:rsidR="00C94AFC" w:rsidRPr="00CC2902">
        <w:rPr>
          <w:szCs w:val="22"/>
          <w:lang w:val="en"/>
        </w:rPr>
        <w:t xml:space="preserve">roll-out. </w:t>
      </w:r>
    </w:p>
    <w:p w:rsidR="00F20391" w:rsidRPr="00CC2902" w:rsidRDefault="00EC535E" w:rsidP="00674053">
      <w:pPr>
        <w:pStyle w:val="xBodytext1"/>
        <w:jc w:val="both"/>
        <w:rPr>
          <w:szCs w:val="22"/>
        </w:rPr>
      </w:pPr>
      <w:r w:rsidRPr="00CC2902">
        <w:rPr>
          <w:szCs w:val="22"/>
        </w:rPr>
        <w:t xml:space="preserve">In 2014, the </w:t>
      </w:r>
      <w:r w:rsidRPr="00CC2902">
        <w:rPr>
          <w:i/>
          <w:szCs w:val="22"/>
        </w:rPr>
        <w:t>Forrest Review – Creating Parity</w:t>
      </w:r>
      <w:r w:rsidRPr="00CC2902">
        <w:rPr>
          <w:szCs w:val="22"/>
        </w:rPr>
        <w:t xml:space="preserve"> recommended that all governments prioritise progressive investment to implement the integration of early childhood services and to dramatically improve school attendance.</w:t>
      </w:r>
      <w:r w:rsidR="000D2ADA" w:rsidRPr="00CC2902">
        <w:rPr>
          <w:szCs w:val="22"/>
        </w:rPr>
        <w:t xml:space="preserve"> </w:t>
      </w:r>
      <w:r w:rsidR="00F20391" w:rsidRPr="00AA733D">
        <w:rPr>
          <w:szCs w:val="22"/>
        </w:rPr>
        <w:t xml:space="preserve">This approach has already been adopted by governments to better target investment in improving early childhood health. </w:t>
      </w:r>
      <w:r w:rsidR="00F20391" w:rsidRPr="00CC2902">
        <w:rPr>
          <w:szCs w:val="22"/>
        </w:rPr>
        <w:t>For example, t</w:t>
      </w:r>
      <w:r w:rsidR="00B63923" w:rsidRPr="00CC2902">
        <w:rPr>
          <w:szCs w:val="22"/>
        </w:rPr>
        <w:t>he Connected Beginnings program is being piloted to support more effective, joined up services on the ground, and support children to be happy, healthy and ready for school.</w:t>
      </w:r>
    </w:p>
    <w:p w:rsidR="00EC535E" w:rsidRPr="00AA733D" w:rsidRDefault="00F20391" w:rsidP="00674053">
      <w:pPr>
        <w:pStyle w:val="xBodytext1"/>
        <w:jc w:val="both"/>
        <w:rPr>
          <w:szCs w:val="22"/>
        </w:rPr>
      </w:pPr>
      <w:r w:rsidRPr="00AA733D">
        <w:rPr>
          <w:szCs w:val="22"/>
        </w:rPr>
        <w:t xml:space="preserve">The </w:t>
      </w:r>
      <w:r w:rsidRPr="00AA733D">
        <w:rPr>
          <w:i/>
          <w:iCs/>
          <w:szCs w:val="22"/>
        </w:rPr>
        <w:t xml:space="preserve">Third Action Plan 2015-2018 </w:t>
      </w:r>
      <w:r w:rsidRPr="00AA733D">
        <w:rPr>
          <w:szCs w:val="22"/>
        </w:rPr>
        <w:t xml:space="preserve">of the </w:t>
      </w:r>
      <w:r w:rsidRPr="00AA733D">
        <w:rPr>
          <w:i/>
          <w:iCs/>
          <w:szCs w:val="22"/>
        </w:rPr>
        <w:t xml:space="preserve">National Framework for Protecting Australia’s Children 2009-2020 </w:t>
      </w:r>
      <w:r w:rsidRPr="00AA733D">
        <w:rPr>
          <w:szCs w:val="22"/>
        </w:rPr>
        <w:t>(</w:t>
      </w:r>
      <w:r w:rsidRPr="00AA733D">
        <w:rPr>
          <w:i/>
          <w:iCs/>
          <w:szCs w:val="22"/>
        </w:rPr>
        <w:t>Third Action Plan</w:t>
      </w:r>
      <w:r w:rsidRPr="00AA733D">
        <w:rPr>
          <w:szCs w:val="22"/>
        </w:rPr>
        <w:t xml:space="preserve">) presents </w:t>
      </w:r>
      <w:r w:rsidR="003360ED">
        <w:rPr>
          <w:szCs w:val="22"/>
        </w:rPr>
        <w:t>an</w:t>
      </w:r>
      <w:r w:rsidRPr="00AA733D">
        <w:rPr>
          <w:szCs w:val="22"/>
        </w:rPr>
        <w:t xml:space="preserve"> opportunity for </w:t>
      </w:r>
      <w:r w:rsidR="000F0697" w:rsidRPr="00AA733D">
        <w:rPr>
          <w:szCs w:val="22"/>
        </w:rPr>
        <w:t>g</w:t>
      </w:r>
      <w:r w:rsidRPr="00AA733D">
        <w:rPr>
          <w:szCs w:val="22"/>
        </w:rPr>
        <w:t>overnments to work together to address the over-representation of Aboriginal and Torres Strait Islander children in the child protection system</w:t>
      </w:r>
      <w:r w:rsidR="003360ED">
        <w:rPr>
          <w:szCs w:val="22"/>
        </w:rPr>
        <w:t xml:space="preserve">. Opportunities include a greater focus on </w:t>
      </w:r>
      <w:r w:rsidRPr="00AA733D">
        <w:rPr>
          <w:szCs w:val="22"/>
        </w:rPr>
        <w:t xml:space="preserve">prevention and early intervention programs and policy reform to reunification and permanency. The </w:t>
      </w:r>
      <w:r w:rsidRPr="00AA733D">
        <w:rPr>
          <w:i/>
          <w:iCs/>
          <w:szCs w:val="22"/>
        </w:rPr>
        <w:t>Third Action Plan</w:t>
      </w:r>
      <w:r w:rsidRPr="00AA733D">
        <w:rPr>
          <w:szCs w:val="22"/>
        </w:rPr>
        <w:t xml:space="preserve"> makes a strong commitment to improving outcomes for Aboriginal and Torres Strait Islander children and families.</w:t>
      </w:r>
    </w:p>
    <w:p w:rsidR="00B0111E" w:rsidRPr="00AA733D" w:rsidRDefault="00F20391" w:rsidP="00674053">
      <w:pPr>
        <w:pStyle w:val="xBodytext1"/>
        <w:jc w:val="both"/>
        <w:rPr>
          <w:i/>
          <w:iCs/>
          <w:szCs w:val="22"/>
        </w:rPr>
      </w:pPr>
      <w:r w:rsidRPr="00AA733D">
        <w:rPr>
          <w:szCs w:val="22"/>
        </w:rPr>
        <w:t xml:space="preserve">In acknowledging that participation in early childhood education is linked to academic success, all levels of government are investing in early childhood programs that recognise Aboriginal and Torres Strait Islander people as a priority group. A particularly </w:t>
      </w:r>
      <w:r w:rsidRPr="00AA733D">
        <w:rPr>
          <w:szCs w:val="22"/>
        </w:rPr>
        <w:lastRenderedPageBreak/>
        <w:t xml:space="preserve">important plank is the 2018 extension to the </w:t>
      </w:r>
      <w:r w:rsidRPr="00AA733D">
        <w:rPr>
          <w:i/>
          <w:iCs/>
          <w:szCs w:val="22"/>
        </w:rPr>
        <w:t>National Partnership Agreement on Universal Access to Early Childhood Education</w:t>
      </w:r>
      <w:r w:rsidRPr="00AA733D">
        <w:rPr>
          <w:iCs/>
          <w:szCs w:val="22"/>
        </w:rPr>
        <w:t>.</w:t>
      </w:r>
      <w:r w:rsidR="000F0697" w:rsidRPr="00AA733D">
        <w:rPr>
          <w:rStyle w:val="FootnoteReference"/>
          <w:iCs/>
          <w:szCs w:val="22"/>
        </w:rPr>
        <w:footnoteReference w:id="2"/>
      </w:r>
    </w:p>
    <w:p w:rsidR="00F20391" w:rsidRPr="00CC2902" w:rsidRDefault="00F20391" w:rsidP="00674053">
      <w:pPr>
        <w:pStyle w:val="xBodytext1"/>
        <w:jc w:val="both"/>
        <w:rPr>
          <w:szCs w:val="22"/>
        </w:rPr>
      </w:pPr>
      <w:r w:rsidRPr="00AA733D">
        <w:rPr>
          <w:szCs w:val="22"/>
        </w:rPr>
        <w:t xml:space="preserve">Under the partnership, all Aboriginal and Torres Strait Islander children will have access to an affordable quality preschool education. The 2018 agreement will bring the total level of Australian Government investment in preschool to $3.2 billion since 2008. The </w:t>
      </w:r>
      <w:r w:rsidRPr="00AA733D">
        <w:rPr>
          <w:i/>
          <w:iCs/>
          <w:szCs w:val="22"/>
        </w:rPr>
        <w:t xml:space="preserve">National Partnership Agreement </w:t>
      </w:r>
      <w:r w:rsidRPr="00AA733D">
        <w:rPr>
          <w:szCs w:val="22"/>
        </w:rPr>
        <w:t xml:space="preserve">includes a focus on increasing the participation </w:t>
      </w:r>
      <w:r w:rsidR="00EF1078">
        <w:rPr>
          <w:szCs w:val="22"/>
        </w:rPr>
        <w:t>of</w:t>
      </w:r>
      <w:r w:rsidRPr="00AA733D">
        <w:rPr>
          <w:szCs w:val="22"/>
        </w:rPr>
        <w:t xml:space="preserve"> Aboriginal and Torres Strait Islander children, with a target of 95 per cent of children enrolled in the year before full-time school.</w:t>
      </w:r>
    </w:p>
    <w:p w:rsidR="00707341" w:rsidRPr="00CC2902" w:rsidRDefault="00707341" w:rsidP="00674053">
      <w:pPr>
        <w:pStyle w:val="xBodytext1"/>
        <w:jc w:val="both"/>
        <w:rPr>
          <w:szCs w:val="22"/>
        </w:rPr>
      </w:pPr>
      <w:r w:rsidRPr="00CC2902">
        <w:rPr>
          <w:szCs w:val="22"/>
        </w:rPr>
        <w:t>The need to include Aboriginal and Torres Strait Islander languages, history and culture</w:t>
      </w:r>
      <w:r w:rsidR="0004203D" w:rsidRPr="00CC2902">
        <w:rPr>
          <w:szCs w:val="22"/>
        </w:rPr>
        <w:t>s</w:t>
      </w:r>
      <w:r w:rsidRPr="00CC2902">
        <w:rPr>
          <w:szCs w:val="22"/>
        </w:rPr>
        <w:t xml:space="preserve"> in early childhood education programs was a dominant theme of the</w:t>
      </w:r>
      <w:r w:rsidR="00197E0C" w:rsidRPr="00CC2902">
        <w:rPr>
          <w:szCs w:val="22"/>
        </w:rPr>
        <w:t xml:space="preserve"> </w:t>
      </w:r>
      <w:r w:rsidR="00197E0C" w:rsidRPr="00CC2902">
        <w:rPr>
          <w:i/>
          <w:szCs w:val="22"/>
        </w:rPr>
        <w:t>My Life My Lead</w:t>
      </w:r>
      <w:r w:rsidRPr="00CC2902">
        <w:rPr>
          <w:szCs w:val="22"/>
        </w:rPr>
        <w:t xml:space="preserve"> consultation process. Language immersion from a young age plays a strong role in this cultural context, as does bi-lingual education and participation in cultural arts activities. Children for whom English is not their first language benefit from a foundation in their first language to prepare them for the acquisition of English as a Second Language.</w:t>
      </w:r>
      <w:r w:rsidRPr="00CC2902">
        <w:rPr>
          <w:szCs w:val="22"/>
          <w:vertAlign w:val="superscript"/>
        </w:rPr>
        <w:endnoteReference w:id="25"/>
      </w:r>
    </w:p>
    <w:p w:rsidR="00CE393B" w:rsidRPr="00CC2902" w:rsidRDefault="00766647" w:rsidP="001613E4">
      <w:pPr>
        <w:pStyle w:val="xBodytext1"/>
        <w:jc w:val="both"/>
        <w:rPr>
          <w:szCs w:val="22"/>
          <w:highlight w:val="white"/>
        </w:rPr>
      </w:pPr>
      <w:r w:rsidRPr="00CC2902">
        <w:rPr>
          <w:szCs w:val="22"/>
          <w:highlight w:val="white"/>
        </w:rPr>
        <w:t xml:space="preserve">Continuing efforts to support perinatal and early childhood health is fundamental to </w:t>
      </w:r>
      <w:r w:rsidR="00EE4310" w:rsidRPr="00CC2902">
        <w:rPr>
          <w:szCs w:val="22"/>
          <w:highlight w:val="white"/>
        </w:rPr>
        <w:t xml:space="preserve">bringing about the sustained improvements </w:t>
      </w:r>
      <w:r w:rsidR="0047281D" w:rsidRPr="00CC2902">
        <w:rPr>
          <w:szCs w:val="22"/>
          <w:highlight w:val="white"/>
        </w:rPr>
        <w:t xml:space="preserve">needed </w:t>
      </w:r>
      <w:r w:rsidR="00F35B80" w:rsidRPr="00CC2902">
        <w:rPr>
          <w:szCs w:val="22"/>
          <w:highlight w:val="white"/>
        </w:rPr>
        <w:t>to meet the</w:t>
      </w:r>
      <w:r w:rsidR="0047281D" w:rsidRPr="00CC2902">
        <w:rPr>
          <w:szCs w:val="22"/>
          <w:highlight w:val="white"/>
        </w:rPr>
        <w:t xml:space="preserve"> Closing the Gap</w:t>
      </w:r>
      <w:r w:rsidR="00F35B80" w:rsidRPr="00CC2902">
        <w:rPr>
          <w:szCs w:val="22"/>
          <w:highlight w:val="white"/>
        </w:rPr>
        <w:t xml:space="preserve"> targets.</w:t>
      </w:r>
      <w:r w:rsidR="0047281D" w:rsidRPr="00CC2902">
        <w:rPr>
          <w:szCs w:val="22"/>
          <w:highlight w:val="white"/>
        </w:rPr>
        <w:t xml:space="preserve"> Building on these efforts, future investment must consider opportunities </w:t>
      </w:r>
      <w:r w:rsidR="00C17AC7" w:rsidRPr="00CC2902">
        <w:rPr>
          <w:szCs w:val="22"/>
          <w:highlight w:val="white"/>
        </w:rPr>
        <w:t xml:space="preserve">to </w:t>
      </w:r>
      <w:r w:rsidR="0047281D" w:rsidRPr="00CC2902">
        <w:rPr>
          <w:szCs w:val="22"/>
          <w:highlight w:val="white"/>
        </w:rPr>
        <w:t xml:space="preserve">embed an integrated service framework, </w:t>
      </w:r>
      <w:r w:rsidR="007010CE" w:rsidRPr="00CC2902">
        <w:rPr>
          <w:szCs w:val="22"/>
          <w:highlight w:val="white"/>
        </w:rPr>
        <w:t xml:space="preserve">ensuring a holistic approach to </w:t>
      </w:r>
      <w:r w:rsidR="002D426B" w:rsidRPr="00CC2902">
        <w:rPr>
          <w:szCs w:val="22"/>
          <w:highlight w:val="white"/>
        </w:rPr>
        <w:t>supporting and strengthening families, with a focus on supporting children to develop the foundations for a happy, healthy life.</w:t>
      </w:r>
      <w:bookmarkStart w:id="73" w:name="_Toc488767122"/>
      <w:bookmarkStart w:id="74" w:name="_Toc488769089"/>
      <w:bookmarkStart w:id="75" w:name="_Toc488832713"/>
      <w:bookmarkStart w:id="76" w:name="_Toc490742929"/>
      <w:bookmarkStart w:id="77" w:name="_Toc490743168"/>
      <w:bookmarkStart w:id="78" w:name="_Toc490743365"/>
      <w:bookmarkStart w:id="79" w:name="_Toc490743618"/>
      <w:bookmarkStart w:id="80" w:name="_Toc490743697"/>
      <w:bookmarkStart w:id="81" w:name="_Toc490818575"/>
      <w:bookmarkStart w:id="82" w:name="_Toc488419176"/>
      <w:bookmarkStart w:id="83" w:name="_Toc488150060"/>
    </w:p>
    <w:p w:rsidR="00C629ED" w:rsidRDefault="00CE393B" w:rsidP="00C629ED">
      <w:pPr>
        <w:jc w:val="center"/>
        <w:rPr>
          <w:sz w:val="28"/>
          <w:szCs w:val="28"/>
        </w:rPr>
      </w:pPr>
      <w:r>
        <w:rPr>
          <w:caps/>
          <w:noProof/>
          <w:color w:val="0070C0"/>
          <w:sz w:val="32"/>
          <w:szCs w:val="36"/>
          <w:lang w:eastAsia="en-AU"/>
        </w:rPr>
        <w:lastRenderedPageBreak/>
        <w:drawing>
          <wp:inline distT="0" distB="0" distL="0" distR="0" wp14:anchorId="0D604372" wp14:editId="410811BB">
            <wp:extent cx="6222748" cy="8729933"/>
            <wp:effectExtent l="0" t="0" r="6985" b="0"/>
            <wp:docPr id="5" name="Picture 5" descr="Infographic on foundations for a healthy life" title="Priority are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36 Priority Areas_V14_NO PHOTOCREDIT KB_Page_3.jpg"/>
                    <pic:cNvPicPr/>
                  </pic:nvPicPr>
                  <pic:blipFill>
                    <a:blip r:embed="rId20">
                      <a:extLst>
                        <a:ext uri="{28A0092B-C50C-407E-A947-70E740481C1C}">
                          <a14:useLocalDpi xmlns:a14="http://schemas.microsoft.com/office/drawing/2010/main" val="0"/>
                        </a:ext>
                      </a:extLst>
                    </a:blip>
                    <a:stretch>
                      <a:fillRect/>
                    </a:stretch>
                  </pic:blipFill>
                  <pic:spPr>
                    <a:xfrm>
                      <a:off x="0" y="0"/>
                      <a:ext cx="6227069" cy="8735995"/>
                    </a:xfrm>
                    <a:prstGeom prst="rect">
                      <a:avLst/>
                    </a:prstGeom>
                  </pic:spPr>
                </pic:pic>
              </a:graphicData>
            </a:graphic>
          </wp:inline>
        </w:drawing>
      </w:r>
    </w:p>
    <w:p w:rsidR="00CE393B" w:rsidRDefault="00CE393B" w:rsidP="00C629ED">
      <w:pPr>
        <w:jc w:val="center"/>
        <w:rPr>
          <w:rFonts w:eastAsia="Times New Roman" w:cs="Arial"/>
          <w:caps/>
          <w:color w:val="0070C0"/>
          <w:kern w:val="28"/>
          <w:sz w:val="28"/>
          <w:szCs w:val="28"/>
        </w:rPr>
      </w:pPr>
      <w:r>
        <w:rPr>
          <w:sz w:val="28"/>
          <w:szCs w:val="28"/>
        </w:rPr>
        <w:br w:type="page"/>
      </w:r>
    </w:p>
    <w:p w:rsidR="0011342F" w:rsidRPr="005D1E20" w:rsidRDefault="00375CD7" w:rsidP="0016555F">
      <w:pPr>
        <w:pStyle w:val="Heading1BlueAllCaps"/>
      </w:pPr>
      <w:bookmarkStart w:id="84" w:name="_Toc500401393"/>
      <w:r>
        <w:lastRenderedPageBreak/>
        <w:t>PRIORITY AREA 4</w:t>
      </w:r>
      <w:r w:rsidR="0011342F" w:rsidRPr="005D1E20">
        <w:t xml:space="preserve">: </w:t>
      </w:r>
      <w:bookmarkEnd w:id="73"/>
      <w:bookmarkEnd w:id="74"/>
      <w:bookmarkEnd w:id="75"/>
      <w:bookmarkEnd w:id="76"/>
      <w:bookmarkEnd w:id="77"/>
      <w:bookmarkEnd w:id="78"/>
      <w:bookmarkEnd w:id="79"/>
      <w:bookmarkEnd w:id="80"/>
      <w:bookmarkEnd w:id="81"/>
      <w:r>
        <w:t>ENVIRONMENTAL HEALTH</w:t>
      </w:r>
      <w:bookmarkEnd w:id="84"/>
      <w:r w:rsidR="0011342F" w:rsidRPr="005D1E20">
        <w:t xml:space="preserve"> </w:t>
      </w:r>
      <w:bookmarkEnd w:id="82"/>
    </w:p>
    <w:p w:rsidR="00B0111E" w:rsidRDefault="007B7EE6" w:rsidP="00674053">
      <w:pPr>
        <w:pStyle w:val="xBodytext1"/>
        <w:jc w:val="both"/>
      </w:pPr>
      <w:r>
        <w:t>Social determinants influence both the exposure to and impact of environmental risk</w:t>
      </w:r>
      <w:r w:rsidR="00593466">
        <w:t>s</w:t>
      </w:r>
      <w:r>
        <w:t xml:space="preserve"> that lead to infection, disease and poor health. </w:t>
      </w:r>
      <w:r w:rsidR="00D64D6F">
        <w:t xml:space="preserve">A myriad of diseases are </w:t>
      </w:r>
      <w:r w:rsidR="00D64D6F" w:rsidRPr="00D64D6F">
        <w:t xml:space="preserve">directly linked to </w:t>
      </w:r>
      <w:r w:rsidR="00D64D6F">
        <w:t xml:space="preserve">poor </w:t>
      </w:r>
      <w:r w:rsidR="00D64D6F" w:rsidRPr="00D64D6F">
        <w:t xml:space="preserve">environmental </w:t>
      </w:r>
      <w:r w:rsidR="00D64D6F">
        <w:t>health, including</w:t>
      </w:r>
      <w:r w:rsidR="00D64D6F" w:rsidRPr="00D64D6F">
        <w:t xml:space="preserve"> respiratory infections, gastroenteritis, trachoma, skin disease and middle ear infec</w:t>
      </w:r>
      <w:r w:rsidR="00AD5DCA">
        <w:t>tion</w:t>
      </w:r>
      <w:r w:rsidR="00D64D6F" w:rsidRPr="00D64D6F">
        <w:t xml:space="preserve">. </w:t>
      </w:r>
    </w:p>
    <w:p w:rsidR="004753EF" w:rsidRDefault="00B07BE4" w:rsidP="00674053">
      <w:pPr>
        <w:pStyle w:val="xBodytext1"/>
        <w:jc w:val="both"/>
      </w:pPr>
      <w:r>
        <w:t>These</w:t>
      </w:r>
      <w:r w:rsidR="00D64D6F" w:rsidRPr="00D64D6F">
        <w:t xml:space="preserve"> diseases have the potential to cause long-ter</w:t>
      </w:r>
      <w:r w:rsidR="00D64D6F">
        <w:t>m health problems and disabilities</w:t>
      </w:r>
      <w:r w:rsidR="00D64D6F" w:rsidRPr="00D64D6F">
        <w:t xml:space="preserve"> that adversely affect a person’s ability to learn and engage fully in education and employment. </w:t>
      </w:r>
      <w:r w:rsidR="00D64D6F">
        <w:t xml:space="preserve">The link between </w:t>
      </w:r>
      <w:r w:rsidR="00D64D6F" w:rsidRPr="00D64D6F">
        <w:t xml:space="preserve">the high burden of </w:t>
      </w:r>
      <w:r w:rsidR="00D64D6F">
        <w:t>infectious diseases in children</w:t>
      </w:r>
      <w:r w:rsidR="00D64D6F" w:rsidRPr="00D64D6F">
        <w:t xml:space="preserve"> and</w:t>
      </w:r>
      <w:r w:rsidR="00D64D6F">
        <w:t xml:space="preserve"> chronic disease in later life is </w:t>
      </w:r>
      <w:r w:rsidR="00593466">
        <w:t xml:space="preserve">also </w:t>
      </w:r>
      <w:r w:rsidR="00D64D6F">
        <w:t>well established.</w:t>
      </w:r>
      <w:r w:rsidR="00D64D6F">
        <w:rPr>
          <w:rStyle w:val="EndnoteReference"/>
        </w:rPr>
        <w:endnoteReference w:id="26"/>
      </w:r>
      <w:r w:rsidR="00D64D6F">
        <w:t xml:space="preserve"> </w:t>
      </w:r>
    </w:p>
    <w:p w:rsidR="00242C68" w:rsidRDefault="00F51298" w:rsidP="00674053">
      <w:pPr>
        <w:pStyle w:val="xBodytext1"/>
        <w:jc w:val="both"/>
      </w:pPr>
      <w:r w:rsidRPr="004753EF">
        <w:t xml:space="preserve">Aboriginal and Torres Strait Islander </w:t>
      </w:r>
      <w:r w:rsidR="008A257D">
        <w:t>people</w:t>
      </w:r>
      <w:r w:rsidRPr="004753EF">
        <w:t xml:space="preserve"> </w:t>
      </w:r>
      <w:r>
        <w:t xml:space="preserve">are more likely to </w:t>
      </w:r>
      <w:r w:rsidRPr="004753EF">
        <w:t xml:space="preserve">experience </w:t>
      </w:r>
      <w:r>
        <w:t xml:space="preserve">environmental </w:t>
      </w:r>
      <w:r w:rsidRPr="004753EF">
        <w:t>conditio</w:t>
      </w:r>
      <w:r w:rsidRPr="00D64D6F">
        <w:t xml:space="preserve">ns in their home and </w:t>
      </w:r>
      <w:r>
        <w:t xml:space="preserve">surroundings that directly contribute to poor health outcomes. </w:t>
      </w:r>
      <w:r w:rsidR="00B946E9">
        <w:t xml:space="preserve">The numbers for overall admissions to hospital for conditions attributable to poor environmental conditions increased between 2007 and 2014-15. </w:t>
      </w:r>
      <w:r w:rsidR="00AD5DCA">
        <w:t>In the same period</w:t>
      </w:r>
      <w:r w:rsidR="00052454">
        <w:t>, h</w:t>
      </w:r>
      <w:r w:rsidR="00AD5DCA">
        <w:t xml:space="preserve">ospitalisations </w:t>
      </w:r>
      <w:r w:rsidR="00B946E9">
        <w:t xml:space="preserve">for infectious diseases for </w:t>
      </w:r>
      <w:r w:rsidR="00052454">
        <w:t xml:space="preserve">Aboriginal and Torres Strait Islander </w:t>
      </w:r>
      <w:r w:rsidR="008A257D">
        <w:t>people</w:t>
      </w:r>
      <w:r w:rsidR="00B946E9">
        <w:t xml:space="preserve"> were at least 1.5 times the rate of hospitalisations for </w:t>
      </w:r>
      <w:r w:rsidR="00FF687B">
        <w:t>the</w:t>
      </w:r>
      <w:r w:rsidR="00B946E9">
        <w:t xml:space="preserve"> non-Indigenous </w:t>
      </w:r>
      <w:r w:rsidR="00FF687B">
        <w:t xml:space="preserve">population </w:t>
      </w:r>
      <w:r w:rsidR="00052454">
        <w:t>in all geographical categories</w:t>
      </w:r>
      <w:r w:rsidR="00B946E9">
        <w:t>, with hospitalisations in remote and very remote areas four times higher</w:t>
      </w:r>
      <w:r w:rsidR="00052454">
        <w:t>.</w:t>
      </w:r>
      <w:r w:rsidR="00052454">
        <w:rPr>
          <w:rStyle w:val="EndnoteReference"/>
        </w:rPr>
        <w:endnoteReference w:id="27"/>
      </w:r>
      <w:r w:rsidR="00052454">
        <w:t xml:space="preserve"> </w:t>
      </w:r>
    </w:p>
    <w:p w:rsidR="00B0111E" w:rsidRDefault="00242C68" w:rsidP="00674053">
      <w:pPr>
        <w:pStyle w:val="xBodytext1"/>
        <w:jc w:val="both"/>
      </w:pPr>
      <w:r w:rsidRPr="00242C68">
        <w:t xml:space="preserve">During the </w:t>
      </w:r>
      <w:r w:rsidR="00B07BE4">
        <w:rPr>
          <w:i/>
        </w:rPr>
        <w:t>My Life My Lead</w:t>
      </w:r>
      <w:r w:rsidR="006725AD">
        <w:rPr>
          <w:i/>
        </w:rPr>
        <w:t xml:space="preserve"> </w:t>
      </w:r>
      <w:r w:rsidRPr="00242C68">
        <w:t xml:space="preserve">consultation process, stakeholders raised concerns that inconsistent hygiene messaging is hampering prevention activities with regard to the spread of trachoma, otitis media, scabies and acute rheumatic fever. </w:t>
      </w:r>
    </w:p>
    <w:p w:rsidR="00B0111E" w:rsidRDefault="00242C68" w:rsidP="00674053">
      <w:pPr>
        <w:pStyle w:val="xBodytext1"/>
        <w:jc w:val="both"/>
      </w:pPr>
      <w:r w:rsidRPr="00242C68">
        <w:t xml:space="preserve">Stakeholders working on trachoma prevention have indicated that an approach that delivers a broad health hygiene message should deliver improvements and help reduce illnesses and infections across a range of health conditions such as trachoma, ear disease, respiratory infections, tooth and gum disease, gastric conditions, skin infections, rheumatic heart disease. </w:t>
      </w:r>
    </w:p>
    <w:p w:rsidR="00242C68" w:rsidRPr="00242C68" w:rsidRDefault="00E5273C" w:rsidP="00674053">
      <w:pPr>
        <w:pStyle w:val="xBodytext1"/>
        <w:jc w:val="both"/>
      </w:pPr>
      <w:r w:rsidRPr="00E5273C">
        <w:t>Australia is on track to eliminate trachoma as a public health problem by 2020. The prevalence of trachoma has decreased from 14</w:t>
      </w:r>
      <w:r>
        <w:t xml:space="preserve"> per cent</w:t>
      </w:r>
      <w:r w:rsidRPr="00E5273C">
        <w:t xml:space="preserve"> in 2009 to 4.6</w:t>
      </w:r>
      <w:r>
        <w:t xml:space="preserve"> per cent</w:t>
      </w:r>
      <w:r w:rsidRPr="00E5273C">
        <w:t xml:space="preserve"> in 2015. The 2016</w:t>
      </w:r>
      <w:r>
        <w:t xml:space="preserve"> trachoma</w:t>
      </w:r>
      <w:r w:rsidRPr="00E5273C">
        <w:t xml:space="preserve"> prevalence rate is expected to continue to be less than </w:t>
      </w:r>
      <w:r>
        <w:t>five per cent</w:t>
      </w:r>
      <w:r w:rsidRPr="00E5273C">
        <w:t>.</w:t>
      </w:r>
      <w:r>
        <w:t xml:space="preserve"> </w:t>
      </w:r>
      <w:r w:rsidR="00242C68" w:rsidRPr="00242C68">
        <w:t>The single hygiene message would be based on improving understanding of germ theory and its relation to infectious diseases.</w:t>
      </w:r>
    </w:p>
    <w:p w:rsidR="00B0111E" w:rsidRDefault="00052454" w:rsidP="00674053">
      <w:pPr>
        <w:pStyle w:val="xBodytext1"/>
        <w:jc w:val="both"/>
      </w:pPr>
      <w:r>
        <w:t xml:space="preserve">A </w:t>
      </w:r>
      <w:r w:rsidRPr="006D70A0">
        <w:t xml:space="preserve">lack of adequate and functional housing </w:t>
      </w:r>
      <w:r>
        <w:t xml:space="preserve">and overcrowding </w:t>
      </w:r>
      <w:r w:rsidR="008B2117">
        <w:t xml:space="preserve">also </w:t>
      </w:r>
      <w:r>
        <w:t xml:space="preserve">remains </w:t>
      </w:r>
      <w:r w:rsidRPr="006D70A0">
        <w:t xml:space="preserve">a significant impediment to improving all aspects of </w:t>
      </w:r>
      <w:r>
        <w:t>Aboriginal and Torres Strait Islander health.</w:t>
      </w:r>
      <w:r>
        <w:rPr>
          <w:rStyle w:val="EndnoteReference"/>
        </w:rPr>
        <w:endnoteReference w:id="28"/>
      </w:r>
      <w:r w:rsidR="008B2117">
        <w:t xml:space="preserve"> In 2014-15, a</w:t>
      </w:r>
      <w:r w:rsidR="008B2117" w:rsidRPr="008B2117">
        <w:t xml:space="preserve">round one quarter of dwellings </w:t>
      </w:r>
      <w:r w:rsidR="0009162A">
        <w:t>in which</w:t>
      </w:r>
      <w:r w:rsidR="004A4099">
        <w:t xml:space="preserve"> Aboriginal an</w:t>
      </w:r>
      <w:r w:rsidR="0009162A">
        <w:t>d Torres Strait Islander people</w:t>
      </w:r>
      <w:r w:rsidR="004A4099">
        <w:t xml:space="preserve"> resided </w:t>
      </w:r>
      <w:r w:rsidR="008B2117">
        <w:t>had major structural problems.</w:t>
      </w:r>
    </w:p>
    <w:p w:rsidR="00B0111E" w:rsidRDefault="008B2117" w:rsidP="00674053">
      <w:pPr>
        <w:pStyle w:val="xBodytext1"/>
        <w:jc w:val="both"/>
      </w:pPr>
      <w:r>
        <w:t>Furthermore, i</w:t>
      </w:r>
      <w:r w:rsidRPr="008B2117">
        <w:t>n remote areas</w:t>
      </w:r>
      <w:r>
        <w:t>,</w:t>
      </w:r>
      <w:r w:rsidRPr="008B2117">
        <w:t xml:space="preserve"> one in six </w:t>
      </w:r>
      <w:r>
        <w:t>households did</w:t>
      </w:r>
      <w:r w:rsidRPr="008B2117">
        <w:t xml:space="preserve"> not have working facilities for preparing food and 15 per cent did not have facilities fo</w:t>
      </w:r>
      <w:r>
        <w:t>r washing clothes and bedding—</w:t>
      </w:r>
      <w:r w:rsidRPr="008B2117">
        <w:t>double the rate o</w:t>
      </w:r>
      <w:r>
        <w:t>f non-remote areas.</w:t>
      </w:r>
    </w:p>
    <w:p w:rsidR="0011342F" w:rsidRDefault="008B2117" w:rsidP="00674053">
      <w:pPr>
        <w:pStyle w:val="xBodytext1"/>
        <w:jc w:val="both"/>
      </w:pPr>
      <w:r>
        <w:t>Despite only making up three per cent of the Australian population, o</w:t>
      </w:r>
      <w:r w:rsidRPr="008B2117">
        <w:t xml:space="preserve">ne in four clients of specialist homelessness services (24 per cent) </w:t>
      </w:r>
      <w:r>
        <w:t>in 2015-16 were Aboriginal or Torres Strait Islander.</w:t>
      </w:r>
      <w:r>
        <w:rPr>
          <w:rStyle w:val="EndnoteReference"/>
        </w:rPr>
        <w:endnoteReference w:id="29"/>
      </w:r>
      <w:r>
        <w:t xml:space="preserve"> </w:t>
      </w:r>
      <w:r w:rsidR="00473C4B">
        <w:t>In addition</w:t>
      </w:r>
      <w:r w:rsidR="00422002">
        <w:t xml:space="preserve">, </w:t>
      </w:r>
      <w:r w:rsidR="00473C4B">
        <w:t>homelessness, inadequate housing and overcrowd</w:t>
      </w:r>
      <w:r w:rsidR="00D75061">
        <w:t>ed</w:t>
      </w:r>
      <w:r w:rsidR="00EF1078">
        <w:t xml:space="preserve"> housing</w:t>
      </w:r>
      <w:r w:rsidR="00473C4B">
        <w:t xml:space="preserve"> </w:t>
      </w:r>
      <w:r w:rsidR="008910C3">
        <w:t xml:space="preserve">have </w:t>
      </w:r>
      <w:r w:rsidR="00473C4B">
        <w:t xml:space="preserve">the potential to contribute to higher rates of Aboriginal and Torres Strait Islander </w:t>
      </w:r>
      <w:r w:rsidR="008A257D">
        <w:t>people</w:t>
      </w:r>
      <w:r w:rsidR="00473C4B">
        <w:t xml:space="preserve"> in incarceration</w:t>
      </w:r>
      <w:r w:rsidR="004F63D3">
        <w:t>,</w:t>
      </w:r>
      <w:r w:rsidR="00473C4B">
        <w:rPr>
          <w:rStyle w:val="EndnoteReference"/>
        </w:rPr>
        <w:endnoteReference w:id="30"/>
      </w:r>
      <w:r w:rsidR="004F63D3">
        <w:t xml:space="preserve"> further </w:t>
      </w:r>
      <w:r w:rsidR="00593466">
        <w:t xml:space="preserve">exacerbating </w:t>
      </w:r>
      <w:r w:rsidR="004F63D3">
        <w:t xml:space="preserve">the cycle of disadvantage. </w:t>
      </w:r>
    </w:p>
    <w:p w:rsidR="0011342F" w:rsidRDefault="002A70D2" w:rsidP="00674053">
      <w:pPr>
        <w:pStyle w:val="xBodytext1"/>
        <w:jc w:val="both"/>
      </w:pPr>
      <w:r>
        <w:lastRenderedPageBreak/>
        <w:t xml:space="preserve">Both </w:t>
      </w:r>
      <w:r w:rsidR="006F6A19">
        <w:t xml:space="preserve">the </w:t>
      </w:r>
      <w:r>
        <w:rPr>
          <w:i/>
        </w:rPr>
        <w:t xml:space="preserve">My Life My Lead </w:t>
      </w:r>
      <w:r w:rsidR="00A723FA">
        <w:t>consultations</w:t>
      </w:r>
      <w:r>
        <w:t xml:space="preserve"> and current</w:t>
      </w:r>
      <w:r w:rsidR="007B7EE6">
        <w:t xml:space="preserve"> evidence strongly indicates that addressing environmental health, including housing, is fundamental to improving health outcomes for Aboriginal and Torres Strait Islander </w:t>
      </w:r>
      <w:r w:rsidR="008A257D">
        <w:t>people</w:t>
      </w:r>
      <w:r w:rsidR="007B7EE6">
        <w:t xml:space="preserve">. This is an area where all levels of government can enhance their collaborative efforts to effect sustained change, thereby accelerating broader improved health outcomes. </w:t>
      </w:r>
    </w:p>
    <w:p w:rsidR="00CE393B" w:rsidRDefault="00CE393B" w:rsidP="00674053">
      <w:pPr>
        <w:pStyle w:val="xBodytext1"/>
        <w:jc w:val="both"/>
      </w:pPr>
      <w:r>
        <w:rPr>
          <w:caps/>
          <w:noProof/>
          <w:color w:val="0070C0"/>
          <w:sz w:val="32"/>
          <w:szCs w:val="36"/>
        </w:rPr>
        <w:lastRenderedPageBreak/>
        <w:drawing>
          <wp:inline distT="0" distB="0" distL="0" distR="0" wp14:anchorId="6D9CF7F1" wp14:editId="39E0BD8E">
            <wp:extent cx="6202392" cy="8696797"/>
            <wp:effectExtent l="0" t="0" r="8255" b="0"/>
            <wp:docPr id="4" name="Picture 4" descr="Infographic on environmental health" title="Priority are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36 Priority Areas_V14_NO PHOTOCREDIT KB_Page_4.jpg"/>
                    <pic:cNvPicPr/>
                  </pic:nvPicPr>
                  <pic:blipFill>
                    <a:blip r:embed="rId21">
                      <a:extLst>
                        <a:ext uri="{28A0092B-C50C-407E-A947-70E740481C1C}">
                          <a14:useLocalDpi xmlns:a14="http://schemas.microsoft.com/office/drawing/2010/main" val="0"/>
                        </a:ext>
                      </a:extLst>
                    </a:blip>
                    <a:stretch>
                      <a:fillRect/>
                    </a:stretch>
                  </pic:blipFill>
                  <pic:spPr>
                    <a:xfrm>
                      <a:off x="0" y="0"/>
                      <a:ext cx="6206699" cy="8702836"/>
                    </a:xfrm>
                    <a:prstGeom prst="rect">
                      <a:avLst/>
                    </a:prstGeom>
                  </pic:spPr>
                </pic:pic>
              </a:graphicData>
            </a:graphic>
          </wp:inline>
        </w:drawing>
      </w:r>
    </w:p>
    <w:p w:rsidR="00F744AE" w:rsidRPr="005D1E20" w:rsidRDefault="00375CD7" w:rsidP="0016555F">
      <w:pPr>
        <w:pStyle w:val="Heading1BlueAllCaps"/>
      </w:pPr>
      <w:bookmarkStart w:id="85" w:name="_Toc488769091"/>
      <w:bookmarkStart w:id="86" w:name="_Toc488832714"/>
      <w:bookmarkStart w:id="87" w:name="_Toc490742930"/>
      <w:bookmarkStart w:id="88" w:name="_Toc490743169"/>
      <w:bookmarkStart w:id="89" w:name="_Toc490743366"/>
      <w:bookmarkStart w:id="90" w:name="_Toc490743619"/>
      <w:bookmarkStart w:id="91" w:name="_Toc490743698"/>
      <w:bookmarkStart w:id="92" w:name="_Toc490818576"/>
      <w:bookmarkStart w:id="93" w:name="_Toc488419177"/>
      <w:bookmarkStart w:id="94" w:name="_Toc500401394"/>
      <w:r>
        <w:lastRenderedPageBreak/>
        <w:t>PRIORITY AREA 5</w:t>
      </w:r>
      <w:r w:rsidR="00F744AE" w:rsidRPr="005D1E20">
        <w:t xml:space="preserve">: </w:t>
      </w:r>
      <w:bookmarkEnd w:id="83"/>
      <w:bookmarkEnd w:id="85"/>
      <w:bookmarkEnd w:id="86"/>
      <w:bookmarkEnd w:id="87"/>
      <w:bookmarkEnd w:id="88"/>
      <w:bookmarkEnd w:id="89"/>
      <w:bookmarkEnd w:id="90"/>
      <w:bookmarkEnd w:id="91"/>
      <w:bookmarkEnd w:id="92"/>
      <w:bookmarkEnd w:id="93"/>
      <w:r>
        <w:t>HEALTHY LIVING AND STRONG COMMUNITIES</w:t>
      </w:r>
      <w:bookmarkEnd w:id="94"/>
    </w:p>
    <w:p w:rsidR="00760BB7" w:rsidRDefault="00760BB7" w:rsidP="00A02A83">
      <w:pPr>
        <w:pStyle w:val="xBodytext1"/>
        <w:jc w:val="both"/>
        <w:rPr>
          <w:rFonts w:eastAsia="Arial" w:cs="Arial"/>
        </w:rPr>
      </w:pPr>
      <w:bookmarkStart w:id="95" w:name="_Toc488150061"/>
      <w:bookmarkStart w:id="96" w:name="_Toc488769092"/>
      <w:bookmarkStart w:id="97" w:name="_Toc488832715"/>
      <w:bookmarkStart w:id="98" w:name="_Toc490742931"/>
      <w:bookmarkStart w:id="99" w:name="_Toc490743170"/>
      <w:bookmarkStart w:id="100" w:name="_Toc490743367"/>
      <w:bookmarkStart w:id="101" w:name="_Toc490743620"/>
      <w:bookmarkStart w:id="102" w:name="_Toc490743699"/>
      <w:bookmarkStart w:id="103" w:name="_Toc490818577"/>
      <w:bookmarkStart w:id="104" w:name="_Toc488419178"/>
      <w:r>
        <w:t xml:space="preserve">The family, community and environment where a person lives </w:t>
      </w:r>
      <w:r w:rsidR="00F80756">
        <w:t>establish</w:t>
      </w:r>
      <w:r>
        <w:t xml:space="preserve"> </w:t>
      </w:r>
      <w:r w:rsidRPr="006D70A0">
        <w:t>the foundation</w:t>
      </w:r>
      <w:r w:rsidR="00EF1078">
        <w:t>s</w:t>
      </w:r>
      <w:r w:rsidRPr="006D70A0">
        <w:t xml:space="preserve"> for their physical, mental and emotional wellbeing</w:t>
      </w:r>
      <w:r>
        <w:t>. T</w:t>
      </w:r>
      <w:r w:rsidR="002A70D2">
        <w:t xml:space="preserve">he </w:t>
      </w:r>
      <w:r w:rsidR="002A70D2">
        <w:rPr>
          <w:i/>
        </w:rPr>
        <w:t xml:space="preserve">My Life My Lead </w:t>
      </w:r>
      <w:r w:rsidR="002A70D2">
        <w:t>consultations clearly out</w:t>
      </w:r>
      <w:r w:rsidR="00A723FA">
        <w:t>lined</w:t>
      </w:r>
      <w:r w:rsidR="002A70D2">
        <w:t xml:space="preserve"> </w:t>
      </w:r>
      <w:r w:rsidR="00A723FA">
        <w:t>that to</w:t>
      </w:r>
      <w:r>
        <w:t xml:space="preserve"> support healthy living, people must feel enabled and empowered to make choices that reinforce and maintain good health. </w:t>
      </w:r>
      <w:r>
        <w:rPr>
          <w:rFonts w:eastAsia="Arial" w:cs="Arial"/>
          <w:highlight w:val="white"/>
        </w:rPr>
        <w:t>Stressors, such as racism, trauma, low income, family violence, and poor housing disempower individuals and are major barriers to making healthy choices.</w:t>
      </w:r>
    </w:p>
    <w:p w:rsidR="00B47522" w:rsidRDefault="00037B05" w:rsidP="00A02A83">
      <w:pPr>
        <w:pStyle w:val="xBodytext1"/>
        <w:jc w:val="both"/>
      </w:pPr>
      <w:r>
        <w:rPr>
          <w:highlight w:val="white"/>
        </w:rPr>
        <w:t xml:space="preserve">Governments </w:t>
      </w:r>
      <w:r w:rsidR="006F6A19">
        <w:rPr>
          <w:highlight w:val="white"/>
        </w:rPr>
        <w:t xml:space="preserve">and the Primary Health Care sector </w:t>
      </w:r>
      <w:r>
        <w:rPr>
          <w:highlight w:val="white"/>
        </w:rPr>
        <w:t xml:space="preserve">are already working on multiple levels to reduce the burden of disease for Aboriginal and Torres Strait Islander </w:t>
      </w:r>
      <w:r w:rsidR="008A257D">
        <w:rPr>
          <w:highlight w:val="white"/>
        </w:rPr>
        <w:t>people</w:t>
      </w:r>
      <w:r>
        <w:rPr>
          <w:highlight w:val="white"/>
        </w:rPr>
        <w:t xml:space="preserve"> through </w:t>
      </w:r>
      <w:r w:rsidR="003345F0">
        <w:rPr>
          <w:highlight w:val="white"/>
        </w:rPr>
        <w:t xml:space="preserve">supporting the provision of targeted </w:t>
      </w:r>
      <w:r>
        <w:rPr>
          <w:highlight w:val="white"/>
        </w:rPr>
        <w:t>prevention, early intervention and support activities. Significant improvements have been achieved</w:t>
      </w:r>
      <w:r>
        <w:t>, with the mortality rate from chronic disease declining by 19 per cent</w:t>
      </w:r>
      <w:r w:rsidRPr="00BE21A5">
        <w:t xml:space="preserve"> </w:t>
      </w:r>
      <w:r>
        <w:t>between 1998 and 2015 (six per cent since 2006). Over the period from 1998 to 2015, there was a 43 per cent decline in the mortality rate from circulatory disease and a 24 per cent decline in the Indigenous mortality rate from respiratory disease. From 2006 to 2015, there has been a 47 per cent decline in the Indigenous kidney disease mortality rate—a substantial improvement over a relatively short period of time.</w:t>
      </w:r>
    </w:p>
    <w:p w:rsidR="00760BB7" w:rsidRDefault="00760BB7" w:rsidP="00B82503">
      <w:pPr>
        <w:pStyle w:val="xBodytext1"/>
        <w:jc w:val="both"/>
      </w:pPr>
      <w:r w:rsidRPr="00194005">
        <w:t xml:space="preserve">Aboriginal and Torres Strait Islander </w:t>
      </w:r>
      <w:r w:rsidR="008A257D">
        <w:t>people</w:t>
      </w:r>
      <w:r w:rsidRPr="00194005">
        <w:t xml:space="preserve"> experience more than twice the burden of disease and injury of non-Indigenous Australians, and this burden of disease is highest in the most socio-economically disadvantaged areas</w:t>
      </w:r>
      <w:r>
        <w:t>.</w:t>
      </w:r>
      <w:r w:rsidRPr="00194005">
        <w:t xml:space="preserve"> The four leading behavioural risk factors for the burden of disease are</w:t>
      </w:r>
      <w:r w:rsidR="00EF1078">
        <w:t>:</w:t>
      </w:r>
      <w:r w:rsidRPr="00194005">
        <w:t xml:space="preserve"> tobacco use (12 per cent of the total burden); alcohol use (</w:t>
      </w:r>
      <w:r>
        <w:t>eight</w:t>
      </w:r>
      <w:r w:rsidRPr="00194005">
        <w:t xml:space="preserve"> per cent); high body mass (</w:t>
      </w:r>
      <w:r>
        <w:t>eight</w:t>
      </w:r>
      <w:r w:rsidRPr="00194005">
        <w:t xml:space="preserve"> per cent); and physical inactivity (</w:t>
      </w:r>
      <w:r>
        <w:t>six</w:t>
      </w:r>
      <w:r w:rsidRPr="00194005">
        <w:t xml:space="preserve"> per cent). </w:t>
      </w:r>
      <w:r w:rsidR="00B47522">
        <w:rPr>
          <w:i/>
        </w:rPr>
        <w:t>My Life My Lead</w:t>
      </w:r>
      <w:r w:rsidR="00B47522">
        <w:t xml:space="preserve"> contributors</w:t>
      </w:r>
      <w:r w:rsidR="00037B05">
        <w:t xml:space="preserve"> noted that recent investment </w:t>
      </w:r>
      <w:r w:rsidR="00997F97">
        <w:t xml:space="preserve">in targeted Indigenous smoking programs is making a difference to community attitudes, particularly in young age groups where there are promising signs of </w:t>
      </w:r>
      <w:r w:rsidR="003345F0">
        <w:t>reduced</w:t>
      </w:r>
      <w:r w:rsidR="00997F97">
        <w:t xml:space="preserve"> take-up. These anecdotal reports are backed by evidence that there has been a</w:t>
      </w:r>
      <w:r w:rsidR="00997F97" w:rsidRPr="00997F97">
        <w:t xml:space="preserve"> nine </w:t>
      </w:r>
      <w:r w:rsidR="00997F97">
        <w:t xml:space="preserve">per cent </w:t>
      </w:r>
      <w:r w:rsidR="00037B05">
        <w:t xml:space="preserve">decline in smoking rates for Aboriginal and Torres Strait Islander </w:t>
      </w:r>
      <w:r w:rsidR="008A257D">
        <w:t>people</w:t>
      </w:r>
      <w:r w:rsidR="00037B05">
        <w:t xml:space="preserve"> between 2002 and 2014-15,</w:t>
      </w:r>
      <w:r w:rsidR="00997F97">
        <w:t xml:space="preserve"> although</w:t>
      </w:r>
      <w:r w:rsidR="00037B05">
        <w:t xml:space="preserve"> smoking rates remain 2.7 times the non-Indigenous rate.</w:t>
      </w:r>
      <w:r w:rsidR="00037B05">
        <w:rPr>
          <w:rStyle w:val="EndnoteReference"/>
        </w:rPr>
        <w:endnoteReference w:id="31"/>
      </w:r>
    </w:p>
    <w:p w:rsidR="00760BB7" w:rsidRDefault="00760BB7" w:rsidP="009E69AF">
      <w:pPr>
        <w:pStyle w:val="xBodytext1"/>
        <w:jc w:val="both"/>
      </w:pPr>
      <w:r w:rsidRPr="00194005">
        <w:t>Much of this burden of disease is preventable</w:t>
      </w:r>
      <w:r>
        <w:t>. Risk b</w:t>
      </w:r>
      <w:r w:rsidRPr="004B1E6E">
        <w:t>ehavi</w:t>
      </w:r>
      <w:r>
        <w:t>ours, such as</w:t>
      </w:r>
      <w:r w:rsidRPr="004B1E6E">
        <w:t xml:space="preserve"> tobacco smoking, </w:t>
      </w:r>
      <w:r>
        <w:t xml:space="preserve">poor </w:t>
      </w:r>
      <w:r w:rsidRPr="004B1E6E">
        <w:t xml:space="preserve">diet, </w:t>
      </w:r>
      <w:r>
        <w:t xml:space="preserve">unsafe sex, excessive </w:t>
      </w:r>
      <w:r w:rsidRPr="004B1E6E">
        <w:t xml:space="preserve">alcohol </w:t>
      </w:r>
      <w:r>
        <w:t>consumption, illicit drug use and physical inactivity affect</w:t>
      </w:r>
      <w:r w:rsidRPr="004B1E6E">
        <w:t xml:space="preserve"> not only the individual, but </w:t>
      </w:r>
      <w:r>
        <w:t>also unborn children</w:t>
      </w:r>
      <w:r w:rsidRPr="004B1E6E">
        <w:t>, household members and the wider community.</w:t>
      </w:r>
      <w:r>
        <w:t xml:space="preserve"> Access to the prerequisites that support healthy living and the reduction of chronic disease, such as nutritious food, safe sex products and a safe physical environment that supports physical activity, remain a challenge for many Aboriginal and Torres Strait Islander families and communities.  </w:t>
      </w:r>
    </w:p>
    <w:p w:rsidR="00760BB7" w:rsidRPr="00950910" w:rsidRDefault="002A70D2" w:rsidP="009E69AF">
      <w:pPr>
        <w:pStyle w:val="xBodytext1"/>
        <w:jc w:val="both"/>
        <w:rPr>
          <w:lang w:val="en"/>
        </w:rPr>
      </w:pPr>
      <w:r>
        <w:t xml:space="preserve">A message presented throughout the </w:t>
      </w:r>
      <w:r>
        <w:rPr>
          <w:i/>
        </w:rPr>
        <w:t xml:space="preserve">My Life My Lead </w:t>
      </w:r>
      <w:r w:rsidRPr="001568DD">
        <w:t>consultation</w:t>
      </w:r>
      <w:r w:rsidR="00A723FA">
        <w:t>s</w:t>
      </w:r>
      <w:r>
        <w:t xml:space="preserve"> was</w:t>
      </w:r>
      <w:r w:rsidR="00EF1078">
        <w:t xml:space="preserve"> that</w:t>
      </w:r>
      <w:r>
        <w:t xml:space="preserve"> in order to</w:t>
      </w:r>
      <w:r w:rsidR="00760BB7">
        <w:t xml:space="preserve"> chang</w:t>
      </w:r>
      <w:r>
        <w:t>e</w:t>
      </w:r>
      <w:r w:rsidR="00760BB7">
        <w:t xml:space="preserve"> how governments work with Aboriginal and Torres Strait Islander people and communities to support healthy living and strong communities, there needs to be an acknowledgement of the continued impact of trauma and genuine steps taken to address trauma as an underlying cause of poor health. </w:t>
      </w:r>
      <w:r w:rsidR="00760BB7" w:rsidRPr="00B824AD">
        <w:rPr>
          <w:lang w:val="en"/>
        </w:rPr>
        <w:t>While recognising there are many different types of trauma, and that the concepts are continuing to evolve,</w:t>
      </w:r>
      <w:r w:rsidR="00760BB7">
        <w:rPr>
          <w:lang w:val="en"/>
        </w:rPr>
        <w:t xml:space="preserve"> t</w:t>
      </w:r>
      <w:r w:rsidR="00760BB7" w:rsidRPr="00504B25">
        <w:rPr>
          <w:lang w:val="en"/>
        </w:rPr>
        <w:t xml:space="preserve">rauma and dysfunction have become so common in some </w:t>
      </w:r>
      <w:r w:rsidR="00760BB7">
        <w:rPr>
          <w:lang w:val="en"/>
        </w:rPr>
        <w:t>families and communities that it is now normalised.</w:t>
      </w:r>
      <w:r w:rsidR="00760BB7" w:rsidRPr="0092014D">
        <w:t xml:space="preserve"> </w:t>
      </w:r>
      <w:r w:rsidR="00760BB7" w:rsidRPr="00BE0B25">
        <w:t>Evidence about the biological impact of stress and trauma on physical health is growing</w:t>
      </w:r>
      <w:r w:rsidR="00170AF2">
        <w:rPr>
          <w:vertAlign w:val="superscript"/>
        </w:rPr>
        <w:t xml:space="preserve"> </w:t>
      </w:r>
      <w:r w:rsidR="00760BB7" w:rsidRPr="00BE0B25">
        <w:t xml:space="preserve">and work on trauma-informed service approaches </w:t>
      </w:r>
      <w:r w:rsidR="00760BB7">
        <w:t xml:space="preserve">is </w:t>
      </w:r>
      <w:r w:rsidR="00760BB7" w:rsidRPr="00BE0B25">
        <w:t>developing in some areas</w:t>
      </w:r>
      <w:r w:rsidR="00C07285" w:rsidRPr="00BE0B25">
        <w:t>.</w:t>
      </w:r>
      <w:r w:rsidR="00170AF2" w:rsidRPr="006B598B">
        <w:rPr>
          <w:vertAlign w:val="superscript"/>
        </w:rPr>
        <w:endnoteReference w:id="32"/>
      </w:r>
      <w:r w:rsidR="00170AF2" w:rsidRPr="00BE0B25">
        <w:t xml:space="preserve"> </w:t>
      </w:r>
      <w:r w:rsidR="00170AF2">
        <w:rPr>
          <w:rStyle w:val="EndnoteReference"/>
        </w:rPr>
        <w:endnoteReference w:id="33"/>
      </w:r>
      <w:r w:rsidR="00C07285">
        <w:t xml:space="preserve"> </w:t>
      </w:r>
      <w:r w:rsidR="00170AF2">
        <w:rPr>
          <w:rStyle w:val="EndnoteReference"/>
        </w:rPr>
        <w:endnoteReference w:id="34"/>
      </w:r>
      <w:r w:rsidR="00760BB7">
        <w:t xml:space="preserve"> It is vital that</w:t>
      </w:r>
      <w:r w:rsidR="00760BB7" w:rsidRPr="005D0583">
        <w:t xml:space="preserve"> the negative cycle of intergenerational and </w:t>
      </w:r>
      <w:r w:rsidR="00760BB7" w:rsidRPr="005D0583">
        <w:lastRenderedPageBreak/>
        <w:t xml:space="preserve">contemporary trauma </w:t>
      </w:r>
      <w:r w:rsidR="00760BB7">
        <w:t xml:space="preserve">is understood across service systems </w:t>
      </w:r>
      <w:r w:rsidR="00760BB7" w:rsidRPr="005D0583">
        <w:t>and step</w:t>
      </w:r>
      <w:r w:rsidR="00760BB7">
        <w:t>s taken</w:t>
      </w:r>
      <w:r w:rsidR="00760BB7" w:rsidRPr="005D0583">
        <w:t xml:space="preserve"> to address it through culturally</w:t>
      </w:r>
      <w:r w:rsidR="00760BB7">
        <w:t>-</w:t>
      </w:r>
      <w:r w:rsidR="00760BB7" w:rsidRPr="005D0583">
        <w:t>informed and strengths-based approaches.</w:t>
      </w:r>
      <w:r w:rsidR="00760BB7" w:rsidRPr="003B6DD5">
        <w:t xml:space="preserve"> </w:t>
      </w:r>
      <w:r w:rsidR="00760BB7">
        <w:t>Th</w:t>
      </w:r>
      <w:r>
        <w:t>ese</w:t>
      </w:r>
      <w:r w:rsidR="00760BB7">
        <w:t xml:space="preserve"> approach</w:t>
      </w:r>
      <w:r>
        <w:t>es</w:t>
      </w:r>
      <w:r w:rsidR="00760BB7">
        <w:t xml:space="preserve"> must recognise the unique history across communities and cultures, and that the </w:t>
      </w:r>
      <w:r w:rsidR="00760BB7" w:rsidRPr="003B6DD5">
        <w:t xml:space="preserve">impact </w:t>
      </w:r>
      <w:r w:rsidR="001D4F56">
        <w:t xml:space="preserve">of </w:t>
      </w:r>
      <w:r w:rsidR="00760BB7">
        <w:t>tr</w:t>
      </w:r>
      <w:r w:rsidR="00EF1078">
        <w:t>auma will be different depending</w:t>
      </w:r>
      <w:r w:rsidR="00760BB7">
        <w:t xml:space="preserve"> on this history. </w:t>
      </w:r>
    </w:p>
    <w:p w:rsidR="00760BB7" w:rsidRDefault="00760BB7" w:rsidP="009E69AF">
      <w:pPr>
        <w:jc w:val="both"/>
        <w:rPr>
          <w:rFonts w:eastAsia="Calibri"/>
          <w:color w:val="323E4F"/>
          <w:lang w:eastAsia="en-AU"/>
        </w:rPr>
      </w:pPr>
      <w:r>
        <w:rPr>
          <w:rFonts w:eastAsia="Calibri"/>
          <w:color w:val="323E4F"/>
          <w:lang w:eastAsia="en-AU"/>
        </w:rPr>
        <w:t>Adolescence is a time of change with Aboriginal and Torres Strait Islander youth experiencing particular challenges that impact their capacity to engage fully with education. High levels of psychological distress are apparent and in recent youth-focussed consultations, young people shared that b</w:t>
      </w:r>
      <w:r w:rsidRPr="004340B0">
        <w:rPr>
          <w:rFonts w:eastAsia="Calibri"/>
          <w:color w:val="323E4F"/>
          <w:lang w:eastAsia="en-AU"/>
        </w:rPr>
        <w:t>eing positive about their own personal health and that of friends and family is important to them</w:t>
      </w:r>
      <w:r>
        <w:rPr>
          <w:rFonts w:eastAsia="Calibri"/>
          <w:color w:val="323E4F"/>
          <w:lang w:eastAsia="en-AU"/>
        </w:rPr>
        <w:t xml:space="preserve"> whilst</w:t>
      </w:r>
      <w:r w:rsidRPr="004340B0">
        <w:rPr>
          <w:rFonts w:eastAsia="Calibri"/>
          <w:color w:val="323E4F"/>
          <w:lang w:eastAsia="en-AU"/>
        </w:rPr>
        <w:t xml:space="preserve"> they are also completely impacted by the levels of violence, illness, substance misuse, access to services and other community level concerns that surround them.</w:t>
      </w:r>
    </w:p>
    <w:p w:rsidR="00760BB7" w:rsidRPr="004340B0" w:rsidRDefault="00760BB7" w:rsidP="009E69AF">
      <w:pPr>
        <w:jc w:val="both"/>
        <w:rPr>
          <w:rFonts w:eastAsia="Calibri"/>
          <w:color w:val="323E4F"/>
          <w:lang w:eastAsia="en-AU"/>
        </w:rPr>
      </w:pPr>
      <w:r w:rsidRPr="006440B9">
        <w:rPr>
          <w:rStyle w:val="xBodytext1Char"/>
        </w:rPr>
        <w:t xml:space="preserve">Food security is a key issue influencing health outcomes for Aboriginal and Torres Strait Islander </w:t>
      </w:r>
      <w:r w:rsidR="008A257D">
        <w:rPr>
          <w:rStyle w:val="xBodytext1Char"/>
        </w:rPr>
        <w:t>people</w:t>
      </w:r>
      <w:r w:rsidR="002A70D2">
        <w:rPr>
          <w:rStyle w:val="xBodytext1Char"/>
        </w:rPr>
        <w:t>, and was discussed at both metropolitan and regional consultation forums</w:t>
      </w:r>
      <w:r w:rsidRPr="006440B9">
        <w:rPr>
          <w:rStyle w:val="xBodytext1Char"/>
        </w:rPr>
        <w:t>. Many of the princip</w:t>
      </w:r>
      <w:r w:rsidR="009C01EA">
        <w:rPr>
          <w:rStyle w:val="xBodytext1Char"/>
        </w:rPr>
        <w:t>al</w:t>
      </w:r>
      <w:r w:rsidRPr="006440B9">
        <w:rPr>
          <w:rStyle w:val="xBodytext1Char"/>
        </w:rPr>
        <w:t xml:space="preserve"> causes of poor health, such as heart disease, Type 2 diabetes and renal disease, are nutrition related.</w:t>
      </w:r>
      <w:r>
        <w:rPr>
          <w:rStyle w:val="EndnoteReference"/>
          <w:rFonts w:cs="Times New Roman"/>
          <w:color w:val="323E4F"/>
          <w:szCs w:val="20"/>
          <w:lang w:eastAsia="en-AU"/>
        </w:rPr>
        <w:endnoteReference w:id="35"/>
      </w:r>
      <w:r w:rsidRPr="006440B9">
        <w:rPr>
          <w:rStyle w:val="xBodytext1Char"/>
        </w:rPr>
        <w:t xml:space="preserve"> </w:t>
      </w:r>
      <w:r w:rsidR="00EF1078">
        <w:rPr>
          <w:rStyle w:val="xBodytext1Char"/>
        </w:rPr>
        <w:t>S</w:t>
      </w:r>
      <w:r w:rsidR="00EF1078" w:rsidRPr="006440B9">
        <w:rPr>
          <w:rStyle w:val="xBodytext1Char"/>
        </w:rPr>
        <w:t xml:space="preserve">ugar </w:t>
      </w:r>
      <w:r w:rsidRPr="006440B9">
        <w:rPr>
          <w:rStyle w:val="xBodytext1Char"/>
        </w:rPr>
        <w:t>consumption is also a key risk factor for dental care</w:t>
      </w:r>
      <w:r>
        <w:rPr>
          <w:rStyle w:val="xBodytext1Char"/>
        </w:rPr>
        <w:t>.</w:t>
      </w:r>
      <w:r>
        <w:rPr>
          <w:rStyle w:val="EndnoteReference"/>
          <w:rFonts w:cs="Times New Roman"/>
          <w:color w:val="323E4F"/>
          <w:szCs w:val="20"/>
          <w:lang w:eastAsia="en-AU"/>
        </w:rPr>
        <w:endnoteReference w:id="36"/>
      </w:r>
      <w:r w:rsidR="00EF1078">
        <w:rPr>
          <w:rStyle w:val="xBodytext1Char"/>
        </w:rPr>
        <w:t xml:space="preserve"> </w:t>
      </w:r>
      <w:r>
        <w:rPr>
          <w:rStyle w:val="EndnoteReference"/>
          <w:rFonts w:cs="Times New Roman"/>
          <w:color w:val="323E4F"/>
          <w:szCs w:val="20"/>
          <w:lang w:eastAsia="en-AU"/>
        </w:rPr>
        <w:endnoteReference w:id="37"/>
      </w:r>
      <w:r w:rsidRPr="006440B9">
        <w:rPr>
          <w:rStyle w:val="xBodytext1Char"/>
        </w:rPr>
        <w:t xml:space="preserve"> Barriers to food security in remote regions include weather, road cond</w:t>
      </w:r>
      <w:r w:rsidR="00EF1078">
        <w:rPr>
          <w:rStyle w:val="xBodytext1Char"/>
        </w:rPr>
        <w:t>itions, inadequate food storage/</w:t>
      </w:r>
      <w:r w:rsidRPr="006440B9">
        <w:rPr>
          <w:rStyle w:val="xBodytext1Char"/>
        </w:rPr>
        <w:t>preparation facilities and high costs associated with transport expenses. Food security is also an issue that affects Aboriginal and Torres</w:t>
      </w:r>
      <w:r>
        <w:rPr>
          <w:rFonts w:eastAsia="Calibri"/>
          <w:color w:val="323E4F"/>
          <w:lang w:eastAsia="en-AU"/>
        </w:rPr>
        <w:t xml:space="preserve"> Strait Islander </w:t>
      </w:r>
      <w:r w:rsidR="008A257D">
        <w:rPr>
          <w:rFonts w:eastAsia="Calibri"/>
          <w:color w:val="323E4F"/>
          <w:lang w:eastAsia="en-AU"/>
        </w:rPr>
        <w:t>people</w:t>
      </w:r>
      <w:r>
        <w:rPr>
          <w:rFonts w:eastAsia="Calibri"/>
          <w:color w:val="323E4F"/>
          <w:lang w:eastAsia="en-AU"/>
        </w:rPr>
        <w:t xml:space="preserve"> living in regional and metropolitan areas </w:t>
      </w:r>
      <w:r w:rsidRPr="00552F95">
        <w:rPr>
          <w:rFonts w:eastAsia="Calibri"/>
          <w:color w:val="323E4F"/>
          <w:lang w:eastAsia="en-AU"/>
        </w:rPr>
        <w:t>due to low incomes, household infrastructure and overcrowdi</w:t>
      </w:r>
      <w:r>
        <w:rPr>
          <w:rFonts w:eastAsia="Calibri"/>
          <w:color w:val="323E4F"/>
          <w:lang w:eastAsia="en-AU"/>
        </w:rPr>
        <w:t>ng, limited access to transport</w:t>
      </w:r>
      <w:r w:rsidRPr="00552F95">
        <w:rPr>
          <w:rFonts w:eastAsia="Calibri"/>
          <w:color w:val="323E4F"/>
          <w:lang w:eastAsia="en-AU"/>
        </w:rPr>
        <w:t xml:space="preserve"> and limited</w:t>
      </w:r>
      <w:r>
        <w:rPr>
          <w:rFonts w:eastAsia="Calibri"/>
          <w:color w:val="323E4F"/>
          <w:lang w:eastAsia="en-AU"/>
        </w:rPr>
        <w:t xml:space="preserve"> storage and cooking facilities.</w:t>
      </w:r>
      <w:r>
        <w:rPr>
          <w:rStyle w:val="EndnoteReference"/>
          <w:rFonts w:eastAsia="Calibri"/>
          <w:color w:val="323E4F"/>
          <w:lang w:eastAsia="en-AU"/>
        </w:rPr>
        <w:endnoteReference w:id="38"/>
      </w:r>
      <w:r w:rsidRPr="00552F95">
        <w:rPr>
          <w:rFonts w:eastAsia="Calibri"/>
          <w:color w:val="323E4F"/>
          <w:lang w:eastAsia="en-AU"/>
        </w:rPr>
        <w:t xml:space="preserve"> </w:t>
      </w:r>
      <w:r>
        <w:rPr>
          <w:rStyle w:val="EndnoteReference"/>
          <w:rFonts w:eastAsia="Calibri"/>
          <w:color w:val="323E4F"/>
          <w:lang w:eastAsia="en-AU"/>
        </w:rPr>
        <w:endnoteReference w:id="39"/>
      </w:r>
      <w:r>
        <w:rPr>
          <w:rFonts w:eastAsia="Calibri"/>
          <w:color w:val="323E4F"/>
          <w:lang w:eastAsia="en-AU"/>
        </w:rPr>
        <w:t xml:space="preserve"> </w:t>
      </w:r>
      <w:r>
        <w:rPr>
          <w:rStyle w:val="EndnoteReference"/>
          <w:rFonts w:eastAsia="Calibri"/>
          <w:color w:val="323E4F"/>
          <w:lang w:eastAsia="en-AU"/>
        </w:rPr>
        <w:endnoteReference w:id="40"/>
      </w:r>
    </w:p>
    <w:p w:rsidR="00760BB7" w:rsidRDefault="00A723FA" w:rsidP="009E69AF">
      <w:pPr>
        <w:pStyle w:val="xBodytext1"/>
        <w:jc w:val="both"/>
      </w:pPr>
      <w:r w:rsidRPr="001568DD">
        <w:t xml:space="preserve">Feedback from the </w:t>
      </w:r>
      <w:r w:rsidR="002A70D2">
        <w:rPr>
          <w:i/>
        </w:rPr>
        <w:t xml:space="preserve">My Life My Lead </w:t>
      </w:r>
      <w:r w:rsidR="002A70D2">
        <w:t xml:space="preserve">forums </w:t>
      </w:r>
      <w:r>
        <w:t>mirrors</w:t>
      </w:r>
      <w:r w:rsidR="002A70D2">
        <w:t xml:space="preserve"> t</w:t>
      </w:r>
      <w:r w:rsidR="00760BB7" w:rsidRPr="00DC0505">
        <w:t xml:space="preserve">he growing body of evidence demonstrating the links between positive health outcomes and caring for </w:t>
      </w:r>
      <w:r w:rsidR="00760BB7">
        <w:t>C</w:t>
      </w:r>
      <w:r w:rsidR="00760BB7" w:rsidRPr="00DC0505">
        <w:t>ountry.</w:t>
      </w:r>
      <w:r w:rsidR="00760BB7">
        <w:rPr>
          <w:rStyle w:val="EndnoteReference"/>
        </w:rPr>
        <w:endnoteReference w:id="41"/>
      </w:r>
      <w:r w:rsidR="00760BB7" w:rsidRPr="00DC0505">
        <w:t xml:space="preserve"> </w:t>
      </w:r>
      <w:r w:rsidR="00760BB7">
        <w:t xml:space="preserve">The Australian Government’s Indigenous Rangers – Working on Country Program (Rangers Program) creates meaningful employment, training and career pathways for Aboriginal and Torres Strait Islander </w:t>
      </w:r>
      <w:r w:rsidR="008A257D">
        <w:t>people</w:t>
      </w:r>
      <w:r w:rsidR="00760BB7">
        <w:t xml:space="preserve"> in land and sea management, and supports Aboriginal and Torres Strait Islander </w:t>
      </w:r>
      <w:r w:rsidR="008A257D">
        <w:t>people</w:t>
      </w:r>
      <w:r w:rsidR="00760BB7">
        <w:t xml:space="preserve"> to combine traditional knowledge with conservation training to protect and manage their land, sea and culture. Participants have reported better outcomes across a number of social determinants, including reduced contact with the justice system, better family relationships, and reduced consumption of alcohol.</w:t>
      </w:r>
      <w:r w:rsidR="00760BB7">
        <w:rPr>
          <w:rStyle w:val="EndnoteReference"/>
        </w:rPr>
        <w:endnoteReference w:id="42"/>
      </w:r>
      <w:r w:rsidR="00760BB7">
        <w:t xml:space="preserve"> Programs that support connectedness through arts, languages, culture, music and broadcasting have also had some success in improving outcomes across social determinants. </w:t>
      </w:r>
    </w:p>
    <w:p w:rsidR="00C629ED" w:rsidRDefault="00760BB7" w:rsidP="009E69AF">
      <w:pPr>
        <w:pStyle w:val="xBodytext1"/>
        <w:jc w:val="both"/>
        <w:rPr>
          <w:highlight w:val="white"/>
        </w:rPr>
      </w:pPr>
      <w:r>
        <w:t xml:space="preserve">Embedding and building upon these improvements requires a concerted effort to address the underlying social and structural factors that are contributing to the higher burden of disease for Aboriginal and Torres Strait Islander </w:t>
      </w:r>
      <w:r w:rsidR="008A257D">
        <w:t>people</w:t>
      </w:r>
      <w:r>
        <w:t xml:space="preserve">. </w:t>
      </w:r>
      <w:r>
        <w:rPr>
          <w:highlight w:val="white"/>
        </w:rPr>
        <w:t>Changing health behaviours requires a range of elements working together, across multiple and different settings and life stages, with the interaction of environmental and personal factors.</w:t>
      </w:r>
      <w:r>
        <w:rPr>
          <w:highlight w:val="white"/>
          <w:vertAlign w:val="superscript"/>
        </w:rPr>
        <w:endnoteReference w:id="43"/>
      </w:r>
      <w:r>
        <w:rPr>
          <w:highlight w:val="white"/>
        </w:rPr>
        <w:t xml:space="preserve"> </w:t>
      </w:r>
    </w:p>
    <w:p w:rsidR="00C629ED" w:rsidRDefault="00C629ED" w:rsidP="009E69AF">
      <w:pPr>
        <w:pStyle w:val="xBodytext1"/>
        <w:jc w:val="both"/>
        <w:rPr>
          <w:highlight w:val="white"/>
        </w:rPr>
      </w:pPr>
    </w:p>
    <w:p w:rsidR="00C629ED" w:rsidRDefault="00C629ED" w:rsidP="009E69AF">
      <w:pPr>
        <w:pStyle w:val="xBodytext1"/>
        <w:jc w:val="both"/>
        <w:rPr>
          <w:highlight w:val="white"/>
        </w:rPr>
        <w:sectPr w:rsidR="00C629ED" w:rsidSect="00786209">
          <w:footnotePr>
            <w:numFmt w:val="lowerRoman"/>
          </w:footnotePr>
          <w:endnotePr>
            <w:numFmt w:val="decimal"/>
          </w:endnotePr>
          <w:pgSz w:w="11906" w:h="16838"/>
          <w:pgMar w:top="1134" w:right="1559" w:bottom="1134" w:left="1701" w:header="0" w:footer="113" w:gutter="0"/>
          <w:cols w:space="720"/>
          <w:titlePg/>
          <w:docGrid w:linePitch="299"/>
        </w:sectPr>
      </w:pPr>
    </w:p>
    <w:p w:rsidR="00CE393B" w:rsidRDefault="007A26EC" w:rsidP="00C629ED">
      <w:pPr>
        <w:pStyle w:val="xBodytext1"/>
        <w:rPr>
          <w:caps/>
          <w:color w:val="0070C0"/>
          <w:sz w:val="32"/>
          <w:szCs w:val="36"/>
        </w:rPr>
      </w:pPr>
      <w:r>
        <w:rPr>
          <w:caps/>
          <w:noProof/>
          <w:color w:val="0070C0"/>
          <w:sz w:val="32"/>
          <w:szCs w:val="36"/>
        </w:rPr>
        <w:lastRenderedPageBreak/>
        <w:drawing>
          <wp:inline distT="0" distB="0" distL="0" distR="0" wp14:anchorId="2F292D7F" wp14:editId="59C33880">
            <wp:extent cx="6167887" cy="8724191"/>
            <wp:effectExtent l="0" t="0" r="4445" b="1270"/>
            <wp:docPr id="8" name="Picture 8" descr="Infopgraphic on healthy living and strong communities&#10;" title="Infographic on priority are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wadslg\AppData\Local\Microsoft\Windows\Temporary Internet Files\Content.Outlook\HM6JS3P8\11936 Priority Areas_V16 EB_PA5_NO PIC Cred.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72170" cy="8730249"/>
                    </a:xfrm>
                    <a:prstGeom prst="rect">
                      <a:avLst/>
                    </a:prstGeom>
                    <a:noFill/>
                    <a:ln>
                      <a:noFill/>
                    </a:ln>
                  </pic:spPr>
                </pic:pic>
              </a:graphicData>
            </a:graphic>
          </wp:inline>
        </w:drawing>
      </w:r>
    </w:p>
    <w:p w:rsidR="00CE393B" w:rsidRDefault="00CE393B">
      <w:pPr>
        <w:rPr>
          <w:rFonts w:eastAsia="Times New Roman" w:cs="Arial"/>
          <w:caps/>
          <w:color w:val="0070C0"/>
          <w:kern w:val="28"/>
          <w:sz w:val="28"/>
          <w:szCs w:val="28"/>
        </w:rPr>
      </w:pPr>
      <w:r>
        <w:rPr>
          <w:sz w:val="28"/>
          <w:szCs w:val="28"/>
        </w:rPr>
        <w:br w:type="page"/>
      </w:r>
    </w:p>
    <w:p w:rsidR="00426D8E" w:rsidRPr="005D1E20" w:rsidRDefault="00375CD7" w:rsidP="0016555F">
      <w:pPr>
        <w:pStyle w:val="Heading1BlueAllCaps"/>
      </w:pPr>
      <w:bookmarkStart w:id="105" w:name="_Toc500401395"/>
      <w:r>
        <w:lastRenderedPageBreak/>
        <w:t>PRIORITY AREA 6</w:t>
      </w:r>
      <w:r w:rsidR="00426D8E" w:rsidRPr="005D1E20">
        <w:t xml:space="preserve">: </w:t>
      </w:r>
      <w:bookmarkEnd w:id="95"/>
      <w:bookmarkEnd w:id="96"/>
      <w:bookmarkEnd w:id="97"/>
      <w:bookmarkEnd w:id="98"/>
      <w:bookmarkEnd w:id="99"/>
      <w:bookmarkEnd w:id="100"/>
      <w:bookmarkEnd w:id="101"/>
      <w:bookmarkEnd w:id="102"/>
      <w:bookmarkEnd w:id="103"/>
      <w:r>
        <w:t>HEALTH SERVICE ACCESS</w:t>
      </w:r>
      <w:bookmarkEnd w:id="105"/>
      <w:r w:rsidR="00E417C9" w:rsidRPr="005D1E20">
        <w:t xml:space="preserve"> </w:t>
      </w:r>
      <w:bookmarkEnd w:id="104"/>
    </w:p>
    <w:p w:rsidR="00037B05" w:rsidRPr="0042513D" w:rsidRDefault="003345F0" w:rsidP="00A02A83">
      <w:pPr>
        <w:pStyle w:val="xBodytext1"/>
        <w:jc w:val="both"/>
        <w:rPr>
          <w:szCs w:val="22"/>
        </w:rPr>
      </w:pPr>
      <w:r>
        <w:rPr>
          <w:szCs w:val="22"/>
        </w:rPr>
        <w:t xml:space="preserve">The </w:t>
      </w:r>
      <w:r w:rsidR="00037B05" w:rsidRPr="003345F0">
        <w:rPr>
          <w:i/>
          <w:szCs w:val="22"/>
        </w:rPr>
        <w:t>My Life My Lead</w:t>
      </w:r>
      <w:r w:rsidR="00037B05" w:rsidRPr="00FC611D">
        <w:rPr>
          <w:szCs w:val="22"/>
        </w:rPr>
        <w:t xml:space="preserve"> consultation forums highlighted that there have been significant health gains made for Aboriginal and Torres Strait Islander peop</w:t>
      </w:r>
      <w:r>
        <w:rPr>
          <w:szCs w:val="22"/>
        </w:rPr>
        <w:t xml:space="preserve">le over the last generation. </w:t>
      </w:r>
      <w:r w:rsidR="00037B05" w:rsidRPr="00FC611D">
        <w:rPr>
          <w:szCs w:val="22"/>
        </w:rPr>
        <w:t xml:space="preserve">This is supported in the most recent </w:t>
      </w:r>
      <w:r w:rsidR="00037B05" w:rsidRPr="003345F0">
        <w:rPr>
          <w:i/>
          <w:szCs w:val="22"/>
        </w:rPr>
        <w:t>Aboriginal and Torres Strait Islander Health Performance Framework 2017</w:t>
      </w:r>
      <w:r w:rsidR="00037B05" w:rsidRPr="00FC611D">
        <w:rPr>
          <w:szCs w:val="22"/>
        </w:rPr>
        <w:t xml:space="preserve">, which shows that Government investment in targeted activities </w:t>
      </w:r>
      <w:r>
        <w:rPr>
          <w:szCs w:val="22"/>
        </w:rPr>
        <w:t>has</w:t>
      </w:r>
      <w:r w:rsidR="00037B05" w:rsidRPr="00FC611D">
        <w:rPr>
          <w:szCs w:val="22"/>
        </w:rPr>
        <w:t xml:space="preserve"> delivered significant improvements reducing the burden of disease</w:t>
      </w:r>
      <w:r w:rsidR="00037B05">
        <w:rPr>
          <w:rStyle w:val="EndnoteReference"/>
          <w:szCs w:val="22"/>
        </w:rPr>
        <w:endnoteReference w:id="44"/>
      </w:r>
      <w:r w:rsidR="00D72739">
        <w:rPr>
          <w:szCs w:val="22"/>
        </w:rPr>
        <w:t xml:space="preserve"> </w:t>
      </w:r>
      <w:r w:rsidR="00D72739" w:rsidRPr="0042513D">
        <w:rPr>
          <w:szCs w:val="22"/>
        </w:rPr>
        <w:t xml:space="preserve">across a range of areas. </w:t>
      </w:r>
    </w:p>
    <w:p w:rsidR="000D54BF" w:rsidRPr="00CC2902" w:rsidRDefault="00037B05" w:rsidP="00B82503">
      <w:pPr>
        <w:pStyle w:val="xBodytext1"/>
        <w:jc w:val="both"/>
        <w:rPr>
          <w:szCs w:val="22"/>
        </w:rPr>
      </w:pPr>
      <w:r w:rsidRPr="0042513D">
        <w:rPr>
          <w:szCs w:val="22"/>
        </w:rPr>
        <w:t xml:space="preserve">Despite these improvements, </w:t>
      </w:r>
      <w:r w:rsidR="00EF1078">
        <w:rPr>
          <w:szCs w:val="22"/>
        </w:rPr>
        <w:t>poor</w:t>
      </w:r>
      <w:r w:rsidR="00643A62" w:rsidRPr="00CC2902">
        <w:rPr>
          <w:szCs w:val="22"/>
        </w:rPr>
        <w:t xml:space="preserve"> access to health </w:t>
      </w:r>
      <w:r w:rsidR="00FA70A1" w:rsidRPr="00CC2902">
        <w:rPr>
          <w:szCs w:val="22"/>
        </w:rPr>
        <w:t xml:space="preserve">and effective </w:t>
      </w:r>
      <w:r w:rsidR="004A795C" w:rsidRPr="00CC2902">
        <w:rPr>
          <w:szCs w:val="22"/>
        </w:rPr>
        <w:t>‘</w:t>
      </w:r>
      <w:r w:rsidR="00FA70A1" w:rsidRPr="00CC2902">
        <w:rPr>
          <w:szCs w:val="22"/>
        </w:rPr>
        <w:t>wrap around</w:t>
      </w:r>
      <w:r w:rsidR="004A795C" w:rsidRPr="00CC2902">
        <w:rPr>
          <w:szCs w:val="22"/>
        </w:rPr>
        <w:t>’</w:t>
      </w:r>
      <w:r w:rsidR="00FA70A1" w:rsidRPr="00CC2902">
        <w:rPr>
          <w:szCs w:val="22"/>
        </w:rPr>
        <w:t xml:space="preserve"> </w:t>
      </w:r>
      <w:r w:rsidR="00643A62" w:rsidRPr="00CC2902">
        <w:rPr>
          <w:szCs w:val="22"/>
        </w:rPr>
        <w:t xml:space="preserve">services contributes to the significant health inequities </w:t>
      </w:r>
      <w:r w:rsidR="00C629ED" w:rsidRPr="00CC2902">
        <w:rPr>
          <w:szCs w:val="22"/>
        </w:rPr>
        <w:t xml:space="preserve">still </w:t>
      </w:r>
      <w:r w:rsidR="00643A62" w:rsidRPr="00CC2902">
        <w:rPr>
          <w:szCs w:val="22"/>
        </w:rPr>
        <w:t xml:space="preserve">experienced by </w:t>
      </w:r>
      <w:r w:rsidR="00590855" w:rsidRPr="00CC2902">
        <w:rPr>
          <w:szCs w:val="22"/>
        </w:rPr>
        <w:t xml:space="preserve">Aboriginal and Torres Strait Islander </w:t>
      </w:r>
      <w:r w:rsidR="008A257D" w:rsidRPr="00CC2902">
        <w:rPr>
          <w:szCs w:val="22"/>
        </w:rPr>
        <w:t>people</w:t>
      </w:r>
      <w:r w:rsidR="00643A62" w:rsidRPr="00CC2902">
        <w:rPr>
          <w:szCs w:val="22"/>
        </w:rPr>
        <w:t xml:space="preserve">. Factors such as </w:t>
      </w:r>
      <w:r w:rsidR="004A795C" w:rsidRPr="00CC2902">
        <w:rPr>
          <w:szCs w:val="22"/>
        </w:rPr>
        <w:t xml:space="preserve">cost, </w:t>
      </w:r>
      <w:r w:rsidR="00643A62" w:rsidRPr="00CC2902">
        <w:rPr>
          <w:szCs w:val="22"/>
        </w:rPr>
        <w:t>cultur</w:t>
      </w:r>
      <w:r w:rsidR="00590855" w:rsidRPr="00CC2902">
        <w:rPr>
          <w:szCs w:val="22"/>
        </w:rPr>
        <w:t xml:space="preserve">al </w:t>
      </w:r>
      <w:r w:rsidR="00546332" w:rsidRPr="00CC2902">
        <w:rPr>
          <w:szCs w:val="22"/>
        </w:rPr>
        <w:t xml:space="preserve">security, </w:t>
      </w:r>
      <w:r w:rsidR="00590855" w:rsidRPr="00CC2902">
        <w:rPr>
          <w:szCs w:val="22"/>
        </w:rPr>
        <w:t xml:space="preserve">safety and </w:t>
      </w:r>
      <w:r w:rsidR="00185E1A" w:rsidRPr="00CC2902">
        <w:rPr>
          <w:szCs w:val="22"/>
        </w:rPr>
        <w:t>capability</w:t>
      </w:r>
      <w:r w:rsidR="00643A62" w:rsidRPr="00CC2902">
        <w:rPr>
          <w:szCs w:val="22"/>
        </w:rPr>
        <w:t xml:space="preserve">, racism, gender, remote location, </w:t>
      </w:r>
      <w:r w:rsidR="00C427FC" w:rsidRPr="00CC2902">
        <w:rPr>
          <w:szCs w:val="22"/>
        </w:rPr>
        <w:t xml:space="preserve">health service availability, </w:t>
      </w:r>
      <w:r w:rsidR="00643A62" w:rsidRPr="00CC2902">
        <w:rPr>
          <w:szCs w:val="22"/>
        </w:rPr>
        <w:t xml:space="preserve">lack of transport, poor health literacy, </w:t>
      </w:r>
      <w:r w:rsidR="00A97843" w:rsidRPr="00CC2902">
        <w:rPr>
          <w:szCs w:val="22"/>
        </w:rPr>
        <w:t xml:space="preserve">the need for interpreting and other language </w:t>
      </w:r>
      <w:r w:rsidR="00644727" w:rsidRPr="00CC2902">
        <w:rPr>
          <w:szCs w:val="22"/>
        </w:rPr>
        <w:t>service</w:t>
      </w:r>
      <w:r w:rsidR="00A97843" w:rsidRPr="00CC2902">
        <w:rPr>
          <w:szCs w:val="22"/>
        </w:rPr>
        <w:t>s</w:t>
      </w:r>
      <w:r w:rsidR="00644727" w:rsidRPr="00CC2902">
        <w:rPr>
          <w:szCs w:val="22"/>
        </w:rPr>
        <w:t xml:space="preserve">, </w:t>
      </w:r>
      <w:r w:rsidR="00643A62" w:rsidRPr="00CC2902">
        <w:rPr>
          <w:szCs w:val="22"/>
        </w:rPr>
        <w:t xml:space="preserve">and difficulty navigating system pathways all represent barriers to access. </w:t>
      </w:r>
    </w:p>
    <w:p w:rsidR="00C629ED" w:rsidRPr="00FC611D" w:rsidRDefault="00C629ED" w:rsidP="00B82503">
      <w:pPr>
        <w:pStyle w:val="xBodytext1"/>
        <w:jc w:val="both"/>
        <w:rPr>
          <w:szCs w:val="22"/>
        </w:rPr>
      </w:pPr>
      <w:r w:rsidRPr="00E24728">
        <w:rPr>
          <w:szCs w:val="22"/>
        </w:rPr>
        <w:t xml:space="preserve">While </w:t>
      </w:r>
      <w:r w:rsidRPr="00B478D6">
        <w:rPr>
          <w:szCs w:val="22"/>
        </w:rPr>
        <w:t>ACCH</w:t>
      </w:r>
      <w:r w:rsidR="0063363D">
        <w:rPr>
          <w:szCs w:val="22"/>
        </w:rPr>
        <w:t>S</w:t>
      </w:r>
      <w:r w:rsidRPr="00B478D6">
        <w:rPr>
          <w:szCs w:val="22"/>
        </w:rPr>
        <w:t xml:space="preserve">s and </w:t>
      </w:r>
      <w:r w:rsidRPr="00CD7874">
        <w:rPr>
          <w:szCs w:val="22"/>
        </w:rPr>
        <w:t xml:space="preserve">AMSs deliver holistic and culturally appropriate primary and community health care in locations across the country, many Aboriginal and Torres Strait Islander </w:t>
      </w:r>
      <w:r w:rsidR="008A257D">
        <w:rPr>
          <w:szCs w:val="22"/>
        </w:rPr>
        <w:t>people</w:t>
      </w:r>
      <w:r w:rsidRPr="00CD7874">
        <w:rPr>
          <w:szCs w:val="22"/>
        </w:rPr>
        <w:t xml:space="preserve"> must, or choose to, access health care through mainstream services. While health assessment rates more</w:t>
      </w:r>
      <w:r w:rsidRPr="00FC611D">
        <w:rPr>
          <w:szCs w:val="22"/>
        </w:rPr>
        <w:t xml:space="preserve"> than tripled between 2009 and 2016,</w:t>
      </w:r>
      <w:r w:rsidRPr="00FC611D">
        <w:rPr>
          <w:rStyle w:val="EndnoteReference"/>
          <w:szCs w:val="22"/>
        </w:rPr>
        <w:endnoteReference w:id="45"/>
      </w:r>
      <w:r w:rsidRPr="00FC611D">
        <w:rPr>
          <w:szCs w:val="22"/>
        </w:rPr>
        <w:t xml:space="preserve"> there is evidence that many Aboriginal and Torres Strait Islander </w:t>
      </w:r>
      <w:r w:rsidR="008A257D">
        <w:rPr>
          <w:szCs w:val="22"/>
        </w:rPr>
        <w:t>people</w:t>
      </w:r>
      <w:r w:rsidRPr="00FC611D">
        <w:rPr>
          <w:szCs w:val="22"/>
        </w:rPr>
        <w:t xml:space="preserve"> do not or cannot access the medical care they need, with 30 per cent reporting that they did not access a health service when they needed to in 2012-13.</w:t>
      </w:r>
      <w:r w:rsidRPr="00FC611D">
        <w:rPr>
          <w:rStyle w:val="EndnoteReference"/>
          <w:szCs w:val="22"/>
        </w:rPr>
        <w:endnoteReference w:id="46"/>
      </w:r>
      <w:r w:rsidRPr="00FC611D">
        <w:rPr>
          <w:szCs w:val="22"/>
        </w:rPr>
        <w:t xml:space="preserve"> </w:t>
      </w:r>
    </w:p>
    <w:p w:rsidR="00C629ED" w:rsidRPr="00E24728" w:rsidRDefault="00C629ED" w:rsidP="00B82503">
      <w:pPr>
        <w:pStyle w:val="xBodytext1"/>
        <w:jc w:val="both"/>
        <w:rPr>
          <w:szCs w:val="22"/>
        </w:rPr>
      </w:pPr>
      <w:r w:rsidRPr="00FC611D">
        <w:rPr>
          <w:szCs w:val="22"/>
        </w:rPr>
        <w:t>Key factors influencing choice and access to health services include availability, affordability, appropriateness and acceptability.</w:t>
      </w:r>
      <w:r w:rsidRPr="00FC611D">
        <w:rPr>
          <w:rStyle w:val="EndnoteReference"/>
          <w:szCs w:val="22"/>
        </w:rPr>
        <w:endnoteReference w:id="47"/>
      </w:r>
      <w:r w:rsidRPr="00FC611D">
        <w:rPr>
          <w:szCs w:val="22"/>
        </w:rPr>
        <w:t xml:space="preserve"> Culturally valid understandings must shape the provision of services and guide assessment, care and management of Aboriginal and Torres Strait Islander people’s health. This is particularly important for the provision of mental health services.</w:t>
      </w:r>
      <w:r w:rsidRPr="00FC611D">
        <w:rPr>
          <w:rStyle w:val="EndnoteReference"/>
          <w:rFonts w:cs="Arial"/>
          <w:color w:val="595959" w:themeColor="text1" w:themeTint="A6"/>
          <w:szCs w:val="22"/>
        </w:rPr>
        <w:endnoteReference w:id="48"/>
      </w:r>
      <w:r w:rsidRPr="00FC611D">
        <w:rPr>
          <w:szCs w:val="22"/>
        </w:rPr>
        <w:t xml:space="preserve">  Inpatient and specialist services were identified by </w:t>
      </w:r>
      <w:r w:rsidRPr="00FC611D">
        <w:rPr>
          <w:i/>
          <w:szCs w:val="22"/>
        </w:rPr>
        <w:t xml:space="preserve">My Life My Lead </w:t>
      </w:r>
      <w:r w:rsidRPr="00FC611D">
        <w:rPr>
          <w:szCs w:val="22"/>
        </w:rPr>
        <w:t xml:space="preserve">contributors as often being seen as the least culturally safe for Aboriginal and Torres Strait Islander </w:t>
      </w:r>
      <w:r w:rsidR="008A257D">
        <w:rPr>
          <w:szCs w:val="22"/>
        </w:rPr>
        <w:t>people</w:t>
      </w:r>
      <w:r w:rsidRPr="00FC611D">
        <w:rPr>
          <w:szCs w:val="22"/>
        </w:rPr>
        <w:t>. Fear of accessing inpatient services is often compounded by people having a lack of support due to dislocation from family and Country.</w:t>
      </w:r>
    </w:p>
    <w:p w:rsidR="00E80036" w:rsidRPr="00B82503" w:rsidRDefault="00334292" w:rsidP="00A02A83">
      <w:pPr>
        <w:pStyle w:val="xBodytext1"/>
        <w:jc w:val="both"/>
        <w:rPr>
          <w:szCs w:val="22"/>
        </w:rPr>
      </w:pPr>
      <w:r w:rsidRPr="00B82503">
        <w:rPr>
          <w:szCs w:val="22"/>
        </w:rPr>
        <w:t xml:space="preserve">There is a marked disparity in oral health for Aboriginal and Torres Strait Islander </w:t>
      </w:r>
      <w:r w:rsidR="008A257D">
        <w:rPr>
          <w:szCs w:val="22"/>
        </w:rPr>
        <w:t>people</w:t>
      </w:r>
      <w:r w:rsidRPr="00B82503">
        <w:rPr>
          <w:szCs w:val="22"/>
        </w:rPr>
        <w:t xml:space="preserve"> compared to the non-Indigenous population, with </w:t>
      </w:r>
      <w:r w:rsidR="00EF1078">
        <w:rPr>
          <w:szCs w:val="22"/>
        </w:rPr>
        <w:t>poor</w:t>
      </w:r>
      <w:r w:rsidRPr="00B82503">
        <w:rPr>
          <w:szCs w:val="22"/>
        </w:rPr>
        <w:t xml:space="preserve"> a</w:t>
      </w:r>
      <w:r w:rsidR="0034389F" w:rsidRPr="00B82503">
        <w:rPr>
          <w:szCs w:val="22"/>
        </w:rPr>
        <w:t xml:space="preserve">ccess to dental services a barrier to good health. </w:t>
      </w:r>
      <w:r w:rsidR="00D41323" w:rsidRPr="00B82503">
        <w:rPr>
          <w:szCs w:val="22"/>
        </w:rPr>
        <w:t xml:space="preserve">In 2012-13, 21 per cent of Aboriginal and Torres Strait Islander </w:t>
      </w:r>
      <w:r w:rsidR="008A257D">
        <w:rPr>
          <w:szCs w:val="22"/>
        </w:rPr>
        <w:t>people</w:t>
      </w:r>
      <w:r w:rsidR="00D41323" w:rsidRPr="00B82503">
        <w:rPr>
          <w:szCs w:val="22"/>
        </w:rPr>
        <w:t xml:space="preserve"> </w:t>
      </w:r>
      <w:r w:rsidR="00C617FF" w:rsidRPr="00B82503">
        <w:rPr>
          <w:szCs w:val="22"/>
        </w:rPr>
        <w:t xml:space="preserve">aged 15 years and over </w:t>
      </w:r>
      <w:r w:rsidR="00D41323" w:rsidRPr="00B82503">
        <w:rPr>
          <w:szCs w:val="22"/>
        </w:rPr>
        <w:t>reported having problems accessing dentists</w:t>
      </w:r>
      <w:r w:rsidR="00C617FF" w:rsidRPr="00B82503">
        <w:rPr>
          <w:szCs w:val="22"/>
        </w:rPr>
        <w:t>, while 14 per cent reported having never seen a dentist</w:t>
      </w:r>
      <w:r w:rsidR="00D41323" w:rsidRPr="001568DD">
        <w:rPr>
          <w:sz w:val="21"/>
          <w:szCs w:val="21"/>
          <w:lang w:val="en"/>
        </w:rPr>
        <w:t>.</w:t>
      </w:r>
      <w:r w:rsidR="00D41323" w:rsidRPr="001568DD">
        <w:rPr>
          <w:rStyle w:val="EndnoteReference"/>
          <w:sz w:val="21"/>
          <w:szCs w:val="21"/>
        </w:rPr>
        <w:endnoteReference w:id="49"/>
      </w:r>
      <w:r w:rsidR="00D41323" w:rsidRPr="001568DD">
        <w:rPr>
          <w:sz w:val="21"/>
          <w:szCs w:val="21"/>
          <w:lang w:val="en"/>
        </w:rPr>
        <w:t xml:space="preserve"> </w:t>
      </w:r>
      <w:r w:rsidR="006B074E" w:rsidRPr="00B82503">
        <w:rPr>
          <w:szCs w:val="22"/>
        </w:rPr>
        <w:t>In addition, a</w:t>
      </w:r>
      <w:r w:rsidR="00CA22CE" w:rsidRPr="00B82503">
        <w:rPr>
          <w:szCs w:val="22"/>
        </w:rPr>
        <w:t xml:space="preserve">ccess to ear health and hearing services is another key issue. Hearing loss is more widespread among Aboriginal and Torres Strait Islander </w:t>
      </w:r>
      <w:r w:rsidR="008A257D">
        <w:rPr>
          <w:szCs w:val="22"/>
        </w:rPr>
        <w:t>people</w:t>
      </w:r>
      <w:r w:rsidR="00CA22CE" w:rsidRPr="00B82503">
        <w:rPr>
          <w:szCs w:val="22"/>
        </w:rPr>
        <w:t xml:space="preserve"> than the non-Indigenous population,</w:t>
      </w:r>
      <w:r w:rsidR="00CA22CE" w:rsidRPr="00B82503">
        <w:rPr>
          <w:szCs w:val="22"/>
          <w:vertAlign w:val="superscript"/>
        </w:rPr>
        <w:endnoteReference w:id="50"/>
      </w:r>
      <w:r w:rsidR="00CA22CE" w:rsidRPr="00B82503">
        <w:rPr>
          <w:szCs w:val="22"/>
        </w:rPr>
        <w:t xml:space="preserve"> with otitis media a significant cause of hearing loss among Aboriginal and Torres Strait Islander children.</w:t>
      </w:r>
      <w:r w:rsidR="00F755BD" w:rsidRPr="00B82503">
        <w:rPr>
          <w:szCs w:val="22"/>
          <w:vertAlign w:val="superscript"/>
        </w:rPr>
        <w:endnoteReference w:id="51"/>
      </w:r>
      <w:r w:rsidR="00CA22CE" w:rsidRPr="00B82503">
        <w:rPr>
          <w:szCs w:val="22"/>
        </w:rPr>
        <w:t xml:space="preserve"> </w:t>
      </w:r>
    </w:p>
    <w:p w:rsidR="00C629ED" w:rsidRPr="00C629ED" w:rsidRDefault="0052769B" w:rsidP="00B82503">
      <w:pPr>
        <w:pStyle w:val="xBodytext1"/>
        <w:jc w:val="both"/>
        <w:rPr>
          <w:szCs w:val="22"/>
        </w:rPr>
      </w:pPr>
      <w:r w:rsidRPr="00B82503">
        <w:rPr>
          <w:szCs w:val="22"/>
        </w:rPr>
        <w:t xml:space="preserve">Consultation participants noted that </w:t>
      </w:r>
      <w:r w:rsidR="00C629ED">
        <w:rPr>
          <w:szCs w:val="22"/>
        </w:rPr>
        <w:t>s</w:t>
      </w:r>
      <w:r w:rsidR="00C629ED" w:rsidRPr="00A02A83">
        <w:rPr>
          <w:szCs w:val="22"/>
        </w:rPr>
        <w:t>olutions to health access need to look</w:t>
      </w:r>
      <w:r w:rsidR="003345F0">
        <w:rPr>
          <w:szCs w:val="22"/>
        </w:rPr>
        <w:t xml:space="preserve"> beyond the traditional health </w:t>
      </w:r>
      <w:r w:rsidR="00C629ED" w:rsidRPr="00A02A83">
        <w:rPr>
          <w:szCs w:val="22"/>
        </w:rPr>
        <w:t xml:space="preserve">system. Aboriginal and Torres Strait Islander </w:t>
      </w:r>
      <w:r w:rsidR="008A257D">
        <w:rPr>
          <w:szCs w:val="22"/>
        </w:rPr>
        <w:t>people</w:t>
      </w:r>
      <w:r w:rsidR="00C629ED" w:rsidRPr="00A02A83">
        <w:rPr>
          <w:szCs w:val="22"/>
        </w:rPr>
        <w:t xml:space="preserve"> expe</w:t>
      </w:r>
      <w:r w:rsidR="00C629ED" w:rsidRPr="00B82503">
        <w:rPr>
          <w:szCs w:val="22"/>
        </w:rPr>
        <w:t>rience higher rates of arrest and incarceration than non-Indigenous Australians, with prison populations demonstrating an overrepresentation of mental health and substance use problems, cognitive impairment, hearing loss, learning difficulties and histories of physical and sexual abuse.</w:t>
      </w:r>
      <w:r w:rsidR="00C629ED">
        <w:rPr>
          <w:rStyle w:val="EndnoteReference"/>
        </w:rPr>
        <w:endnoteReference w:id="52"/>
      </w:r>
      <w:r w:rsidR="00C629ED">
        <w:t xml:space="preserve"> </w:t>
      </w:r>
    </w:p>
    <w:p w:rsidR="001568DD" w:rsidRPr="00CC2902" w:rsidRDefault="00C629ED" w:rsidP="00A02A83">
      <w:pPr>
        <w:pStyle w:val="xBodytext1"/>
        <w:jc w:val="both"/>
        <w:rPr>
          <w:szCs w:val="22"/>
        </w:rPr>
      </w:pPr>
      <w:r>
        <w:rPr>
          <w:i/>
        </w:rPr>
        <w:lastRenderedPageBreak/>
        <w:t xml:space="preserve">My Life My Lead </w:t>
      </w:r>
      <w:r w:rsidRPr="007156C4">
        <w:t>forums</w:t>
      </w:r>
      <w:r>
        <w:rPr>
          <w:i/>
        </w:rPr>
        <w:t xml:space="preserve"> </w:t>
      </w:r>
      <w:r>
        <w:t>an</w:t>
      </w:r>
      <w:r w:rsidR="00170AF2">
        <w:t>d current evidence recognises F</w:t>
      </w:r>
      <w:r>
        <w:t>etal Alcohol Spectrum Disorder as a contributing factor to incarceration rates in Aboriginal and Torres Strait Islander communities.</w:t>
      </w:r>
      <w:r>
        <w:rPr>
          <w:rStyle w:val="EndnoteReference"/>
        </w:rPr>
        <w:endnoteReference w:id="53"/>
      </w:r>
      <w:r>
        <w:t xml:space="preserve"> </w:t>
      </w:r>
      <w:r w:rsidRPr="00A02A83">
        <w:rPr>
          <w:szCs w:val="22"/>
        </w:rPr>
        <w:t>Given the complexity of the problems and comorbidities among the prison population, strong linkages between the health and justice system are imperative to breaking the cycle of disadvantage. This is particularly the case for young people—on an average da</w:t>
      </w:r>
      <w:r w:rsidRPr="00B82503">
        <w:rPr>
          <w:szCs w:val="22"/>
        </w:rPr>
        <w:t xml:space="preserve">y in 2014-15, 43 per cent of young people under youth justice supervision were Aboriginal and Torres Strait Islander, with large portions also </w:t>
      </w:r>
      <w:r w:rsidRPr="0042513D">
        <w:rPr>
          <w:szCs w:val="22"/>
        </w:rPr>
        <w:t>represented in the child protection system.</w:t>
      </w:r>
      <w:r w:rsidRPr="0042513D">
        <w:rPr>
          <w:rStyle w:val="EndnoteReference"/>
          <w:szCs w:val="22"/>
        </w:rPr>
        <w:endnoteReference w:id="54"/>
      </w:r>
      <w:r w:rsidR="00A9408D" w:rsidRPr="00CC2902">
        <w:rPr>
          <w:szCs w:val="22"/>
        </w:rPr>
        <w:t xml:space="preserve"> </w:t>
      </w:r>
    </w:p>
    <w:p w:rsidR="00CE393B" w:rsidRPr="00CC2902" w:rsidRDefault="001568DD" w:rsidP="00B82503">
      <w:pPr>
        <w:pStyle w:val="xBodytext1"/>
        <w:jc w:val="both"/>
        <w:rPr>
          <w:szCs w:val="22"/>
        </w:rPr>
      </w:pPr>
      <w:r w:rsidRPr="00CC2902">
        <w:rPr>
          <w:szCs w:val="22"/>
        </w:rPr>
        <w:t>Participants also noted there</w:t>
      </w:r>
      <w:r w:rsidR="00AB46EB" w:rsidRPr="00CC2902">
        <w:rPr>
          <w:szCs w:val="22"/>
        </w:rPr>
        <w:t xml:space="preserve"> </w:t>
      </w:r>
      <w:r w:rsidR="00334292" w:rsidRPr="00CC2902">
        <w:rPr>
          <w:szCs w:val="22"/>
        </w:rPr>
        <w:t xml:space="preserve">is </w:t>
      </w:r>
      <w:r w:rsidRPr="00CC2902">
        <w:rPr>
          <w:szCs w:val="22"/>
        </w:rPr>
        <w:t xml:space="preserve">an </w:t>
      </w:r>
      <w:r w:rsidR="00AB46EB" w:rsidRPr="00CC2902">
        <w:rPr>
          <w:szCs w:val="22"/>
        </w:rPr>
        <w:t>opportunit</w:t>
      </w:r>
      <w:r w:rsidR="00334292" w:rsidRPr="00CC2902">
        <w:rPr>
          <w:szCs w:val="22"/>
        </w:rPr>
        <w:t>y</w:t>
      </w:r>
      <w:r w:rsidR="00AB46EB" w:rsidRPr="00CC2902">
        <w:rPr>
          <w:szCs w:val="22"/>
        </w:rPr>
        <w:t xml:space="preserve"> to </w:t>
      </w:r>
      <w:r w:rsidR="009557E6" w:rsidRPr="00CC2902">
        <w:rPr>
          <w:szCs w:val="22"/>
        </w:rPr>
        <w:t xml:space="preserve">support access to health and other services </w:t>
      </w:r>
      <w:r w:rsidR="00AB46EB" w:rsidRPr="00CC2902">
        <w:rPr>
          <w:szCs w:val="22"/>
        </w:rPr>
        <w:t xml:space="preserve">in regional and remote areas in conjunction with </w:t>
      </w:r>
      <w:r w:rsidR="000F5052" w:rsidRPr="00CC2902">
        <w:rPr>
          <w:szCs w:val="22"/>
        </w:rPr>
        <w:t>existing program rollout</w:t>
      </w:r>
      <w:r w:rsidR="00EF1078">
        <w:rPr>
          <w:szCs w:val="22"/>
        </w:rPr>
        <w:t>s</w:t>
      </w:r>
      <w:r w:rsidR="000F5052" w:rsidRPr="00CC2902">
        <w:rPr>
          <w:szCs w:val="22"/>
        </w:rPr>
        <w:t xml:space="preserve"> </w:t>
      </w:r>
      <w:r w:rsidR="009557E6" w:rsidRPr="00CC2902">
        <w:rPr>
          <w:szCs w:val="22"/>
        </w:rPr>
        <w:t xml:space="preserve">and enhancement of </w:t>
      </w:r>
      <w:r w:rsidR="00B47522" w:rsidRPr="00CC2902">
        <w:rPr>
          <w:szCs w:val="22"/>
        </w:rPr>
        <w:t>information technology</w:t>
      </w:r>
      <w:r w:rsidR="009557E6" w:rsidRPr="00CC2902">
        <w:rPr>
          <w:szCs w:val="22"/>
        </w:rPr>
        <w:t xml:space="preserve"> infrastructure</w:t>
      </w:r>
      <w:r w:rsidR="00AB46EB" w:rsidRPr="00CC2902">
        <w:rPr>
          <w:szCs w:val="22"/>
        </w:rPr>
        <w:t xml:space="preserve">. For example, </w:t>
      </w:r>
      <w:r w:rsidR="00CF51A9" w:rsidRPr="00CC2902">
        <w:rPr>
          <w:szCs w:val="22"/>
        </w:rPr>
        <w:t xml:space="preserve">the rollout of the NBN will support </w:t>
      </w:r>
      <w:r w:rsidR="005364DB" w:rsidRPr="00CC2902">
        <w:rPr>
          <w:szCs w:val="22"/>
        </w:rPr>
        <w:t xml:space="preserve">improvements </w:t>
      </w:r>
      <w:r w:rsidR="00CF51A9" w:rsidRPr="00CC2902">
        <w:rPr>
          <w:szCs w:val="22"/>
        </w:rPr>
        <w:t xml:space="preserve">in digital health technology. There are </w:t>
      </w:r>
      <w:r w:rsidR="00C24472" w:rsidRPr="00CC2902">
        <w:rPr>
          <w:szCs w:val="22"/>
        </w:rPr>
        <w:t>further</w:t>
      </w:r>
      <w:r w:rsidR="00CF51A9" w:rsidRPr="00CC2902">
        <w:rPr>
          <w:szCs w:val="22"/>
        </w:rPr>
        <w:t xml:space="preserve"> opportunities to build upon the NDIS rollout </w:t>
      </w:r>
      <w:r w:rsidR="006B52FD" w:rsidRPr="00CC2902">
        <w:rPr>
          <w:szCs w:val="22"/>
        </w:rPr>
        <w:t xml:space="preserve">and other large infrastructure projects </w:t>
      </w:r>
      <w:r w:rsidR="00CF51A9" w:rsidRPr="00CC2902">
        <w:rPr>
          <w:szCs w:val="22"/>
        </w:rPr>
        <w:t xml:space="preserve">to enhance the availability of integrated services. </w:t>
      </w:r>
    </w:p>
    <w:p w:rsidR="00CE393B" w:rsidRDefault="00CE393B" w:rsidP="00674053">
      <w:pPr>
        <w:pStyle w:val="xBodytext1"/>
        <w:jc w:val="both"/>
        <w:rPr>
          <w:sz w:val="21"/>
          <w:szCs w:val="21"/>
        </w:rPr>
      </w:pPr>
    </w:p>
    <w:p w:rsidR="0042382E" w:rsidRDefault="00CE393B" w:rsidP="00674053">
      <w:pPr>
        <w:pStyle w:val="xBodytext1"/>
        <w:jc w:val="both"/>
        <w:rPr>
          <w:rFonts w:eastAsia="Arial" w:cs="Arial"/>
          <w:b/>
          <w:caps/>
          <w:smallCaps/>
          <w:color w:val="0070C0"/>
          <w:sz w:val="32"/>
          <w:szCs w:val="32"/>
        </w:rPr>
      </w:pPr>
      <w:r>
        <w:rPr>
          <w:caps/>
          <w:noProof/>
          <w:color w:val="0070C0"/>
          <w:sz w:val="32"/>
          <w:szCs w:val="36"/>
        </w:rPr>
        <w:lastRenderedPageBreak/>
        <w:drawing>
          <wp:inline distT="0" distB="0" distL="0" distR="0" wp14:anchorId="57903C6F" wp14:editId="536B5D24">
            <wp:extent cx="6176806" cy="8660921"/>
            <wp:effectExtent l="0" t="0" r="0" b="6985"/>
            <wp:docPr id="2" name="Picture 2" descr="Infographic on health service access" title="Priority are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36 Priority Areas_V14_NO PHOTOCREDIT KB_Page_6.jpg"/>
                    <pic:cNvPicPr/>
                  </pic:nvPicPr>
                  <pic:blipFill>
                    <a:blip r:embed="rId23">
                      <a:extLst>
                        <a:ext uri="{28A0092B-C50C-407E-A947-70E740481C1C}">
                          <a14:useLocalDpi xmlns:a14="http://schemas.microsoft.com/office/drawing/2010/main" val="0"/>
                        </a:ext>
                      </a:extLst>
                    </a:blip>
                    <a:stretch>
                      <a:fillRect/>
                    </a:stretch>
                  </pic:blipFill>
                  <pic:spPr>
                    <a:xfrm>
                      <a:off x="0" y="0"/>
                      <a:ext cx="6181095" cy="8666936"/>
                    </a:xfrm>
                    <a:prstGeom prst="rect">
                      <a:avLst/>
                    </a:prstGeom>
                  </pic:spPr>
                </pic:pic>
              </a:graphicData>
            </a:graphic>
          </wp:inline>
        </w:drawing>
      </w:r>
      <w:r w:rsidR="0042382E">
        <w:rPr>
          <w:rFonts w:eastAsia="Arial" w:cs="Arial"/>
          <w:b/>
          <w:smallCaps/>
          <w:szCs w:val="32"/>
        </w:rPr>
        <w:br w:type="page"/>
      </w:r>
    </w:p>
    <w:p w:rsidR="00426D8E" w:rsidRPr="005D1E20" w:rsidRDefault="00375CD7" w:rsidP="0016555F">
      <w:pPr>
        <w:pStyle w:val="Heading1BlueAllCaps"/>
      </w:pPr>
      <w:bookmarkStart w:id="106" w:name="_Toc488419179"/>
      <w:bookmarkStart w:id="107" w:name="_Toc488769093"/>
      <w:bookmarkStart w:id="108" w:name="_Toc488832716"/>
      <w:bookmarkStart w:id="109" w:name="_Toc490742932"/>
      <w:bookmarkStart w:id="110" w:name="_Toc490743171"/>
      <w:bookmarkStart w:id="111" w:name="_Toc490743368"/>
      <w:bookmarkStart w:id="112" w:name="_Toc490743621"/>
      <w:bookmarkStart w:id="113" w:name="_Toc490743700"/>
      <w:bookmarkStart w:id="114" w:name="_Toc490818578"/>
      <w:bookmarkStart w:id="115" w:name="_Toc488150062"/>
      <w:bookmarkStart w:id="116" w:name="_Toc500401396"/>
      <w:r>
        <w:lastRenderedPageBreak/>
        <w:t>PRIORITY AREA 7</w:t>
      </w:r>
      <w:r w:rsidR="00426D8E" w:rsidRPr="005D1E20">
        <w:t xml:space="preserve">: </w:t>
      </w:r>
      <w:bookmarkEnd w:id="106"/>
      <w:bookmarkEnd w:id="107"/>
      <w:bookmarkEnd w:id="108"/>
      <w:bookmarkEnd w:id="109"/>
      <w:bookmarkEnd w:id="110"/>
      <w:bookmarkEnd w:id="111"/>
      <w:bookmarkEnd w:id="112"/>
      <w:bookmarkEnd w:id="113"/>
      <w:bookmarkEnd w:id="114"/>
      <w:bookmarkEnd w:id="115"/>
      <w:r>
        <w:t>HEALTH AND OPPORTUNITY THROUGH EDUCATION</w:t>
      </w:r>
      <w:bookmarkEnd w:id="116"/>
    </w:p>
    <w:p w:rsidR="00B0111E" w:rsidRPr="00CC2902" w:rsidRDefault="00BC27A0" w:rsidP="00A02A83">
      <w:pPr>
        <w:pStyle w:val="xBodytext1"/>
        <w:jc w:val="both"/>
        <w:rPr>
          <w:szCs w:val="22"/>
        </w:rPr>
      </w:pPr>
      <w:r w:rsidRPr="00CC2902">
        <w:rPr>
          <w:szCs w:val="22"/>
        </w:rPr>
        <w:t xml:space="preserve">Education epitomises the role of social determinants and cultural determinants </w:t>
      </w:r>
      <w:r w:rsidR="0002512F" w:rsidRPr="00CC2902">
        <w:rPr>
          <w:szCs w:val="22"/>
        </w:rPr>
        <w:t xml:space="preserve">of health. </w:t>
      </w:r>
      <w:r w:rsidRPr="00CC2902">
        <w:rPr>
          <w:szCs w:val="22"/>
        </w:rPr>
        <w:t>Health challenges directly impede</w:t>
      </w:r>
      <w:r w:rsidR="00F1498D" w:rsidRPr="00CC2902">
        <w:rPr>
          <w:szCs w:val="22"/>
        </w:rPr>
        <w:t xml:space="preserve"> educational attainment</w:t>
      </w:r>
      <w:r w:rsidR="00976811" w:rsidRPr="00CC2902">
        <w:rPr>
          <w:szCs w:val="22"/>
        </w:rPr>
        <w:t>;</w:t>
      </w:r>
      <w:r w:rsidR="004875E5" w:rsidRPr="00CC2902">
        <w:rPr>
          <w:szCs w:val="22"/>
        </w:rPr>
        <w:t xml:space="preserve"> and better educational outcomes provide the opportunities </w:t>
      </w:r>
      <w:r w:rsidR="00BD476B" w:rsidRPr="00CC2902">
        <w:rPr>
          <w:szCs w:val="22"/>
        </w:rPr>
        <w:t xml:space="preserve">and skills </w:t>
      </w:r>
      <w:r w:rsidR="004875E5" w:rsidRPr="00CC2902">
        <w:rPr>
          <w:szCs w:val="22"/>
        </w:rPr>
        <w:t xml:space="preserve">necessary </w:t>
      </w:r>
      <w:r w:rsidR="00BD476B" w:rsidRPr="00CC2902">
        <w:rPr>
          <w:szCs w:val="22"/>
        </w:rPr>
        <w:t>to achieve</w:t>
      </w:r>
      <w:r w:rsidR="004875E5" w:rsidRPr="00CC2902">
        <w:rPr>
          <w:szCs w:val="22"/>
        </w:rPr>
        <w:t xml:space="preserve"> better health</w:t>
      </w:r>
      <w:r w:rsidR="0036174B" w:rsidRPr="00CC2902">
        <w:rPr>
          <w:szCs w:val="22"/>
        </w:rPr>
        <w:t xml:space="preserve">. </w:t>
      </w:r>
      <w:r w:rsidR="0002512F" w:rsidRPr="00CC2902">
        <w:rPr>
          <w:szCs w:val="22"/>
        </w:rPr>
        <w:t>Aboriginal and Torres Strait Islander 15 year olds are two-and-a-third years behind in literacy and numeracy compared to their non-Indigenous peers</w:t>
      </w:r>
      <w:r w:rsidR="007C176C" w:rsidRPr="00CC2902">
        <w:rPr>
          <w:szCs w:val="22"/>
        </w:rPr>
        <w:t xml:space="preserve">. </w:t>
      </w:r>
    </w:p>
    <w:p w:rsidR="00F1498D" w:rsidRPr="00224AE5" w:rsidRDefault="0052769B" w:rsidP="00A02A83">
      <w:pPr>
        <w:pStyle w:val="xBodytext1"/>
        <w:jc w:val="both"/>
        <w:rPr>
          <w:szCs w:val="22"/>
        </w:rPr>
      </w:pPr>
      <w:r w:rsidRPr="00CC2902">
        <w:rPr>
          <w:i/>
          <w:szCs w:val="22"/>
        </w:rPr>
        <w:t xml:space="preserve">My Life My Lead </w:t>
      </w:r>
      <w:r w:rsidRPr="00CC2902">
        <w:rPr>
          <w:szCs w:val="22"/>
        </w:rPr>
        <w:t xml:space="preserve">participants provided feedback that </w:t>
      </w:r>
      <w:r w:rsidR="0002512F" w:rsidRPr="00CC2902">
        <w:rPr>
          <w:szCs w:val="22"/>
        </w:rPr>
        <w:t>many</w:t>
      </w:r>
      <w:r w:rsidRPr="00CC2902">
        <w:rPr>
          <w:szCs w:val="22"/>
        </w:rPr>
        <w:t xml:space="preserve"> teenagers</w:t>
      </w:r>
      <w:r w:rsidR="0002512F" w:rsidRPr="00CC2902">
        <w:rPr>
          <w:szCs w:val="22"/>
        </w:rPr>
        <w:t xml:space="preserve"> are leaving school </w:t>
      </w:r>
      <w:r w:rsidR="00FA70A1" w:rsidRPr="00CC2902">
        <w:rPr>
          <w:szCs w:val="22"/>
        </w:rPr>
        <w:t xml:space="preserve">ill-equipped </w:t>
      </w:r>
      <w:r w:rsidR="0002512F" w:rsidRPr="00CC2902">
        <w:rPr>
          <w:szCs w:val="22"/>
        </w:rPr>
        <w:t>to compete in</w:t>
      </w:r>
      <w:r w:rsidR="00BB600A" w:rsidRPr="00CC2902">
        <w:rPr>
          <w:szCs w:val="22"/>
        </w:rPr>
        <w:t xml:space="preserve"> the </w:t>
      </w:r>
      <w:r w:rsidR="0002512F" w:rsidRPr="00CC2902">
        <w:rPr>
          <w:szCs w:val="22"/>
        </w:rPr>
        <w:t>labour market. T</w:t>
      </w:r>
      <w:r w:rsidR="00BB600A" w:rsidRPr="00CC2902">
        <w:rPr>
          <w:szCs w:val="22"/>
        </w:rPr>
        <w:t xml:space="preserve">he evidence </w:t>
      </w:r>
      <w:r w:rsidR="0002512F" w:rsidRPr="00CC2902">
        <w:rPr>
          <w:szCs w:val="22"/>
        </w:rPr>
        <w:t>also</w:t>
      </w:r>
      <w:r w:rsidR="00BB600A" w:rsidRPr="00CC2902">
        <w:rPr>
          <w:szCs w:val="22"/>
        </w:rPr>
        <w:t xml:space="preserve"> shows that </w:t>
      </w:r>
      <w:r w:rsidR="00280F6B" w:rsidRPr="00CC2902">
        <w:rPr>
          <w:szCs w:val="22"/>
        </w:rPr>
        <w:t xml:space="preserve">increased </w:t>
      </w:r>
      <w:r w:rsidR="00BB600A" w:rsidRPr="00CC2902">
        <w:rPr>
          <w:szCs w:val="22"/>
        </w:rPr>
        <w:t>education leads to p</w:t>
      </w:r>
      <w:r w:rsidR="00280F6B" w:rsidRPr="00CC2902">
        <w:rPr>
          <w:szCs w:val="22"/>
        </w:rPr>
        <w:t xml:space="preserve">eople managing their own health </w:t>
      </w:r>
      <w:r w:rsidR="00280F6B" w:rsidRPr="00224AE5">
        <w:rPr>
          <w:szCs w:val="22"/>
        </w:rPr>
        <w:t>more effectively (for example, higher education levels are correlated with lower rates of smoking and obesity) and</w:t>
      </w:r>
      <w:r w:rsidR="00BB600A" w:rsidRPr="004011A8">
        <w:rPr>
          <w:szCs w:val="22"/>
        </w:rPr>
        <w:t xml:space="preserve"> </w:t>
      </w:r>
      <w:r w:rsidR="00280F6B" w:rsidRPr="00D24370">
        <w:rPr>
          <w:szCs w:val="22"/>
        </w:rPr>
        <w:t>equips them to be more active and informed</w:t>
      </w:r>
      <w:r w:rsidR="00BB600A" w:rsidRPr="009C01EA">
        <w:rPr>
          <w:szCs w:val="22"/>
        </w:rPr>
        <w:t xml:space="preserve"> consumers of health services</w:t>
      </w:r>
      <w:r w:rsidR="009F13DC" w:rsidRPr="009C01EA">
        <w:rPr>
          <w:szCs w:val="22"/>
        </w:rPr>
        <w:t>.</w:t>
      </w:r>
      <w:r w:rsidR="00BB600A" w:rsidRPr="00224AE5">
        <w:rPr>
          <w:szCs w:val="22"/>
          <w:vertAlign w:val="superscript"/>
        </w:rPr>
        <w:endnoteReference w:id="55"/>
      </w:r>
      <w:r w:rsidR="00286462" w:rsidRPr="00224AE5">
        <w:rPr>
          <w:szCs w:val="22"/>
          <w:vertAlign w:val="superscript"/>
        </w:rPr>
        <w:t xml:space="preserve"> </w:t>
      </w:r>
      <w:r w:rsidR="00BB600A" w:rsidRPr="00224AE5">
        <w:rPr>
          <w:szCs w:val="22"/>
          <w:vertAlign w:val="superscript"/>
        </w:rPr>
        <w:endnoteReference w:id="56"/>
      </w:r>
      <w:r w:rsidR="00BB600A" w:rsidRPr="00224AE5">
        <w:rPr>
          <w:szCs w:val="22"/>
          <w:vertAlign w:val="superscript"/>
        </w:rPr>
        <w:t xml:space="preserve"> </w:t>
      </w:r>
      <w:r w:rsidR="004F2574" w:rsidRPr="00224AE5">
        <w:rPr>
          <w:szCs w:val="22"/>
        </w:rPr>
        <w:t>There is a strong link between ed</w:t>
      </w:r>
      <w:r w:rsidR="004F2574" w:rsidRPr="004011A8">
        <w:rPr>
          <w:szCs w:val="22"/>
        </w:rPr>
        <w:t>ucation and employment with the employment gap narrowing signific</w:t>
      </w:r>
      <w:r w:rsidR="00A87D4B" w:rsidRPr="00D24370">
        <w:rPr>
          <w:szCs w:val="22"/>
        </w:rPr>
        <w:t>antly as the level of education</w:t>
      </w:r>
      <w:r w:rsidR="004F2574" w:rsidRPr="009C01EA">
        <w:rPr>
          <w:szCs w:val="22"/>
        </w:rPr>
        <w:t xml:space="preserve"> increases</w:t>
      </w:r>
      <w:r w:rsidR="00A87D4B" w:rsidRPr="009C01EA">
        <w:rPr>
          <w:szCs w:val="22"/>
        </w:rPr>
        <w:t>.</w:t>
      </w:r>
      <w:r w:rsidR="00A87D4B" w:rsidRPr="00224AE5">
        <w:rPr>
          <w:szCs w:val="22"/>
          <w:vertAlign w:val="superscript"/>
        </w:rPr>
        <w:endnoteReference w:id="57"/>
      </w:r>
    </w:p>
    <w:p w:rsidR="00C629ED" w:rsidRPr="00D24370" w:rsidRDefault="00C629ED" w:rsidP="00B82503">
      <w:pPr>
        <w:pStyle w:val="xBodytext1"/>
        <w:jc w:val="both"/>
        <w:rPr>
          <w:szCs w:val="22"/>
        </w:rPr>
      </w:pPr>
      <w:r w:rsidRPr="004011A8">
        <w:rPr>
          <w:szCs w:val="22"/>
        </w:rPr>
        <w:t>There are already some notable achievements in education, and the</w:t>
      </w:r>
      <w:r w:rsidR="003360ED">
        <w:rPr>
          <w:szCs w:val="22"/>
        </w:rPr>
        <w:t xml:space="preserve"> </w:t>
      </w:r>
      <w:r w:rsidRPr="004011A8">
        <w:rPr>
          <w:szCs w:val="22"/>
        </w:rPr>
        <w:t>Closing the Gap target to halve the gap in Year 12 attainment by 2020 is currently on track. This provides an important platfo</w:t>
      </w:r>
      <w:r w:rsidRPr="00D24370">
        <w:rPr>
          <w:szCs w:val="22"/>
        </w:rPr>
        <w:t>rm from which further improvements can be leveraged. Because the gains made in education have a multiplying effect in so many areas that directly and indirectly contribut</w:t>
      </w:r>
      <w:r w:rsidR="00224AE5">
        <w:rPr>
          <w:szCs w:val="22"/>
        </w:rPr>
        <w:t>e</w:t>
      </w:r>
      <w:r w:rsidRPr="004011A8">
        <w:rPr>
          <w:szCs w:val="22"/>
        </w:rPr>
        <w:t xml:space="preserve"> to better health, an ongoing commitment in this critical area is required. </w:t>
      </w:r>
    </w:p>
    <w:p w:rsidR="00C629ED" w:rsidRPr="00CC2902" w:rsidRDefault="00C629ED" w:rsidP="00B82503">
      <w:pPr>
        <w:pStyle w:val="xBodytext1"/>
        <w:jc w:val="both"/>
        <w:rPr>
          <w:szCs w:val="22"/>
        </w:rPr>
      </w:pPr>
      <w:r w:rsidRPr="009C01EA">
        <w:rPr>
          <w:szCs w:val="22"/>
        </w:rPr>
        <w:t>Oppor</w:t>
      </w:r>
      <w:r w:rsidRPr="00F91A71">
        <w:rPr>
          <w:szCs w:val="22"/>
        </w:rPr>
        <w:t xml:space="preserve">tunities for further </w:t>
      </w:r>
      <w:r w:rsidR="00EF1078">
        <w:rPr>
          <w:szCs w:val="22"/>
        </w:rPr>
        <w:t>improvement</w:t>
      </w:r>
      <w:r w:rsidRPr="00F91A71">
        <w:rPr>
          <w:szCs w:val="22"/>
        </w:rPr>
        <w:t xml:space="preserve"> centre on the role of culture in supporting educational outcomes and the importance of effective transitions over the life course as young people move between different components of the education system and into the workplace. </w:t>
      </w:r>
      <w:r w:rsidRPr="00CC2902">
        <w:rPr>
          <w:szCs w:val="22"/>
        </w:rPr>
        <w:t xml:space="preserve">This supports the emerging focus on considering education needs throughout the </w:t>
      </w:r>
      <w:r w:rsidR="00EF1078">
        <w:rPr>
          <w:szCs w:val="22"/>
        </w:rPr>
        <w:t>birth</w:t>
      </w:r>
      <w:r w:rsidRPr="00CC2902">
        <w:rPr>
          <w:szCs w:val="22"/>
        </w:rPr>
        <w:t xml:space="preserve"> to adulthood continuum holistically in policy design and implementation.</w:t>
      </w:r>
    </w:p>
    <w:p w:rsidR="00C629ED" w:rsidRPr="00CC2902" w:rsidRDefault="00C629ED" w:rsidP="00B82503">
      <w:pPr>
        <w:pStyle w:val="xBodytext1"/>
        <w:jc w:val="both"/>
        <w:rPr>
          <w:szCs w:val="22"/>
        </w:rPr>
      </w:pPr>
      <w:r w:rsidRPr="00CC2902">
        <w:rPr>
          <w:szCs w:val="22"/>
        </w:rPr>
        <w:t xml:space="preserve">A recurring theme throughout the consultation process was the need to include parents, Elders and communities in learning to maintain Aboriginal and Torres Strait Islander peoples’ connection to family, </w:t>
      </w:r>
      <w:r w:rsidR="00540B25">
        <w:rPr>
          <w:szCs w:val="22"/>
        </w:rPr>
        <w:t>C</w:t>
      </w:r>
      <w:r w:rsidRPr="00CC2902">
        <w:rPr>
          <w:szCs w:val="22"/>
        </w:rPr>
        <w:t xml:space="preserve">ountry and culture. This need was identified across the continuum of early childhood education and schooling. </w:t>
      </w:r>
    </w:p>
    <w:p w:rsidR="00C629ED" w:rsidRPr="00224AE5" w:rsidRDefault="00C629ED" w:rsidP="00B82503">
      <w:pPr>
        <w:pStyle w:val="xBodytext1"/>
        <w:jc w:val="both"/>
        <w:rPr>
          <w:szCs w:val="22"/>
        </w:rPr>
      </w:pPr>
      <w:r w:rsidRPr="00CC2902">
        <w:rPr>
          <w:szCs w:val="22"/>
        </w:rPr>
        <w:t>There is strong evidence that language has a significant influence on wellbeing, self-worth and identity formation and how these foundational attributes impact throughout a person’s life. In 2014–15, around one-third of Aboriginal and Torres Strait Islander children aged 4–14 years spoke an Indigenous language—this increased to two-thirds in remote areas.</w:t>
      </w:r>
      <w:r w:rsidRPr="00224AE5">
        <w:rPr>
          <w:szCs w:val="22"/>
          <w:vertAlign w:val="superscript"/>
        </w:rPr>
        <w:endnoteReference w:id="58"/>
      </w:r>
      <w:r w:rsidRPr="00224AE5">
        <w:rPr>
          <w:szCs w:val="22"/>
        </w:rPr>
        <w:t xml:space="preserve"> For Aboriginal and Torres Strait Islander children, bilingual education not only helps children maintain their spoken language, but also harn</w:t>
      </w:r>
      <w:r w:rsidRPr="004011A8">
        <w:rPr>
          <w:szCs w:val="22"/>
        </w:rPr>
        <w:t>esses respect for Aboriginal and Torres Strait</w:t>
      </w:r>
      <w:r w:rsidRPr="00D24370">
        <w:rPr>
          <w:szCs w:val="22"/>
        </w:rPr>
        <w:t xml:space="preserve"> Islander culture within the school.</w:t>
      </w:r>
      <w:r w:rsidRPr="00224AE5">
        <w:rPr>
          <w:szCs w:val="22"/>
          <w:vertAlign w:val="superscript"/>
        </w:rPr>
        <w:endnoteReference w:id="59"/>
      </w:r>
      <w:r w:rsidRPr="00224AE5">
        <w:rPr>
          <w:szCs w:val="22"/>
          <w:vertAlign w:val="superscript"/>
        </w:rPr>
        <w:t xml:space="preserve"> </w:t>
      </w:r>
      <w:r w:rsidRPr="00224AE5">
        <w:rPr>
          <w:szCs w:val="22"/>
        </w:rPr>
        <w:t xml:space="preserve"> </w:t>
      </w:r>
    </w:p>
    <w:p w:rsidR="007B69EC" w:rsidRPr="00D24370" w:rsidRDefault="007B69EC" w:rsidP="007B69EC">
      <w:pPr>
        <w:rPr>
          <w:rFonts w:eastAsia="Calibri" w:cs="Times New Roman"/>
          <w:color w:val="323E4F"/>
          <w:lang w:eastAsia="en-AU"/>
        </w:rPr>
      </w:pPr>
      <w:r w:rsidRPr="004011A8">
        <w:rPr>
          <w:rFonts w:eastAsia="Calibri" w:cs="Times New Roman"/>
          <w:color w:val="323E4F"/>
          <w:lang w:eastAsia="en-AU"/>
        </w:rPr>
        <w:t xml:space="preserve">All Education ministers have endorsed the Framework for Aboriginal Languages and Torres Strait Islander Languages, which caters for foundation to Year 10. The Framework is designed to be flexible in use for developing language-specific curricula and programs. </w:t>
      </w:r>
    </w:p>
    <w:p w:rsidR="007B69EC" w:rsidRPr="009C01EA" w:rsidRDefault="007B69EC" w:rsidP="007B69EC">
      <w:pPr>
        <w:rPr>
          <w:rFonts w:eastAsia="Calibri" w:cs="Times New Roman"/>
          <w:color w:val="323E4F"/>
          <w:lang w:eastAsia="en-AU"/>
        </w:rPr>
      </w:pPr>
      <w:r w:rsidRPr="00D24370">
        <w:rPr>
          <w:rFonts w:eastAsia="Calibri" w:cs="Times New Roman"/>
          <w:color w:val="323E4F"/>
          <w:lang w:eastAsia="en-AU"/>
        </w:rPr>
        <w:t>It is intended to be used by jurisdictions, schools and communities to develop language-specific curricula and programs in partnerships with local communities in the teaching of Indigenous language.</w:t>
      </w:r>
    </w:p>
    <w:p w:rsidR="00C629ED" w:rsidRPr="00CC2902" w:rsidRDefault="0036174B" w:rsidP="00B82503">
      <w:pPr>
        <w:jc w:val="both"/>
        <w:rPr>
          <w:rFonts w:eastAsia="Calibri" w:cs="Times New Roman"/>
          <w:color w:val="323E4F"/>
          <w:lang w:eastAsia="en-AU"/>
        </w:rPr>
      </w:pPr>
      <w:r w:rsidRPr="00F91A71">
        <w:rPr>
          <w:rFonts w:eastAsia="Calibri" w:cs="Times New Roman"/>
          <w:color w:val="323E4F"/>
          <w:lang w:eastAsia="en-AU"/>
        </w:rPr>
        <w:lastRenderedPageBreak/>
        <w:t xml:space="preserve">The ‘middle </w:t>
      </w:r>
      <w:r w:rsidRPr="00CC2902">
        <w:rPr>
          <w:rFonts w:eastAsia="Calibri" w:cs="Times New Roman"/>
          <w:color w:val="323E4F"/>
          <w:lang w:eastAsia="en-AU"/>
        </w:rPr>
        <w:t xml:space="preserve">years’—typically between Year 5 and Year 8 of school—are emerging as a period where a greater focus is needed. During this time, young people experience dynamic physical and psychological development. Feedback from the </w:t>
      </w:r>
      <w:r w:rsidR="00C629ED" w:rsidRPr="00CC2902">
        <w:rPr>
          <w:rFonts w:eastAsia="Calibri" w:cs="Times New Roman"/>
          <w:i/>
          <w:color w:val="323E4F"/>
          <w:lang w:eastAsia="en-AU"/>
        </w:rPr>
        <w:t>My Life My Lead</w:t>
      </w:r>
      <w:r w:rsidR="00C629ED" w:rsidRPr="00CC2902">
        <w:rPr>
          <w:rFonts w:eastAsia="Calibri" w:cs="Times New Roman"/>
          <w:color w:val="323E4F"/>
          <w:lang w:eastAsia="en-AU"/>
        </w:rPr>
        <w:t xml:space="preserve"> </w:t>
      </w:r>
      <w:r w:rsidRPr="00CC2902">
        <w:rPr>
          <w:rFonts w:eastAsia="Calibri" w:cs="Times New Roman"/>
          <w:color w:val="323E4F"/>
          <w:lang w:eastAsia="en-AU"/>
        </w:rPr>
        <w:t xml:space="preserve">consultation process revealed that career planning and preparation to move from school to vocational or higher education needs to commence during these middle years, as many have already ‘fallen through the cracks’ by the time they are eligible for vocational education training. </w:t>
      </w:r>
    </w:p>
    <w:p w:rsidR="00C629ED" w:rsidRPr="00D24370" w:rsidRDefault="00C629ED" w:rsidP="00B82503">
      <w:pPr>
        <w:jc w:val="both"/>
        <w:rPr>
          <w:rFonts w:eastAsia="Calibri" w:cs="Times New Roman"/>
          <w:color w:val="323E4F"/>
          <w:lang w:eastAsia="en-AU"/>
        </w:rPr>
      </w:pPr>
      <w:r w:rsidRPr="00CC2902">
        <w:rPr>
          <w:rFonts w:eastAsia="Calibri" w:cs="Times New Roman"/>
          <w:color w:val="323E4F"/>
          <w:lang w:eastAsia="en-AU"/>
        </w:rPr>
        <w:t>Studies have found that offering students Vocational Educational Training (VET) in the senior school years tends to increase school attendance and completion and improve the labour market outcomes of school completers.</w:t>
      </w:r>
      <w:r w:rsidRPr="00224AE5">
        <w:rPr>
          <w:vertAlign w:val="superscript"/>
        </w:rPr>
        <w:endnoteReference w:id="60"/>
      </w:r>
      <w:r w:rsidRPr="004011A8">
        <w:rPr>
          <w:rFonts w:eastAsia="Calibri" w:cs="Times New Roman"/>
          <w:color w:val="323E4F"/>
          <w:vertAlign w:val="superscript"/>
          <w:lang w:eastAsia="en-AU"/>
        </w:rPr>
        <w:t xml:space="preserve"> </w:t>
      </w:r>
      <w:r w:rsidRPr="00224AE5">
        <w:rPr>
          <w:vertAlign w:val="superscript"/>
        </w:rPr>
        <w:endnoteReference w:id="61"/>
      </w:r>
      <w:r w:rsidRPr="004011A8">
        <w:rPr>
          <w:rFonts w:eastAsia="Calibri" w:cs="Times New Roman"/>
          <w:color w:val="323E4F"/>
          <w:vertAlign w:val="superscript"/>
          <w:lang w:eastAsia="en-AU"/>
        </w:rPr>
        <w:t xml:space="preserve"> </w:t>
      </w:r>
      <w:r w:rsidRPr="004011A8">
        <w:rPr>
          <w:rFonts w:eastAsia="Calibri" w:cs="Times New Roman"/>
          <w:color w:val="323E4F"/>
          <w:lang w:eastAsia="en-AU"/>
        </w:rPr>
        <w:t>A range of VET options, including school-based apprenticeships and traineeships, is an important strategy in secondary schools for building stronger engagement and rates of completion.</w:t>
      </w:r>
    </w:p>
    <w:p w:rsidR="00C629ED" w:rsidRPr="00224AE5" w:rsidRDefault="00C629ED" w:rsidP="00B82503">
      <w:pPr>
        <w:pStyle w:val="xBodytext1"/>
        <w:jc w:val="both"/>
        <w:rPr>
          <w:szCs w:val="22"/>
        </w:rPr>
      </w:pPr>
      <w:r w:rsidRPr="009C01EA">
        <w:rPr>
          <w:szCs w:val="22"/>
        </w:rPr>
        <w:t>Consultation participants agreed that Aboriginal and Torres Strait Islander cult</w:t>
      </w:r>
      <w:r w:rsidRPr="00F91A71">
        <w:rPr>
          <w:szCs w:val="22"/>
        </w:rPr>
        <w:t>ures need to be recognised, celebrated and normalised in the mainstream</w:t>
      </w:r>
      <w:r w:rsidR="0009136F">
        <w:rPr>
          <w:szCs w:val="22"/>
        </w:rPr>
        <w:t>,</w:t>
      </w:r>
      <w:r w:rsidRPr="00F91A71">
        <w:rPr>
          <w:szCs w:val="22"/>
        </w:rPr>
        <w:t xml:space="preserve"> and that it is important for Aboriginal and Torres Strait Islander languages and culture to be included in the Australian curriculum and early childhood education programs. Evidence f</w:t>
      </w:r>
      <w:r w:rsidRPr="00CC2902">
        <w:rPr>
          <w:szCs w:val="22"/>
        </w:rPr>
        <w:t>rom the Longitudinal Study of Indigenous Children that children attending schools using the Aboriginal and Torres Strait Islander histories and cultures cross-curriculum priority have higher than average literacy scores compared to children in schools that do not.</w:t>
      </w:r>
      <w:r w:rsidRPr="00224AE5">
        <w:rPr>
          <w:szCs w:val="22"/>
          <w:vertAlign w:val="superscript"/>
        </w:rPr>
        <w:endnoteReference w:id="62"/>
      </w:r>
    </w:p>
    <w:p w:rsidR="00CE393B" w:rsidRDefault="00C629ED">
      <w:pPr>
        <w:pStyle w:val="xBodytext1"/>
        <w:jc w:val="both"/>
        <w:rPr>
          <w:sz w:val="21"/>
          <w:szCs w:val="21"/>
        </w:rPr>
      </w:pPr>
      <w:r w:rsidRPr="004011A8">
        <w:rPr>
          <w:szCs w:val="22"/>
        </w:rPr>
        <w:t>The cultural capability of the education workforce is also critical in ensuring that Aboriginal and Torres Strait Islander students feel safe and supported at school and in care. This includes respect for culture and language, particularly for yo</w:t>
      </w:r>
      <w:r w:rsidRPr="00D24370">
        <w:rPr>
          <w:szCs w:val="22"/>
        </w:rPr>
        <w:t>ung children who speak a language other than English at home as they benefit from a foundation in their first language to prepare them for the acquisition of English.</w:t>
      </w:r>
      <w:r w:rsidRPr="00224AE5">
        <w:rPr>
          <w:szCs w:val="22"/>
          <w:vertAlign w:val="superscript"/>
        </w:rPr>
        <w:endnoteReference w:id="63"/>
      </w:r>
      <w:r w:rsidRPr="00224AE5" w:rsidDel="00E678FF">
        <w:rPr>
          <w:szCs w:val="22"/>
        </w:rPr>
        <w:t xml:space="preserve"> </w:t>
      </w:r>
      <w:r w:rsidRPr="00224AE5">
        <w:rPr>
          <w:szCs w:val="22"/>
        </w:rPr>
        <w:t xml:space="preserve">The </w:t>
      </w:r>
      <w:r w:rsidRPr="00EF1078">
        <w:rPr>
          <w:i/>
          <w:szCs w:val="22"/>
        </w:rPr>
        <w:t>Respect, Relationships, Reconciliation</w:t>
      </w:r>
      <w:r w:rsidRPr="00224AE5">
        <w:rPr>
          <w:szCs w:val="22"/>
        </w:rPr>
        <w:t xml:space="preserve"> resources </w:t>
      </w:r>
      <w:r w:rsidRPr="004011A8">
        <w:rPr>
          <w:szCs w:val="22"/>
        </w:rPr>
        <w:t xml:space="preserve">have been developed by the Australian Institute for Teaching and School Leadership, in collaboration with the Australian Council of Deans of Education and Aboriginal and Torres Strait Islander </w:t>
      </w:r>
      <w:r w:rsidR="008A257D" w:rsidRPr="00D24370">
        <w:rPr>
          <w:szCs w:val="22"/>
        </w:rPr>
        <w:t>people</w:t>
      </w:r>
      <w:r w:rsidRPr="009C01EA">
        <w:rPr>
          <w:szCs w:val="22"/>
        </w:rPr>
        <w:t>, to support cultural capability in Aboriginal and Torres Strait Islander education.</w:t>
      </w:r>
      <w:bookmarkStart w:id="117" w:name="_Toc488150063"/>
    </w:p>
    <w:p w:rsidR="00776235" w:rsidRDefault="00CE393B" w:rsidP="00674053">
      <w:pPr>
        <w:pStyle w:val="xBodytext1"/>
        <w:jc w:val="both"/>
        <w:rPr>
          <w:caps/>
          <w:color w:val="0070C0"/>
          <w:sz w:val="32"/>
        </w:rPr>
      </w:pPr>
      <w:r>
        <w:rPr>
          <w:caps/>
          <w:noProof/>
          <w:color w:val="0070C0"/>
          <w:sz w:val="32"/>
          <w:szCs w:val="36"/>
        </w:rPr>
        <w:lastRenderedPageBreak/>
        <w:drawing>
          <wp:inline distT="0" distB="0" distL="0" distR="0" wp14:anchorId="03B26826" wp14:editId="6E5228B5">
            <wp:extent cx="6193766" cy="8684597"/>
            <wp:effectExtent l="0" t="0" r="0" b="2540"/>
            <wp:docPr id="1" name="Picture 1" descr="Infographic on health and opportunity through education" title="Priority are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36 Priority Areas_V14_NO PHOTOCREDIT KB_Page_7.jpg"/>
                    <pic:cNvPicPr/>
                  </pic:nvPicPr>
                  <pic:blipFill>
                    <a:blip r:embed="rId24">
                      <a:extLst>
                        <a:ext uri="{28A0092B-C50C-407E-A947-70E740481C1C}">
                          <a14:useLocalDpi xmlns:a14="http://schemas.microsoft.com/office/drawing/2010/main" val="0"/>
                        </a:ext>
                      </a:extLst>
                    </a:blip>
                    <a:stretch>
                      <a:fillRect/>
                    </a:stretch>
                  </pic:blipFill>
                  <pic:spPr>
                    <a:xfrm>
                      <a:off x="0" y="0"/>
                      <a:ext cx="6198067" cy="8690628"/>
                    </a:xfrm>
                    <a:prstGeom prst="rect">
                      <a:avLst/>
                    </a:prstGeom>
                  </pic:spPr>
                </pic:pic>
              </a:graphicData>
            </a:graphic>
          </wp:inline>
        </w:drawing>
      </w:r>
      <w:r w:rsidR="00776235">
        <w:rPr>
          <w:caps/>
          <w:color w:val="0070C0"/>
          <w:sz w:val="32"/>
        </w:rPr>
        <w:br w:type="page"/>
      </w:r>
    </w:p>
    <w:p w:rsidR="00D910DA" w:rsidRPr="005D1E20" w:rsidRDefault="00375CD7" w:rsidP="0016555F">
      <w:pPr>
        <w:pStyle w:val="Heading1BlueAllCaps"/>
      </w:pPr>
      <w:bookmarkStart w:id="118" w:name="_Toc500401397"/>
      <w:bookmarkStart w:id="119" w:name="_Toc488832718"/>
      <w:bookmarkEnd w:id="117"/>
      <w:r>
        <w:lastRenderedPageBreak/>
        <w:t>NEXT STEPS</w:t>
      </w:r>
      <w:bookmarkEnd w:id="118"/>
    </w:p>
    <w:p w:rsidR="00D910DA" w:rsidRDefault="00BE5D62" w:rsidP="00674053">
      <w:pPr>
        <w:pStyle w:val="xBodytext1"/>
        <w:jc w:val="both"/>
      </w:pPr>
      <w:r>
        <w:t>The Council of Australian Governments (</w:t>
      </w:r>
      <w:r w:rsidRPr="005D0583">
        <w:t>COAG</w:t>
      </w:r>
      <w:r>
        <w:t>)</w:t>
      </w:r>
      <w:r w:rsidRPr="005D0583">
        <w:t xml:space="preserve"> </w:t>
      </w:r>
      <w:r w:rsidR="00D910DA" w:rsidRPr="005D0583">
        <w:t xml:space="preserve">Closing the Gap </w:t>
      </w:r>
      <w:r>
        <w:t xml:space="preserve">Strategy </w:t>
      </w:r>
      <w:r w:rsidR="00D910DA" w:rsidRPr="005D0583">
        <w:t xml:space="preserve">is the overarching framework that guides collective action to improve the wellbeing and life outcomes of Aboriginal and Torres Strait Islander </w:t>
      </w:r>
      <w:r w:rsidR="008A257D">
        <w:t>people</w:t>
      </w:r>
      <w:r w:rsidR="00D910DA" w:rsidRPr="005D0583">
        <w:t>. In December 2016, COAG committed governments to work together and with Aboriginal and Torres Strait Islander leaders, organisations and communities to refresh the Closing the Gap agenda with renewed emphasis on collaborative effort</w:t>
      </w:r>
      <w:r w:rsidR="00D910DA">
        <w:t xml:space="preserve"> and</w:t>
      </w:r>
      <w:r w:rsidR="00D910DA" w:rsidRPr="005D0583">
        <w:t xml:space="preserve"> evaluation </w:t>
      </w:r>
      <w:r w:rsidR="00D910DA">
        <w:t xml:space="preserve">to </w:t>
      </w:r>
      <w:r w:rsidR="00D910DA" w:rsidRPr="005D0583">
        <w:t xml:space="preserve">build on what works in each jurisdiction. </w:t>
      </w:r>
    </w:p>
    <w:p w:rsidR="00D910DA" w:rsidRDefault="00D910DA" w:rsidP="00674053">
      <w:pPr>
        <w:pStyle w:val="xBodytext1"/>
        <w:jc w:val="both"/>
      </w:pPr>
      <w:r>
        <w:t xml:space="preserve">The </w:t>
      </w:r>
      <w:r w:rsidR="0052769B">
        <w:t xml:space="preserve">priorities </w:t>
      </w:r>
      <w:r>
        <w:t xml:space="preserve">set out in </w:t>
      </w:r>
      <w:r w:rsidR="00542E3F">
        <w:rPr>
          <w:i/>
        </w:rPr>
        <w:t>My Life My Lead</w:t>
      </w:r>
      <w:r w:rsidR="002A5946">
        <w:t xml:space="preserve"> </w:t>
      </w:r>
      <w:r>
        <w:t xml:space="preserve">will directly support the Closing the Gap </w:t>
      </w:r>
      <w:r w:rsidR="00505471">
        <w:t xml:space="preserve">refresh </w:t>
      </w:r>
      <w:r>
        <w:t xml:space="preserve">agenda, offering critical stakeholder insights into the </w:t>
      </w:r>
      <w:r w:rsidR="0057341E">
        <w:t xml:space="preserve">required </w:t>
      </w:r>
      <w:r>
        <w:t>approach and how it can be realised. While health solutions remain vital to efforts to reduce health disparities, this must be in concert with coordinated strategic activity across education, employment, infrastructure</w:t>
      </w:r>
      <w:r w:rsidR="0057341E">
        <w:t>, environment</w:t>
      </w:r>
      <w:r>
        <w:t xml:space="preserve"> and justice to address the underlying causes of poor health for Aboriginal and Torres Strait Islander </w:t>
      </w:r>
      <w:r w:rsidR="008A257D">
        <w:t>people</w:t>
      </w:r>
      <w:r>
        <w:t xml:space="preserve">. </w:t>
      </w:r>
    </w:p>
    <w:p w:rsidR="00D910DA" w:rsidRDefault="00D910DA" w:rsidP="00674053">
      <w:pPr>
        <w:pStyle w:val="xBodytext1"/>
        <w:jc w:val="both"/>
      </w:pPr>
      <w:r>
        <w:t xml:space="preserve">Reducing social and economic disadvantage will support a better quality of life for Aboriginal and Torres Strait Islander people, leading to a reduction in the burden of disease and improved health outcomes. This, in turn, will contribute to improvements across the spectrum, including economic </w:t>
      </w:r>
      <w:r w:rsidR="00593B6C">
        <w:t>opportunities</w:t>
      </w:r>
      <w:r>
        <w:t xml:space="preserve"> and safe communities. </w:t>
      </w:r>
    </w:p>
    <w:p w:rsidR="00BE5D62" w:rsidRPr="00F35B80" w:rsidRDefault="00505471" w:rsidP="004A795C">
      <w:pPr>
        <w:pStyle w:val="xBodytext1"/>
        <w:jc w:val="both"/>
      </w:pPr>
      <w:r w:rsidRPr="002471B0">
        <w:t xml:space="preserve">The Closing the Gap </w:t>
      </w:r>
      <w:r w:rsidR="00593B6C">
        <w:t>Strategy</w:t>
      </w:r>
      <w:r w:rsidR="00CA7BD5">
        <w:t xml:space="preserve"> also</w:t>
      </w:r>
      <w:r w:rsidRPr="002471B0">
        <w:t xml:space="preserve"> set</w:t>
      </w:r>
      <w:r w:rsidR="00593B6C">
        <w:t>s</w:t>
      </w:r>
      <w:r w:rsidRPr="002471B0">
        <w:t xml:space="preserve"> the platform for the </w:t>
      </w:r>
      <w:r w:rsidRPr="002471B0">
        <w:rPr>
          <w:i/>
        </w:rPr>
        <w:t>National Aboriginal and Torres Strait Islander Health Plan 2013-2023</w:t>
      </w:r>
      <w:r>
        <w:t xml:space="preserve">, with its </w:t>
      </w:r>
      <w:r w:rsidRPr="00EA4A9D">
        <w:t>Implementation Plan</w:t>
      </w:r>
      <w:r>
        <w:t xml:space="preserve"> </w:t>
      </w:r>
      <w:r w:rsidRPr="002471B0">
        <w:t>contain</w:t>
      </w:r>
      <w:r>
        <w:t>ing</w:t>
      </w:r>
      <w:r w:rsidRPr="002471B0">
        <w:t xml:space="preserve"> actions for both community-controlled and mainstream </w:t>
      </w:r>
      <w:r w:rsidR="0036309A">
        <w:t xml:space="preserve">health </w:t>
      </w:r>
      <w:r>
        <w:t xml:space="preserve">systems and </w:t>
      </w:r>
      <w:r w:rsidRPr="002471B0">
        <w:t>services</w:t>
      </w:r>
      <w:r>
        <w:t xml:space="preserve">. The </w:t>
      </w:r>
      <w:r w:rsidRPr="00EA4A9D">
        <w:rPr>
          <w:rFonts w:cs="Arial"/>
        </w:rPr>
        <w:t>Implementation Plan</w:t>
      </w:r>
      <w:r w:rsidRPr="004A795C">
        <w:rPr>
          <w:rFonts w:cs="Arial"/>
        </w:rPr>
        <w:t xml:space="preserve"> will be revised in 2018, informed by the direction outlined within this </w:t>
      </w:r>
      <w:r w:rsidR="002A5946">
        <w:t>Report</w:t>
      </w:r>
      <w:r w:rsidR="002A5946" w:rsidRPr="00F35B80">
        <w:t xml:space="preserve"> </w:t>
      </w:r>
      <w:r w:rsidR="0057341E" w:rsidRPr="00F35B80">
        <w:t xml:space="preserve">and the </w:t>
      </w:r>
      <w:r w:rsidR="0036309A" w:rsidRPr="00F35B80">
        <w:t xml:space="preserve">outcomes of the </w:t>
      </w:r>
      <w:r w:rsidR="0057341E" w:rsidRPr="00F35B80">
        <w:t>Closing the Gap refresh</w:t>
      </w:r>
      <w:r w:rsidR="0036309A" w:rsidRPr="00F35B80">
        <w:t xml:space="preserve"> agenda</w:t>
      </w:r>
      <w:r w:rsidRPr="00F35B80">
        <w:t>.</w:t>
      </w:r>
    </w:p>
    <w:p w:rsidR="00D910DA" w:rsidRDefault="00BE5D62" w:rsidP="004A795C">
      <w:pPr>
        <w:pStyle w:val="xBodytext1"/>
        <w:jc w:val="both"/>
      </w:pPr>
      <w:r w:rsidRPr="00F35B80">
        <w:t xml:space="preserve">In developing the next Implementation Plan, strategies will focus </w:t>
      </w:r>
      <w:r w:rsidRPr="00EA4A9D">
        <w:t>on addressing the importance of culture, healthy lives and empowering the next generation, economic opportunities and engagement in education, healthy homes and strong communities, as well as improving access to services through addressing systemic racism and enhancing cultural competency.</w:t>
      </w:r>
      <w:r w:rsidR="000F4557">
        <w:t xml:space="preserve"> </w:t>
      </w:r>
      <w:r w:rsidR="00D910DA" w:rsidRPr="004A795C">
        <w:t>This will involve collaboration across portfolios</w:t>
      </w:r>
      <w:r w:rsidRPr="00F35B80">
        <w:t>,</w:t>
      </w:r>
      <w:r w:rsidR="00CA7BD5" w:rsidRPr="00F35B80">
        <w:t xml:space="preserve"> Indigenous health leaders</w:t>
      </w:r>
      <w:r w:rsidR="004958A4">
        <w:t xml:space="preserve"> and other key stakeholders</w:t>
      </w:r>
      <w:r w:rsidR="00D910DA" w:rsidRPr="00F35B80">
        <w:t xml:space="preserve"> </w:t>
      </w:r>
      <w:r w:rsidRPr="00F35B80">
        <w:t>in recognition of the essential role of these partnerships in delivering</w:t>
      </w:r>
      <w:r w:rsidRPr="00010C24">
        <w:rPr>
          <w:rFonts w:cs="Arial"/>
        </w:rPr>
        <w:t xml:space="preserve"> the next Implementation Plan</w:t>
      </w:r>
      <w:r>
        <w:rPr>
          <w:rFonts w:cs="Arial"/>
        </w:rPr>
        <w:t>.</w:t>
      </w:r>
      <w:r w:rsidR="00DC2A31">
        <w:rPr>
          <w:rFonts w:cs="Arial"/>
        </w:rPr>
        <w:t xml:space="preserve"> </w:t>
      </w:r>
      <w:r w:rsidR="00DC2A31">
        <w:t xml:space="preserve">There is </w:t>
      </w:r>
      <w:r w:rsidR="007D3B33">
        <w:t xml:space="preserve">an </w:t>
      </w:r>
      <w:r w:rsidR="00DC2A31">
        <w:t>opportunity t</w:t>
      </w:r>
      <w:r w:rsidR="001F14B7">
        <w:t>o continue to pick up key themes raised</w:t>
      </w:r>
      <w:r w:rsidR="00DC2A31">
        <w:t xml:space="preserve"> through the </w:t>
      </w:r>
      <w:r w:rsidR="00DC2A31">
        <w:rPr>
          <w:i/>
        </w:rPr>
        <w:t xml:space="preserve">My Life My Lead </w:t>
      </w:r>
      <w:r w:rsidR="00B47522">
        <w:t xml:space="preserve">consultations </w:t>
      </w:r>
      <w:r w:rsidR="001F14B7">
        <w:t>that are aligned to the broad priorities outlined in this report</w:t>
      </w:r>
      <w:r w:rsidR="00DC2A31">
        <w:t xml:space="preserve">. Government has </w:t>
      </w:r>
      <w:r w:rsidR="001F14B7">
        <w:t xml:space="preserve">also </w:t>
      </w:r>
      <w:r w:rsidR="00DC2A31">
        <w:t xml:space="preserve">established an Interdepartmental Committee to </w:t>
      </w:r>
      <w:r w:rsidR="001F14B7">
        <w:t xml:space="preserve">prioritise </w:t>
      </w:r>
      <w:r w:rsidR="00DC2A31">
        <w:t xml:space="preserve">and refine </w:t>
      </w:r>
      <w:r w:rsidR="00593B6C">
        <w:t>a</w:t>
      </w:r>
      <w:r w:rsidR="00DC2A31">
        <w:t xml:space="preserve"> </w:t>
      </w:r>
      <w:r w:rsidR="001F14B7">
        <w:t>work</w:t>
      </w:r>
      <w:r w:rsidR="005130A3">
        <w:t>-plan</w:t>
      </w:r>
      <w:r w:rsidR="001F14B7">
        <w:t xml:space="preserve"> as</w:t>
      </w:r>
      <w:r w:rsidR="005130A3">
        <w:t xml:space="preserve"> work </w:t>
      </w:r>
      <w:r w:rsidR="001F14B7">
        <w:t>continues</w:t>
      </w:r>
      <w:r w:rsidR="00DC2A31">
        <w:t xml:space="preserve"> towards </w:t>
      </w:r>
      <w:r w:rsidR="004F4B4B">
        <w:t>the next</w:t>
      </w:r>
      <w:r w:rsidR="00DC2A31">
        <w:t xml:space="preserve"> Implementation Plan</w:t>
      </w:r>
      <w:r w:rsidR="004F4B4B">
        <w:t xml:space="preserve"> for 2018-2023</w:t>
      </w:r>
      <w:r w:rsidR="00DC2A31">
        <w:t xml:space="preserve">. </w:t>
      </w:r>
    </w:p>
    <w:p w:rsidR="00936EE5" w:rsidRPr="00674053" w:rsidRDefault="00D910DA" w:rsidP="00674053">
      <w:pPr>
        <w:pStyle w:val="xBodytext1"/>
        <w:jc w:val="both"/>
      </w:pPr>
      <w:r>
        <w:t xml:space="preserve">State and territory governments have agreed to contribute to the </w:t>
      </w:r>
      <w:r w:rsidR="00BE5D62">
        <w:t xml:space="preserve">development of the </w:t>
      </w:r>
      <w:r>
        <w:t xml:space="preserve">next iteration of the </w:t>
      </w:r>
      <w:r w:rsidRPr="00674053">
        <w:t>Implementation Plan</w:t>
      </w:r>
      <w:r>
        <w:t xml:space="preserve">. A key component of this will be to reflect their existing </w:t>
      </w:r>
      <w:r w:rsidR="0057341E">
        <w:t xml:space="preserve">plans, </w:t>
      </w:r>
      <w:r>
        <w:t>efforts and achievements and identify activities that support shared agendas to improve Indigenous health outcomes</w:t>
      </w:r>
      <w:r w:rsidR="00BE5D62">
        <w:t>, in line with the Closing the Gap refresh agenda</w:t>
      </w:r>
      <w:r>
        <w:t xml:space="preserve">. </w:t>
      </w:r>
    </w:p>
    <w:p w:rsidR="00BE5D62" w:rsidRDefault="00BE5D62">
      <w:pPr>
        <w:rPr>
          <w:b/>
          <w:lang w:eastAsia="en-AU"/>
        </w:rPr>
      </w:pPr>
      <w:bookmarkStart w:id="120" w:name="_Toc490742934"/>
      <w:bookmarkStart w:id="121" w:name="_Toc490743173"/>
      <w:bookmarkStart w:id="122" w:name="_Toc490743370"/>
      <w:bookmarkStart w:id="123" w:name="_Toc490743623"/>
      <w:bookmarkStart w:id="124" w:name="_Toc490743702"/>
      <w:bookmarkStart w:id="125" w:name="_Toc490818584"/>
      <w:r>
        <w:rPr>
          <w:b/>
          <w:lang w:eastAsia="en-AU"/>
        </w:rPr>
        <w:br w:type="page"/>
      </w:r>
    </w:p>
    <w:p w:rsidR="00025CBA" w:rsidRPr="005D1E20" w:rsidRDefault="00375CD7" w:rsidP="0016555F">
      <w:pPr>
        <w:pStyle w:val="Heading1BlueAllCaps"/>
      </w:pPr>
      <w:bookmarkStart w:id="126" w:name="_Toc500401398"/>
      <w:bookmarkEnd w:id="119"/>
      <w:bookmarkEnd w:id="120"/>
      <w:bookmarkEnd w:id="121"/>
      <w:bookmarkEnd w:id="122"/>
      <w:bookmarkEnd w:id="123"/>
      <w:bookmarkEnd w:id="124"/>
      <w:bookmarkEnd w:id="125"/>
      <w:r>
        <w:lastRenderedPageBreak/>
        <w:t>REFERENCES</w:t>
      </w:r>
      <w:bookmarkEnd w:id="126"/>
    </w:p>
    <w:sectPr w:rsidR="00025CBA" w:rsidRPr="005D1E20" w:rsidSect="00786209">
      <w:footnotePr>
        <w:numFmt w:val="lowerRoman"/>
      </w:footnotePr>
      <w:endnotePr>
        <w:numFmt w:val="decimal"/>
      </w:endnotePr>
      <w:pgSz w:w="11906" w:h="16838"/>
      <w:pgMar w:top="1134" w:right="1559" w:bottom="1134" w:left="1701" w:header="0" w:footer="113"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62FFC" w:rsidRDefault="00B62FFC">
      <w:pPr>
        <w:spacing w:after="0" w:line="240" w:lineRule="auto"/>
      </w:pPr>
      <w:r>
        <w:separator/>
      </w:r>
    </w:p>
  </w:endnote>
  <w:endnote w:type="continuationSeparator" w:id="0">
    <w:p w:rsidR="00B62FFC" w:rsidRDefault="00B62FFC">
      <w:pPr>
        <w:spacing w:after="0" w:line="240" w:lineRule="auto"/>
      </w:pPr>
      <w:r>
        <w:continuationSeparator/>
      </w:r>
    </w:p>
  </w:endnote>
  <w:endnote w:type="continuationNotice" w:id="1">
    <w:p w:rsidR="00B62FFC" w:rsidRDefault="00B62FFC">
      <w:pPr>
        <w:spacing w:after="0" w:line="240" w:lineRule="auto"/>
      </w:pPr>
    </w:p>
  </w:endnote>
  <w:endnote w:id="2">
    <w:p w:rsidR="00A02A83" w:rsidRDefault="00A02A83">
      <w:pPr>
        <w:pStyle w:val="EndnoteText"/>
      </w:pPr>
      <w:r>
        <w:rPr>
          <w:rStyle w:val="EndnoteReference"/>
        </w:rPr>
        <w:endnoteRef/>
      </w:r>
      <w:r>
        <w:t xml:space="preserve"> </w:t>
      </w:r>
      <w:r w:rsidRPr="00674053">
        <w:rPr>
          <w:rFonts w:cs="Arial"/>
          <w:color w:val="auto"/>
          <w:sz w:val="20"/>
          <w:szCs w:val="20"/>
        </w:rPr>
        <w:t>Australian Health Ministers’ Advisory Council 2017, Aboriginal and Torres Strait Islander Health Performance Framework 2017 Report, AHMAC, Canberra</w:t>
      </w:r>
      <w:r>
        <w:rPr>
          <w:rFonts w:cs="Arial"/>
          <w:color w:val="auto"/>
          <w:sz w:val="20"/>
          <w:szCs w:val="20"/>
        </w:rPr>
        <w:t>.</w:t>
      </w:r>
    </w:p>
  </w:endnote>
  <w:endnote w:id="3">
    <w:p w:rsidR="00A02A83" w:rsidRPr="00674053" w:rsidRDefault="00A02A83" w:rsidP="00BF710E">
      <w:pPr>
        <w:pStyle w:val="EndnoteText"/>
        <w:rPr>
          <w:rFonts w:cs="Arial"/>
          <w:color w:val="auto"/>
          <w:sz w:val="20"/>
          <w:szCs w:val="20"/>
        </w:rPr>
      </w:pPr>
      <w:r w:rsidRPr="00674053">
        <w:rPr>
          <w:rStyle w:val="EndnoteReference"/>
          <w:rFonts w:cs="Arial"/>
          <w:sz w:val="20"/>
          <w:szCs w:val="20"/>
        </w:rPr>
        <w:endnoteRef/>
      </w:r>
      <w:r w:rsidRPr="00674053">
        <w:rPr>
          <w:rFonts w:cs="Arial"/>
          <w:sz w:val="20"/>
          <w:szCs w:val="20"/>
        </w:rPr>
        <w:t xml:space="preserve"> </w:t>
      </w:r>
      <w:r w:rsidRPr="00674053">
        <w:rPr>
          <w:rFonts w:cs="Arial"/>
          <w:color w:val="auto"/>
          <w:sz w:val="20"/>
          <w:szCs w:val="20"/>
        </w:rPr>
        <w:t>Marmot</w:t>
      </w:r>
      <w:r w:rsidR="00F11D30">
        <w:rPr>
          <w:rFonts w:cs="Arial"/>
          <w:color w:val="auto"/>
          <w:sz w:val="20"/>
          <w:szCs w:val="20"/>
        </w:rPr>
        <w:t xml:space="preserve">, M, </w:t>
      </w:r>
      <w:r w:rsidR="00F11D30" w:rsidRPr="00674053">
        <w:rPr>
          <w:rFonts w:cs="Arial"/>
          <w:color w:val="auto"/>
          <w:sz w:val="20"/>
          <w:szCs w:val="20"/>
        </w:rPr>
        <w:t>2015</w:t>
      </w:r>
      <w:r w:rsidR="00F11D30">
        <w:rPr>
          <w:rFonts w:cs="Arial"/>
          <w:color w:val="auto"/>
          <w:sz w:val="20"/>
          <w:szCs w:val="20"/>
        </w:rPr>
        <w:t>,</w:t>
      </w:r>
      <w:r w:rsidRPr="00674053">
        <w:rPr>
          <w:rFonts w:cs="Arial"/>
          <w:color w:val="auto"/>
          <w:sz w:val="20"/>
          <w:szCs w:val="20"/>
        </w:rPr>
        <w:t>,</w:t>
      </w:r>
      <w:r w:rsidR="00F11D30">
        <w:rPr>
          <w:rFonts w:cs="Arial"/>
          <w:color w:val="auto"/>
          <w:sz w:val="20"/>
          <w:szCs w:val="20"/>
        </w:rPr>
        <w:t>The Health Gap: The Challenge of an Unequal World, Bloomsbury Publishing: Great Britain, cited</w:t>
      </w:r>
      <w:r w:rsidRPr="00674053">
        <w:rPr>
          <w:rFonts w:cs="Arial"/>
          <w:color w:val="auto"/>
          <w:sz w:val="20"/>
          <w:szCs w:val="20"/>
        </w:rPr>
        <w:t xml:space="preserve"> in Australian Health Ministers’ Advisory Council 2017, </w:t>
      </w:r>
      <w:r w:rsidRPr="00674053">
        <w:rPr>
          <w:rFonts w:cs="Arial"/>
          <w:i/>
          <w:color w:val="auto"/>
          <w:sz w:val="20"/>
          <w:szCs w:val="20"/>
        </w:rPr>
        <w:t>Aboriginal and Torres Strait Islander Health Performance Framework 2017 Report</w:t>
      </w:r>
      <w:r w:rsidRPr="00674053">
        <w:rPr>
          <w:rFonts w:cs="Arial"/>
          <w:color w:val="auto"/>
          <w:sz w:val="20"/>
          <w:szCs w:val="20"/>
        </w:rPr>
        <w:t>, AHMAC, Canberra.</w:t>
      </w:r>
    </w:p>
  </w:endnote>
  <w:endnote w:id="4">
    <w:p w:rsidR="00A02A83" w:rsidRPr="00674053" w:rsidRDefault="00A02A83">
      <w:pPr>
        <w:pStyle w:val="EndnoteText"/>
        <w:rPr>
          <w:rFonts w:cs="Arial"/>
          <w:color w:val="auto"/>
          <w:sz w:val="20"/>
          <w:szCs w:val="20"/>
        </w:rPr>
      </w:pPr>
      <w:r w:rsidRPr="00674053">
        <w:rPr>
          <w:rStyle w:val="EndnoteReference"/>
          <w:rFonts w:cs="Arial"/>
          <w:color w:val="auto"/>
          <w:sz w:val="20"/>
          <w:szCs w:val="20"/>
        </w:rPr>
        <w:endnoteRef/>
      </w:r>
      <w:r w:rsidRPr="00674053">
        <w:rPr>
          <w:rFonts w:cs="Arial"/>
          <w:color w:val="auto"/>
          <w:sz w:val="20"/>
          <w:szCs w:val="20"/>
        </w:rPr>
        <w:t xml:space="preserve"> Australian Health Ministers’ Advisory Council 2017, Aboriginal and Torres Strait Islander Health Performance Framework 2017 Report, AHMAC, Canberra</w:t>
      </w:r>
      <w:r>
        <w:rPr>
          <w:rFonts w:cs="Arial"/>
          <w:color w:val="auto"/>
          <w:sz w:val="20"/>
          <w:szCs w:val="20"/>
        </w:rPr>
        <w:t>.</w:t>
      </w:r>
    </w:p>
  </w:endnote>
  <w:endnote w:id="5">
    <w:p w:rsidR="009C01EA" w:rsidRPr="00674053" w:rsidRDefault="009C01EA" w:rsidP="009C01EA">
      <w:pPr>
        <w:ind w:right="-613"/>
        <w:rPr>
          <w:rFonts w:eastAsia="Arial" w:cs="Arial"/>
          <w:color w:val="auto"/>
          <w:sz w:val="20"/>
          <w:szCs w:val="20"/>
        </w:rPr>
      </w:pPr>
      <w:r w:rsidRPr="00255F09">
        <w:rPr>
          <w:rStyle w:val="EndnoteReference"/>
          <w:rFonts w:cs="Arial"/>
          <w:color w:val="auto"/>
          <w:sz w:val="20"/>
          <w:szCs w:val="20"/>
        </w:rPr>
        <w:endnoteRef/>
      </w:r>
      <w:r w:rsidRPr="00255F09">
        <w:rPr>
          <w:rFonts w:eastAsia="Arial" w:cs="Arial"/>
          <w:color w:val="auto"/>
          <w:sz w:val="20"/>
          <w:szCs w:val="20"/>
        </w:rPr>
        <w:t xml:space="preserve"> </w:t>
      </w:r>
      <w:r w:rsidRPr="00674053">
        <w:rPr>
          <w:rFonts w:cs="Arial"/>
          <w:color w:val="auto"/>
          <w:sz w:val="20"/>
          <w:szCs w:val="20"/>
        </w:rPr>
        <w:t>Australian Health Ministers’ Advisory Council 2017, Aboriginal and Torres Strait Islander Health Performance Framework 2017 Report, AHMAC, Canberra</w:t>
      </w:r>
      <w:r>
        <w:rPr>
          <w:rFonts w:cs="Arial"/>
          <w:color w:val="auto"/>
          <w:sz w:val="20"/>
          <w:szCs w:val="20"/>
        </w:rPr>
        <w:t>.</w:t>
      </w:r>
      <w:r w:rsidRPr="00674053">
        <w:rPr>
          <w:rFonts w:cs="Arial"/>
          <w:color w:val="auto"/>
          <w:sz w:val="20"/>
          <w:szCs w:val="20"/>
        </w:rPr>
        <w:t>.</w:t>
      </w:r>
    </w:p>
  </w:endnote>
  <w:endnote w:id="6">
    <w:p w:rsidR="00A02A83" w:rsidRPr="00674053" w:rsidRDefault="00A02A83" w:rsidP="00442467">
      <w:pPr>
        <w:pStyle w:val="EndnoteText"/>
        <w:rPr>
          <w:rFonts w:cs="Arial"/>
          <w:color w:val="auto"/>
          <w:sz w:val="20"/>
          <w:szCs w:val="20"/>
        </w:rPr>
      </w:pPr>
      <w:r w:rsidRPr="00674053">
        <w:rPr>
          <w:rStyle w:val="EndnoteReference"/>
          <w:rFonts w:cs="Arial"/>
          <w:color w:val="auto"/>
          <w:sz w:val="20"/>
          <w:szCs w:val="20"/>
        </w:rPr>
        <w:endnoteRef/>
      </w:r>
      <w:r w:rsidRPr="00674053">
        <w:rPr>
          <w:rFonts w:cs="Arial"/>
          <w:color w:val="auto"/>
          <w:sz w:val="20"/>
          <w:szCs w:val="20"/>
        </w:rPr>
        <w:t xml:space="preserve"> Department of the Prime Minister and Cabinet 2017, </w:t>
      </w:r>
      <w:r w:rsidRPr="00674053">
        <w:rPr>
          <w:rFonts w:cs="Arial"/>
          <w:i/>
          <w:color w:val="auto"/>
          <w:sz w:val="20"/>
          <w:szCs w:val="20"/>
        </w:rPr>
        <w:t>Closing the Gap Prime Minister’s Report 2017</w:t>
      </w:r>
      <w:r w:rsidRPr="00674053">
        <w:rPr>
          <w:rFonts w:cs="Arial"/>
          <w:color w:val="auto"/>
          <w:sz w:val="20"/>
          <w:szCs w:val="20"/>
        </w:rPr>
        <w:t>, Commonwealth of Australia, Canberra.</w:t>
      </w:r>
    </w:p>
  </w:endnote>
  <w:endnote w:id="7">
    <w:p w:rsidR="00A02A83" w:rsidRPr="00674053" w:rsidRDefault="00A02A83" w:rsidP="00144300">
      <w:pPr>
        <w:rPr>
          <w:rFonts w:eastAsia="Arial" w:cs="Arial"/>
          <w:color w:val="auto"/>
          <w:sz w:val="20"/>
          <w:szCs w:val="20"/>
        </w:rPr>
      </w:pPr>
      <w:r w:rsidRPr="00255F09">
        <w:rPr>
          <w:rStyle w:val="EndnoteReference"/>
          <w:rFonts w:cs="Arial"/>
          <w:color w:val="auto"/>
          <w:sz w:val="20"/>
          <w:szCs w:val="20"/>
        </w:rPr>
        <w:endnoteRef/>
      </w:r>
      <w:r w:rsidRPr="00255F09" w:rsidDel="003456A9">
        <w:rPr>
          <w:rFonts w:eastAsia="Arial" w:cs="Arial"/>
          <w:color w:val="auto"/>
          <w:sz w:val="20"/>
          <w:szCs w:val="20"/>
        </w:rPr>
        <w:t xml:space="preserve"> </w:t>
      </w:r>
      <w:r w:rsidRPr="00674053">
        <w:rPr>
          <w:rFonts w:eastAsia="Arial" w:cs="Arial"/>
          <w:color w:val="auto"/>
          <w:sz w:val="20"/>
          <w:szCs w:val="20"/>
        </w:rPr>
        <w:t xml:space="preserve">Department of Health and Ageing, </w:t>
      </w:r>
      <w:r w:rsidRPr="00674053">
        <w:rPr>
          <w:rFonts w:eastAsia="Arial" w:cs="Arial"/>
          <w:i/>
          <w:color w:val="auto"/>
          <w:sz w:val="20"/>
          <w:szCs w:val="20"/>
        </w:rPr>
        <w:t>National Aboriginal and Torres Strait Islander Health Plan 2013-2023</w:t>
      </w:r>
      <w:r w:rsidRPr="00674053">
        <w:rPr>
          <w:rFonts w:eastAsia="Arial" w:cs="Arial"/>
          <w:color w:val="auto"/>
          <w:sz w:val="20"/>
          <w:szCs w:val="20"/>
        </w:rPr>
        <w:t>, Commonwealth of Australia, Canberra</w:t>
      </w:r>
      <w:r>
        <w:rPr>
          <w:rFonts w:eastAsia="Arial" w:cs="Arial"/>
          <w:color w:val="auto"/>
          <w:sz w:val="20"/>
          <w:szCs w:val="20"/>
        </w:rPr>
        <w:t>.</w:t>
      </w:r>
    </w:p>
  </w:endnote>
  <w:endnote w:id="8">
    <w:p w:rsidR="00A02A83" w:rsidRPr="00674053" w:rsidRDefault="00A02A83" w:rsidP="00893FA3">
      <w:pPr>
        <w:pStyle w:val="EndnoteText"/>
        <w:rPr>
          <w:sz w:val="20"/>
          <w:szCs w:val="20"/>
        </w:rPr>
      </w:pPr>
      <w:r w:rsidRPr="00674053">
        <w:rPr>
          <w:rStyle w:val="EndnoteReference"/>
          <w:sz w:val="20"/>
          <w:szCs w:val="20"/>
        </w:rPr>
        <w:endnoteRef/>
      </w:r>
      <w:r w:rsidRPr="00674053">
        <w:rPr>
          <w:sz w:val="20"/>
          <w:szCs w:val="20"/>
        </w:rPr>
        <w:t xml:space="preserve"> Commonwealth of Australia, Department of the Prime Minister and Cabinet, </w:t>
      </w:r>
      <w:r w:rsidRPr="00674053">
        <w:rPr>
          <w:i/>
          <w:sz w:val="20"/>
          <w:szCs w:val="20"/>
        </w:rPr>
        <w:t>National Strategic Framework for Aboriginal and Torres Strait Islander Peoples’ Mental Health and Social and Emotional Wellbeing 2017-2023</w:t>
      </w:r>
      <w:r w:rsidRPr="00674053">
        <w:rPr>
          <w:sz w:val="20"/>
          <w:szCs w:val="20"/>
        </w:rPr>
        <w:t>.</w:t>
      </w:r>
    </w:p>
  </w:endnote>
  <w:endnote w:id="9">
    <w:p w:rsidR="00A02A83" w:rsidRDefault="00A02A83">
      <w:pPr>
        <w:pStyle w:val="EndnoteText"/>
      </w:pPr>
      <w:r>
        <w:rPr>
          <w:rStyle w:val="EndnoteReference"/>
        </w:rPr>
        <w:endnoteRef/>
      </w:r>
      <w:r>
        <w:t xml:space="preserve"> </w:t>
      </w:r>
      <w:r w:rsidRPr="002E3131">
        <w:rPr>
          <w:rFonts w:eastAsia="Arial" w:cs="Arial"/>
          <w:color w:val="auto"/>
          <w:sz w:val="20"/>
          <w:szCs w:val="20"/>
        </w:rPr>
        <w:t xml:space="preserve">Prof. </w:t>
      </w:r>
      <w:r w:rsidRPr="002E3131">
        <w:rPr>
          <w:rFonts w:cs="Arial"/>
          <w:color w:val="auto"/>
          <w:sz w:val="20"/>
          <w:szCs w:val="20"/>
        </w:rPr>
        <w:t>Ngiare</w:t>
      </w:r>
      <w:r w:rsidRPr="002E3131">
        <w:rPr>
          <w:rFonts w:eastAsia="Arial" w:cs="Arial"/>
          <w:color w:val="auto"/>
          <w:sz w:val="20"/>
          <w:szCs w:val="20"/>
        </w:rPr>
        <w:t xml:space="preserve"> Brown (undated), cited in The Lowitja Institute – Cultural Determinants Roundtable, Melbourne 26</w:t>
      </w:r>
      <w:r w:rsidRPr="002E3131">
        <w:rPr>
          <w:rFonts w:eastAsia="Arial" w:cs="Arial"/>
          <w:color w:val="auto"/>
          <w:sz w:val="20"/>
          <w:szCs w:val="20"/>
          <w:vertAlign w:val="superscript"/>
        </w:rPr>
        <w:t>th</w:t>
      </w:r>
      <w:r w:rsidRPr="002E3131">
        <w:rPr>
          <w:rFonts w:eastAsia="Arial" w:cs="Arial"/>
          <w:color w:val="auto"/>
          <w:sz w:val="20"/>
          <w:szCs w:val="20"/>
        </w:rPr>
        <w:t xml:space="preserve"> November 2014, Background Paper, online: </w:t>
      </w:r>
      <w:hyperlink r:id="rId1" w:tooltip="Link to Lowitja Insitute cultural determinants roundtable">
        <w:r w:rsidRPr="002E3131">
          <w:rPr>
            <w:rFonts w:eastAsia="Arial" w:cs="Arial"/>
            <w:color w:val="auto"/>
            <w:sz w:val="20"/>
            <w:szCs w:val="20"/>
            <w:u w:val="single"/>
          </w:rPr>
          <w:t>http://www.lowitja.org.au/sites/default/files/docs/Cultural-Determinants-Roundtable-Background-Paper.pdf</w:t>
        </w:r>
      </w:hyperlink>
      <w:r w:rsidRPr="002E3131">
        <w:rPr>
          <w:rFonts w:eastAsia="Arial" w:cs="Arial"/>
          <w:color w:val="auto"/>
          <w:sz w:val="20"/>
          <w:szCs w:val="20"/>
        </w:rPr>
        <w:t>.</w:t>
      </w:r>
    </w:p>
  </w:endnote>
  <w:endnote w:id="10">
    <w:p w:rsidR="00A02A83" w:rsidRPr="00CC2902" w:rsidRDefault="00A02A83" w:rsidP="00CC2902">
      <w:pPr>
        <w:pStyle w:val="xBodyText10"/>
        <w:spacing w:after="200" w:line="276" w:lineRule="auto"/>
        <w:rPr>
          <w:rFonts w:eastAsiaTheme="minorHAnsi"/>
          <w:lang w:val="en"/>
        </w:rPr>
      </w:pPr>
      <w:r w:rsidRPr="00674053">
        <w:rPr>
          <w:rStyle w:val="EndnoteReference"/>
        </w:rPr>
        <w:endnoteRef/>
      </w:r>
      <w:r w:rsidRPr="00674053">
        <w:t xml:space="preserve"> Van </w:t>
      </w:r>
      <w:r w:rsidRPr="00F91A71">
        <w:t xml:space="preserve">der Kolk, B 2014, The </w:t>
      </w:r>
      <w:r w:rsidRPr="00CC2902">
        <w:rPr>
          <w:rFonts w:eastAsiaTheme="minorHAnsi" w:cstheme="minorBidi"/>
          <w:color w:val="000000"/>
          <w:sz w:val="22"/>
          <w:szCs w:val="22"/>
          <w:lang w:eastAsia="en-US"/>
        </w:rPr>
        <w:t>Body Keeps the Score: Mind, Brain and Body in the Healing of Trauma, Viking Penguin, New York.</w:t>
      </w:r>
    </w:p>
  </w:endnote>
  <w:endnote w:id="11">
    <w:p w:rsidR="00A02A83" w:rsidRPr="00674053" w:rsidRDefault="00A02A83" w:rsidP="00666C41">
      <w:pPr>
        <w:pStyle w:val="EndnoteText"/>
        <w:rPr>
          <w:rFonts w:cs="Arial"/>
          <w:color w:val="auto"/>
          <w:sz w:val="20"/>
          <w:szCs w:val="20"/>
        </w:rPr>
      </w:pPr>
      <w:r w:rsidRPr="00674053">
        <w:rPr>
          <w:rStyle w:val="EndnoteReference"/>
          <w:rFonts w:cs="Arial"/>
          <w:color w:val="auto"/>
          <w:sz w:val="20"/>
          <w:szCs w:val="20"/>
        </w:rPr>
        <w:endnoteRef/>
      </w:r>
      <w:r w:rsidRPr="00674053">
        <w:rPr>
          <w:rFonts w:cs="Arial"/>
          <w:color w:val="auto"/>
          <w:sz w:val="20"/>
          <w:szCs w:val="20"/>
        </w:rPr>
        <w:t xml:space="preserve"> Priest, Naomi, 2016, ‘Research reveals what racism can do to a child’s body’, UNICEF, 24/11/2016. Viewed 21 July 2017, </w:t>
      </w:r>
      <w:hyperlink r:id="rId2" w:tooltip="UNICEF research conducted by Naomi Priest on racism" w:history="1">
        <w:r w:rsidRPr="00674053">
          <w:rPr>
            <w:rStyle w:val="Hyperlink"/>
            <w:rFonts w:cs="Arial"/>
            <w:color w:val="auto"/>
            <w:sz w:val="20"/>
            <w:szCs w:val="20"/>
          </w:rPr>
          <w:t>https://www.unicef.org.au/blog/news-and-insights/november-2016/research-reveals-what-racism-can-do-to-a-childs-body</w:t>
        </w:r>
      </w:hyperlink>
      <w:r w:rsidRPr="00674053">
        <w:rPr>
          <w:rFonts w:cs="Arial"/>
          <w:color w:val="auto"/>
          <w:sz w:val="20"/>
          <w:szCs w:val="20"/>
        </w:rPr>
        <w:t xml:space="preserve">. </w:t>
      </w:r>
    </w:p>
  </w:endnote>
  <w:endnote w:id="12">
    <w:p w:rsidR="00A02A83" w:rsidRPr="00674053" w:rsidRDefault="00A02A83" w:rsidP="00666C41">
      <w:pPr>
        <w:pStyle w:val="EndnoteText"/>
        <w:rPr>
          <w:rFonts w:cs="Arial"/>
          <w:color w:val="auto"/>
          <w:sz w:val="20"/>
          <w:szCs w:val="20"/>
        </w:rPr>
      </w:pPr>
      <w:r w:rsidRPr="00674053">
        <w:rPr>
          <w:rStyle w:val="EndnoteReference"/>
          <w:rFonts w:cs="Arial"/>
          <w:color w:val="auto"/>
          <w:sz w:val="20"/>
          <w:szCs w:val="20"/>
        </w:rPr>
        <w:endnoteRef/>
      </w:r>
      <w:r w:rsidRPr="00674053">
        <w:rPr>
          <w:rFonts w:cs="Arial"/>
          <w:color w:val="auto"/>
          <w:sz w:val="20"/>
          <w:szCs w:val="20"/>
        </w:rPr>
        <w:t xml:space="preserve"> Paradies, Y, Harris, R &amp; Anderson, I 2008, The Impact of Racism on Indigenous Health in Australia and Aotearoa: Towards a Research Agenda, Discussion Paper No. 4, Cooperative Research Centre for Aboriginal Health, Darwin, </w:t>
      </w:r>
      <w:hyperlink r:id="rId3" w:tooltip="Yin Paradies et al research on impact of racism on Indigenous health" w:history="1">
        <w:r w:rsidRPr="00674053">
          <w:rPr>
            <w:rStyle w:val="Hyperlink"/>
            <w:rFonts w:cs="Arial"/>
            <w:color w:val="auto"/>
            <w:sz w:val="20"/>
            <w:szCs w:val="20"/>
          </w:rPr>
          <w:t>https://www.lowitja.org.au/sites/default/files/docs/Racism-Report.pdf</w:t>
        </w:r>
      </w:hyperlink>
      <w:r w:rsidRPr="00674053">
        <w:rPr>
          <w:rFonts w:cs="Arial"/>
          <w:color w:val="auto"/>
          <w:sz w:val="20"/>
          <w:szCs w:val="20"/>
        </w:rPr>
        <w:t xml:space="preserve">. </w:t>
      </w:r>
    </w:p>
  </w:endnote>
  <w:endnote w:id="13">
    <w:p w:rsidR="00A02A83" w:rsidRPr="00674053" w:rsidRDefault="00A02A83" w:rsidP="00666C41">
      <w:pPr>
        <w:pStyle w:val="EndnoteText"/>
        <w:rPr>
          <w:rFonts w:cs="Arial"/>
          <w:color w:val="auto"/>
          <w:sz w:val="20"/>
          <w:szCs w:val="20"/>
        </w:rPr>
      </w:pPr>
      <w:r w:rsidRPr="00674053">
        <w:rPr>
          <w:rStyle w:val="EndnoteReference"/>
          <w:rFonts w:cs="Arial"/>
          <w:color w:val="auto"/>
          <w:sz w:val="20"/>
          <w:szCs w:val="20"/>
        </w:rPr>
        <w:endnoteRef/>
      </w:r>
      <w:r w:rsidRPr="00674053">
        <w:rPr>
          <w:rFonts w:cs="Arial"/>
          <w:color w:val="auto"/>
          <w:sz w:val="20"/>
          <w:szCs w:val="20"/>
        </w:rPr>
        <w:t xml:space="preserve"> Australian Bureau of Statistics 2017, </w:t>
      </w:r>
      <w:r w:rsidRPr="00674053">
        <w:rPr>
          <w:rFonts w:cs="Arial"/>
          <w:i/>
          <w:color w:val="auto"/>
          <w:sz w:val="20"/>
          <w:szCs w:val="20"/>
        </w:rPr>
        <w:t>2016 Census Data Summary: Aboriginal and Torres Strait Islander Population</w:t>
      </w:r>
      <w:r w:rsidRPr="00674053">
        <w:rPr>
          <w:rFonts w:cs="Arial"/>
          <w:color w:val="auto"/>
          <w:sz w:val="20"/>
          <w:szCs w:val="20"/>
        </w:rPr>
        <w:t>, Commonwealth of Australia.</w:t>
      </w:r>
    </w:p>
  </w:endnote>
  <w:endnote w:id="14">
    <w:p w:rsidR="00A02A83" w:rsidRPr="00674053" w:rsidRDefault="00A02A83" w:rsidP="00666C41">
      <w:pPr>
        <w:pStyle w:val="EndnoteText"/>
        <w:rPr>
          <w:rFonts w:cs="Arial"/>
          <w:color w:val="auto"/>
          <w:sz w:val="20"/>
          <w:szCs w:val="20"/>
        </w:rPr>
      </w:pPr>
      <w:r w:rsidRPr="00674053">
        <w:rPr>
          <w:rStyle w:val="EndnoteReference"/>
          <w:rFonts w:cs="Arial"/>
          <w:color w:val="auto"/>
          <w:sz w:val="20"/>
          <w:szCs w:val="20"/>
        </w:rPr>
        <w:endnoteRef/>
      </w:r>
      <w:r w:rsidRPr="00674053">
        <w:rPr>
          <w:rFonts w:cs="Arial"/>
          <w:color w:val="auto"/>
          <w:sz w:val="20"/>
          <w:szCs w:val="20"/>
        </w:rPr>
        <w:t xml:space="preserve"> Behrendt 2006, cited in Scrimgeour, M. &amp; Scrimgeour, D. 2008, Health Care Access for Aboriginal and Torres Strait Islander People Living in Urban Areas, and</w:t>
      </w:r>
      <w:r>
        <w:rPr>
          <w:rFonts w:cs="Arial"/>
          <w:color w:val="auto"/>
          <w:sz w:val="20"/>
          <w:szCs w:val="20"/>
        </w:rPr>
        <w:t xml:space="preserve"> </w:t>
      </w:r>
      <w:r w:rsidRPr="00674053">
        <w:rPr>
          <w:rFonts w:cs="Arial"/>
          <w:color w:val="auto"/>
          <w:sz w:val="20"/>
          <w:szCs w:val="20"/>
        </w:rPr>
        <w:t xml:space="preserve">Related Research Issues: A Review of the Literature, Cooperative Research Centre for Aboriginal Health, Casuarina. </w:t>
      </w:r>
    </w:p>
  </w:endnote>
  <w:endnote w:id="15">
    <w:p w:rsidR="00A02A83" w:rsidRPr="00A0132F" w:rsidRDefault="00A02A83" w:rsidP="00666C41">
      <w:pPr>
        <w:pStyle w:val="Default"/>
        <w:rPr>
          <w:rFonts w:ascii="Arial" w:hAnsi="Arial" w:cs="Arial"/>
          <w:color w:val="auto"/>
          <w:sz w:val="20"/>
          <w:szCs w:val="20"/>
        </w:rPr>
      </w:pPr>
      <w:r w:rsidRPr="00A0132F">
        <w:rPr>
          <w:rStyle w:val="EndnoteReference"/>
          <w:rFonts w:ascii="Arial" w:hAnsi="Arial" w:cs="Arial"/>
          <w:color w:val="auto"/>
          <w:sz w:val="20"/>
          <w:szCs w:val="20"/>
        </w:rPr>
        <w:endnoteRef/>
      </w:r>
      <w:r w:rsidRPr="00A0132F">
        <w:rPr>
          <w:rFonts w:ascii="Arial" w:hAnsi="Arial" w:cs="Arial"/>
          <w:color w:val="auto"/>
          <w:sz w:val="20"/>
          <w:szCs w:val="20"/>
        </w:rPr>
        <w:t xml:space="preserve">  Aboriginal and Torres Strait Islander Mental Health and Suicide Prevention Advisory Group (2016)  </w:t>
      </w:r>
      <w:r w:rsidRPr="00A0132F">
        <w:rPr>
          <w:rFonts w:ascii="Arial" w:hAnsi="Arial" w:cs="Arial"/>
          <w:i/>
          <w:color w:val="auto"/>
          <w:sz w:val="20"/>
          <w:szCs w:val="20"/>
        </w:rPr>
        <w:t xml:space="preserve">National Strategic Framework for Aboriginal and Torres Strait Islander Peoples’ Mental Health and Social and Emotional Wellbeing 2017-2023 </w:t>
      </w:r>
      <w:r w:rsidRPr="00A0132F">
        <w:rPr>
          <w:rFonts w:ascii="Arial" w:hAnsi="Arial" w:cs="Arial"/>
          <w:color w:val="auto"/>
          <w:sz w:val="20"/>
          <w:szCs w:val="20"/>
        </w:rPr>
        <w:t>Commonwealth of Australia</w:t>
      </w:r>
      <w:r>
        <w:rPr>
          <w:rFonts w:ascii="Arial" w:hAnsi="Arial" w:cs="Arial"/>
          <w:color w:val="auto"/>
          <w:sz w:val="20"/>
          <w:szCs w:val="20"/>
        </w:rPr>
        <w:t>.</w:t>
      </w:r>
    </w:p>
  </w:endnote>
  <w:endnote w:id="16">
    <w:p w:rsidR="00A02A83" w:rsidRPr="00674053" w:rsidRDefault="00A02A83" w:rsidP="00964DA6">
      <w:pPr>
        <w:rPr>
          <w:rFonts w:eastAsia="Arial" w:cs="Arial"/>
          <w:color w:val="auto"/>
          <w:sz w:val="20"/>
          <w:szCs w:val="20"/>
        </w:rPr>
      </w:pPr>
      <w:r w:rsidRPr="00255F09">
        <w:rPr>
          <w:rStyle w:val="EndnoteReference"/>
          <w:rFonts w:cs="Arial"/>
          <w:color w:val="auto"/>
          <w:sz w:val="20"/>
          <w:szCs w:val="20"/>
        </w:rPr>
        <w:endnoteRef/>
      </w:r>
      <w:r w:rsidRPr="00255F09">
        <w:rPr>
          <w:rFonts w:eastAsia="Arial" w:cs="Arial"/>
          <w:color w:val="auto"/>
          <w:sz w:val="20"/>
          <w:szCs w:val="20"/>
        </w:rPr>
        <w:t xml:space="preserve"> </w:t>
      </w:r>
      <w:r w:rsidRPr="00674053">
        <w:rPr>
          <w:rFonts w:cs="Arial"/>
          <w:color w:val="auto"/>
          <w:sz w:val="20"/>
          <w:szCs w:val="20"/>
        </w:rPr>
        <w:t>Commission on Social Determinants of Health 2008, ‘Closing the gap in a generation: Health equity through action on the social determinants of health, CSDH, World Health Organization, Geneva.</w:t>
      </w:r>
    </w:p>
  </w:endnote>
  <w:endnote w:id="17">
    <w:p w:rsidR="00A02A83" w:rsidRPr="00674053" w:rsidRDefault="00A02A83" w:rsidP="00964DA6">
      <w:pPr>
        <w:rPr>
          <w:rFonts w:eastAsia="Calibri" w:cs="Arial"/>
          <w:color w:val="auto"/>
          <w:sz w:val="20"/>
          <w:szCs w:val="20"/>
        </w:rPr>
      </w:pPr>
      <w:r w:rsidRPr="00255F09">
        <w:rPr>
          <w:rStyle w:val="EndnoteReference"/>
          <w:rFonts w:cs="Arial"/>
          <w:color w:val="auto"/>
          <w:sz w:val="20"/>
          <w:szCs w:val="20"/>
        </w:rPr>
        <w:endnoteRef/>
      </w:r>
      <w:r w:rsidRPr="00255F09">
        <w:rPr>
          <w:rFonts w:eastAsia="Calibri" w:cs="Arial"/>
          <w:color w:val="auto"/>
          <w:sz w:val="20"/>
          <w:szCs w:val="20"/>
        </w:rPr>
        <w:t xml:space="preserve"> </w:t>
      </w:r>
      <w:r w:rsidRPr="00674053">
        <w:rPr>
          <w:rFonts w:cs="Arial"/>
          <w:color w:val="auto"/>
          <w:sz w:val="20"/>
          <w:szCs w:val="20"/>
        </w:rPr>
        <w:t xml:space="preserve">Commonwealth of Australia 2013, </w:t>
      </w:r>
      <w:r w:rsidRPr="00674053">
        <w:rPr>
          <w:rFonts w:cs="Arial"/>
          <w:i/>
          <w:color w:val="auto"/>
          <w:sz w:val="20"/>
          <w:szCs w:val="20"/>
        </w:rPr>
        <w:t>Australia's domestic response to the World Health Organization's (WHO) Commission on Social Determinants of Health report "Closing the gap within a generation"</w:t>
      </w:r>
      <w:r w:rsidRPr="00674053">
        <w:rPr>
          <w:rFonts w:cs="Arial"/>
          <w:color w:val="auto"/>
          <w:sz w:val="20"/>
          <w:szCs w:val="20"/>
        </w:rPr>
        <w:t>, Senate Community Affairs Committee, Commonwealth of Australia, Canberra.</w:t>
      </w:r>
    </w:p>
  </w:endnote>
  <w:endnote w:id="18">
    <w:p w:rsidR="00A02A83" w:rsidRPr="00674053" w:rsidRDefault="00A02A83" w:rsidP="00A1697F">
      <w:pPr>
        <w:rPr>
          <w:rFonts w:cs="Arial"/>
          <w:color w:val="auto"/>
          <w:sz w:val="20"/>
          <w:szCs w:val="20"/>
          <w:lang w:val="en" w:eastAsia="en-AU"/>
        </w:rPr>
      </w:pPr>
      <w:r w:rsidRPr="00255F09">
        <w:rPr>
          <w:rStyle w:val="EndnoteReference"/>
          <w:rFonts w:cs="Arial"/>
          <w:color w:val="auto"/>
          <w:sz w:val="20"/>
          <w:szCs w:val="20"/>
        </w:rPr>
        <w:endnoteRef/>
      </w:r>
      <w:r w:rsidRPr="00255F09">
        <w:rPr>
          <w:rFonts w:eastAsia="Arial" w:cs="Arial"/>
          <w:color w:val="auto"/>
          <w:sz w:val="20"/>
          <w:szCs w:val="20"/>
        </w:rPr>
        <w:t xml:space="preserve"> </w:t>
      </w:r>
      <w:r w:rsidRPr="00674053">
        <w:rPr>
          <w:rFonts w:cs="Arial"/>
          <w:color w:val="auto"/>
          <w:sz w:val="20"/>
          <w:szCs w:val="20"/>
          <w:lang w:val="en" w:eastAsia="en-AU"/>
        </w:rPr>
        <w:t>Kalb, G, Le, T &amp; Leung, F 2011, Decomposing differences in labour force status between Indigenous and non-Indigenous Australians, Melbourne Institute of Applied Economic and Social Research Report, Melbourne</w:t>
      </w:r>
      <w:r>
        <w:rPr>
          <w:rFonts w:cs="Arial"/>
          <w:color w:val="auto"/>
          <w:sz w:val="20"/>
          <w:szCs w:val="20"/>
          <w:lang w:val="en" w:eastAsia="en-AU"/>
        </w:rPr>
        <w:t>.</w:t>
      </w:r>
    </w:p>
  </w:endnote>
  <w:endnote w:id="19">
    <w:p w:rsidR="00A02A83" w:rsidRPr="00674053" w:rsidRDefault="00A02A83" w:rsidP="00A1697F">
      <w:pPr>
        <w:rPr>
          <w:rFonts w:eastAsia="Arial" w:cs="Arial"/>
          <w:color w:val="auto"/>
          <w:sz w:val="20"/>
          <w:szCs w:val="20"/>
        </w:rPr>
      </w:pPr>
      <w:r w:rsidRPr="00255F09">
        <w:rPr>
          <w:rStyle w:val="EndnoteReference"/>
          <w:rFonts w:cs="Arial"/>
          <w:color w:val="auto"/>
          <w:sz w:val="20"/>
          <w:szCs w:val="20"/>
        </w:rPr>
        <w:endnoteRef/>
      </w:r>
      <w:r w:rsidRPr="00255F09">
        <w:rPr>
          <w:rFonts w:eastAsia="Arial" w:cs="Arial"/>
          <w:color w:val="auto"/>
          <w:sz w:val="20"/>
          <w:szCs w:val="20"/>
        </w:rPr>
        <w:t xml:space="preserve"> </w:t>
      </w:r>
      <w:r w:rsidRPr="00674053">
        <w:rPr>
          <w:rFonts w:cs="Arial"/>
          <w:color w:val="auto"/>
          <w:sz w:val="20"/>
          <w:szCs w:val="20"/>
        </w:rPr>
        <w:t xml:space="preserve">Cummins, RA, Woerner, J, Tomyn, A, Gibson, A &amp; Knapp, T 2006, </w:t>
      </w:r>
      <w:r w:rsidRPr="00674053">
        <w:rPr>
          <w:rFonts w:cs="Arial"/>
          <w:i/>
          <w:color w:val="auto"/>
          <w:sz w:val="20"/>
          <w:szCs w:val="20"/>
        </w:rPr>
        <w:t>Australian Unity Wellbeing Index Survey 16: “The Wellbeing of Australians – Mortgage Payments and Home Ownership”</w:t>
      </w:r>
      <w:r w:rsidRPr="00674053">
        <w:rPr>
          <w:rFonts w:cs="Arial"/>
          <w:color w:val="auto"/>
          <w:sz w:val="20"/>
          <w:szCs w:val="20"/>
        </w:rPr>
        <w:t>, Australian Centre on Quality of Life, Deakin University, Melbourne.</w:t>
      </w:r>
    </w:p>
  </w:endnote>
  <w:endnote w:id="20">
    <w:p w:rsidR="00A02A83" w:rsidRPr="00674053" w:rsidRDefault="00A02A83">
      <w:pPr>
        <w:pStyle w:val="EndnoteText"/>
        <w:rPr>
          <w:sz w:val="20"/>
          <w:szCs w:val="20"/>
        </w:rPr>
      </w:pPr>
      <w:r w:rsidRPr="00674053">
        <w:rPr>
          <w:rStyle w:val="EndnoteReference"/>
          <w:sz w:val="20"/>
          <w:szCs w:val="20"/>
        </w:rPr>
        <w:endnoteRef/>
      </w:r>
      <w:r w:rsidRPr="00674053">
        <w:rPr>
          <w:sz w:val="20"/>
          <w:szCs w:val="20"/>
        </w:rPr>
        <w:t xml:space="preserve"> </w:t>
      </w:r>
      <w:r w:rsidRPr="00255F09">
        <w:rPr>
          <w:rFonts w:cs="Arial"/>
          <w:color w:val="auto"/>
          <w:sz w:val="20"/>
          <w:szCs w:val="20"/>
        </w:rPr>
        <w:t xml:space="preserve">Department of the Prime Minister and Cabinet 2017, </w:t>
      </w:r>
      <w:r w:rsidRPr="00674053">
        <w:rPr>
          <w:rFonts w:cs="Arial"/>
          <w:i/>
          <w:color w:val="auto"/>
          <w:sz w:val="20"/>
          <w:szCs w:val="20"/>
        </w:rPr>
        <w:t>Closing the Gap Prime Minister’s Report 2017</w:t>
      </w:r>
      <w:r w:rsidRPr="00674053">
        <w:rPr>
          <w:rFonts w:cs="Arial"/>
          <w:color w:val="auto"/>
          <w:sz w:val="20"/>
          <w:szCs w:val="20"/>
        </w:rPr>
        <w:t>, Commonwealth of Australia, Canberra.</w:t>
      </w:r>
    </w:p>
  </w:endnote>
  <w:endnote w:id="21">
    <w:p w:rsidR="00A02A83" w:rsidRPr="00674053" w:rsidRDefault="00A02A83" w:rsidP="00C36560">
      <w:pPr>
        <w:rPr>
          <w:rFonts w:eastAsia="Arial" w:cs="Arial"/>
          <w:color w:val="auto"/>
          <w:sz w:val="20"/>
          <w:szCs w:val="20"/>
        </w:rPr>
      </w:pPr>
      <w:r w:rsidRPr="00255F09">
        <w:rPr>
          <w:rStyle w:val="EndnoteReference"/>
          <w:rFonts w:cs="Arial"/>
          <w:color w:val="auto"/>
          <w:sz w:val="20"/>
          <w:szCs w:val="20"/>
        </w:rPr>
        <w:endnoteRef/>
      </w:r>
      <w:r w:rsidRPr="00674053">
        <w:rPr>
          <w:rFonts w:eastAsia="Arial" w:cs="Arial"/>
          <w:color w:val="auto"/>
          <w:sz w:val="20"/>
          <w:szCs w:val="20"/>
        </w:rPr>
        <w:t xml:space="preserve"> </w:t>
      </w:r>
      <w:r w:rsidRPr="00674053">
        <w:rPr>
          <w:rFonts w:cs="Arial"/>
          <w:color w:val="auto"/>
          <w:sz w:val="20"/>
          <w:szCs w:val="20"/>
        </w:rPr>
        <w:t>Emerson, L., Fox, S. &amp; Smith, C. 2015, Good Beginnings: Getting it right in the early years, The Lowitja Institute, Melbourne.</w:t>
      </w:r>
    </w:p>
  </w:endnote>
  <w:endnote w:id="22">
    <w:p w:rsidR="00A02A83" w:rsidRPr="00A0132F" w:rsidRDefault="00A02A83" w:rsidP="000D2ADA">
      <w:pPr>
        <w:rPr>
          <w:rFonts w:eastAsia="Arial" w:cs="Arial"/>
          <w:color w:val="auto"/>
          <w:sz w:val="20"/>
          <w:szCs w:val="20"/>
        </w:rPr>
      </w:pPr>
      <w:r w:rsidRPr="00A0132F">
        <w:rPr>
          <w:rStyle w:val="EndnoteReference"/>
          <w:rFonts w:cs="Arial"/>
          <w:color w:val="auto"/>
          <w:sz w:val="20"/>
          <w:szCs w:val="20"/>
        </w:rPr>
        <w:endnoteRef/>
      </w:r>
      <w:r w:rsidRPr="00A0132F">
        <w:rPr>
          <w:rFonts w:eastAsia="Arial" w:cs="Arial"/>
          <w:color w:val="auto"/>
          <w:sz w:val="20"/>
          <w:szCs w:val="20"/>
        </w:rPr>
        <w:t xml:space="preserve"> </w:t>
      </w:r>
      <w:r w:rsidRPr="00A0132F">
        <w:rPr>
          <w:rFonts w:cs="Arial"/>
          <w:color w:val="auto"/>
          <w:sz w:val="20"/>
          <w:szCs w:val="20"/>
        </w:rPr>
        <w:t xml:space="preserve">Australian Health Ministers’ Advisory Council 2017, </w:t>
      </w:r>
      <w:r w:rsidRPr="00A0132F">
        <w:rPr>
          <w:rFonts w:cs="Arial"/>
          <w:i/>
          <w:color w:val="auto"/>
          <w:sz w:val="20"/>
          <w:szCs w:val="20"/>
        </w:rPr>
        <w:t>Aboriginal and Torres Strait Islander Health Performance Framework 2017 Report</w:t>
      </w:r>
      <w:r w:rsidRPr="00A0132F">
        <w:rPr>
          <w:rFonts w:cs="Arial"/>
          <w:color w:val="auto"/>
          <w:sz w:val="20"/>
          <w:szCs w:val="20"/>
        </w:rPr>
        <w:t xml:space="preserve">, AHMAC, Canberra. </w:t>
      </w:r>
    </w:p>
  </w:endnote>
  <w:endnote w:id="23">
    <w:p w:rsidR="00A02A83" w:rsidRPr="00674053" w:rsidRDefault="00A02A83" w:rsidP="00C72BBA">
      <w:pPr>
        <w:pStyle w:val="EndnoteText"/>
        <w:shd w:val="clear" w:color="auto" w:fill="FFFFFF" w:themeFill="background1"/>
        <w:rPr>
          <w:rFonts w:cs="Arial"/>
          <w:color w:val="auto"/>
          <w:sz w:val="20"/>
          <w:szCs w:val="20"/>
        </w:rPr>
      </w:pPr>
      <w:r w:rsidRPr="00674053">
        <w:rPr>
          <w:rStyle w:val="EndnoteReference"/>
          <w:rFonts w:cs="Arial"/>
          <w:color w:val="auto"/>
          <w:sz w:val="20"/>
          <w:szCs w:val="20"/>
        </w:rPr>
        <w:endnoteRef/>
      </w:r>
      <w:r w:rsidRPr="00674053">
        <w:rPr>
          <w:rFonts w:cs="Arial"/>
          <w:color w:val="auto"/>
          <w:sz w:val="20"/>
          <w:szCs w:val="20"/>
        </w:rPr>
        <w:t xml:space="preserve"> Aboriginal and Torres Strait Healing Foundation 2017</w:t>
      </w:r>
      <w:r w:rsidRPr="00674053">
        <w:rPr>
          <w:rFonts w:cs="Arial"/>
          <w:i/>
          <w:color w:val="auto"/>
          <w:sz w:val="20"/>
          <w:szCs w:val="20"/>
        </w:rPr>
        <w:t>, Bringing Them Home 20 years on: an action plan for healing</w:t>
      </w:r>
      <w:r w:rsidRPr="00674053">
        <w:rPr>
          <w:rFonts w:cs="Arial"/>
          <w:color w:val="auto"/>
          <w:sz w:val="20"/>
          <w:szCs w:val="20"/>
        </w:rPr>
        <w:t>, Aboriginal and Torres Strait Healing Foundation, Canberra.</w:t>
      </w:r>
    </w:p>
  </w:endnote>
  <w:endnote w:id="24">
    <w:p w:rsidR="00A02A83" w:rsidRPr="00674053" w:rsidRDefault="00A02A83" w:rsidP="00197E0C">
      <w:pPr>
        <w:pStyle w:val="EndnoteText"/>
        <w:rPr>
          <w:rFonts w:cs="Arial"/>
          <w:color w:val="auto"/>
          <w:sz w:val="20"/>
          <w:szCs w:val="20"/>
        </w:rPr>
      </w:pPr>
      <w:r w:rsidRPr="00674053">
        <w:rPr>
          <w:rStyle w:val="EndnoteReference"/>
          <w:rFonts w:cs="Arial"/>
          <w:color w:val="auto"/>
          <w:sz w:val="20"/>
          <w:szCs w:val="20"/>
        </w:rPr>
        <w:endnoteRef/>
      </w:r>
      <w:r w:rsidRPr="00674053">
        <w:rPr>
          <w:rFonts w:cs="Arial"/>
          <w:color w:val="auto"/>
          <w:sz w:val="20"/>
          <w:szCs w:val="20"/>
        </w:rPr>
        <w:t xml:space="preserve"> Global Access Partners Taskforce on Early Childhood Education 2016, </w:t>
      </w:r>
      <w:r w:rsidRPr="00674053">
        <w:rPr>
          <w:rFonts w:cs="Arial"/>
          <w:i/>
          <w:color w:val="auto"/>
          <w:sz w:val="20"/>
          <w:szCs w:val="20"/>
        </w:rPr>
        <w:t>Final Report</w:t>
      </w:r>
      <w:r w:rsidRPr="00674053">
        <w:rPr>
          <w:rFonts w:cs="Arial"/>
          <w:color w:val="auto"/>
          <w:sz w:val="20"/>
          <w:szCs w:val="20"/>
        </w:rPr>
        <w:t>, Global Access Partners Pty Ltd, Sydney.</w:t>
      </w:r>
    </w:p>
  </w:endnote>
  <w:endnote w:id="25">
    <w:p w:rsidR="00A02A83" w:rsidRPr="00674053" w:rsidRDefault="00A02A83" w:rsidP="00707341">
      <w:pPr>
        <w:pStyle w:val="EndnoteText"/>
        <w:rPr>
          <w:rFonts w:cs="Arial"/>
          <w:color w:val="auto"/>
          <w:sz w:val="20"/>
          <w:szCs w:val="20"/>
        </w:rPr>
      </w:pPr>
      <w:r w:rsidRPr="00255F09">
        <w:rPr>
          <w:rStyle w:val="EndnoteReference"/>
          <w:rFonts w:cs="Arial"/>
          <w:color w:val="auto"/>
          <w:sz w:val="20"/>
          <w:szCs w:val="20"/>
        </w:rPr>
        <w:endnoteRef/>
      </w:r>
      <w:r w:rsidRPr="00674053">
        <w:rPr>
          <w:rFonts w:cs="Arial"/>
          <w:color w:val="auto"/>
          <w:sz w:val="20"/>
          <w:szCs w:val="20"/>
        </w:rPr>
        <w:t xml:space="preserve"> </w:t>
      </w:r>
      <w:r w:rsidRPr="00674053">
        <w:rPr>
          <w:rFonts w:cs="Arial"/>
          <w:color w:val="auto"/>
          <w:sz w:val="20"/>
          <w:szCs w:val="20"/>
          <w:lang w:val="en"/>
        </w:rPr>
        <w:t xml:space="preserve">Simpson, J, Caffery, J, &amp; McConvell, P 2009, </w:t>
      </w:r>
      <w:r w:rsidRPr="00674053">
        <w:rPr>
          <w:rFonts w:cs="Arial"/>
          <w:i/>
          <w:iCs/>
          <w:color w:val="auto"/>
          <w:sz w:val="20"/>
          <w:szCs w:val="20"/>
          <w:lang w:val="en"/>
        </w:rPr>
        <w:t>Gaps in Australia’s Indigenous language policy: dismantling bilingual education in the Northern Territory</w:t>
      </w:r>
      <w:r w:rsidRPr="00674053">
        <w:rPr>
          <w:rFonts w:cs="Arial"/>
          <w:color w:val="auto"/>
          <w:sz w:val="20"/>
          <w:szCs w:val="20"/>
          <w:lang w:val="en"/>
        </w:rPr>
        <w:t xml:space="preserve">, AIATSIS Research Discussion Paper No. 24, AIATSIS, Canberra, </w:t>
      </w:r>
      <w:r w:rsidRPr="00226765">
        <w:rPr>
          <w:rFonts w:eastAsia="Arial" w:cs="Arial"/>
          <w:color w:val="auto"/>
          <w:sz w:val="20"/>
          <w:szCs w:val="20"/>
          <w:u w:val="single"/>
        </w:rPr>
        <w:t>https://aiatsis.gov.au/sites/default/files/products/discussion_paper/simpson-caffery-mcconvell-dp24-indigenous-language-policy_0.pdf</w:t>
      </w:r>
      <w:r>
        <w:rPr>
          <w:rFonts w:cs="Arial"/>
          <w:color w:val="auto"/>
          <w:sz w:val="20"/>
          <w:szCs w:val="20"/>
          <w:lang w:val="en"/>
        </w:rPr>
        <w:t>.</w:t>
      </w:r>
    </w:p>
  </w:endnote>
  <w:endnote w:id="26">
    <w:p w:rsidR="00A02A83" w:rsidRPr="00674053" w:rsidRDefault="00A02A83">
      <w:pPr>
        <w:pStyle w:val="EndnoteText"/>
        <w:rPr>
          <w:rFonts w:cs="Arial"/>
          <w:color w:val="auto"/>
          <w:sz w:val="20"/>
          <w:szCs w:val="20"/>
        </w:rPr>
      </w:pPr>
      <w:r w:rsidRPr="00674053">
        <w:rPr>
          <w:rStyle w:val="EndnoteReference"/>
          <w:rFonts w:cs="Arial"/>
          <w:color w:val="auto"/>
          <w:sz w:val="20"/>
          <w:szCs w:val="20"/>
        </w:rPr>
        <w:endnoteRef/>
      </w:r>
      <w:r w:rsidRPr="00674053">
        <w:rPr>
          <w:rFonts w:cs="Arial"/>
          <w:color w:val="auto"/>
          <w:sz w:val="20"/>
          <w:szCs w:val="20"/>
        </w:rPr>
        <w:t xml:space="preserve"> </w:t>
      </w:r>
      <w:r w:rsidRPr="00674053">
        <w:rPr>
          <w:rFonts w:cs="Arial"/>
          <w:color w:val="auto"/>
          <w:sz w:val="20"/>
          <w:szCs w:val="20"/>
          <w:lang w:val="en-US"/>
        </w:rPr>
        <w:t xml:space="preserve">New South Wales Department of Health 2010, </w:t>
      </w:r>
      <w:r w:rsidRPr="00674053">
        <w:rPr>
          <w:rFonts w:cs="Arial"/>
          <w:i/>
          <w:color w:val="auto"/>
          <w:sz w:val="20"/>
          <w:szCs w:val="20"/>
          <w:lang w:val="en-US"/>
        </w:rPr>
        <w:t>Closing the Gap: 10 Years of Housing for Health in NSW; An evaluation of a healthy housing intervention</w:t>
      </w:r>
      <w:r w:rsidRPr="00674053">
        <w:rPr>
          <w:rFonts w:cs="Arial"/>
          <w:color w:val="auto"/>
          <w:sz w:val="20"/>
          <w:szCs w:val="20"/>
          <w:lang w:val="en-US"/>
        </w:rPr>
        <w:t xml:space="preserve">, </w:t>
      </w:r>
      <w:r w:rsidRPr="00674053">
        <w:rPr>
          <w:rFonts w:cs="Arial"/>
          <w:color w:val="auto"/>
          <w:sz w:val="20"/>
          <w:szCs w:val="20"/>
        </w:rPr>
        <w:t>Aboriginal Environmental Health Unit, Population Health Division, NSW Department of Health</w:t>
      </w:r>
      <w:r w:rsidRPr="00674053">
        <w:rPr>
          <w:rFonts w:cs="Arial"/>
          <w:color w:val="auto"/>
          <w:sz w:val="20"/>
          <w:szCs w:val="20"/>
          <w:lang w:val="en-US"/>
        </w:rPr>
        <w:t>, Sydney.</w:t>
      </w:r>
    </w:p>
  </w:endnote>
  <w:endnote w:id="27">
    <w:p w:rsidR="00A02A83" w:rsidRPr="00674053" w:rsidRDefault="00A02A83">
      <w:pPr>
        <w:pStyle w:val="EndnoteText"/>
        <w:rPr>
          <w:rFonts w:cs="Arial"/>
          <w:color w:val="auto"/>
          <w:sz w:val="20"/>
          <w:szCs w:val="20"/>
        </w:rPr>
      </w:pPr>
      <w:r w:rsidRPr="00674053">
        <w:rPr>
          <w:rStyle w:val="EndnoteReference"/>
          <w:rFonts w:cs="Arial"/>
          <w:color w:val="auto"/>
          <w:sz w:val="20"/>
          <w:szCs w:val="20"/>
        </w:rPr>
        <w:endnoteRef/>
      </w:r>
      <w:r w:rsidRPr="00674053">
        <w:rPr>
          <w:rFonts w:cs="Arial"/>
          <w:color w:val="auto"/>
          <w:sz w:val="20"/>
          <w:szCs w:val="20"/>
        </w:rPr>
        <w:t xml:space="preserve"> Steering Committee for the Review of Government Service Provision 2016, </w:t>
      </w:r>
      <w:r w:rsidRPr="00674053">
        <w:rPr>
          <w:rFonts w:cs="Arial"/>
          <w:i/>
          <w:color w:val="auto"/>
          <w:sz w:val="20"/>
          <w:szCs w:val="20"/>
        </w:rPr>
        <w:t>Overcoming Indigenous Disadvantage: Key Indicators 2016 Report</w:t>
      </w:r>
      <w:r w:rsidRPr="00674053">
        <w:rPr>
          <w:rFonts w:cs="Arial"/>
          <w:color w:val="auto"/>
          <w:sz w:val="20"/>
          <w:szCs w:val="20"/>
        </w:rPr>
        <w:t>, Productivity Commission for the SCRGSP, Commonwealth of Australia, Canberra</w:t>
      </w:r>
      <w:r>
        <w:rPr>
          <w:rFonts w:cs="Arial"/>
          <w:color w:val="auto"/>
          <w:sz w:val="20"/>
          <w:szCs w:val="20"/>
        </w:rPr>
        <w:t>.</w:t>
      </w:r>
      <w:r w:rsidR="005011C4">
        <w:rPr>
          <w:rFonts w:cs="Arial"/>
          <w:color w:val="auto"/>
          <w:sz w:val="20"/>
          <w:szCs w:val="20"/>
        </w:rPr>
        <w:br/>
      </w:r>
    </w:p>
  </w:endnote>
  <w:endnote w:id="28">
    <w:p w:rsidR="00A02A83" w:rsidRPr="00674053" w:rsidRDefault="00A02A83">
      <w:pPr>
        <w:pStyle w:val="EndnoteText"/>
        <w:rPr>
          <w:rFonts w:cs="Arial"/>
          <w:color w:val="auto"/>
          <w:sz w:val="20"/>
          <w:szCs w:val="20"/>
        </w:rPr>
      </w:pPr>
      <w:r w:rsidRPr="00674053">
        <w:rPr>
          <w:rStyle w:val="EndnoteReference"/>
          <w:rFonts w:cs="Arial"/>
          <w:color w:val="auto"/>
          <w:sz w:val="20"/>
          <w:szCs w:val="20"/>
        </w:rPr>
        <w:endnoteRef/>
      </w:r>
      <w:r w:rsidRPr="00674053">
        <w:rPr>
          <w:rFonts w:cs="Arial"/>
          <w:color w:val="auto"/>
          <w:sz w:val="20"/>
          <w:szCs w:val="20"/>
        </w:rPr>
        <w:t xml:space="preserve"> Australian Medical Association 2017, </w:t>
      </w:r>
      <w:r w:rsidRPr="00674053">
        <w:rPr>
          <w:rFonts w:cs="Arial"/>
          <w:i/>
          <w:color w:val="auto"/>
          <w:sz w:val="20"/>
          <w:szCs w:val="20"/>
        </w:rPr>
        <w:t>Australian Medical Association Submission to the Implementation Plan Advisory Group Consultation 2017 on the development of the next iteration of the Implementation Plan for the National Aboriginal and Torres Strait Islander Health Plan 2013-2023</w:t>
      </w:r>
      <w:r w:rsidRPr="00674053">
        <w:rPr>
          <w:rFonts w:cs="Arial"/>
          <w:color w:val="auto"/>
          <w:sz w:val="20"/>
          <w:szCs w:val="20"/>
        </w:rPr>
        <w:t xml:space="preserve">, Canberra. </w:t>
      </w:r>
    </w:p>
  </w:endnote>
  <w:endnote w:id="29">
    <w:p w:rsidR="00A02A83" w:rsidRPr="00674053" w:rsidRDefault="00A02A83">
      <w:pPr>
        <w:pStyle w:val="EndnoteText"/>
        <w:rPr>
          <w:rFonts w:cs="Arial"/>
          <w:color w:val="auto"/>
          <w:sz w:val="20"/>
          <w:szCs w:val="20"/>
        </w:rPr>
      </w:pPr>
      <w:r w:rsidRPr="00674053">
        <w:rPr>
          <w:rStyle w:val="EndnoteReference"/>
          <w:rFonts w:cs="Arial"/>
          <w:color w:val="auto"/>
          <w:sz w:val="20"/>
          <w:szCs w:val="20"/>
        </w:rPr>
        <w:endnoteRef/>
      </w:r>
      <w:r w:rsidRPr="00674053">
        <w:rPr>
          <w:rFonts w:cs="Arial"/>
          <w:color w:val="auto"/>
          <w:sz w:val="20"/>
          <w:szCs w:val="20"/>
        </w:rPr>
        <w:t xml:space="preserve"> </w:t>
      </w:r>
      <w:r w:rsidRPr="00674053">
        <w:rPr>
          <w:rFonts w:eastAsia="Arial" w:cs="Arial"/>
          <w:color w:val="auto"/>
          <w:sz w:val="20"/>
          <w:szCs w:val="20"/>
        </w:rPr>
        <w:t xml:space="preserve">Australian Health Ministers’ Advisory Council 2017, </w:t>
      </w:r>
      <w:r w:rsidRPr="00674053">
        <w:rPr>
          <w:rFonts w:eastAsia="Arial" w:cs="Arial"/>
          <w:i/>
          <w:color w:val="auto"/>
          <w:sz w:val="20"/>
          <w:szCs w:val="20"/>
        </w:rPr>
        <w:t xml:space="preserve">Aboriginal and Torres Strait Islander Health Performance Framework 2017 Report, </w:t>
      </w:r>
      <w:r w:rsidRPr="00674053">
        <w:rPr>
          <w:rFonts w:eastAsia="Arial" w:cs="Arial"/>
          <w:color w:val="auto"/>
          <w:sz w:val="20"/>
          <w:szCs w:val="20"/>
        </w:rPr>
        <w:t>AHMAC, Canberra</w:t>
      </w:r>
      <w:r>
        <w:rPr>
          <w:rFonts w:eastAsia="Arial" w:cs="Arial"/>
          <w:color w:val="auto"/>
          <w:sz w:val="20"/>
          <w:szCs w:val="20"/>
        </w:rPr>
        <w:t>.</w:t>
      </w:r>
    </w:p>
  </w:endnote>
  <w:endnote w:id="30">
    <w:p w:rsidR="00A02A83" w:rsidRPr="00674053" w:rsidRDefault="00A02A83" w:rsidP="00473C4B">
      <w:pPr>
        <w:pStyle w:val="EndnoteText"/>
        <w:rPr>
          <w:rFonts w:cs="Arial"/>
          <w:color w:val="auto"/>
          <w:sz w:val="20"/>
          <w:szCs w:val="20"/>
        </w:rPr>
      </w:pPr>
      <w:r w:rsidRPr="00674053">
        <w:rPr>
          <w:rStyle w:val="EndnoteReference"/>
          <w:rFonts w:cs="Arial"/>
          <w:color w:val="auto"/>
          <w:sz w:val="20"/>
          <w:szCs w:val="20"/>
        </w:rPr>
        <w:endnoteRef/>
      </w:r>
      <w:r w:rsidRPr="00674053">
        <w:rPr>
          <w:rFonts w:cs="Arial"/>
          <w:color w:val="auto"/>
          <w:sz w:val="20"/>
          <w:szCs w:val="20"/>
        </w:rPr>
        <w:t xml:space="preserve"> Finance and Public Administration References Committee 2016, </w:t>
      </w:r>
      <w:r w:rsidRPr="00674053">
        <w:rPr>
          <w:rFonts w:cs="Arial"/>
          <w:i/>
          <w:color w:val="auto"/>
          <w:sz w:val="20"/>
          <w:szCs w:val="20"/>
        </w:rPr>
        <w:t>Aboriginal and Torres Strait Islander experience of law enforcement and justice services</w:t>
      </w:r>
      <w:r w:rsidRPr="00674053">
        <w:rPr>
          <w:rFonts w:cs="Arial"/>
          <w:color w:val="auto"/>
          <w:sz w:val="20"/>
          <w:szCs w:val="20"/>
        </w:rPr>
        <w:t>, Commonwealth of Australia, Canberra</w:t>
      </w:r>
      <w:r>
        <w:rPr>
          <w:rFonts w:cs="Arial"/>
          <w:color w:val="auto"/>
          <w:sz w:val="20"/>
          <w:szCs w:val="20"/>
        </w:rPr>
        <w:t>.</w:t>
      </w:r>
    </w:p>
  </w:endnote>
  <w:endnote w:id="31">
    <w:p w:rsidR="00A02A83" w:rsidRPr="002E3131" w:rsidRDefault="00A02A83" w:rsidP="00037B05">
      <w:pPr>
        <w:pStyle w:val="EndnoteText"/>
        <w:rPr>
          <w:rFonts w:cs="Arial"/>
          <w:color w:val="auto"/>
          <w:sz w:val="20"/>
          <w:szCs w:val="20"/>
        </w:rPr>
      </w:pPr>
      <w:r w:rsidRPr="002E3131">
        <w:rPr>
          <w:rStyle w:val="EndnoteReference"/>
          <w:rFonts w:cs="Arial"/>
          <w:color w:val="auto"/>
          <w:sz w:val="20"/>
          <w:szCs w:val="20"/>
        </w:rPr>
        <w:endnoteRef/>
      </w:r>
      <w:r w:rsidRPr="002E3131">
        <w:rPr>
          <w:rFonts w:cs="Arial"/>
          <w:color w:val="auto"/>
          <w:sz w:val="20"/>
          <w:szCs w:val="20"/>
        </w:rPr>
        <w:t xml:space="preserve"> Department of the Prime Minister and Cabinet 2017, </w:t>
      </w:r>
      <w:r w:rsidRPr="002E3131">
        <w:rPr>
          <w:rFonts w:cs="Arial"/>
          <w:i/>
          <w:color w:val="auto"/>
          <w:sz w:val="20"/>
          <w:szCs w:val="20"/>
        </w:rPr>
        <w:t>Closing the Gap Prime Minister’s Report 2017</w:t>
      </w:r>
      <w:r w:rsidRPr="002E3131">
        <w:rPr>
          <w:rFonts w:cs="Arial"/>
          <w:color w:val="auto"/>
          <w:sz w:val="20"/>
          <w:szCs w:val="20"/>
        </w:rPr>
        <w:t>, Commonwealth of Australia, Canberra.</w:t>
      </w:r>
    </w:p>
  </w:endnote>
  <w:endnote w:id="32">
    <w:p w:rsidR="00170AF2" w:rsidRPr="00095E9D" w:rsidRDefault="00170AF2" w:rsidP="00170AF2">
      <w:pPr>
        <w:pStyle w:val="xBodyText10"/>
      </w:pPr>
      <w:r w:rsidRPr="00095E9D">
        <w:rPr>
          <w:rStyle w:val="EndnoteReference"/>
        </w:rPr>
        <w:endnoteRef/>
      </w:r>
      <w:r w:rsidRPr="00095E9D">
        <w:t xml:space="preserve"> Anda, RF, Felitti, VJ, Bremner, JD, Walker, JD, Whitfield, C, Perry, BD, Dube, SR &amp; Giles, WH 2006, ‘The enduring effects of abuse and related adverse experiences in childhood: A convergence of evidence from neurobiology and epidemiology’, </w:t>
      </w:r>
      <w:r w:rsidRPr="00095E9D">
        <w:rPr>
          <w:i/>
          <w:iCs/>
        </w:rPr>
        <w:t>European Archives of Psychiatry and Clinical Neuroscience</w:t>
      </w:r>
      <w:r w:rsidRPr="00095E9D">
        <w:t xml:space="preserve">, vol. 256, no. 3, pp. 174-186. </w:t>
      </w:r>
    </w:p>
    <w:p w:rsidR="00170AF2" w:rsidRPr="00095E9D" w:rsidRDefault="00170AF2" w:rsidP="00170AF2">
      <w:pPr>
        <w:pStyle w:val="xBodyText10"/>
      </w:pPr>
    </w:p>
  </w:endnote>
  <w:endnote w:id="33">
    <w:p w:rsidR="00170AF2" w:rsidRPr="002E3131" w:rsidRDefault="00170AF2" w:rsidP="00170AF2">
      <w:pPr>
        <w:pStyle w:val="EndnoteText"/>
        <w:rPr>
          <w:rFonts w:cs="Arial"/>
          <w:color w:val="auto"/>
          <w:sz w:val="20"/>
          <w:szCs w:val="20"/>
        </w:rPr>
      </w:pPr>
      <w:r w:rsidRPr="002E3131">
        <w:rPr>
          <w:rStyle w:val="EndnoteReference"/>
          <w:rFonts w:cs="Arial"/>
          <w:color w:val="auto"/>
          <w:sz w:val="20"/>
          <w:szCs w:val="20"/>
        </w:rPr>
        <w:endnoteRef/>
      </w:r>
      <w:r w:rsidRPr="002E3131">
        <w:rPr>
          <w:rFonts w:cs="Arial"/>
          <w:color w:val="auto"/>
          <w:sz w:val="20"/>
          <w:szCs w:val="20"/>
        </w:rPr>
        <w:t xml:space="preserve"> Atkinson, J 2013, Trauma-informed services and trauma-specific care for Indigenous Australian children, Resource sheet no. 21. produced for the Closing the Gap Clearinghouse, Australian Institute of Health and Welfare, Canberra &amp; Australian Institute of Family Studies, Melbourne, http://www.aihw.gov.au/uploadedFiles/ClosingTheGap/Content/Publications/2013/ctg-rs21.pdf.</w:t>
      </w:r>
    </w:p>
  </w:endnote>
  <w:endnote w:id="34">
    <w:p w:rsidR="00170AF2" w:rsidRPr="002E3131" w:rsidRDefault="00170AF2" w:rsidP="00170AF2">
      <w:pPr>
        <w:pStyle w:val="EndnoteText"/>
        <w:rPr>
          <w:rFonts w:cs="Arial"/>
          <w:color w:val="auto"/>
          <w:sz w:val="20"/>
          <w:szCs w:val="20"/>
        </w:rPr>
      </w:pPr>
      <w:r w:rsidRPr="002E3131">
        <w:rPr>
          <w:rStyle w:val="EndnoteReference"/>
          <w:rFonts w:cs="Arial"/>
          <w:color w:val="auto"/>
          <w:sz w:val="20"/>
          <w:szCs w:val="20"/>
        </w:rPr>
        <w:endnoteRef/>
      </w:r>
      <w:r w:rsidRPr="002E3131">
        <w:rPr>
          <w:rFonts w:cs="Arial"/>
          <w:color w:val="auto"/>
          <w:sz w:val="20"/>
          <w:szCs w:val="20"/>
        </w:rPr>
        <w:t xml:space="preserve"> Van der Kolk, B 2006, ‘Develop Aboriginal and Indigenous Community Health’, vol. 4, no. 2, pp. 118-136.</w:t>
      </w:r>
    </w:p>
  </w:endnote>
  <w:endnote w:id="35">
    <w:p w:rsidR="00A02A83" w:rsidRPr="002E3131" w:rsidRDefault="00A02A83" w:rsidP="00760BB7">
      <w:pPr>
        <w:pStyle w:val="EndnoteText"/>
        <w:rPr>
          <w:rFonts w:cs="Arial"/>
          <w:color w:val="auto"/>
          <w:sz w:val="20"/>
          <w:szCs w:val="20"/>
        </w:rPr>
      </w:pPr>
      <w:r w:rsidRPr="002E3131">
        <w:rPr>
          <w:rStyle w:val="EndnoteReference"/>
          <w:rFonts w:cs="Arial"/>
          <w:color w:val="auto"/>
          <w:sz w:val="20"/>
          <w:szCs w:val="20"/>
        </w:rPr>
        <w:endnoteRef/>
      </w:r>
      <w:r w:rsidRPr="002E3131">
        <w:rPr>
          <w:rFonts w:cs="Arial"/>
          <w:color w:val="auto"/>
          <w:sz w:val="20"/>
          <w:szCs w:val="20"/>
        </w:rPr>
        <w:t xml:space="preserve"> Australian Health Ministers’ Advisory Council 2017, Aboriginal and Torres Strait Islander Health Performance Framework 2017 Report, AHMAC, Canberra</w:t>
      </w:r>
      <w:r>
        <w:rPr>
          <w:rFonts w:cs="Arial"/>
          <w:color w:val="auto"/>
          <w:sz w:val="20"/>
          <w:szCs w:val="20"/>
        </w:rPr>
        <w:t>.</w:t>
      </w:r>
    </w:p>
  </w:endnote>
  <w:endnote w:id="36">
    <w:p w:rsidR="00A02A83" w:rsidRPr="002E3131" w:rsidRDefault="00A02A83" w:rsidP="00760BB7">
      <w:pPr>
        <w:pStyle w:val="EndnoteText"/>
        <w:rPr>
          <w:rFonts w:cs="Arial"/>
          <w:color w:val="auto"/>
          <w:sz w:val="20"/>
          <w:szCs w:val="20"/>
        </w:rPr>
      </w:pPr>
      <w:r w:rsidRPr="002E3131">
        <w:rPr>
          <w:rStyle w:val="EndnoteReference"/>
          <w:rFonts w:cs="Arial"/>
          <w:color w:val="auto"/>
          <w:sz w:val="20"/>
          <w:szCs w:val="20"/>
        </w:rPr>
        <w:endnoteRef/>
      </w:r>
      <w:r w:rsidRPr="002E3131">
        <w:rPr>
          <w:rFonts w:cs="Arial"/>
          <w:color w:val="auto"/>
          <w:sz w:val="20"/>
          <w:szCs w:val="20"/>
        </w:rPr>
        <w:t xml:space="preserve"> </w:t>
      </w:r>
      <w:r w:rsidRPr="00095E9D">
        <w:rPr>
          <w:rStyle w:val="xBodytext1Char"/>
          <w:rFonts w:cs="Arial"/>
          <w:color w:val="auto"/>
          <w:sz w:val="20"/>
        </w:rPr>
        <w:t>Moynihan, PJ, Kelly SA 2014, Effect on caries of restricting sugars intake: systematic review to inform WHO guidelines Pub Med J Dent Res. 2014 Jan;93(1):8-18. Epub 2013 Dec 9</w:t>
      </w:r>
      <w:r>
        <w:rPr>
          <w:rStyle w:val="xBodytext1Char"/>
          <w:rFonts w:cs="Arial"/>
          <w:color w:val="auto"/>
          <w:sz w:val="20"/>
        </w:rPr>
        <w:t>.</w:t>
      </w:r>
    </w:p>
  </w:endnote>
  <w:endnote w:id="37">
    <w:p w:rsidR="00A02A83" w:rsidRPr="002E3131" w:rsidRDefault="00A02A83" w:rsidP="00760BB7">
      <w:pPr>
        <w:pStyle w:val="EndnoteText"/>
        <w:rPr>
          <w:rFonts w:cs="Arial"/>
          <w:color w:val="auto"/>
          <w:sz w:val="20"/>
          <w:szCs w:val="20"/>
        </w:rPr>
      </w:pPr>
      <w:r w:rsidRPr="002E3131">
        <w:rPr>
          <w:rStyle w:val="EndnoteReference"/>
          <w:rFonts w:cs="Arial"/>
          <w:color w:val="auto"/>
          <w:sz w:val="20"/>
          <w:szCs w:val="20"/>
        </w:rPr>
        <w:endnoteRef/>
      </w:r>
      <w:r w:rsidRPr="002E3131">
        <w:rPr>
          <w:rFonts w:cs="Arial"/>
          <w:color w:val="auto"/>
          <w:sz w:val="20"/>
          <w:szCs w:val="20"/>
        </w:rPr>
        <w:t xml:space="preserve"> </w:t>
      </w:r>
      <w:r w:rsidRPr="00095E9D">
        <w:rPr>
          <w:rStyle w:val="xBodytext1Char"/>
          <w:rFonts w:cs="Arial"/>
          <w:color w:val="auto"/>
          <w:sz w:val="20"/>
        </w:rPr>
        <w:t>Sheiham, A, James, WPT (2015) ‘Diet and Dental Caries the Pivotal Role of Free Sugars Reemphasised’ Journal of Dental Research Volume: 94 issue: 10</w:t>
      </w:r>
      <w:r>
        <w:rPr>
          <w:rStyle w:val="xBodytext1Char"/>
          <w:rFonts w:cs="Arial"/>
          <w:color w:val="auto"/>
          <w:sz w:val="20"/>
        </w:rPr>
        <w:t>.</w:t>
      </w:r>
    </w:p>
  </w:endnote>
  <w:endnote w:id="38">
    <w:p w:rsidR="00A02A83" w:rsidRPr="002E3131" w:rsidRDefault="00A02A83" w:rsidP="00760BB7">
      <w:pPr>
        <w:pStyle w:val="EndnoteText"/>
        <w:rPr>
          <w:rFonts w:cs="Arial"/>
          <w:color w:val="auto"/>
          <w:sz w:val="20"/>
          <w:szCs w:val="20"/>
        </w:rPr>
      </w:pPr>
      <w:r w:rsidRPr="002E3131">
        <w:rPr>
          <w:rStyle w:val="EndnoteReference"/>
          <w:rFonts w:cs="Arial"/>
          <w:color w:val="auto"/>
          <w:sz w:val="20"/>
          <w:szCs w:val="20"/>
        </w:rPr>
        <w:endnoteRef/>
      </w:r>
      <w:r w:rsidRPr="002E3131">
        <w:rPr>
          <w:rFonts w:cs="Arial"/>
          <w:color w:val="auto"/>
          <w:sz w:val="20"/>
          <w:szCs w:val="20"/>
        </w:rPr>
        <w:t xml:space="preserve"> Browne J, Laurence S, Thorpe S, (2009), Acting on food insecurity in urban Aboriginal and Torres Strait Islander communities: Policy and practice interventions to improve local access and supply of nutritious food</w:t>
      </w:r>
      <w:r>
        <w:rPr>
          <w:rFonts w:cs="Arial"/>
          <w:color w:val="auto"/>
          <w:sz w:val="20"/>
          <w:szCs w:val="20"/>
        </w:rPr>
        <w:t>.</w:t>
      </w:r>
    </w:p>
  </w:endnote>
  <w:endnote w:id="39">
    <w:p w:rsidR="00A02A83" w:rsidRPr="002E3131" w:rsidRDefault="00A02A83" w:rsidP="00760BB7">
      <w:pPr>
        <w:pStyle w:val="EndnoteText"/>
        <w:rPr>
          <w:rFonts w:cs="Arial"/>
          <w:color w:val="auto"/>
          <w:sz w:val="20"/>
          <w:szCs w:val="20"/>
        </w:rPr>
      </w:pPr>
      <w:r w:rsidRPr="002E3131">
        <w:rPr>
          <w:rStyle w:val="EndnoteReference"/>
          <w:rFonts w:cs="Arial"/>
          <w:color w:val="auto"/>
          <w:sz w:val="20"/>
          <w:szCs w:val="20"/>
        </w:rPr>
        <w:endnoteRef/>
      </w:r>
      <w:r w:rsidRPr="002E3131">
        <w:rPr>
          <w:rFonts w:cs="Arial"/>
          <w:color w:val="auto"/>
          <w:sz w:val="20"/>
          <w:szCs w:val="20"/>
        </w:rPr>
        <w:t xml:space="preserve"> Muriuki G, Schubert L, Hussey K and Roitman S, (2017), Urban Food Systems – a renewed role for local governments in Australia: A discussion paper of the Global Change Institute, University of Queensland, Brisbane</w:t>
      </w:r>
      <w:r>
        <w:rPr>
          <w:rFonts w:cs="Arial"/>
          <w:color w:val="auto"/>
          <w:sz w:val="20"/>
          <w:szCs w:val="20"/>
        </w:rPr>
        <w:t>.</w:t>
      </w:r>
    </w:p>
  </w:endnote>
  <w:endnote w:id="40">
    <w:p w:rsidR="00A02A83" w:rsidRPr="002E3131" w:rsidRDefault="00A02A83" w:rsidP="00760BB7">
      <w:pPr>
        <w:pStyle w:val="EndnoteText"/>
        <w:rPr>
          <w:rFonts w:cs="Arial"/>
          <w:color w:val="auto"/>
          <w:sz w:val="20"/>
          <w:szCs w:val="20"/>
        </w:rPr>
      </w:pPr>
      <w:r w:rsidRPr="002E3131">
        <w:rPr>
          <w:rStyle w:val="EndnoteReference"/>
          <w:rFonts w:cs="Arial"/>
          <w:color w:val="auto"/>
          <w:sz w:val="20"/>
          <w:szCs w:val="20"/>
        </w:rPr>
        <w:endnoteRef/>
      </w:r>
      <w:r w:rsidRPr="002E3131">
        <w:rPr>
          <w:rFonts w:cs="Arial"/>
          <w:color w:val="auto"/>
          <w:sz w:val="20"/>
          <w:szCs w:val="20"/>
        </w:rPr>
        <w:t xml:space="preserve"> Thurber KA, Bagheri N, and Banwell C, (2014), Social determinants of sugar-sweetened beverage consumption in the Longitudinal Study of Indigenous Children, Family Matters 96, 51-61</w:t>
      </w:r>
      <w:r>
        <w:rPr>
          <w:rFonts w:cs="Arial"/>
          <w:color w:val="auto"/>
          <w:sz w:val="20"/>
          <w:szCs w:val="20"/>
        </w:rPr>
        <w:t>.</w:t>
      </w:r>
    </w:p>
  </w:endnote>
  <w:endnote w:id="41">
    <w:p w:rsidR="00A02A83" w:rsidRPr="002E3131" w:rsidRDefault="00A02A83" w:rsidP="00760BB7">
      <w:pPr>
        <w:pStyle w:val="EndnoteText"/>
        <w:rPr>
          <w:rFonts w:cs="Arial"/>
          <w:color w:val="auto"/>
          <w:sz w:val="20"/>
          <w:szCs w:val="20"/>
        </w:rPr>
      </w:pPr>
      <w:r w:rsidRPr="002E3131">
        <w:rPr>
          <w:rStyle w:val="EndnoteReference"/>
          <w:rFonts w:cs="Arial"/>
          <w:color w:val="auto"/>
          <w:sz w:val="20"/>
          <w:szCs w:val="20"/>
        </w:rPr>
        <w:endnoteRef/>
      </w:r>
      <w:r w:rsidRPr="002E3131">
        <w:rPr>
          <w:rFonts w:cs="Arial"/>
          <w:color w:val="auto"/>
          <w:sz w:val="20"/>
          <w:szCs w:val="20"/>
        </w:rPr>
        <w:t xml:space="preserve"> Burgess, C., Johnston, F., Berry, H., McDonnell, J., et al, 2009, “Healthy country, health people: the relationship between Indigenous health status and “caring for country”, in Medical Journal of Australia, Vol.190, No. 10</w:t>
      </w:r>
      <w:r>
        <w:rPr>
          <w:rFonts w:cs="Arial"/>
          <w:color w:val="auto"/>
          <w:sz w:val="20"/>
          <w:szCs w:val="20"/>
        </w:rPr>
        <w:t>.</w:t>
      </w:r>
    </w:p>
  </w:endnote>
  <w:endnote w:id="42">
    <w:p w:rsidR="00A02A83" w:rsidRPr="002E3131" w:rsidRDefault="00A02A83" w:rsidP="00760BB7">
      <w:pPr>
        <w:pStyle w:val="EndnoteText"/>
        <w:rPr>
          <w:rFonts w:cs="Arial"/>
          <w:color w:val="auto"/>
          <w:sz w:val="20"/>
          <w:szCs w:val="20"/>
        </w:rPr>
      </w:pPr>
      <w:r w:rsidRPr="002E3131">
        <w:rPr>
          <w:rStyle w:val="EndnoteReference"/>
          <w:rFonts w:cs="Arial"/>
          <w:color w:val="auto"/>
          <w:sz w:val="20"/>
          <w:szCs w:val="20"/>
        </w:rPr>
        <w:endnoteRef/>
      </w:r>
      <w:r w:rsidRPr="002E3131">
        <w:rPr>
          <w:rFonts w:cs="Arial"/>
          <w:color w:val="auto"/>
          <w:sz w:val="20"/>
          <w:szCs w:val="20"/>
        </w:rPr>
        <w:t xml:space="preserve"> Kanyirninpa Jukurrpa (Martu) Rangers’ presentation to Department of the Prime Minister and Cabinet, 2015</w:t>
      </w:r>
      <w:r>
        <w:rPr>
          <w:rFonts w:cs="Arial"/>
          <w:color w:val="auto"/>
          <w:sz w:val="20"/>
          <w:szCs w:val="20"/>
        </w:rPr>
        <w:t>.</w:t>
      </w:r>
    </w:p>
  </w:endnote>
  <w:endnote w:id="43">
    <w:p w:rsidR="00A02A83" w:rsidRPr="002E3131" w:rsidRDefault="00A02A83" w:rsidP="00760BB7">
      <w:pPr>
        <w:rPr>
          <w:rFonts w:eastAsia="Arial" w:cs="Arial"/>
          <w:color w:val="auto"/>
          <w:sz w:val="20"/>
          <w:szCs w:val="20"/>
        </w:rPr>
      </w:pPr>
      <w:r w:rsidRPr="002E3131">
        <w:rPr>
          <w:rStyle w:val="EndnoteReference"/>
          <w:rFonts w:cs="Arial"/>
          <w:color w:val="auto"/>
          <w:sz w:val="20"/>
          <w:szCs w:val="20"/>
        </w:rPr>
        <w:endnoteRef/>
      </w:r>
      <w:r w:rsidRPr="002E3131">
        <w:rPr>
          <w:rFonts w:eastAsia="Arial" w:cs="Arial"/>
          <w:color w:val="auto"/>
          <w:sz w:val="20"/>
          <w:szCs w:val="20"/>
        </w:rPr>
        <w:t xml:space="preserve"> Pikora T, Christian H, Trapp G, Villanueva K., 2016, Chronic disease prevention interventions in children and young adults: A rapid review prepared for the Australian Government Department of Health on behalf of The Australian Prevention Partnership Centre</w:t>
      </w:r>
      <w:r>
        <w:rPr>
          <w:rFonts w:eastAsia="Arial" w:cs="Arial"/>
          <w:color w:val="auto"/>
          <w:sz w:val="20"/>
          <w:szCs w:val="20"/>
        </w:rPr>
        <w:t>.</w:t>
      </w:r>
    </w:p>
  </w:endnote>
  <w:endnote w:id="44">
    <w:p w:rsidR="00A02A83" w:rsidRDefault="00A02A83" w:rsidP="00037B05">
      <w:pPr>
        <w:pStyle w:val="EndnoteText"/>
      </w:pPr>
      <w:r>
        <w:rPr>
          <w:rStyle w:val="EndnoteReference"/>
        </w:rPr>
        <w:endnoteRef/>
      </w:r>
      <w:r>
        <w:t xml:space="preserve"> </w:t>
      </w:r>
      <w:r w:rsidRPr="00674053">
        <w:rPr>
          <w:rFonts w:cs="Arial"/>
          <w:color w:val="auto"/>
          <w:sz w:val="20"/>
          <w:szCs w:val="20"/>
        </w:rPr>
        <w:t>Australian Health Ministers’ Advisory Council 2017, Aboriginal and Torres Strait Islander Health Performance Framework 2017 Report, AHMAC, Canberra</w:t>
      </w:r>
      <w:r>
        <w:rPr>
          <w:rFonts w:cs="Arial"/>
          <w:color w:val="auto"/>
          <w:sz w:val="20"/>
          <w:szCs w:val="20"/>
        </w:rPr>
        <w:t>.</w:t>
      </w:r>
    </w:p>
  </w:endnote>
  <w:endnote w:id="45">
    <w:p w:rsidR="00A02A83" w:rsidRPr="002E3131" w:rsidRDefault="00A02A83" w:rsidP="00C629ED">
      <w:pPr>
        <w:pStyle w:val="EndnoteText"/>
        <w:rPr>
          <w:rFonts w:cs="Arial"/>
          <w:color w:val="auto"/>
          <w:sz w:val="20"/>
          <w:szCs w:val="20"/>
        </w:rPr>
      </w:pPr>
      <w:r w:rsidRPr="002E3131">
        <w:rPr>
          <w:rStyle w:val="EndnoteReference"/>
          <w:rFonts w:cs="Arial"/>
          <w:color w:val="auto"/>
          <w:sz w:val="20"/>
          <w:szCs w:val="20"/>
        </w:rPr>
        <w:endnoteRef/>
      </w:r>
      <w:r w:rsidRPr="002E3131">
        <w:rPr>
          <w:rFonts w:cs="Arial"/>
          <w:color w:val="auto"/>
          <w:sz w:val="20"/>
          <w:szCs w:val="20"/>
        </w:rPr>
        <w:t xml:space="preserve"> Department of the Prime Minister and Cabinet 2017, </w:t>
      </w:r>
      <w:r w:rsidRPr="002E3131">
        <w:rPr>
          <w:rFonts w:cs="Arial"/>
          <w:i/>
          <w:color w:val="auto"/>
          <w:sz w:val="20"/>
          <w:szCs w:val="20"/>
        </w:rPr>
        <w:t>Closing the Gap Prime Minister’s Report 2017</w:t>
      </w:r>
      <w:r w:rsidRPr="002E3131">
        <w:rPr>
          <w:rFonts w:cs="Arial"/>
          <w:color w:val="auto"/>
          <w:sz w:val="20"/>
          <w:szCs w:val="20"/>
        </w:rPr>
        <w:t>, Commonwealth of Australia, Canberra</w:t>
      </w:r>
      <w:r>
        <w:rPr>
          <w:rFonts w:cs="Arial"/>
          <w:color w:val="auto"/>
          <w:sz w:val="20"/>
          <w:szCs w:val="20"/>
        </w:rPr>
        <w:t>.</w:t>
      </w:r>
    </w:p>
  </w:endnote>
  <w:endnote w:id="46">
    <w:p w:rsidR="00A02A83" w:rsidRPr="002E3131" w:rsidRDefault="00A02A83" w:rsidP="00C629ED">
      <w:pPr>
        <w:pStyle w:val="EndnoteText"/>
        <w:rPr>
          <w:rFonts w:cs="Arial"/>
          <w:color w:val="auto"/>
          <w:sz w:val="20"/>
          <w:szCs w:val="20"/>
        </w:rPr>
      </w:pPr>
      <w:r w:rsidRPr="002E3131">
        <w:rPr>
          <w:rStyle w:val="EndnoteReference"/>
          <w:rFonts w:cs="Arial"/>
          <w:color w:val="auto"/>
          <w:sz w:val="20"/>
          <w:szCs w:val="20"/>
        </w:rPr>
        <w:endnoteRef/>
      </w:r>
      <w:r w:rsidRPr="002E3131">
        <w:rPr>
          <w:rFonts w:cs="Arial"/>
          <w:color w:val="auto"/>
          <w:sz w:val="20"/>
          <w:szCs w:val="20"/>
        </w:rPr>
        <w:t xml:space="preserve"> Australian Health Ministers’ Advisory Council 2017, </w:t>
      </w:r>
      <w:r w:rsidRPr="002E3131">
        <w:rPr>
          <w:rFonts w:cs="Arial"/>
          <w:i/>
          <w:color w:val="auto"/>
          <w:sz w:val="20"/>
          <w:szCs w:val="20"/>
        </w:rPr>
        <w:t>Aboriginal and Torres Strait Islander Health Performance Framework 2017 Report</w:t>
      </w:r>
      <w:r w:rsidRPr="002E3131">
        <w:rPr>
          <w:rFonts w:cs="Arial"/>
          <w:color w:val="auto"/>
          <w:sz w:val="20"/>
          <w:szCs w:val="20"/>
        </w:rPr>
        <w:t>, AHMAC, Canberra.</w:t>
      </w:r>
    </w:p>
  </w:endnote>
  <w:endnote w:id="47">
    <w:p w:rsidR="00A02A83" w:rsidRPr="002E3131" w:rsidRDefault="00A02A83" w:rsidP="00C629ED">
      <w:pPr>
        <w:pStyle w:val="EndnoteText"/>
        <w:rPr>
          <w:rFonts w:cs="Arial"/>
          <w:color w:val="auto"/>
          <w:sz w:val="20"/>
          <w:szCs w:val="20"/>
        </w:rPr>
      </w:pPr>
      <w:r w:rsidRPr="002E3131">
        <w:rPr>
          <w:rStyle w:val="EndnoteReference"/>
          <w:rFonts w:cs="Arial"/>
          <w:color w:val="auto"/>
          <w:sz w:val="20"/>
          <w:szCs w:val="20"/>
        </w:rPr>
        <w:endnoteRef/>
      </w:r>
      <w:r w:rsidRPr="002E3131">
        <w:rPr>
          <w:rFonts w:cs="Arial"/>
          <w:color w:val="auto"/>
          <w:sz w:val="20"/>
          <w:szCs w:val="20"/>
        </w:rPr>
        <w:t xml:space="preserve"> Ware, V 2013, </w:t>
      </w:r>
      <w:r w:rsidRPr="002E3131">
        <w:rPr>
          <w:rFonts w:cs="Arial"/>
          <w:i/>
          <w:color w:val="auto"/>
          <w:sz w:val="20"/>
          <w:szCs w:val="20"/>
        </w:rPr>
        <w:t>Improving the accessibility of health services in urban and regional settings for indigenous people</w:t>
      </w:r>
      <w:r w:rsidRPr="002E3131">
        <w:rPr>
          <w:rFonts w:cs="Arial"/>
          <w:color w:val="auto"/>
          <w:sz w:val="20"/>
          <w:szCs w:val="20"/>
        </w:rPr>
        <w:t>, Australian Institute of Health and Welfare, Canberra, A.C.T.</w:t>
      </w:r>
    </w:p>
  </w:endnote>
  <w:endnote w:id="48">
    <w:p w:rsidR="00A02A83" w:rsidRPr="002E3131" w:rsidRDefault="00A02A83" w:rsidP="00C629ED">
      <w:pPr>
        <w:pStyle w:val="Default"/>
        <w:rPr>
          <w:rFonts w:ascii="Arial" w:hAnsi="Arial" w:cs="Arial"/>
          <w:color w:val="auto"/>
          <w:sz w:val="20"/>
          <w:szCs w:val="20"/>
        </w:rPr>
      </w:pPr>
      <w:r w:rsidRPr="002E3131">
        <w:rPr>
          <w:rStyle w:val="EndnoteReference"/>
          <w:rFonts w:ascii="Arial" w:hAnsi="Arial" w:cs="Arial"/>
          <w:color w:val="auto"/>
          <w:sz w:val="20"/>
          <w:szCs w:val="20"/>
        </w:rPr>
        <w:endnoteRef/>
      </w:r>
      <w:r w:rsidRPr="002E3131">
        <w:rPr>
          <w:rFonts w:ascii="Arial" w:hAnsi="Arial" w:cs="Arial"/>
          <w:color w:val="auto"/>
          <w:sz w:val="20"/>
          <w:szCs w:val="20"/>
        </w:rPr>
        <w:t xml:space="preserve">  Aboriginal and Torres Strait Islander Mental Health and Suicide Prevention Advisory Group (2016)  </w:t>
      </w:r>
      <w:r w:rsidRPr="002E3131">
        <w:rPr>
          <w:rFonts w:ascii="Arial" w:hAnsi="Arial" w:cs="Arial"/>
          <w:i/>
          <w:color w:val="auto"/>
          <w:sz w:val="20"/>
          <w:szCs w:val="20"/>
        </w:rPr>
        <w:t xml:space="preserve">National Strategic Framework for Aboriginal and Torres Strait Islander Peoples’ Mental Health and Social and Emotional Wellbeing 2017-2023 </w:t>
      </w:r>
      <w:r w:rsidRPr="002E3131">
        <w:rPr>
          <w:rFonts w:ascii="Arial" w:hAnsi="Arial" w:cs="Arial"/>
          <w:color w:val="auto"/>
          <w:sz w:val="20"/>
          <w:szCs w:val="20"/>
        </w:rPr>
        <w:t>Commonwealth of Australia</w:t>
      </w:r>
      <w:r>
        <w:rPr>
          <w:rFonts w:ascii="Arial" w:hAnsi="Arial" w:cs="Arial"/>
          <w:color w:val="auto"/>
          <w:sz w:val="20"/>
          <w:szCs w:val="20"/>
        </w:rPr>
        <w:t>.</w:t>
      </w:r>
    </w:p>
  </w:endnote>
  <w:endnote w:id="49">
    <w:p w:rsidR="00A02A83" w:rsidRPr="00674053" w:rsidRDefault="00A02A83" w:rsidP="00D41323">
      <w:pPr>
        <w:pStyle w:val="EndnoteText"/>
        <w:rPr>
          <w:rFonts w:cs="Arial"/>
          <w:color w:val="auto"/>
          <w:sz w:val="20"/>
          <w:szCs w:val="20"/>
        </w:rPr>
      </w:pPr>
      <w:r w:rsidRPr="00674053">
        <w:rPr>
          <w:rStyle w:val="EndnoteReference"/>
          <w:rFonts w:cs="Arial"/>
          <w:color w:val="auto"/>
          <w:sz w:val="20"/>
          <w:szCs w:val="20"/>
        </w:rPr>
        <w:endnoteRef/>
      </w:r>
      <w:r w:rsidRPr="00674053">
        <w:rPr>
          <w:rFonts w:cs="Arial"/>
          <w:color w:val="auto"/>
          <w:sz w:val="20"/>
          <w:szCs w:val="20"/>
        </w:rPr>
        <w:t xml:space="preserve"> Australian Health Ministers’ Advisory Council 2017, </w:t>
      </w:r>
      <w:r w:rsidRPr="00674053">
        <w:rPr>
          <w:rFonts w:cs="Arial"/>
          <w:i/>
          <w:color w:val="auto"/>
          <w:sz w:val="20"/>
          <w:szCs w:val="20"/>
        </w:rPr>
        <w:t>Aboriginal and Torres Strait Islander Health Performance Framework 2017 Report</w:t>
      </w:r>
      <w:r w:rsidRPr="00674053">
        <w:rPr>
          <w:rFonts w:cs="Arial"/>
          <w:color w:val="auto"/>
          <w:sz w:val="20"/>
          <w:szCs w:val="20"/>
        </w:rPr>
        <w:t>, AHMAC, Canberra</w:t>
      </w:r>
      <w:r>
        <w:rPr>
          <w:rFonts w:cs="Arial"/>
          <w:color w:val="auto"/>
          <w:sz w:val="20"/>
          <w:szCs w:val="20"/>
        </w:rPr>
        <w:t>.</w:t>
      </w:r>
    </w:p>
  </w:endnote>
  <w:endnote w:id="50">
    <w:p w:rsidR="00A02A83" w:rsidRPr="00674053" w:rsidRDefault="00A02A83">
      <w:pPr>
        <w:pStyle w:val="EndnoteText"/>
        <w:rPr>
          <w:rFonts w:cs="Arial"/>
          <w:color w:val="auto"/>
          <w:sz w:val="20"/>
          <w:szCs w:val="20"/>
        </w:rPr>
      </w:pPr>
      <w:r w:rsidRPr="00674053">
        <w:rPr>
          <w:rStyle w:val="EndnoteReference"/>
          <w:rFonts w:cs="Arial"/>
          <w:color w:val="auto"/>
          <w:sz w:val="20"/>
          <w:szCs w:val="20"/>
        </w:rPr>
        <w:endnoteRef/>
      </w:r>
      <w:r w:rsidRPr="00674053">
        <w:rPr>
          <w:rFonts w:cs="Arial"/>
          <w:color w:val="auto"/>
          <w:sz w:val="20"/>
          <w:szCs w:val="20"/>
        </w:rPr>
        <w:t xml:space="preserve"> Burns &amp; Thomson 2013; Darwin Ottis Guidelines Group et al. 2010, in Australian Health Ministers’ Advisory Council 2017, </w:t>
      </w:r>
      <w:r w:rsidRPr="00674053">
        <w:rPr>
          <w:rFonts w:cs="Arial"/>
          <w:i/>
          <w:color w:val="auto"/>
          <w:sz w:val="20"/>
          <w:szCs w:val="20"/>
        </w:rPr>
        <w:t>Aboriginal and Torres Strait Islander Health Performance Framework 2017 Report</w:t>
      </w:r>
      <w:r w:rsidRPr="00674053">
        <w:rPr>
          <w:rFonts w:cs="Arial"/>
          <w:color w:val="auto"/>
          <w:sz w:val="20"/>
          <w:szCs w:val="20"/>
        </w:rPr>
        <w:t>, AHMAC, Canberra</w:t>
      </w:r>
      <w:r>
        <w:rPr>
          <w:rFonts w:cs="Arial"/>
          <w:color w:val="auto"/>
          <w:sz w:val="20"/>
          <w:szCs w:val="20"/>
        </w:rPr>
        <w:t>.</w:t>
      </w:r>
    </w:p>
  </w:endnote>
  <w:endnote w:id="51">
    <w:p w:rsidR="00A02A83" w:rsidRPr="00674053" w:rsidRDefault="00A02A83">
      <w:pPr>
        <w:pStyle w:val="EndnoteText"/>
        <w:rPr>
          <w:rFonts w:cs="Arial"/>
          <w:color w:val="auto"/>
          <w:sz w:val="20"/>
          <w:szCs w:val="20"/>
        </w:rPr>
      </w:pPr>
      <w:r w:rsidRPr="00674053">
        <w:rPr>
          <w:rStyle w:val="EndnoteReference"/>
          <w:rFonts w:cs="Arial"/>
          <w:color w:val="auto"/>
          <w:sz w:val="20"/>
          <w:szCs w:val="20"/>
        </w:rPr>
        <w:endnoteRef/>
      </w:r>
      <w:r w:rsidRPr="00674053">
        <w:rPr>
          <w:rFonts w:cs="Arial"/>
          <w:color w:val="auto"/>
          <w:sz w:val="20"/>
          <w:szCs w:val="20"/>
        </w:rPr>
        <w:t xml:space="preserve"> Jervis-Bardy et al. 2014, in Australian Health Ministers’ Advisory Council 2017, </w:t>
      </w:r>
      <w:r w:rsidRPr="00674053">
        <w:rPr>
          <w:rFonts w:cs="Arial"/>
          <w:i/>
          <w:color w:val="auto"/>
          <w:sz w:val="20"/>
          <w:szCs w:val="20"/>
        </w:rPr>
        <w:t>Aboriginal and Torres Strait Islander Health Performance Framework 2017 Report</w:t>
      </w:r>
      <w:r w:rsidRPr="00674053">
        <w:rPr>
          <w:rFonts w:cs="Arial"/>
          <w:color w:val="auto"/>
          <w:sz w:val="20"/>
          <w:szCs w:val="20"/>
        </w:rPr>
        <w:t>, AHMAC, Canberra.</w:t>
      </w:r>
    </w:p>
  </w:endnote>
  <w:endnote w:id="52">
    <w:p w:rsidR="00A02A83" w:rsidRPr="002E3131" w:rsidRDefault="00A02A83" w:rsidP="00C629ED">
      <w:pPr>
        <w:pStyle w:val="EndnoteText"/>
        <w:rPr>
          <w:rFonts w:cs="Arial"/>
          <w:color w:val="auto"/>
          <w:sz w:val="20"/>
          <w:szCs w:val="20"/>
        </w:rPr>
      </w:pPr>
      <w:r w:rsidRPr="002E3131">
        <w:rPr>
          <w:rStyle w:val="EndnoteReference"/>
          <w:rFonts w:cs="Arial"/>
          <w:color w:val="auto"/>
          <w:sz w:val="20"/>
          <w:szCs w:val="20"/>
        </w:rPr>
        <w:endnoteRef/>
      </w:r>
      <w:r w:rsidRPr="002E3131">
        <w:rPr>
          <w:rFonts w:cs="Arial"/>
          <w:color w:val="auto"/>
          <w:sz w:val="20"/>
          <w:szCs w:val="20"/>
        </w:rPr>
        <w:t xml:space="preserve"> Heffernan et al. 2012; Levy 2005; AMA 2015 in Australian Health Ministers’ Advisory Council 2017, </w:t>
      </w:r>
      <w:r w:rsidRPr="002E3131">
        <w:rPr>
          <w:rFonts w:cs="Arial"/>
          <w:i/>
          <w:color w:val="auto"/>
          <w:sz w:val="20"/>
          <w:szCs w:val="20"/>
        </w:rPr>
        <w:t>Aboriginal and Torres Strait Islander Health Performance Framework 2017 Report</w:t>
      </w:r>
      <w:r w:rsidRPr="002E3131">
        <w:rPr>
          <w:rFonts w:cs="Arial"/>
          <w:color w:val="auto"/>
          <w:sz w:val="20"/>
          <w:szCs w:val="20"/>
        </w:rPr>
        <w:t>, AHMAC, Canberra.</w:t>
      </w:r>
    </w:p>
  </w:endnote>
  <w:endnote w:id="53">
    <w:p w:rsidR="00A02A83" w:rsidRPr="002E3131" w:rsidRDefault="00A02A83" w:rsidP="00C629ED">
      <w:pPr>
        <w:pStyle w:val="EndnoteText"/>
        <w:rPr>
          <w:rFonts w:cs="Arial"/>
          <w:color w:val="auto"/>
          <w:sz w:val="20"/>
          <w:szCs w:val="20"/>
        </w:rPr>
      </w:pPr>
      <w:r w:rsidRPr="002E3131">
        <w:rPr>
          <w:rStyle w:val="EndnoteReference"/>
          <w:rFonts w:cs="Arial"/>
          <w:color w:val="auto"/>
          <w:sz w:val="20"/>
          <w:szCs w:val="20"/>
        </w:rPr>
        <w:endnoteRef/>
      </w:r>
      <w:r w:rsidRPr="002E3131">
        <w:rPr>
          <w:rFonts w:cs="Arial"/>
          <w:color w:val="auto"/>
          <w:sz w:val="20"/>
          <w:szCs w:val="20"/>
        </w:rPr>
        <w:t xml:space="preserve"> Finance and Public Administration References Committee 2016, </w:t>
      </w:r>
      <w:r w:rsidRPr="002E3131">
        <w:rPr>
          <w:rFonts w:cs="Arial"/>
          <w:i/>
          <w:color w:val="auto"/>
          <w:sz w:val="20"/>
          <w:szCs w:val="20"/>
        </w:rPr>
        <w:t>Aboriginal and Torres Strait Islander experience of law enforcement and justice services</w:t>
      </w:r>
      <w:r w:rsidRPr="002E3131">
        <w:rPr>
          <w:rFonts w:cs="Arial"/>
          <w:color w:val="auto"/>
          <w:sz w:val="20"/>
          <w:szCs w:val="20"/>
        </w:rPr>
        <w:t>, Commonwealth of Australia, Canberra.</w:t>
      </w:r>
    </w:p>
  </w:endnote>
  <w:endnote w:id="54">
    <w:p w:rsidR="00A02A83" w:rsidRPr="002E3131" w:rsidRDefault="00A02A83" w:rsidP="00C629ED">
      <w:pPr>
        <w:pStyle w:val="EndnoteText"/>
        <w:rPr>
          <w:rFonts w:cs="Arial"/>
          <w:color w:val="auto"/>
          <w:sz w:val="20"/>
          <w:szCs w:val="20"/>
        </w:rPr>
      </w:pPr>
      <w:r w:rsidRPr="002E3131">
        <w:rPr>
          <w:rStyle w:val="EndnoteReference"/>
          <w:rFonts w:cs="Arial"/>
          <w:color w:val="auto"/>
          <w:sz w:val="20"/>
          <w:szCs w:val="20"/>
        </w:rPr>
        <w:endnoteRef/>
      </w:r>
      <w:r w:rsidRPr="002E3131">
        <w:rPr>
          <w:rFonts w:cs="Arial"/>
          <w:color w:val="auto"/>
          <w:sz w:val="20"/>
          <w:szCs w:val="20"/>
        </w:rPr>
        <w:t xml:space="preserve"> Australian Health Ministers’ Advisory Council 2017, </w:t>
      </w:r>
      <w:r w:rsidRPr="002E3131">
        <w:rPr>
          <w:rFonts w:cs="Arial"/>
          <w:i/>
          <w:color w:val="auto"/>
          <w:sz w:val="20"/>
          <w:szCs w:val="20"/>
        </w:rPr>
        <w:t>Aboriginal and Torres Strait Islander Health Performance Framework 2017 Report</w:t>
      </w:r>
      <w:r w:rsidRPr="002E3131">
        <w:rPr>
          <w:rFonts w:cs="Arial"/>
          <w:color w:val="auto"/>
          <w:sz w:val="20"/>
          <w:szCs w:val="20"/>
        </w:rPr>
        <w:t>, AHMAC, Canberra</w:t>
      </w:r>
      <w:r>
        <w:rPr>
          <w:rFonts w:cs="Arial"/>
          <w:color w:val="auto"/>
          <w:sz w:val="20"/>
          <w:szCs w:val="20"/>
        </w:rPr>
        <w:t>.</w:t>
      </w:r>
    </w:p>
  </w:endnote>
  <w:endnote w:id="55">
    <w:p w:rsidR="00A02A83" w:rsidRPr="00674053" w:rsidRDefault="00A02A83">
      <w:pPr>
        <w:pStyle w:val="EndnoteText"/>
        <w:rPr>
          <w:rFonts w:cs="Arial"/>
          <w:color w:val="auto"/>
          <w:sz w:val="20"/>
          <w:szCs w:val="20"/>
        </w:rPr>
      </w:pPr>
      <w:r w:rsidRPr="00674053">
        <w:rPr>
          <w:rStyle w:val="EndnoteReference"/>
          <w:rFonts w:cs="Arial"/>
          <w:color w:val="auto"/>
          <w:sz w:val="20"/>
          <w:szCs w:val="20"/>
        </w:rPr>
        <w:endnoteRef/>
      </w:r>
      <w:r w:rsidRPr="00674053">
        <w:rPr>
          <w:rFonts w:cs="Arial"/>
          <w:color w:val="auto"/>
          <w:sz w:val="20"/>
          <w:szCs w:val="20"/>
        </w:rPr>
        <w:t xml:space="preserve"> Shankar, J, Ip, E, Khalema, E, Couture, J, Tan, S, Zulla, RT &amp; Lam, G 2013, ‘Education as a Social Determinant of Health: Issues Facing Indigenous and Visible Minority Students in Postsecondary Education in Western Canada’, </w:t>
      </w:r>
      <w:r w:rsidRPr="00674053">
        <w:rPr>
          <w:rFonts w:cs="Arial"/>
          <w:i/>
          <w:color w:val="auto"/>
          <w:sz w:val="20"/>
          <w:szCs w:val="20"/>
        </w:rPr>
        <w:t>International Journal of Environmental Research and Public Health</w:t>
      </w:r>
      <w:r w:rsidRPr="00674053">
        <w:rPr>
          <w:rFonts w:cs="Arial"/>
          <w:color w:val="auto"/>
          <w:sz w:val="20"/>
          <w:szCs w:val="20"/>
        </w:rPr>
        <w:t xml:space="preserve">, vol. 10, no. 9, pp. 3908–3929. </w:t>
      </w:r>
    </w:p>
  </w:endnote>
  <w:endnote w:id="56">
    <w:p w:rsidR="00A02A83" w:rsidRPr="00674053" w:rsidRDefault="00A02A83">
      <w:pPr>
        <w:pStyle w:val="EndnoteText"/>
        <w:rPr>
          <w:rFonts w:cs="Arial"/>
          <w:color w:val="auto"/>
          <w:sz w:val="20"/>
          <w:szCs w:val="20"/>
        </w:rPr>
      </w:pPr>
      <w:r w:rsidRPr="00674053">
        <w:rPr>
          <w:rStyle w:val="EndnoteReference"/>
          <w:rFonts w:cs="Arial"/>
          <w:color w:val="auto"/>
          <w:sz w:val="20"/>
          <w:szCs w:val="20"/>
        </w:rPr>
        <w:endnoteRef/>
      </w:r>
      <w:r w:rsidRPr="00674053">
        <w:rPr>
          <w:rFonts w:cs="Arial"/>
          <w:color w:val="auto"/>
          <w:sz w:val="20"/>
          <w:szCs w:val="20"/>
        </w:rPr>
        <w:t xml:space="preserve"> Zimmerman, EB, Woolf, SH &amp; Haley, A 2015, ‘Understanding the Relationship Between Education and Health: A Review of the Evidence and an Examination of Community Perspectives’, </w:t>
      </w:r>
      <w:r w:rsidRPr="00674053">
        <w:rPr>
          <w:rFonts w:cs="Arial"/>
          <w:i/>
          <w:color w:val="auto"/>
          <w:sz w:val="20"/>
          <w:szCs w:val="20"/>
        </w:rPr>
        <w:t>Agency for Healthcare Research and Quality</w:t>
      </w:r>
      <w:r w:rsidRPr="00674053">
        <w:rPr>
          <w:rFonts w:cs="Arial"/>
          <w:color w:val="auto"/>
          <w:sz w:val="20"/>
          <w:szCs w:val="20"/>
        </w:rPr>
        <w:t xml:space="preserve">, Rockville, Maryland. </w:t>
      </w:r>
    </w:p>
  </w:endnote>
  <w:endnote w:id="57">
    <w:p w:rsidR="00A02A83" w:rsidRPr="00226765" w:rsidRDefault="00A02A83" w:rsidP="00226765">
      <w:pPr>
        <w:pStyle w:val="Default"/>
        <w:rPr>
          <w:rFonts w:ascii="Arial" w:hAnsi="Arial" w:cs="Arial"/>
        </w:rPr>
      </w:pPr>
      <w:r w:rsidRPr="00226765">
        <w:rPr>
          <w:rStyle w:val="EndnoteReference"/>
          <w:rFonts w:ascii="Arial" w:eastAsiaTheme="minorHAnsi" w:hAnsi="Arial" w:cs="Arial"/>
          <w:color w:val="auto"/>
          <w:sz w:val="20"/>
          <w:szCs w:val="20"/>
        </w:rPr>
        <w:endnoteRef/>
      </w:r>
      <w:r>
        <w:t xml:space="preserve"> </w:t>
      </w:r>
      <w:r w:rsidRPr="00226765">
        <w:rPr>
          <w:rFonts w:ascii="Arial" w:eastAsiaTheme="minorHAnsi" w:hAnsi="Arial" w:cs="Arial"/>
          <w:color w:val="auto"/>
          <w:sz w:val="20"/>
          <w:szCs w:val="20"/>
        </w:rPr>
        <w:t>A</w:t>
      </w:r>
      <w:r>
        <w:rPr>
          <w:rFonts w:ascii="Arial" w:eastAsiaTheme="minorHAnsi" w:hAnsi="Arial" w:cs="Arial"/>
          <w:color w:val="auto"/>
          <w:sz w:val="20"/>
          <w:szCs w:val="20"/>
        </w:rPr>
        <w:t xml:space="preserve">ustralian </w:t>
      </w:r>
      <w:r w:rsidRPr="00226765">
        <w:rPr>
          <w:rFonts w:ascii="Arial" w:eastAsiaTheme="minorHAnsi" w:hAnsi="Arial" w:cs="Arial"/>
          <w:color w:val="auto"/>
          <w:sz w:val="20"/>
          <w:szCs w:val="20"/>
        </w:rPr>
        <w:t>B</w:t>
      </w:r>
      <w:r>
        <w:rPr>
          <w:rFonts w:ascii="Arial" w:eastAsiaTheme="minorHAnsi" w:hAnsi="Arial" w:cs="Arial"/>
          <w:color w:val="auto"/>
          <w:sz w:val="20"/>
          <w:szCs w:val="20"/>
        </w:rPr>
        <w:t xml:space="preserve">ureau of </w:t>
      </w:r>
      <w:r w:rsidRPr="00226765">
        <w:rPr>
          <w:rFonts w:ascii="Arial" w:eastAsiaTheme="minorHAnsi" w:hAnsi="Arial" w:cs="Arial"/>
          <w:color w:val="auto"/>
          <w:sz w:val="20"/>
          <w:szCs w:val="20"/>
        </w:rPr>
        <w:t>S</w:t>
      </w:r>
      <w:r>
        <w:rPr>
          <w:rFonts w:ascii="Arial" w:eastAsiaTheme="minorHAnsi" w:hAnsi="Arial" w:cs="Arial"/>
          <w:color w:val="auto"/>
          <w:sz w:val="20"/>
          <w:szCs w:val="20"/>
        </w:rPr>
        <w:t>tatistics</w:t>
      </w:r>
      <w:r w:rsidRPr="00226765">
        <w:rPr>
          <w:rFonts w:ascii="Arial" w:eastAsiaTheme="minorHAnsi" w:hAnsi="Arial" w:cs="Arial"/>
          <w:color w:val="auto"/>
          <w:sz w:val="20"/>
          <w:szCs w:val="20"/>
        </w:rPr>
        <w:t xml:space="preserve"> Census of Population and Housing 2011</w:t>
      </w:r>
      <w:r>
        <w:rPr>
          <w:rFonts w:ascii="Arial" w:eastAsiaTheme="minorHAnsi" w:hAnsi="Arial" w:cs="Arial"/>
          <w:color w:val="auto"/>
          <w:sz w:val="20"/>
          <w:szCs w:val="20"/>
        </w:rPr>
        <w:t>. In</w:t>
      </w:r>
      <w:r w:rsidRPr="00226765">
        <w:rPr>
          <w:rFonts w:ascii="Arial" w:eastAsiaTheme="minorHAnsi" w:hAnsi="Arial" w:cs="Arial"/>
          <w:color w:val="auto"/>
          <w:sz w:val="20"/>
          <w:szCs w:val="20"/>
        </w:rPr>
        <w:t xml:space="preserve">: </w:t>
      </w:r>
      <w:r w:rsidRPr="00226765">
        <w:rPr>
          <w:rFonts w:ascii="Arial" w:hAnsi="Arial" w:cs="Arial"/>
          <w:color w:val="auto"/>
          <w:sz w:val="20"/>
          <w:szCs w:val="20"/>
        </w:rPr>
        <w:t xml:space="preserve">Department of the Prime Minister and Cabinet 2017, </w:t>
      </w:r>
      <w:r w:rsidRPr="00226765">
        <w:rPr>
          <w:rFonts w:ascii="Arial" w:hAnsi="Arial" w:cs="Arial"/>
          <w:i/>
          <w:color w:val="auto"/>
          <w:sz w:val="20"/>
          <w:szCs w:val="20"/>
        </w:rPr>
        <w:t>Closing the Gap Prime Minister’s Report 2017</w:t>
      </w:r>
      <w:r w:rsidRPr="00226765">
        <w:rPr>
          <w:rFonts w:ascii="Arial" w:hAnsi="Arial" w:cs="Arial"/>
          <w:color w:val="auto"/>
          <w:sz w:val="20"/>
          <w:szCs w:val="20"/>
        </w:rPr>
        <w:t>, Commonwealth of Australia, Canberra</w:t>
      </w:r>
      <w:r>
        <w:rPr>
          <w:rFonts w:ascii="Arial" w:hAnsi="Arial" w:cs="Arial"/>
          <w:color w:val="auto"/>
          <w:sz w:val="20"/>
          <w:szCs w:val="20"/>
        </w:rPr>
        <w:t>.</w:t>
      </w:r>
    </w:p>
  </w:endnote>
  <w:endnote w:id="58">
    <w:p w:rsidR="00A02A83" w:rsidRPr="002E3131" w:rsidRDefault="00A02A83" w:rsidP="00C629ED">
      <w:pPr>
        <w:pStyle w:val="EndnoteText"/>
        <w:rPr>
          <w:rFonts w:cs="Arial"/>
          <w:color w:val="auto"/>
          <w:sz w:val="20"/>
          <w:szCs w:val="20"/>
        </w:rPr>
      </w:pPr>
      <w:r w:rsidRPr="002E3131">
        <w:rPr>
          <w:rStyle w:val="EndnoteReference"/>
          <w:rFonts w:cs="Arial"/>
          <w:color w:val="auto"/>
          <w:sz w:val="20"/>
          <w:szCs w:val="20"/>
        </w:rPr>
        <w:endnoteRef/>
      </w:r>
      <w:r w:rsidRPr="002E3131">
        <w:rPr>
          <w:rFonts w:cs="Arial"/>
          <w:color w:val="auto"/>
          <w:sz w:val="20"/>
          <w:szCs w:val="20"/>
        </w:rPr>
        <w:t xml:space="preserve"> Australian Bureau of Statistics 2016, National Aboriginal and Torres Strait Islander Social Survey, 2014-15, Commonwealth of Australia</w:t>
      </w:r>
      <w:r>
        <w:rPr>
          <w:rFonts w:cs="Arial"/>
          <w:color w:val="auto"/>
          <w:sz w:val="20"/>
          <w:szCs w:val="20"/>
        </w:rPr>
        <w:t>.</w:t>
      </w:r>
    </w:p>
  </w:endnote>
  <w:endnote w:id="59">
    <w:p w:rsidR="00A02A83" w:rsidRPr="002E3131" w:rsidRDefault="00A02A83" w:rsidP="00C629ED">
      <w:pPr>
        <w:pStyle w:val="EndnoteText"/>
        <w:rPr>
          <w:rFonts w:cs="Arial"/>
          <w:color w:val="auto"/>
          <w:sz w:val="20"/>
          <w:szCs w:val="20"/>
        </w:rPr>
      </w:pPr>
      <w:r w:rsidRPr="002E3131">
        <w:rPr>
          <w:rStyle w:val="EndnoteReference"/>
          <w:rFonts w:cs="Arial"/>
          <w:color w:val="auto"/>
          <w:sz w:val="20"/>
          <w:szCs w:val="20"/>
        </w:rPr>
        <w:endnoteRef/>
      </w:r>
      <w:r w:rsidRPr="002E3131">
        <w:rPr>
          <w:rFonts w:cs="Arial"/>
          <w:color w:val="auto"/>
          <w:sz w:val="20"/>
          <w:szCs w:val="20"/>
        </w:rPr>
        <w:t xml:space="preserve"> Simpson, J, Caffery, J, &amp; McConvell, P 2009, Gaps in Australia’s Indigenous language policy: dismantling bilingual education in the Northern Territory, AIATSIS Research Discussion P</w:t>
      </w:r>
      <w:r>
        <w:rPr>
          <w:rFonts w:cs="Arial"/>
          <w:color w:val="auto"/>
          <w:sz w:val="20"/>
          <w:szCs w:val="20"/>
        </w:rPr>
        <w:t>aper No. 24, AIATSIS, Canberra.</w:t>
      </w:r>
    </w:p>
  </w:endnote>
  <w:endnote w:id="60">
    <w:p w:rsidR="00A02A83" w:rsidRPr="002E3131" w:rsidRDefault="00A02A83" w:rsidP="00C629ED">
      <w:pPr>
        <w:pStyle w:val="EndnoteText"/>
        <w:rPr>
          <w:rFonts w:cs="Arial"/>
          <w:color w:val="auto"/>
          <w:sz w:val="20"/>
          <w:szCs w:val="20"/>
        </w:rPr>
      </w:pPr>
      <w:r w:rsidRPr="002E3131">
        <w:rPr>
          <w:rStyle w:val="EndnoteReference"/>
          <w:rFonts w:cs="Arial"/>
          <w:color w:val="auto"/>
          <w:sz w:val="20"/>
          <w:szCs w:val="20"/>
        </w:rPr>
        <w:endnoteRef/>
      </w:r>
      <w:r w:rsidRPr="002E3131">
        <w:rPr>
          <w:rFonts w:cs="Arial"/>
          <w:color w:val="auto"/>
          <w:sz w:val="20"/>
          <w:szCs w:val="20"/>
        </w:rPr>
        <w:t xml:space="preserve"> Bishop J &amp; Mane F 2004. The impacts of career-technical education on high school labor market success. Economics of Education Review 23:381–402.</w:t>
      </w:r>
    </w:p>
  </w:endnote>
  <w:endnote w:id="61">
    <w:p w:rsidR="00A02A83" w:rsidRPr="002E3131" w:rsidRDefault="00A02A83" w:rsidP="00C629ED">
      <w:pPr>
        <w:pStyle w:val="EndnoteText"/>
        <w:rPr>
          <w:rFonts w:cs="Arial"/>
          <w:color w:val="auto"/>
          <w:sz w:val="20"/>
          <w:szCs w:val="20"/>
        </w:rPr>
      </w:pPr>
      <w:r w:rsidRPr="002E3131">
        <w:rPr>
          <w:rStyle w:val="EndnoteReference"/>
          <w:rFonts w:cs="Arial"/>
          <w:color w:val="auto"/>
          <w:sz w:val="20"/>
          <w:szCs w:val="20"/>
        </w:rPr>
        <w:endnoteRef/>
      </w:r>
      <w:r w:rsidRPr="002E3131">
        <w:rPr>
          <w:rFonts w:cs="Arial"/>
          <w:color w:val="auto"/>
          <w:sz w:val="20"/>
          <w:szCs w:val="20"/>
        </w:rPr>
        <w:t xml:space="preserve"> Lamb S 2008. Alternative pathways to high school graduation: an international comparison report for the California Dropout Research Project report no. 7. Santa Barbara: University of California</w:t>
      </w:r>
      <w:r>
        <w:rPr>
          <w:rFonts w:cs="Arial"/>
          <w:color w:val="auto"/>
          <w:sz w:val="20"/>
          <w:szCs w:val="20"/>
        </w:rPr>
        <w:t>.</w:t>
      </w:r>
    </w:p>
  </w:endnote>
  <w:endnote w:id="62">
    <w:p w:rsidR="00A02A83" w:rsidRPr="002E3131" w:rsidRDefault="00A02A83" w:rsidP="00C629ED">
      <w:pPr>
        <w:pStyle w:val="xBodytext1"/>
        <w:rPr>
          <w:rFonts w:cs="Arial"/>
          <w:color w:val="auto"/>
          <w:sz w:val="20"/>
        </w:rPr>
      </w:pPr>
      <w:r w:rsidRPr="002E3131">
        <w:rPr>
          <w:rStyle w:val="EndnoteReference"/>
          <w:rFonts w:cs="Arial"/>
          <w:color w:val="auto"/>
          <w:sz w:val="20"/>
        </w:rPr>
        <w:endnoteRef/>
      </w:r>
      <w:r w:rsidRPr="002E3131">
        <w:rPr>
          <w:rFonts w:cs="Arial"/>
          <w:color w:val="auto"/>
          <w:sz w:val="20"/>
        </w:rPr>
        <w:t xml:space="preserve"> Skelton, F 2015, </w:t>
      </w:r>
      <w:r w:rsidRPr="00095E9D">
        <w:rPr>
          <w:rFonts w:cs="Arial"/>
          <w:i/>
          <w:color w:val="auto"/>
          <w:sz w:val="20"/>
        </w:rPr>
        <w:t>Increased literacy scores for Indigenous children in schools using the cross-curriculum priority</w:t>
      </w:r>
      <w:r w:rsidRPr="00095E9D">
        <w:rPr>
          <w:rFonts w:cs="Arial"/>
          <w:color w:val="auto"/>
          <w:sz w:val="20"/>
        </w:rPr>
        <w:t xml:space="preserve">, Research summary: No.4, National Centre for Longitudinal Data, Department of Social Services, Commonwealth of Australia, Canberra. </w:t>
      </w:r>
    </w:p>
  </w:endnote>
  <w:endnote w:id="63">
    <w:p w:rsidR="00A02A83" w:rsidRPr="002E3131" w:rsidRDefault="00A02A83" w:rsidP="00C629ED">
      <w:pPr>
        <w:rPr>
          <w:rFonts w:eastAsia="Arial" w:cs="Arial"/>
          <w:color w:val="auto"/>
          <w:sz w:val="20"/>
          <w:szCs w:val="20"/>
        </w:rPr>
      </w:pPr>
      <w:r w:rsidRPr="002E3131">
        <w:rPr>
          <w:rStyle w:val="EndnoteReference"/>
          <w:rFonts w:cs="Arial"/>
          <w:color w:val="auto"/>
          <w:sz w:val="20"/>
          <w:szCs w:val="20"/>
        </w:rPr>
        <w:endnoteRef/>
      </w:r>
      <w:r w:rsidRPr="002E3131">
        <w:rPr>
          <w:rFonts w:eastAsia="Arial" w:cs="Arial"/>
          <w:color w:val="auto"/>
          <w:sz w:val="20"/>
          <w:szCs w:val="20"/>
        </w:rPr>
        <w:t xml:space="preserve"> Simpson, J., Caffery, J., &amp; McConvell, P. 2009, </w:t>
      </w:r>
      <w:r w:rsidRPr="002E3131">
        <w:rPr>
          <w:rFonts w:eastAsia="Arial" w:cs="Arial"/>
          <w:i/>
          <w:color w:val="auto"/>
          <w:sz w:val="20"/>
          <w:szCs w:val="20"/>
        </w:rPr>
        <w:t>Gaps in Australia’s Indigenous Language Policy: Dismantling Bilingual Education in the Northern Territory</w:t>
      </w:r>
      <w:r w:rsidRPr="002E3131">
        <w:rPr>
          <w:rFonts w:eastAsia="Arial" w:cs="Arial"/>
          <w:color w:val="auto"/>
          <w:sz w:val="20"/>
          <w:szCs w:val="20"/>
        </w:rPr>
        <w:t>, AIATSIS, Canberra</w:t>
      </w:r>
      <w:r>
        <w:rPr>
          <w:rFonts w:eastAsia="Arial" w:cs="Arial"/>
          <w:color w:val="auto"/>
          <w:sz w:val="20"/>
          <w:szCs w:val="20"/>
        </w:rP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altName w:val="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0002EFF" w:usb1="C000247B" w:usb2="00000009" w:usb3="00000000" w:csb0="000001FF" w:csb1="00000000"/>
  </w:font>
  <w:font w:name="Armata">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Ebrima">
    <w:panose1 w:val="02000000000000000000"/>
    <w:charset w:val="00"/>
    <w:family w:val="auto"/>
    <w:pitch w:val="variable"/>
    <w:sig w:usb0="A000005F" w:usb1="02000041" w:usb2="00000800" w:usb3="00000000" w:csb0="00000093" w:csb1="00000000"/>
  </w:font>
  <w:font w:name="Calibri Light">
    <w:panose1 w:val="020F0302020204030204"/>
    <w:charset w:val="00"/>
    <w:family w:val="swiss"/>
    <w:pitch w:val="variable"/>
    <w:sig w:usb0="E0002A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dobe Garamond Pro">
    <w:altName w:val="Times New Roman"/>
    <w:panose1 w:val="00000000000000000000"/>
    <w:charset w:val="00"/>
    <w:family w:val="roman"/>
    <w:notTrueType/>
    <w:pitch w:val="default"/>
  </w:font>
  <w:font w:name="Swis721 Lt BT">
    <w:altName w:val="Swis721 Lt BT"/>
    <w:panose1 w:val="00000000000000000000"/>
    <w:charset w:val="00"/>
    <w:family w:val="swiss"/>
    <w:notTrueType/>
    <w:pitch w:val="default"/>
    <w:sig w:usb0="00000003" w:usb1="00000000" w:usb2="00000000" w:usb3="00000000" w:csb0="00000001" w:csb1="00000000"/>
  </w:font>
  <w:font w:name="Helvetica 45 Light">
    <w:altName w:val="Times New Roman"/>
    <w:panose1 w:val="00000000000000000000"/>
    <w:charset w:val="00"/>
    <w:family w:val="roman"/>
    <w:notTrueType/>
    <w:pitch w:val="default"/>
  </w:font>
  <w:font w:name="Avenir Book">
    <w:altName w:val="Corbel"/>
    <w:charset w:val="00"/>
    <w:family w:val="auto"/>
    <w:pitch w:val="variable"/>
    <w:sig w:usb0="00000001" w:usb1="5000204A" w:usb2="00000000" w:usb3="00000000" w:csb0="0000009B" w:csb1="00000000"/>
  </w:font>
  <w:font w:name="Consolas">
    <w:panose1 w:val="020B0609020204030204"/>
    <w:charset w:val="00"/>
    <w:family w:val="modern"/>
    <w:pitch w:val="fixed"/>
    <w:sig w:usb0="E00006FF" w:usb1="0000FCFF" w:usb2="00000001"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 w:name="Algerian">
    <w:panose1 w:val="04020705040A02060702"/>
    <w:charset w:val="00"/>
    <w:family w:val="decorative"/>
    <w:pitch w:val="variable"/>
    <w:sig w:usb0="00000003" w:usb1="00000000" w:usb2="00000000" w:usb3="00000000" w:csb0="00000001" w:csb1="00000000"/>
  </w:font>
  <w:font w:name="Proxima Nova Th">
    <w:altName w:val="Proxima Nova Th"/>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4856745"/>
      <w:docPartObj>
        <w:docPartGallery w:val="Page Numbers (Bottom of Page)"/>
        <w:docPartUnique/>
      </w:docPartObj>
    </w:sdtPr>
    <w:sdtEndPr>
      <w:rPr>
        <w:noProof/>
      </w:rPr>
    </w:sdtEndPr>
    <w:sdtContent>
      <w:p w:rsidR="00B745BE" w:rsidRDefault="00B745BE">
        <w:pPr>
          <w:pStyle w:val="Footer"/>
          <w:jc w:val="center"/>
        </w:pPr>
        <w:r>
          <w:fldChar w:fldCharType="begin"/>
        </w:r>
        <w:r>
          <w:instrText xml:space="preserve"> PAGE   \* MERGEFORMAT </w:instrText>
        </w:r>
        <w:r>
          <w:fldChar w:fldCharType="separate"/>
        </w:r>
        <w:r w:rsidR="007C26A9">
          <w:rPr>
            <w:noProof/>
          </w:rPr>
          <w:t>20</w:t>
        </w:r>
        <w:r>
          <w:rPr>
            <w:noProof/>
          </w:rPr>
          <w:fldChar w:fldCharType="end"/>
        </w:r>
      </w:p>
    </w:sdtContent>
  </w:sdt>
  <w:p w:rsidR="00A02A83" w:rsidRDefault="00A02A83" w:rsidP="00375CD7">
    <w:pPr>
      <w:tabs>
        <w:tab w:val="left" w:pos="3782"/>
        <w:tab w:val="center" w:pos="4323"/>
        <w:tab w:val="center" w:pos="4513"/>
        <w:tab w:val="right" w:pos="9026"/>
      </w:tabs>
      <w:spacing w:after="0"/>
      <w:rPr>
        <w:rFonts w:ascii="Calibri" w:eastAsia="Calibri" w:hAnsi="Calibri" w:cs="Calibri"/>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338A" w:rsidRDefault="0058338A">
    <w:pPr>
      <w:pStyle w:val="Footer"/>
    </w:pPr>
  </w:p>
  <w:p w:rsidR="001F7391" w:rsidRDefault="001F739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62FFC" w:rsidRDefault="00B62FFC">
      <w:pPr>
        <w:spacing w:after="0" w:line="240" w:lineRule="auto"/>
      </w:pPr>
      <w:r>
        <w:separator/>
      </w:r>
    </w:p>
  </w:footnote>
  <w:footnote w:type="continuationSeparator" w:id="0">
    <w:p w:rsidR="00B62FFC" w:rsidRDefault="00B62FFC">
      <w:pPr>
        <w:spacing w:after="0" w:line="240" w:lineRule="auto"/>
      </w:pPr>
      <w:r>
        <w:continuationSeparator/>
      </w:r>
    </w:p>
  </w:footnote>
  <w:footnote w:type="continuationNotice" w:id="1">
    <w:p w:rsidR="00B62FFC" w:rsidRDefault="00B62FFC">
      <w:pPr>
        <w:spacing w:after="0" w:line="240" w:lineRule="auto"/>
      </w:pPr>
    </w:p>
  </w:footnote>
  <w:footnote w:id="2">
    <w:p w:rsidR="00A02A83" w:rsidRDefault="00A02A83">
      <w:pPr>
        <w:pStyle w:val="FootnoteText"/>
      </w:pPr>
      <w:r>
        <w:rPr>
          <w:rStyle w:val="FootnoteReference"/>
        </w:rPr>
        <w:footnoteRef/>
      </w:r>
      <w:r>
        <w:t xml:space="preserve"> </w:t>
      </w:r>
      <w:r w:rsidRPr="00E5273C">
        <w:rPr>
          <w:rFonts w:eastAsia="Calibri" w:cs="Times New Roman"/>
          <w:color w:val="323E4F"/>
          <w:sz w:val="18"/>
          <w:szCs w:val="21"/>
          <w:lang w:eastAsia="en-AU"/>
        </w:rPr>
        <w:t>The 2018 extension of the National Partnership on Universal Access to Early Childhood Education is yet to be agreed with the states and territories.</w:t>
      </w:r>
      <w:r w:rsidRPr="00E5273C">
        <w:rPr>
          <w:sz w:val="16"/>
          <w:szCs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7391" w:rsidRDefault="001F7391" w:rsidP="00B30E48">
    <w:pPr>
      <w:pStyle w:val="Header"/>
      <w:tabs>
        <w:tab w:val="clear" w:pos="4513"/>
        <w:tab w:val="clear" w:pos="9026"/>
        <w:tab w:val="left" w:pos="734"/>
      </w:tab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C5069C"/>
    <w:multiLevelType w:val="multilevel"/>
    <w:tmpl w:val="62861738"/>
    <w:lvl w:ilvl="0">
      <w:start w:val="1"/>
      <w:numFmt w:val="lowerRoman"/>
      <w:pStyle w:val="IPbulletlist"/>
      <w:lvlText w:val="%1."/>
      <w:lvlJc w:val="righ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 w15:restartNumberingAfterBreak="0">
    <w:nsid w:val="06DB1F01"/>
    <w:multiLevelType w:val="multilevel"/>
    <w:tmpl w:val="3A2AE0B4"/>
    <w:lvl w:ilvl="0">
      <w:start w:val="1"/>
      <w:numFmt w:val="bullet"/>
      <w:pStyle w:val="ActionHeading2Numbered"/>
      <w:lvlText w:val="●"/>
      <w:lvlJc w:val="left"/>
      <w:pPr>
        <w:ind w:left="360" w:firstLine="0"/>
      </w:pPr>
      <w:rPr>
        <w:rFonts w:ascii="Arial" w:eastAsia="Arial" w:hAnsi="Arial" w:cs="Arial"/>
      </w:r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2" w15:restartNumberingAfterBreak="0">
    <w:nsid w:val="08C51E9F"/>
    <w:multiLevelType w:val="multilevel"/>
    <w:tmpl w:val="FC3A0A88"/>
    <w:lvl w:ilvl="0">
      <w:start w:val="1"/>
      <w:numFmt w:val="lowerRoman"/>
      <w:pStyle w:val="RecDot"/>
      <w:lvlText w:val="%1."/>
      <w:lvlJc w:val="righ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3" w15:restartNumberingAfterBreak="0">
    <w:nsid w:val="0D91254A"/>
    <w:multiLevelType w:val="hybridMultilevel"/>
    <w:tmpl w:val="00A64CF8"/>
    <w:lvl w:ilvl="0" w:tplc="50227B18">
      <w:start w:val="1"/>
      <w:numFmt w:val="decimal"/>
      <w:pStyle w:val="xStyle1"/>
      <w:lvlText w:val="Priority Area %1."/>
      <w:lvlJc w:val="left"/>
      <w:pPr>
        <w:ind w:left="1070" w:hanging="360"/>
      </w:pPr>
      <w:rPr>
        <w:rFonts w:hint="default"/>
      </w:rPr>
    </w:lvl>
    <w:lvl w:ilvl="1" w:tplc="0C090019">
      <w:start w:val="1"/>
      <w:numFmt w:val="lowerLetter"/>
      <w:lvlText w:val="%2."/>
      <w:lvlJc w:val="left"/>
      <w:pPr>
        <w:ind w:left="1790" w:hanging="360"/>
      </w:pPr>
    </w:lvl>
    <w:lvl w:ilvl="2" w:tplc="0C09001B" w:tentative="1">
      <w:start w:val="1"/>
      <w:numFmt w:val="lowerRoman"/>
      <w:lvlText w:val="%3."/>
      <w:lvlJc w:val="right"/>
      <w:pPr>
        <w:ind w:left="2510" w:hanging="180"/>
      </w:pPr>
    </w:lvl>
    <w:lvl w:ilvl="3" w:tplc="0C09000F" w:tentative="1">
      <w:start w:val="1"/>
      <w:numFmt w:val="decimal"/>
      <w:lvlText w:val="%4."/>
      <w:lvlJc w:val="left"/>
      <w:pPr>
        <w:ind w:left="3230" w:hanging="360"/>
      </w:pPr>
    </w:lvl>
    <w:lvl w:ilvl="4" w:tplc="0C090019" w:tentative="1">
      <w:start w:val="1"/>
      <w:numFmt w:val="lowerLetter"/>
      <w:lvlText w:val="%5."/>
      <w:lvlJc w:val="left"/>
      <w:pPr>
        <w:ind w:left="3950" w:hanging="360"/>
      </w:pPr>
    </w:lvl>
    <w:lvl w:ilvl="5" w:tplc="0C09001B" w:tentative="1">
      <w:start w:val="1"/>
      <w:numFmt w:val="lowerRoman"/>
      <w:lvlText w:val="%6."/>
      <w:lvlJc w:val="right"/>
      <w:pPr>
        <w:ind w:left="4670" w:hanging="180"/>
      </w:pPr>
    </w:lvl>
    <w:lvl w:ilvl="6" w:tplc="0C09000F" w:tentative="1">
      <w:start w:val="1"/>
      <w:numFmt w:val="decimal"/>
      <w:lvlText w:val="%7."/>
      <w:lvlJc w:val="left"/>
      <w:pPr>
        <w:ind w:left="5390" w:hanging="360"/>
      </w:pPr>
    </w:lvl>
    <w:lvl w:ilvl="7" w:tplc="0C090019" w:tentative="1">
      <w:start w:val="1"/>
      <w:numFmt w:val="lowerLetter"/>
      <w:lvlText w:val="%8."/>
      <w:lvlJc w:val="left"/>
      <w:pPr>
        <w:ind w:left="6110" w:hanging="360"/>
      </w:pPr>
    </w:lvl>
    <w:lvl w:ilvl="8" w:tplc="0C09001B" w:tentative="1">
      <w:start w:val="1"/>
      <w:numFmt w:val="lowerRoman"/>
      <w:lvlText w:val="%9."/>
      <w:lvlJc w:val="right"/>
      <w:pPr>
        <w:ind w:left="6830" w:hanging="180"/>
      </w:pPr>
    </w:lvl>
  </w:abstractNum>
  <w:abstractNum w:abstractNumId="4" w15:restartNumberingAfterBreak="0">
    <w:nsid w:val="10AD5CE6"/>
    <w:multiLevelType w:val="multilevel"/>
    <w:tmpl w:val="69BE228E"/>
    <w:lvl w:ilvl="0">
      <w:start w:val="1"/>
      <w:numFmt w:val="lowerRoman"/>
      <w:pStyle w:val="1Coloursectionbullet"/>
      <w:lvlText w:val="%1."/>
      <w:lvlJc w:val="right"/>
      <w:pPr>
        <w:ind w:left="720" w:firstLine="360"/>
      </w:p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5" w15:restartNumberingAfterBreak="0">
    <w:nsid w:val="17C2335D"/>
    <w:multiLevelType w:val="multilevel"/>
    <w:tmpl w:val="51EC3A02"/>
    <w:lvl w:ilvl="0">
      <w:start w:val="1"/>
      <w:numFmt w:val="lowerRoman"/>
      <w:pStyle w:val="Bullet"/>
      <w:lvlText w:val="%1."/>
      <w:lvlJc w:val="righ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6" w15:restartNumberingAfterBreak="0">
    <w:nsid w:val="2055058E"/>
    <w:multiLevelType w:val="multilevel"/>
    <w:tmpl w:val="A39E95E8"/>
    <w:lvl w:ilvl="0">
      <w:start w:val="1"/>
      <w:numFmt w:val="decimal"/>
      <w:pStyle w:val="xbullet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20744393"/>
    <w:multiLevelType w:val="multilevel"/>
    <w:tmpl w:val="3C981BCE"/>
    <w:lvl w:ilvl="0">
      <w:start w:val="1"/>
      <w:numFmt w:val="lowerRoman"/>
      <w:pStyle w:val="Style1"/>
      <w:lvlText w:val="%1."/>
      <w:lvlJc w:val="right"/>
      <w:pPr>
        <w:ind w:left="360" w:firstLine="0"/>
      </w:p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8" w15:restartNumberingAfterBreak="0">
    <w:nsid w:val="26CB6996"/>
    <w:multiLevelType w:val="hybridMultilevel"/>
    <w:tmpl w:val="D79050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D5013C9"/>
    <w:multiLevelType w:val="multilevel"/>
    <w:tmpl w:val="5FF4AA3A"/>
    <w:lvl w:ilvl="0">
      <w:start w:val="1"/>
      <w:numFmt w:val="bullet"/>
      <w:pStyle w:val="xPriority"/>
      <w:lvlText w:val="●"/>
      <w:lvlJc w:val="left"/>
      <w:pPr>
        <w:ind w:left="360" w:firstLine="0"/>
      </w:pPr>
      <w:rPr>
        <w:rFonts w:ascii="Arial" w:eastAsia="Arial" w:hAnsi="Arial" w:cs="Arial"/>
      </w:r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10" w15:restartNumberingAfterBreak="0">
    <w:nsid w:val="3175123E"/>
    <w:multiLevelType w:val="hybridMultilevel"/>
    <w:tmpl w:val="FFB45A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E6B2961"/>
    <w:multiLevelType w:val="multilevel"/>
    <w:tmpl w:val="55D43AB2"/>
    <w:lvl w:ilvl="0">
      <w:start w:val="1"/>
      <w:numFmt w:val="lowerRoman"/>
      <w:pStyle w:val="TableTextbullet"/>
      <w:lvlText w:val="%1."/>
      <w:lvlJc w:val="right"/>
      <w:pPr>
        <w:ind w:left="360" w:firstLine="0"/>
      </w:p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12" w15:restartNumberingAfterBreak="0">
    <w:nsid w:val="523C0FDF"/>
    <w:multiLevelType w:val="hybridMultilevel"/>
    <w:tmpl w:val="0FB298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7101909"/>
    <w:multiLevelType w:val="multilevel"/>
    <w:tmpl w:val="9B06D964"/>
    <w:lvl w:ilvl="0">
      <w:start w:val="1"/>
      <w:numFmt w:val="lowerRoman"/>
      <w:pStyle w:val="ListParagraphGhosted"/>
      <w:lvlText w:val="%1."/>
      <w:lvlJc w:val="right"/>
      <w:pPr>
        <w:ind w:left="720" w:firstLine="360"/>
      </w:pPr>
      <w:rPr>
        <w:rFonts w:ascii="Arial" w:hAnsi="Arial" w:hint="default"/>
        <w:b w:val="0"/>
        <w:sz w:val="22"/>
        <w:szCs w:val="22"/>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4" w15:restartNumberingAfterBreak="0">
    <w:nsid w:val="71756595"/>
    <w:multiLevelType w:val="multilevel"/>
    <w:tmpl w:val="C0D4FB4C"/>
    <w:lvl w:ilvl="0">
      <w:start w:val="1"/>
      <w:numFmt w:val="lowerRoman"/>
      <w:pStyle w:val="Bulletpurple"/>
      <w:lvlText w:val="%1."/>
      <w:lvlJc w:val="right"/>
      <w:pPr>
        <w:ind w:left="360" w:firstLine="0"/>
      </w:p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15" w15:restartNumberingAfterBreak="0">
    <w:nsid w:val="77D85A47"/>
    <w:multiLevelType w:val="multilevel"/>
    <w:tmpl w:val="17CC5702"/>
    <w:lvl w:ilvl="0">
      <w:start w:val="1"/>
      <w:numFmt w:val="lowerRoman"/>
      <w:pStyle w:val="xActionnum"/>
      <w:lvlText w:val="%1."/>
      <w:lvlJc w:val="right"/>
      <w:pPr>
        <w:ind w:left="360" w:firstLine="0"/>
      </w:p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16" w15:restartNumberingAfterBreak="0">
    <w:nsid w:val="781A5F60"/>
    <w:multiLevelType w:val="multilevel"/>
    <w:tmpl w:val="7BE8F0E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7D4B041E"/>
    <w:multiLevelType w:val="hybridMultilevel"/>
    <w:tmpl w:val="7F2C5A70"/>
    <w:lvl w:ilvl="0" w:tplc="88C8C880">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num w:numId="1">
    <w:abstractNumId w:val="2"/>
  </w:num>
  <w:num w:numId="2">
    <w:abstractNumId w:val="4"/>
  </w:num>
  <w:num w:numId="3">
    <w:abstractNumId w:val="0"/>
  </w:num>
  <w:num w:numId="4">
    <w:abstractNumId w:val="5"/>
  </w:num>
  <w:num w:numId="5">
    <w:abstractNumId w:val="13"/>
  </w:num>
  <w:num w:numId="6">
    <w:abstractNumId w:val="11"/>
  </w:num>
  <w:num w:numId="7">
    <w:abstractNumId w:val="7"/>
  </w:num>
  <w:num w:numId="8">
    <w:abstractNumId w:val="1"/>
  </w:num>
  <w:num w:numId="9">
    <w:abstractNumId w:val="14"/>
  </w:num>
  <w:num w:numId="10">
    <w:abstractNumId w:val="9"/>
  </w:num>
  <w:num w:numId="11">
    <w:abstractNumId w:val="15"/>
  </w:num>
  <w:num w:numId="12">
    <w:abstractNumId w:val="6"/>
  </w:num>
  <w:num w:numId="13">
    <w:abstractNumId w:val="3"/>
  </w:num>
  <w:num w:numId="14">
    <w:abstractNumId w:val="12"/>
  </w:num>
  <w:num w:numId="15">
    <w:abstractNumId w:val="10"/>
  </w:num>
  <w:num w:numId="16">
    <w:abstractNumId w:val="16"/>
  </w:num>
  <w:num w:numId="1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 w:numId="19">
    <w:abstractNumId w:val="3"/>
  </w:num>
  <w:num w:numId="20">
    <w:abstractNumId w:val="3"/>
  </w:num>
  <w:num w:numId="21">
    <w:abstractNumId w:val="3"/>
  </w:num>
  <w:num w:numId="22">
    <w:abstractNumId w:val="3"/>
  </w:num>
  <w:num w:numId="2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removePersonalInformation/>
  <w:removeDateAndTime/>
  <w:displayBackgroundShape/>
  <w:defaultTabStop w:val="720"/>
  <w:characterSpacingControl w:val="doNotCompress"/>
  <w:hdrShapeDefaults>
    <o:shapedefaults v:ext="edit" spidmax="47105"/>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5CBA"/>
    <w:rsid w:val="00002A5A"/>
    <w:rsid w:val="00004217"/>
    <w:rsid w:val="00004289"/>
    <w:rsid w:val="000045E3"/>
    <w:rsid w:val="00005DE6"/>
    <w:rsid w:val="00005FAE"/>
    <w:rsid w:val="000063B8"/>
    <w:rsid w:val="000075BB"/>
    <w:rsid w:val="00007986"/>
    <w:rsid w:val="00007DB4"/>
    <w:rsid w:val="00011CE6"/>
    <w:rsid w:val="00011F3F"/>
    <w:rsid w:val="00012402"/>
    <w:rsid w:val="00012AE3"/>
    <w:rsid w:val="00014765"/>
    <w:rsid w:val="000155F5"/>
    <w:rsid w:val="000156E3"/>
    <w:rsid w:val="00016B22"/>
    <w:rsid w:val="00016F19"/>
    <w:rsid w:val="00017970"/>
    <w:rsid w:val="000203BD"/>
    <w:rsid w:val="000216F5"/>
    <w:rsid w:val="000218CB"/>
    <w:rsid w:val="00021B6C"/>
    <w:rsid w:val="00022D54"/>
    <w:rsid w:val="0002347D"/>
    <w:rsid w:val="0002393D"/>
    <w:rsid w:val="000243E2"/>
    <w:rsid w:val="00024467"/>
    <w:rsid w:val="00024F75"/>
    <w:rsid w:val="0002512F"/>
    <w:rsid w:val="000254BF"/>
    <w:rsid w:val="00025CBA"/>
    <w:rsid w:val="00026376"/>
    <w:rsid w:val="0002655E"/>
    <w:rsid w:val="000270CA"/>
    <w:rsid w:val="0003026E"/>
    <w:rsid w:val="00030F4E"/>
    <w:rsid w:val="00031CFA"/>
    <w:rsid w:val="0003218D"/>
    <w:rsid w:val="00032E3C"/>
    <w:rsid w:val="00033CFE"/>
    <w:rsid w:val="0003482C"/>
    <w:rsid w:val="0003504C"/>
    <w:rsid w:val="000363D7"/>
    <w:rsid w:val="00036AA9"/>
    <w:rsid w:val="000377D3"/>
    <w:rsid w:val="00037B05"/>
    <w:rsid w:val="00040344"/>
    <w:rsid w:val="00040438"/>
    <w:rsid w:val="00040F5B"/>
    <w:rsid w:val="00041146"/>
    <w:rsid w:val="00041855"/>
    <w:rsid w:val="0004203D"/>
    <w:rsid w:val="00042170"/>
    <w:rsid w:val="0004228B"/>
    <w:rsid w:val="00042381"/>
    <w:rsid w:val="0004310A"/>
    <w:rsid w:val="000435B9"/>
    <w:rsid w:val="0004370B"/>
    <w:rsid w:val="00044CC3"/>
    <w:rsid w:val="0004505C"/>
    <w:rsid w:val="000450AA"/>
    <w:rsid w:val="0004666E"/>
    <w:rsid w:val="00047038"/>
    <w:rsid w:val="00047775"/>
    <w:rsid w:val="00047FE0"/>
    <w:rsid w:val="0005064C"/>
    <w:rsid w:val="00050B10"/>
    <w:rsid w:val="00050CD4"/>
    <w:rsid w:val="00051F8B"/>
    <w:rsid w:val="00052454"/>
    <w:rsid w:val="0005251D"/>
    <w:rsid w:val="00052545"/>
    <w:rsid w:val="00052C04"/>
    <w:rsid w:val="0005565C"/>
    <w:rsid w:val="00055EEC"/>
    <w:rsid w:val="000569BC"/>
    <w:rsid w:val="00057282"/>
    <w:rsid w:val="00057810"/>
    <w:rsid w:val="00057CA3"/>
    <w:rsid w:val="0006047A"/>
    <w:rsid w:val="000607BA"/>
    <w:rsid w:val="00060FF8"/>
    <w:rsid w:val="00061879"/>
    <w:rsid w:val="00062205"/>
    <w:rsid w:val="00063281"/>
    <w:rsid w:val="00063E61"/>
    <w:rsid w:val="00065446"/>
    <w:rsid w:val="00065B68"/>
    <w:rsid w:val="00066507"/>
    <w:rsid w:val="00067DBC"/>
    <w:rsid w:val="000704CA"/>
    <w:rsid w:val="000707B0"/>
    <w:rsid w:val="00070A3F"/>
    <w:rsid w:val="000711DE"/>
    <w:rsid w:val="0007190E"/>
    <w:rsid w:val="000730B5"/>
    <w:rsid w:val="0007313F"/>
    <w:rsid w:val="00073811"/>
    <w:rsid w:val="00074897"/>
    <w:rsid w:val="00077EB7"/>
    <w:rsid w:val="00080905"/>
    <w:rsid w:val="000816A3"/>
    <w:rsid w:val="00081E6E"/>
    <w:rsid w:val="00082BBC"/>
    <w:rsid w:val="0008306E"/>
    <w:rsid w:val="00083B14"/>
    <w:rsid w:val="00083DB2"/>
    <w:rsid w:val="00084AAC"/>
    <w:rsid w:val="0008572C"/>
    <w:rsid w:val="0008581D"/>
    <w:rsid w:val="00085985"/>
    <w:rsid w:val="0008683E"/>
    <w:rsid w:val="0008697A"/>
    <w:rsid w:val="00086DF2"/>
    <w:rsid w:val="00086FFA"/>
    <w:rsid w:val="0009085B"/>
    <w:rsid w:val="000912A1"/>
    <w:rsid w:val="000912EA"/>
    <w:rsid w:val="0009136F"/>
    <w:rsid w:val="000914BC"/>
    <w:rsid w:val="0009162A"/>
    <w:rsid w:val="00091672"/>
    <w:rsid w:val="000948D3"/>
    <w:rsid w:val="00094A67"/>
    <w:rsid w:val="00094D87"/>
    <w:rsid w:val="00094DD8"/>
    <w:rsid w:val="00095E9D"/>
    <w:rsid w:val="00096ED9"/>
    <w:rsid w:val="000971F2"/>
    <w:rsid w:val="000977F2"/>
    <w:rsid w:val="0009783C"/>
    <w:rsid w:val="000A0486"/>
    <w:rsid w:val="000A13D2"/>
    <w:rsid w:val="000A161E"/>
    <w:rsid w:val="000A16C1"/>
    <w:rsid w:val="000A36DC"/>
    <w:rsid w:val="000A3935"/>
    <w:rsid w:val="000A3C7B"/>
    <w:rsid w:val="000A40BE"/>
    <w:rsid w:val="000A4813"/>
    <w:rsid w:val="000A58F4"/>
    <w:rsid w:val="000A6403"/>
    <w:rsid w:val="000A678C"/>
    <w:rsid w:val="000A6F62"/>
    <w:rsid w:val="000A79DA"/>
    <w:rsid w:val="000B1FB5"/>
    <w:rsid w:val="000B3C44"/>
    <w:rsid w:val="000B478E"/>
    <w:rsid w:val="000B49A5"/>
    <w:rsid w:val="000B4D32"/>
    <w:rsid w:val="000B54FD"/>
    <w:rsid w:val="000B5935"/>
    <w:rsid w:val="000B6334"/>
    <w:rsid w:val="000B6B64"/>
    <w:rsid w:val="000B7792"/>
    <w:rsid w:val="000C0190"/>
    <w:rsid w:val="000C0FA2"/>
    <w:rsid w:val="000C12A8"/>
    <w:rsid w:val="000C14C5"/>
    <w:rsid w:val="000C1AEF"/>
    <w:rsid w:val="000C2A03"/>
    <w:rsid w:val="000C3250"/>
    <w:rsid w:val="000C4B14"/>
    <w:rsid w:val="000C4BBC"/>
    <w:rsid w:val="000C5924"/>
    <w:rsid w:val="000C5FC1"/>
    <w:rsid w:val="000C6550"/>
    <w:rsid w:val="000C69C7"/>
    <w:rsid w:val="000C7525"/>
    <w:rsid w:val="000C75C4"/>
    <w:rsid w:val="000C7CE2"/>
    <w:rsid w:val="000D12D4"/>
    <w:rsid w:val="000D17A0"/>
    <w:rsid w:val="000D1B6F"/>
    <w:rsid w:val="000D22A9"/>
    <w:rsid w:val="000D298D"/>
    <w:rsid w:val="000D2ADA"/>
    <w:rsid w:val="000D506A"/>
    <w:rsid w:val="000D5305"/>
    <w:rsid w:val="000D54BF"/>
    <w:rsid w:val="000D5C78"/>
    <w:rsid w:val="000D6A44"/>
    <w:rsid w:val="000D740C"/>
    <w:rsid w:val="000D76B3"/>
    <w:rsid w:val="000E04C3"/>
    <w:rsid w:val="000E150D"/>
    <w:rsid w:val="000E1938"/>
    <w:rsid w:val="000E1E99"/>
    <w:rsid w:val="000E1FAD"/>
    <w:rsid w:val="000E25D7"/>
    <w:rsid w:val="000E3248"/>
    <w:rsid w:val="000E3550"/>
    <w:rsid w:val="000E37CD"/>
    <w:rsid w:val="000E3FF2"/>
    <w:rsid w:val="000E4AD8"/>
    <w:rsid w:val="000E745C"/>
    <w:rsid w:val="000E7C10"/>
    <w:rsid w:val="000E7EB0"/>
    <w:rsid w:val="000F0285"/>
    <w:rsid w:val="000F0697"/>
    <w:rsid w:val="000F084B"/>
    <w:rsid w:val="000F1390"/>
    <w:rsid w:val="000F1C2E"/>
    <w:rsid w:val="000F1DD1"/>
    <w:rsid w:val="000F450F"/>
    <w:rsid w:val="000F4557"/>
    <w:rsid w:val="000F5052"/>
    <w:rsid w:val="000F5530"/>
    <w:rsid w:val="000F5BDE"/>
    <w:rsid w:val="000F5E76"/>
    <w:rsid w:val="00100540"/>
    <w:rsid w:val="00101A17"/>
    <w:rsid w:val="0010219E"/>
    <w:rsid w:val="00103365"/>
    <w:rsid w:val="0010374D"/>
    <w:rsid w:val="001043AE"/>
    <w:rsid w:val="00105736"/>
    <w:rsid w:val="0010651B"/>
    <w:rsid w:val="00107F4E"/>
    <w:rsid w:val="00110E8B"/>
    <w:rsid w:val="00111392"/>
    <w:rsid w:val="00111482"/>
    <w:rsid w:val="00112D25"/>
    <w:rsid w:val="0011307E"/>
    <w:rsid w:val="0011321C"/>
    <w:rsid w:val="0011342F"/>
    <w:rsid w:val="001144D0"/>
    <w:rsid w:val="00114C16"/>
    <w:rsid w:val="00114FD7"/>
    <w:rsid w:val="0011595B"/>
    <w:rsid w:val="001165E4"/>
    <w:rsid w:val="00116881"/>
    <w:rsid w:val="00116B90"/>
    <w:rsid w:val="00117E8D"/>
    <w:rsid w:val="0012134B"/>
    <w:rsid w:val="00122094"/>
    <w:rsid w:val="00122E18"/>
    <w:rsid w:val="0012321D"/>
    <w:rsid w:val="00124CE7"/>
    <w:rsid w:val="001253AA"/>
    <w:rsid w:val="00126520"/>
    <w:rsid w:val="00126606"/>
    <w:rsid w:val="00126E2B"/>
    <w:rsid w:val="001272B2"/>
    <w:rsid w:val="00127354"/>
    <w:rsid w:val="001277C5"/>
    <w:rsid w:val="00127DCD"/>
    <w:rsid w:val="0013062A"/>
    <w:rsid w:val="00131775"/>
    <w:rsid w:val="0013190A"/>
    <w:rsid w:val="0013386A"/>
    <w:rsid w:val="001338F9"/>
    <w:rsid w:val="00134A21"/>
    <w:rsid w:val="00134CB9"/>
    <w:rsid w:val="00137A45"/>
    <w:rsid w:val="00137F3A"/>
    <w:rsid w:val="00140C32"/>
    <w:rsid w:val="00141CB2"/>
    <w:rsid w:val="00141E1B"/>
    <w:rsid w:val="001427C4"/>
    <w:rsid w:val="00142A07"/>
    <w:rsid w:val="00143C8D"/>
    <w:rsid w:val="00144300"/>
    <w:rsid w:val="001443B3"/>
    <w:rsid w:val="00144602"/>
    <w:rsid w:val="00144904"/>
    <w:rsid w:val="00144A8D"/>
    <w:rsid w:val="00144C2A"/>
    <w:rsid w:val="0014513C"/>
    <w:rsid w:val="0014526C"/>
    <w:rsid w:val="00145916"/>
    <w:rsid w:val="00145AA4"/>
    <w:rsid w:val="00145F13"/>
    <w:rsid w:val="0014630F"/>
    <w:rsid w:val="00146B77"/>
    <w:rsid w:val="00150589"/>
    <w:rsid w:val="0015063B"/>
    <w:rsid w:val="00150E03"/>
    <w:rsid w:val="00150F3C"/>
    <w:rsid w:val="00152CE1"/>
    <w:rsid w:val="001530CC"/>
    <w:rsid w:val="00153A58"/>
    <w:rsid w:val="00153F05"/>
    <w:rsid w:val="00155354"/>
    <w:rsid w:val="00155A51"/>
    <w:rsid w:val="001568DD"/>
    <w:rsid w:val="001613D5"/>
    <w:rsid w:val="001613E4"/>
    <w:rsid w:val="00162007"/>
    <w:rsid w:val="0016249A"/>
    <w:rsid w:val="00163211"/>
    <w:rsid w:val="00163DA1"/>
    <w:rsid w:val="00164171"/>
    <w:rsid w:val="00164C27"/>
    <w:rsid w:val="00164D4B"/>
    <w:rsid w:val="00164F69"/>
    <w:rsid w:val="0016555F"/>
    <w:rsid w:val="00165AF1"/>
    <w:rsid w:val="00166623"/>
    <w:rsid w:val="0016696C"/>
    <w:rsid w:val="0016798E"/>
    <w:rsid w:val="00170427"/>
    <w:rsid w:val="0017074B"/>
    <w:rsid w:val="00170AF2"/>
    <w:rsid w:val="001710D1"/>
    <w:rsid w:val="00171722"/>
    <w:rsid w:val="001726AC"/>
    <w:rsid w:val="001736CC"/>
    <w:rsid w:val="00173A80"/>
    <w:rsid w:val="00173CFC"/>
    <w:rsid w:val="0017515C"/>
    <w:rsid w:val="0017553D"/>
    <w:rsid w:val="00176C1E"/>
    <w:rsid w:val="0017700A"/>
    <w:rsid w:val="00180BB2"/>
    <w:rsid w:val="00181F87"/>
    <w:rsid w:val="0018279F"/>
    <w:rsid w:val="001830FB"/>
    <w:rsid w:val="001831CF"/>
    <w:rsid w:val="00183718"/>
    <w:rsid w:val="00183D43"/>
    <w:rsid w:val="0018419C"/>
    <w:rsid w:val="001859A8"/>
    <w:rsid w:val="00185E1A"/>
    <w:rsid w:val="001874C0"/>
    <w:rsid w:val="00187CC5"/>
    <w:rsid w:val="00192555"/>
    <w:rsid w:val="00192E36"/>
    <w:rsid w:val="001931E4"/>
    <w:rsid w:val="00193815"/>
    <w:rsid w:val="00194005"/>
    <w:rsid w:val="00194D3C"/>
    <w:rsid w:val="00195B10"/>
    <w:rsid w:val="00196D97"/>
    <w:rsid w:val="00196DA6"/>
    <w:rsid w:val="00197E0C"/>
    <w:rsid w:val="001A03DC"/>
    <w:rsid w:val="001A048B"/>
    <w:rsid w:val="001A0A4C"/>
    <w:rsid w:val="001A151B"/>
    <w:rsid w:val="001A22F5"/>
    <w:rsid w:val="001A25C4"/>
    <w:rsid w:val="001A28E7"/>
    <w:rsid w:val="001A36A6"/>
    <w:rsid w:val="001A46BC"/>
    <w:rsid w:val="001A575F"/>
    <w:rsid w:val="001A5B27"/>
    <w:rsid w:val="001A71BE"/>
    <w:rsid w:val="001B0C5F"/>
    <w:rsid w:val="001B0D9A"/>
    <w:rsid w:val="001B1174"/>
    <w:rsid w:val="001B12EC"/>
    <w:rsid w:val="001B14FF"/>
    <w:rsid w:val="001B4C85"/>
    <w:rsid w:val="001B5523"/>
    <w:rsid w:val="001B5AF7"/>
    <w:rsid w:val="001B5C28"/>
    <w:rsid w:val="001B5EC3"/>
    <w:rsid w:val="001B657C"/>
    <w:rsid w:val="001B6600"/>
    <w:rsid w:val="001B6B12"/>
    <w:rsid w:val="001B701D"/>
    <w:rsid w:val="001B760A"/>
    <w:rsid w:val="001C0D12"/>
    <w:rsid w:val="001C21E7"/>
    <w:rsid w:val="001C343F"/>
    <w:rsid w:val="001C3FBA"/>
    <w:rsid w:val="001C482D"/>
    <w:rsid w:val="001C4EAD"/>
    <w:rsid w:val="001C529D"/>
    <w:rsid w:val="001C5DDE"/>
    <w:rsid w:val="001C6767"/>
    <w:rsid w:val="001C7F22"/>
    <w:rsid w:val="001D0A3F"/>
    <w:rsid w:val="001D180C"/>
    <w:rsid w:val="001D2CA0"/>
    <w:rsid w:val="001D3812"/>
    <w:rsid w:val="001D4045"/>
    <w:rsid w:val="001D408C"/>
    <w:rsid w:val="001D4F56"/>
    <w:rsid w:val="001D65DD"/>
    <w:rsid w:val="001D74C1"/>
    <w:rsid w:val="001D7C6C"/>
    <w:rsid w:val="001D7E20"/>
    <w:rsid w:val="001E056E"/>
    <w:rsid w:val="001E0643"/>
    <w:rsid w:val="001E22D7"/>
    <w:rsid w:val="001E3365"/>
    <w:rsid w:val="001E4957"/>
    <w:rsid w:val="001E60A9"/>
    <w:rsid w:val="001E6933"/>
    <w:rsid w:val="001E6E78"/>
    <w:rsid w:val="001E76EB"/>
    <w:rsid w:val="001E7D7C"/>
    <w:rsid w:val="001E7D89"/>
    <w:rsid w:val="001F0BAB"/>
    <w:rsid w:val="001F0C7B"/>
    <w:rsid w:val="001F128F"/>
    <w:rsid w:val="001F14B7"/>
    <w:rsid w:val="001F1BD4"/>
    <w:rsid w:val="001F23A0"/>
    <w:rsid w:val="001F26B3"/>
    <w:rsid w:val="001F4246"/>
    <w:rsid w:val="001F4972"/>
    <w:rsid w:val="001F4CC3"/>
    <w:rsid w:val="001F5C0B"/>
    <w:rsid w:val="001F6272"/>
    <w:rsid w:val="001F62AD"/>
    <w:rsid w:val="001F6C96"/>
    <w:rsid w:val="001F7391"/>
    <w:rsid w:val="001F7A4A"/>
    <w:rsid w:val="001F7CC2"/>
    <w:rsid w:val="00201DFB"/>
    <w:rsid w:val="00203526"/>
    <w:rsid w:val="002039DC"/>
    <w:rsid w:val="0020453C"/>
    <w:rsid w:val="00204BA9"/>
    <w:rsid w:val="002055CB"/>
    <w:rsid w:val="00205B67"/>
    <w:rsid w:val="00206C5A"/>
    <w:rsid w:val="00206C7A"/>
    <w:rsid w:val="00207917"/>
    <w:rsid w:val="00210178"/>
    <w:rsid w:val="0021045D"/>
    <w:rsid w:val="00210CE0"/>
    <w:rsid w:val="00211438"/>
    <w:rsid w:val="002134B0"/>
    <w:rsid w:val="002149B9"/>
    <w:rsid w:val="00214BF1"/>
    <w:rsid w:val="00216843"/>
    <w:rsid w:val="00216999"/>
    <w:rsid w:val="00217834"/>
    <w:rsid w:val="00220092"/>
    <w:rsid w:val="0022189B"/>
    <w:rsid w:val="002218C7"/>
    <w:rsid w:val="00221A69"/>
    <w:rsid w:val="00221AF8"/>
    <w:rsid w:val="00221D37"/>
    <w:rsid w:val="00222759"/>
    <w:rsid w:val="00223CED"/>
    <w:rsid w:val="0022499C"/>
    <w:rsid w:val="00224AE5"/>
    <w:rsid w:val="00225459"/>
    <w:rsid w:val="00226765"/>
    <w:rsid w:val="00226DFB"/>
    <w:rsid w:val="00227ABD"/>
    <w:rsid w:val="00227E67"/>
    <w:rsid w:val="00230CAD"/>
    <w:rsid w:val="002316B5"/>
    <w:rsid w:val="00235207"/>
    <w:rsid w:val="00235A9A"/>
    <w:rsid w:val="002364B0"/>
    <w:rsid w:val="002369E6"/>
    <w:rsid w:val="0023707F"/>
    <w:rsid w:val="0023764D"/>
    <w:rsid w:val="00237B26"/>
    <w:rsid w:val="002400D3"/>
    <w:rsid w:val="0024058A"/>
    <w:rsid w:val="00240D20"/>
    <w:rsid w:val="00241AFB"/>
    <w:rsid w:val="00242C68"/>
    <w:rsid w:val="00243148"/>
    <w:rsid w:val="00244100"/>
    <w:rsid w:val="00245DD6"/>
    <w:rsid w:val="00245E06"/>
    <w:rsid w:val="0024603D"/>
    <w:rsid w:val="0024604A"/>
    <w:rsid w:val="002471B0"/>
    <w:rsid w:val="002471E6"/>
    <w:rsid w:val="002472CC"/>
    <w:rsid w:val="00247543"/>
    <w:rsid w:val="00247ACE"/>
    <w:rsid w:val="00247F25"/>
    <w:rsid w:val="002501AA"/>
    <w:rsid w:val="00250AE8"/>
    <w:rsid w:val="002512BB"/>
    <w:rsid w:val="0025155A"/>
    <w:rsid w:val="00251BEA"/>
    <w:rsid w:val="00251D41"/>
    <w:rsid w:val="002520A9"/>
    <w:rsid w:val="00252A43"/>
    <w:rsid w:val="0025371B"/>
    <w:rsid w:val="0025394F"/>
    <w:rsid w:val="00253DFA"/>
    <w:rsid w:val="00255F09"/>
    <w:rsid w:val="0025643E"/>
    <w:rsid w:val="002571A1"/>
    <w:rsid w:val="0026079D"/>
    <w:rsid w:val="00261352"/>
    <w:rsid w:val="00261C98"/>
    <w:rsid w:val="00262250"/>
    <w:rsid w:val="00262393"/>
    <w:rsid w:val="002627B6"/>
    <w:rsid w:val="00262C16"/>
    <w:rsid w:val="002633E1"/>
    <w:rsid w:val="0026447B"/>
    <w:rsid w:val="00264D05"/>
    <w:rsid w:val="00265294"/>
    <w:rsid w:val="00265362"/>
    <w:rsid w:val="00265A10"/>
    <w:rsid w:val="00265CAA"/>
    <w:rsid w:val="00266242"/>
    <w:rsid w:val="00266A72"/>
    <w:rsid w:val="0026772A"/>
    <w:rsid w:val="00270A05"/>
    <w:rsid w:val="002729A0"/>
    <w:rsid w:val="00272E25"/>
    <w:rsid w:val="00272F02"/>
    <w:rsid w:val="00274C6D"/>
    <w:rsid w:val="00275B37"/>
    <w:rsid w:val="00275F3D"/>
    <w:rsid w:val="0027654D"/>
    <w:rsid w:val="00276B93"/>
    <w:rsid w:val="00277E34"/>
    <w:rsid w:val="00280D72"/>
    <w:rsid w:val="00280DDD"/>
    <w:rsid w:val="00280F6B"/>
    <w:rsid w:val="00280F6C"/>
    <w:rsid w:val="00280FEC"/>
    <w:rsid w:val="00281917"/>
    <w:rsid w:val="00282807"/>
    <w:rsid w:val="0028449E"/>
    <w:rsid w:val="00284EA5"/>
    <w:rsid w:val="00286462"/>
    <w:rsid w:val="002869A2"/>
    <w:rsid w:val="0029007E"/>
    <w:rsid w:val="0029042F"/>
    <w:rsid w:val="00291C88"/>
    <w:rsid w:val="0029281F"/>
    <w:rsid w:val="00292B5E"/>
    <w:rsid w:val="00293449"/>
    <w:rsid w:val="00293590"/>
    <w:rsid w:val="00294B6E"/>
    <w:rsid w:val="0029574A"/>
    <w:rsid w:val="00296AA2"/>
    <w:rsid w:val="00296FB1"/>
    <w:rsid w:val="00297B59"/>
    <w:rsid w:val="00297EEA"/>
    <w:rsid w:val="002A0182"/>
    <w:rsid w:val="002A03B1"/>
    <w:rsid w:val="002A1FB5"/>
    <w:rsid w:val="002A2F1E"/>
    <w:rsid w:val="002A345E"/>
    <w:rsid w:val="002A3B29"/>
    <w:rsid w:val="002A3EEE"/>
    <w:rsid w:val="002A4B0D"/>
    <w:rsid w:val="002A537D"/>
    <w:rsid w:val="002A5946"/>
    <w:rsid w:val="002A64B2"/>
    <w:rsid w:val="002A70BF"/>
    <w:rsid w:val="002A70D2"/>
    <w:rsid w:val="002A71C3"/>
    <w:rsid w:val="002A7E43"/>
    <w:rsid w:val="002B0067"/>
    <w:rsid w:val="002B26FF"/>
    <w:rsid w:val="002B37AC"/>
    <w:rsid w:val="002B3B06"/>
    <w:rsid w:val="002B3D95"/>
    <w:rsid w:val="002B4407"/>
    <w:rsid w:val="002B450B"/>
    <w:rsid w:val="002B4E8C"/>
    <w:rsid w:val="002B50E5"/>
    <w:rsid w:val="002B5528"/>
    <w:rsid w:val="002B57AB"/>
    <w:rsid w:val="002B5C14"/>
    <w:rsid w:val="002B6380"/>
    <w:rsid w:val="002B6901"/>
    <w:rsid w:val="002B6CE4"/>
    <w:rsid w:val="002B74CB"/>
    <w:rsid w:val="002B7832"/>
    <w:rsid w:val="002C01C0"/>
    <w:rsid w:val="002C07E1"/>
    <w:rsid w:val="002C21EA"/>
    <w:rsid w:val="002C370D"/>
    <w:rsid w:val="002C3DA8"/>
    <w:rsid w:val="002C41A6"/>
    <w:rsid w:val="002C5027"/>
    <w:rsid w:val="002C51DF"/>
    <w:rsid w:val="002C5EC1"/>
    <w:rsid w:val="002C5F61"/>
    <w:rsid w:val="002C6602"/>
    <w:rsid w:val="002C6B1F"/>
    <w:rsid w:val="002C6B5B"/>
    <w:rsid w:val="002C7EF7"/>
    <w:rsid w:val="002D012E"/>
    <w:rsid w:val="002D11C7"/>
    <w:rsid w:val="002D21DB"/>
    <w:rsid w:val="002D2308"/>
    <w:rsid w:val="002D2C03"/>
    <w:rsid w:val="002D426B"/>
    <w:rsid w:val="002D42F6"/>
    <w:rsid w:val="002D5D57"/>
    <w:rsid w:val="002D6A62"/>
    <w:rsid w:val="002E0159"/>
    <w:rsid w:val="002E0405"/>
    <w:rsid w:val="002E04E1"/>
    <w:rsid w:val="002E1D71"/>
    <w:rsid w:val="002E276B"/>
    <w:rsid w:val="002E3131"/>
    <w:rsid w:val="002E52F9"/>
    <w:rsid w:val="002E66C4"/>
    <w:rsid w:val="002F1480"/>
    <w:rsid w:val="002F1DCE"/>
    <w:rsid w:val="002F2073"/>
    <w:rsid w:val="002F37BE"/>
    <w:rsid w:val="002F3A58"/>
    <w:rsid w:val="002F3B97"/>
    <w:rsid w:val="002F522E"/>
    <w:rsid w:val="002F5247"/>
    <w:rsid w:val="002F5A06"/>
    <w:rsid w:val="002F5B8F"/>
    <w:rsid w:val="002F64A7"/>
    <w:rsid w:val="002F6653"/>
    <w:rsid w:val="002F750D"/>
    <w:rsid w:val="002F79D3"/>
    <w:rsid w:val="002F7CB7"/>
    <w:rsid w:val="00300032"/>
    <w:rsid w:val="00301CF6"/>
    <w:rsid w:val="003026F7"/>
    <w:rsid w:val="00302FE6"/>
    <w:rsid w:val="00303B20"/>
    <w:rsid w:val="00303D38"/>
    <w:rsid w:val="00304757"/>
    <w:rsid w:val="003051DC"/>
    <w:rsid w:val="00305465"/>
    <w:rsid w:val="00306729"/>
    <w:rsid w:val="003104A1"/>
    <w:rsid w:val="00310AA1"/>
    <w:rsid w:val="00311204"/>
    <w:rsid w:val="00312F00"/>
    <w:rsid w:val="003130B7"/>
    <w:rsid w:val="003136AC"/>
    <w:rsid w:val="00313998"/>
    <w:rsid w:val="00313D8F"/>
    <w:rsid w:val="003166DD"/>
    <w:rsid w:val="0031761C"/>
    <w:rsid w:val="00317828"/>
    <w:rsid w:val="00317DE7"/>
    <w:rsid w:val="00320452"/>
    <w:rsid w:val="00320A41"/>
    <w:rsid w:val="00321A42"/>
    <w:rsid w:val="003224BE"/>
    <w:rsid w:val="00322561"/>
    <w:rsid w:val="0032296D"/>
    <w:rsid w:val="003254C0"/>
    <w:rsid w:val="003258FA"/>
    <w:rsid w:val="00326365"/>
    <w:rsid w:val="003266B6"/>
    <w:rsid w:val="0032687B"/>
    <w:rsid w:val="003301E0"/>
    <w:rsid w:val="003308EE"/>
    <w:rsid w:val="00330EDC"/>
    <w:rsid w:val="00331F79"/>
    <w:rsid w:val="00332632"/>
    <w:rsid w:val="00334292"/>
    <w:rsid w:val="003342C0"/>
    <w:rsid w:val="003345F0"/>
    <w:rsid w:val="00334DFD"/>
    <w:rsid w:val="003360ED"/>
    <w:rsid w:val="0033709C"/>
    <w:rsid w:val="0033763D"/>
    <w:rsid w:val="00337C8A"/>
    <w:rsid w:val="0034076B"/>
    <w:rsid w:val="003408EA"/>
    <w:rsid w:val="0034156D"/>
    <w:rsid w:val="00341725"/>
    <w:rsid w:val="00342993"/>
    <w:rsid w:val="003429F1"/>
    <w:rsid w:val="00342CBB"/>
    <w:rsid w:val="0034324E"/>
    <w:rsid w:val="003433C2"/>
    <w:rsid w:val="0034389F"/>
    <w:rsid w:val="00344D0F"/>
    <w:rsid w:val="00344D8E"/>
    <w:rsid w:val="003456A9"/>
    <w:rsid w:val="003465A5"/>
    <w:rsid w:val="00346A0E"/>
    <w:rsid w:val="00346DB2"/>
    <w:rsid w:val="00346F06"/>
    <w:rsid w:val="0034727B"/>
    <w:rsid w:val="003475AE"/>
    <w:rsid w:val="00347862"/>
    <w:rsid w:val="00347DAB"/>
    <w:rsid w:val="00350723"/>
    <w:rsid w:val="003509B3"/>
    <w:rsid w:val="00352A29"/>
    <w:rsid w:val="0035368A"/>
    <w:rsid w:val="00353B42"/>
    <w:rsid w:val="00355524"/>
    <w:rsid w:val="003556BB"/>
    <w:rsid w:val="00355B4D"/>
    <w:rsid w:val="00356588"/>
    <w:rsid w:val="00356B25"/>
    <w:rsid w:val="0035729B"/>
    <w:rsid w:val="00357961"/>
    <w:rsid w:val="00357D50"/>
    <w:rsid w:val="003603B2"/>
    <w:rsid w:val="0036080A"/>
    <w:rsid w:val="00361043"/>
    <w:rsid w:val="00361455"/>
    <w:rsid w:val="0036174B"/>
    <w:rsid w:val="00362319"/>
    <w:rsid w:val="00362BEB"/>
    <w:rsid w:val="0036309A"/>
    <w:rsid w:val="00363327"/>
    <w:rsid w:val="00364B8C"/>
    <w:rsid w:val="00364D15"/>
    <w:rsid w:val="003666EF"/>
    <w:rsid w:val="003670F1"/>
    <w:rsid w:val="00367A87"/>
    <w:rsid w:val="00370229"/>
    <w:rsid w:val="00370528"/>
    <w:rsid w:val="0037091D"/>
    <w:rsid w:val="00370E91"/>
    <w:rsid w:val="00372E55"/>
    <w:rsid w:val="00372F8A"/>
    <w:rsid w:val="003732BB"/>
    <w:rsid w:val="003734B1"/>
    <w:rsid w:val="003739FB"/>
    <w:rsid w:val="00374067"/>
    <w:rsid w:val="00375824"/>
    <w:rsid w:val="00375C12"/>
    <w:rsid w:val="00375CD7"/>
    <w:rsid w:val="0037716F"/>
    <w:rsid w:val="00380997"/>
    <w:rsid w:val="00380A04"/>
    <w:rsid w:val="003816D1"/>
    <w:rsid w:val="003817AF"/>
    <w:rsid w:val="00381CD6"/>
    <w:rsid w:val="003820F9"/>
    <w:rsid w:val="00382763"/>
    <w:rsid w:val="003835CA"/>
    <w:rsid w:val="003835E2"/>
    <w:rsid w:val="00383741"/>
    <w:rsid w:val="00383F2B"/>
    <w:rsid w:val="003848F0"/>
    <w:rsid w:val="00385E02"/>
    <w:rsid w:val="00386623"/>
    <w:rsid w:val="00390DC6"/>
    <w:rsid w:val="00391571"/>
    <w:rsid w:val="00391A1F"/>
    <w:rsid w:val="003922A5"/>
    <w:rsid w:val="00393D75"/>
    <w:rsid w:val="00393D7D"/>
    <w:rsid w:val="003941F0"/>
    <w:rsid w:val="00394680"/>
    <w:rsid w:val="00394B42"/>
    <w:rsid w:val="0039606F"/>
    <w:rsid w:val="003963A2"/>
    <w:rsid w:val="003965DC"/>
    <w:rsid w:val="003972FC"/>
    <w:rsid w:val="003973A6"/>
    <w:rsid w:val="00397406"/>
    <w:rsid w:val="00397780"/>
    <w:rsid w:val="00397C0B"/>
    <w:rsid w:val="003A0559"/>
    <w:rsid w:val="003A0DD1"/>
    <w:rsid w:val="003A1537"/>
    <w:rsid w:val="003A22D0"/>
    <w:rsid w:val="003A28BC"/>
    <w:rsid w:val="003A3280"/>
    <w:rsid w:val="003A36B7"/>
    <w:rsid w:val="003A45D2"/>
    <w:rsid w:val="003A564B"/>
    <w:rsid w:val="003A6F8C"/>
    <w:rsid w:val="003A7007"/>
    <w:rsid w:val="003B0B0C"/>
    <w:rsid w:val="003B173D"/>
    <w:rsid w:val="003B19EB"/>
    <w:rsid w:val="003B247B"/>
    <w:rsid w:val="003B2B3D"/>
    <w:rsid w:val="003B4EDF"/>
    <w:rsid w:val="003B52E6"/>
    <w:rsid w:val="003B5DBB"/>
    <w:rsid w:val="003B5EF8"/>
    <w:rsid w:val="003B660E"/>
    <w:rsid w:val="003B6867"/>
    <w:rsid w:val="003B6DD5"/>
    <w:rsid w:val="003C0746"/>
    <w:rsid w:val="003C0902"/>
    <w:rsid w:val="003C1E2F"/>
    <w:rsid w:val="003C3101"/>
    <w:rsid w:val="003C38F6"/>
    <w:rsid w:val="003C4B39"/>
    <w:rsid w:val="003C4FED"/>
    <w:rsid w:val="003C62A6"/>
    <w:rsid w:val="003C659F"/>
    <w:rsid w:val="003C76D2"/>
    <w:rsid w:val="003C7B8C"/>
    <w:rsid w:val="003C7B90"/>
    <w:rsid w:val="003D0D6D"/>
    <w:rsid w:val="003D1629"/>
    <w:rsid w:val="003D1F7F"/>
    <w:rsid w:val="003D23E5"/>
    <w:rsid w:val="003D2699"/>
    <w:rsid w:val="003D429F"/>
    <w:rsid w:val="003D5114"/>
    <w:rsid w:val="003D5587"/>
    <w:rsid w:val="003D59EE"/>
    <w:rsid w:val="003D5A06"/>
    <w:rsid w:val="003D61CA"/>
    <w:rsid w:val="003D65D1"/>
    <w:rsid w:val="003D76F6"/>
    <w:rsid w:val="003D7947"/>
    <w:rsid w:val="003E0F1F"/>
    <w:rsid w:val="003E25AD"/>
    <w:rsid w:val="003E387A"/>
    <w:rsid w:val="003E6C01"/>
    <w:rsid w:val="003E6FD3"/>
    <w:rsid w:val="003E70F7"/>
    <w:rsid w:val="003E76B4"/>
    <w:rsid w:val="003F0427"/>
    <w:rsid w:val="003F08BC"/>
    <w:rsid w:val="003F10DC"/>
    <w:rsid w:val="003F11FF"/>
    <w:rsid w:val="003F1226"/>
    <w:rsid w:val="003F228F"/>
    <w:rsid w:val="003F29D7"/>
    <w:rsid w:val="003F5336"/>
    <w:rsid w:val="003F57D4"/>
    <w:rsid w:val="003F5D79"/>
    <w:rsid w:val="003F7626"/>
    <w:rsid w:val="00400522"/>
    <w:rsid w:val="00400A85"/>
    <w:rsid w:val="00400AC2"/>
    <w:rsid w:val="004011A8"/>
    <w:rsid w:val="004024B4"/>
    <w:rsid w:val="004025BD"/>
    <w:rsid w:val="00403972"/>
    <w:rsid w:val="0040407C"/>
    <w:rsid w:val="004045AF"/>
    <w:rsid w:val="0040528E"/>
    <w:rsid w:val="00407669"/>
    <w:rsid w:val="00411360"/>
    <w:rsid w:val="004117BF"/>
    <w:rsid w:val="004119CD"/>
    <w:rsid w:val="004125DA"/>
    <w:rsid w:val="0041542F"/>
    <w:rsid w:val="00415B85"/>
    <w:rsid w:val="00415E0A"/>
    <w:rsid w:val="004160E5"/>
    <w:rsid w:val="00416395"/>
    <w:rsid w:val="004164DC"/>
    <w:rsid w:val="00417064"/>
    <w:rsid w:val="004204C1"/>
    <w:rsid w:val="00422002"/>
    <w:rsid w:val="004221AB"/>
    <w:rsid w:val="004222C2"/>
    <w:rsid w:val="004222F0"/>
    <w:rsid w:val="00422AFE"/>
    <w:rsid w:val="00422C0B"/>
    <w:rsid w:val="0042382E"/>
    <w:rsid w:val="00423AF2"/>
    <w:rsid w:val="004241A7"/>
    <w:rsid w:val="0042443F"/>
    <w:rsid w:val="004249C9"/>
    <w:rsid w:val="00424C2D"/>
    <w:rsid w:val="0042510A"/>
    <w:rsid w:val="0042513D"/>
    <w:rsid w:val="00425733"/>
    <w:rsid w:val="00426D8E"/>
    <w:rsid w:val="00427A38"/>
    <w:rsid w:val="004309F3"/>
    <w:rsid w:val="004311C9"/>
    <w:rsid w:val="00431449"/>
    <w:rsid w:val="00431E1C"/>
    <w:rsid w:val="004337E1"/>
    <w:rsid w:val="00433D29"/>
    <w:rsid w:val="00434083"/>
    <w:rsid w:val="004340B0"/>
    <w:rsid w:val="0043449E"/>
    <w:rsid w:val="00434FD3"/>
    <w:rsid w:val="0043508D"/>
    <w:rsid w:val="004355FF"/>
    <w:rsid w:val="00435899"/>
    <w:rsid w:val="0043656C"/>
    <w:rsid w:val="004371BA"/>
    <w:rsid w:val="004371E9"/>
    <w:rsid w:val="00437E69"/>
    <w:rsid w:val="00440EB4"/>
    <w:rsid w:val="00441945"/>
    <w:rsid w:val="00441C92"/>
    <w:rsid w:val="00442207"/>
    <w:rsid w:val="004423BF"/>
    <w:rsid w:val="00442467"/>
    <w:rsid w:val="00442AD9"/>
    <w:rsid w:val="00442B68"/>
    <w:rsid w:val="00444113"/>
    <w:rsid w:val="00444444"/>
    <w:rsid w:val="0044678A"/>
    <w:rsid w:val="0044716A"/>
    <w:rsid w:val="00450263"/>
    <w:rsid w:val="00450942"/>
    <w:rsid w:val="00450C20"/>
    <w:rsid w:val="0045107B"/>
    <w:rsid w:val="004518B7"/>
    <w:rsid w:val="004528D0"/>
    <w:rsid w:val="00453B9D"/>
    <w:rsid w:val="00453DB2"/>
    <w:rsid w:val="00453FD9"/>
    <w:rsid w:val="0045413E"/>
    <w:rsid w:val="00455211"/>
    <w:rsid w:val="00457096"/>
    <w:rsid w:val="00457EBC"/>
    <w:rsid w:val="00457F0C"/>
    <w:rsid w:val="00461AC2"/>
    <w:rsid w:val="00461BBD"/>
    <w:rsid w:val="0046225B"/>
    <w:rsid w:val="0046238F"/>
    <w:rsid w:val="0046407E"/>
    <w:rsid w:val="0046446F"/>
    <w:rsid w:val="0046516C"/>
    <w:rsid w:val="004657C9"/>
    <w:rsid w:val="004668B4"/>
    <w:rsid w:val="00466D3A"/>
    <w:rsid w:val="004709A9"/>
    <w:rsid w:val="00470AA1"/>
    <w:rsid w:val="00470BCE"/>
    <w:rsid w:val="00471127"/>
    <w:rsid w:val="004712E9"/>
    <w:rsid w:val="0047269F"/>
    <w:rsid w:val="0047281D"/>
    <w:rsid w:val="00473B85"/>
    <w:rsid w:val="00473BF3"/>
    <w:rsid w:val="00473C4B"/>
    <w:rsid w:val="00473CA6"/>
    <w:rsid w:val="004753EF"/>
    <w:rsid w:val="00475613"/>
    <w:rsid w:val="00477177"/>
    <w:rsid w:val="0047787D"/>
    <w:rsid w:val="00477BAA"/>
    <w:rsid w:val="00480356"/>
    <w:rsid w:val="0048092B"/>
    <w:rsid w:val="00480B20"/>
    <w:rsid w:val="00480F68"/>
    <w:rsid w:val="00481365"/>
    <w:rsid w:val="00481A68"/>
    <w:rsid w:val="004828E1"/>
    <w:rsid w:val="00482AAD"/>
    <w:rsid w:val="00483D1E"/>
    <w:rsid w:val="00483FB7"/>
    <w:rsid w:val="004843EA"/>
    <w:rsid w:val="00484B5C"/>
    <w:rsid w:val="004857BC"/>
    <w:rsid w:val="00486225"/>
    <w:rsid w:val="00486316"/>
    <w:rsid w:val="00486AA2"/>
    <w:rsid w:val="00487291"/>
    <w:rsid w:val="00487440"/>
    <w:rsid w:val="004875E5"/>
    <w:rsid w:val="00487AEA"/>
    <w:rsid w:val="0049005C"/>
    <w:rsid w:val="00490943"/>
    <w:rsid w:val="00490A2A"/>
    <w:rsid w:val="00490CE4"/>
    <w:rsid w:val="00491589"/>
    <w:rsid w:val="00491BDA"/>
    <w:rsid w:val="00493E8A"/>
    <w:rsid w:val="00494C34"/>
    <w:rsid w:val="00494C50"/>
    <w:rsid w:val="004951DA"/>
    <w:rsid w:val="004958A4"/>
    <w:rsid w:val="004960A7"/>
    <w:rsid w:val="004960BB"/>
    <w:rsid w:val="004964DE"/>
    <w:rsid w:val="00497F4C"/>
    <w:rsid w:val="004A0170"/>
    <w:rsid w:val="004A0566"/>
    <w:rsid w:val="004A0858"/>
    <w:rsid w:val="004A12A2"/>
    <w:rsid w:val="004A1489"/>
    <w:rsid w:val="004A18CC"/>
    <w:rsid w:val="004A1ACA"/>
    <w:rsid w:val="004A32D7"/>
    <w:rsid w:val="004A39D4"/>
    <w:rsid w:val="004A3A22"/>
    <w:rsid w:val="004A4099"/>
    <w:rsid w:val="004A433A"/>
    <w:rsid w:val="004A51BD"/>
    <w:rsid w:val="004A6033"/>
    <w:rsid w:val="004A6FE9"/>
    <w:rsid w:val="004A7187"/>
    <w:rsid w:val="004A7547"/>
    <w:rsid w:val="004A795C"/>
    <w:rsid w:val="004B01B8"/>
    <w:rsid w:val="004B1954"/>
    <w:rsid w:val="004B1C7B"/>
    <w:rsid w:val="004B1C7D"/>
    <w:rsid w:val="004B1E6E"/>
    <w:rsid w:val="004B2506"/>
    <w:rsid w:val="004B3B9A"/>
    <w:rsid w:val="004B3DE4"/>
    <w:rsid w:val="004B4865"/>
    <w:rsid w:val="004B6DC2"/>
    <w:rsid w:val="004B7C38"/>
    <w:rsid w:val="004C0032"/>
    <w:rsid w:val="004C018E"/>
    <w:rsid w:val="004C41E0"/>
    <w:rsid w:val="004C466E"/>
    <w:rsid w:val="004C587C"/>
    <w:rsid w:val="004C66EB"/>
    <w:rsid w:val="004C779B"/>
    <w:rsid w:val="004C79F7"/>
    <w:rsid w:val="004D0B89"/>
    <w:rsid w:val="004D1013"/>
    <w:rsid w:val="004D1A7A"/>
    <w:rsid w:val="004D1E7B"/>
    <w:rsid w:val="004D242D"/>
    <w:rsid w:val="004D267D"/>
    <w:rsid w:val="004D353E"/>
    <w:rsid w:val="004D39AA"/>
    <w:rsid w:val="004D3C25"/>
    <w:rsid w:val="004D444A"/>
    <w:rsid w:val="004D539B"/>
    <w:rsid w:val="004D5EE1"/>
    <w:rsid w:val="004D70AD"/>
    <w:rsid w:val="004D712A"/>
    <w:rsid w:val="004D77F6"/>
    <w:rsid w:val="004E1511"/>
    <w:rsid w:val="004E19BB"/>
    <w:rsid w:val="004E2196"/>
    <w:rsid w:val="004E2C2F"/>
    <w:rsid w:val="004E3139"/>
    <w:rsid w:val="004E44C3"/>
    <w:rsid w:val="004E60D7"/>
    <w:rsid w:val="004E62F1"/>
    <w:rsid w:val="004E642D"/>
    <w:rsid w:val="004E6526"/>
    <w:rsid w:val="004E75A2"/>
    <w:rsid w:val="004F212B"/>
    <w:rsid w:val="004F2574"/>
    <w:rsid w:val="004F346C"/>
    <w:rsid w:val="004F3499"/>
    <w:rsid w:val="004F3C38"/>
    <w:rsid w:val="004F463E"/>
    <w:rsid w:val="004F4B4B"/>
    <w:rsid w:val="004F51C6"/>
    <w:rsid w:val="004F52C6"/>
    <w:rsid w:val="004F5432"/>
    <w:rsid w:val="004F63D3"/>
    <w:rsid w:val="004F6619"/>
    <w:rsid w:val="004F6EDF"/>
    <w:rsid w:val="00500F16"/>
    <w:rsid w:val="005011C4"/>
    <w:rsid w:val="005014E2"/>
    <w:rsid w:val="005017B1"/>
    <w:rsid w:val="0050205C"/>
    <w:rsid w:val="00503EAF"/>
    <w:rsid w:val="00504B25"/>
    <w:rsid w:val="00504F14"/>
    <w:rsid w:val="00505471"/>
    <w:rsid w:val="005056C4"/>
    <w:rsid w:val="005056C7"/>
    <w:rsid w:val="0050669C"/>
    <w:rsid w:val="00507094"/>
    <w:rsid w:val="00507FC0"/>
    <w:rsid w:val="00510164"/>
    <w:rsid w:val="00511FD3"/>
    <w:rsid w:val="005130A3"/>
    <w:rsid w:val="005132AB"/>
    <w:rsid w:val="005146EE"/>
    <w:rsid w:val="00514BBC"/>
    <w:rsid w:val="00515189"/>
    <w:rsid w:val="0051600D"/>
    <w:rsid w:val="0051747F"/>
    <w:rsid w:val="005175D7"/>
    <w:rsid w:val="005178EE"/>
    <w:rsid w:val="005205B7"/>
    <w:rsid w:val="00520BB4"/>
    <w:rsid w:val="00520FFD"/>
    <w:rsid w:val="005225AC"/>
    <w:rsid w:val="00523EA1"/>
    <w:rsid w:val="00523EAC"/>
    <w:rsid w:val="00523F97"/>
    <w:rsid w:val="005269D4"/>
    <w:rsid w:val="00526B5A"/>
    <w:rsid w:val="00526BBE"/>
    <w:rsid w:val="0052769B"/>
    <w:rsid w:val="005277C0"/>
    <w:rsid w:val="00527F5F"/>
    <w:rsid w:val="0053138B"/>
    <w:rsid w:val="00531AC4"/>
    <w:rsid w:val="00531D2F"/>
    <w:rsid w:val="00532BD7"/>
    <w:rsid w:val="00532E1B"/>
    <w:rsid w:val="00532F39"/>
    <w:rsid w:val="00533A51"/>
    <w:rsid w:val="00534165"/>
    <w:rsid w:val="00535CF9"/>
    <w:rsid w:val="0053648B"/>
    <w:rsid w:val="005364DB"/>
    <w:rsid w:val="00536B3E"/>
    <w:rsid w:val="00537589"/>
    <w:rsid w:val="00540B25"/>
    <w:rsid w:val="0054105D"/>
    <w:rsid w:val="00541193"/>
    <w:rsid w:val="00542E3F"/>
    <w:rsid w:val="0054308E"/>
    <w:rsid w:val="00543F0C"/>
    <w:rsid w:val="005448FF"/>
    <w:rsid w:val="00546332"/>
    <w:rsid w:val="0054639D"/>
    <w:rsid w:val="00546BDA"/>
    <w:rsid w:val="00546CF8"/>
    <w:rsid w:val="00546F6D"/>
    <w:rsid w:val="005476E7"/>
    <w:rsid w:val="00547F7A"/>
    <w:rsid w:val="00551959"/>
    <w:rsid w:val="00551B8F"/>
    <w:rsid w:val="00552F95"/>
    <w:rsid w:val="00554E62"/>
    <w:rsid w:val="00555394"/>
    <w:rsid w:val="0055652A"/>
    <w:rsid w:val="00556F73"/>
    <w:rsid w:val="005574E0"/>
    <w:rsid w:val="00557F90"/>
    <w:rsid w:val="00560E7A"/>
    <w:rsid w:val="005612AA"/>
    <w:rsid w:val="00562026"/>
    <w:rsid w:val="00562216"/>
    <w:rsid w:val="00562680"/>
    <w:rsid w:val="00564008"/>
    <w:rsid w:val="005673B6"/>
    <w:rsid w:val="0056767A"/>
    <w:rsid w:val="00567EF5"/>
    <w:rsid w:val="00567F12"/>
    <w:rsid w:val="00570B77"/>
    <w:rsid w:val="00571827"/>
    <w:rsid w:val="00571D61"/>
    <w:rsid w:val="00572536"/>
    <w:rsid w:val="00572F16"/>
    <w:rsid w:val="0057341E"/>
    <w:rsid w:val="00573D46"/>
    <w:rsid w:val="00574617"/>
    <w:rsid w:val="0057647C"/>
    <w:rsid w:val="005773FC"/>
    <w:rsid w:val="0058057F"/>
    <w:rsid w:val="00580774"/>
    <w:rsid w:val="00581CD6"/>
    <w:rsid w:val="00582F90"/>
    <w:rsid w:val="005831EA"/>
    <w:rsid w:val="0058338A"/>
    <w:rsid w:val="00583782"/>
    <w:rsid w:val="00583B24"/>
    <w:rsid w:val="00583D28"/>
    <w:rsid w:val="0058475F"/>
    <w:rsid w:val="00584FE2"/>
    <w:rsid w:val="005851E1"/>
    <w:rsid w:val="005852BF"/>
    <w:rsid w:val="005855F1"/>
    <w:rsid w:val="00585C75"/>
    <w:rsid w:val="00586349"/>
    <w:rsid w:val="00587161"/>
    <w:rsid w:val="005873DF"/>
    <w:rsid w:val="00587581"/>
    <w:rsid w:val="005878A9"/>
    <w:rsid w:val="005900B3"/>
    <w:rsid w:val="00590286"/>
    <w:rsid w:val="00590677"/>
    <w:rsid w:val="00590855"/>
    <w:rsid w:val="00590B6D"/>
    <w:rsid w:val="00590EE7"/>
    <w:rsid w:val="005911CF"/>
    <w:rsid w:val="00592712"/>
    <w:rsid w:val="00592CA5"/>
    <w:rsid w:val="00593466"/>
    <w:rsid w:val="00593B6C"/>
    <w:rsid w:val="00593CF5"/>
    <w:rsid w:val="00593E55"/>
    <w:rsid w:val="005965A0"/>
    <w:rsid w:val="0059672C"/>
    <w:rsid w:val="00597C10"/>
    <w:rsid w:val="00597C87"/>
    <w:rsid w:val="005A00B8"/>
    <w:rsid w:val="005A0477"/>
    <w:rsid w:val="005A0788"/>
    <w:rsid w:val="005A0AAB"/>
    <w:rsid w:val="005A0C48"/>
    <w:rsid w:val="005A12EC"/>
    <w:rsid w:val="005A1D6D"/>
    <w:rsid w:val="005A2362"/>
    <w:rsid w:val="005A2868"/>
    <w:rsid w:val="005A2A10"/>
    <w:rsid w:val="005A2B39"/>
    <w:rsid w:val="005A2C05"/>
    <w:rsid w:val="005A2FE2"/>
    <w:rsid w:val="005A36F7"/>
    <w:rsid w:val="005A3CD3"/>
    <w:rsid w:val="005A4995"/>
    <w:rsid w:val="005A4C95"/>
    <w:rsid w:val="005A6321"/>
    <w:rsid w:val="005A68FE"/>
    <w:rsid w:val="005A6FCA"/>
    <w:rsid w:val="005A735B"/>
    <w:rsid w:val="005A7469"/>
    <w:rsid w:val="005B0668"/>
    <w:rsid w:val="005B1AE8"/>
    <w:rsid w:val="005B23AC"/>
    <w:rsid w:val="005B24CD"/>
    <w:rsid w:val="005B2BA0"/>
    <w:rsid w:val="005B3BEA"/>
    <w:rsid w:val="005B3C30"/>
    <w:rsid w:val="005B5464"/>
    <w:rsid w:val="005B5D45"/>
    <w:rsid w:val="005B644D"/>
    <w:rsid w:val="005B650A"/>
    <w:rsid w:val="005B66DC"/>
    <w:rsid w:val="005B67EE"/>
    <w:rsid w:val="005B6E7A"/>
    <w:rsid w:val="005C1625"/>
    <w:rsid w:val="005C1C6D"/>
    <w:rsid w:val="005C25E9"/>
    <w:rsid w:val="005C28DB"/>
    <w:rsid w:val="005C379A"/>
    <w:rsid w:val="005C384D"/>
    <w:rsid w:val="005C71B6"/>
    <w:rsid w:val="005C7D81"/>
    <w:rsid w:val="005D04BD"/>
    <w:rsid w:val="005D0583"/>
    <w:rsid w:val="005D0A00"/>
    <w:rsid w:val="005D0D51"/>
    <w:rsid w:val="005D0ECF"/>
    <w:rsid w:val="005D111C"/>
    <w:rsid w:val="005D1605"/>
    <w:rsid w:val="005D16E7"/>
    <w:rsid w:val="005D1E20"/>
    <w:rsid w:val="005D35A8"/>
    <w:rsid w:val="005D3D9D"/>
    <w:rsid w:val="005D4203"/>
    <w:rsid w:val="005D4DFF"/>
    <w:rsid w:val="005D58B1"/>
    <w:rsid w:val="005D6017"/>
    <w:rsid w:val="005D687E"/>
    <w:rsid w:val="005D73D0"/>
    <w:rsid w:val="005D7A8D"/>
    <w:rsid w:val="005E0A0A"/>
    <w:rsid w:val="005E0C1D"/>
    <w:rsid w:val="005E0E89"/>
    <w:rsid w:val="005E13AD"/>
    <w:rsid w:val="005E2117"/>
    <w:rsid w:val="005E36CD"/>
    <w:rsid w:val="005E3F99"/>
    <w:rsid w:val="005E5678"/>
    <w:rsid w:val="005E584D"/>
    <w:rsid w:val="005E6EAE"/>
    <w:rsid w:val="005E766A"/>
    <w:rsid w:val="005E774C"/>
    <w:rsid w:val="005F02CE"/>
    <w:rsid w:val="005F0506"/>
    <w:rsid w:val="005F31BA"/>
    <w:rsid w:val="005F367E"/>
    <w:rsid w:val="005F4F1D"/>
    <w:rsid w:val="005F5A0F"/>
    <w:rsid w:val="005F5F72"/>
    <w:rsid w:val="005F61CD"/>
    <w:rsid w:val="005F64FC"/>
    <w:rsid w:val="005F6DFB"/>
    <w:rsid w:val="005F6F14"/>
    <w:rsid w:val="005F7310"/>
    <w:rsid w:val="005F765A"/>
    <w:rsid w:val="005F7964"/>
    <w:rsid w:val="00601168"/>
    <w:rsid w:val="00601238"/>
    <w:rsid w:val="00601C73"/>
    <w:rsid w:val="00603393"/>
    <w:rsid w:val="0060356D"/>
    <w:rsid w:val="00603698"/>
    <w:rsid w:val="00607042"/>
    <w:rsid w:val="00607C2F"/>
    <w:rsid w:val="00607C8A"/>
    <w:rsid w:val="00607F9D"/>
    <w:rsid w:val="006121C3"/>
    <w:rsid w:val="0061232A"/>
    <w:rsid w:val="0061285C"/>
    <w:rsid w:val="00612ABB"/>
    <w:rsid w:val="00612B1D"/>
    <w:rsid w:val="00612F5D"/>
    <w:rsid w:val="00613730"/>
    <w:rsid w:val="00614558"/>
    <w:rsid w:val="0061461F"/>
    <w:rsid w:val="006146B5"/>
    <w:rsid w:val="00614D5A"/>
    <w:rsid w:val="006167A7"/>
    <w:rsid w:val="00616E95"/>
    <w:rsid w:val="00617441"/>
    <w:rsid w:val="006203A4"/>
    <w:rsid w:val="00620704"/>
    <w:rsid w:val="00621A98"/>
    <w:rsid w:val="00622B8C"/>
    <w:rsid w:val="00624579"/>
    <w:rsid w:val="00625406"/>
    <w:rsid w:val="00627BE1"/>
    <w:rsid w:val="00631F43"/>
    <w:rsid w:val="00632637"/>
    <w:rsid w:val="00632FC8"/>
    <w:rsid w:val="0063339D"/>
    <w:rsid w:val="0063363D"/>
    <w:rsid w:val="00633C02"/>
    <w:rsid w:val="00633E31"/>
    <w:rsid w:val="00635234"/>
    <w:rsid w:val="00635A6B"/>
    <w:rsid w:val="00637121"/>
    <w:rsid w:val="006373FA"/>
    <w:rsid w:val="00637476"/>
    <w:rsid w:val="00640216"/>
    <w:rsid w:val="0064105F"/>
    <w:rsid w:val="0064173A"/>
    <w:rsid w:val="006417E5"/>
    <w:rsid w:val="00641C98"/>
    <w:rsid w:val="0064243B"/>
    <w:rsid w:val="0064267D"/>
    <w:rsid w:val="0064366B"/>
    <w:rsid w:val="00643A62"/>
    <w:rsid w:val="00643A76"/>
    <w:rsid w:val="006440B9"/>
    <w:rsid w:val="00644727"/>
    <w:rsid w:val="00645246"/>
    <w:rsid w:val="0064741D"/>
    <w:rsid w:val="00647E6A"/>
    <w:rsid w:val="00647E82"/>
    <w:rsid w:val="0065000F"/>
    <w:rsid w:val="006505FB"/>
    <w:rsid w:val="00650F58"/>
    <w:rsid w:val="00651B0B"/>
    <w:rsid w:val="00653668"/>
    <w:rsid w:val="006548F5"/>
    <w:rsid w:val="00655188"/>
    <w:rsid w:val="0065591A"/>
    <w:rsid w:val="0065611A"/>
    <w:rsid w:val="00656DC3"/>
    <w:rsid w:val="006600BE"/>
    <w:rsid w:val="00661FA5"/>
    <w:rsid w:val="00662386"/>
    <w:rsid w:val="00665BA6"/>
    <w:rsid w:val="006668A0"/>
    <w:rsid w:val="00666C41"/>
    <w:rsid w:val="00666DCA"/>
    <w:rsid w:val="00666F7A"/>
    <w:rsid w:val="006725AD"/>
    <w:rsid w:val="00673566"/>
    <w:rsid w:val="00673A35"/>
    <w:rsid w:val="00674053"/>
    <w:rsid w:val="00674DC4"/>
    <w:rsid w:val="00676762"/>
    <w:rsid w:val="0067718C"/>
    <w:rsid w:val="006771BC"/>
    <w:rsid w:val="00680BE5"/>
    <w:rsid w:val="00680D51"/>
    <w:rsid w:val="0068119A"/>
    <w:rsid w:val="00681205"/>
    <w:rsid w:val="0068127B"/>
    <w:rsid w:val="006814FF"/>
    <w:rsid w:val="006816BE"/>
    <w:rsid w:val="0068175B"/>
    <w:rsid w:val="00681DCA"/>
    <w:rsid w:val="006838CA"/>
    <w:rsid w:val="00684257"/>
    <w:rsid w:val="0068499F"/>
    <w:rsid w:val="006856CB"/>
    <w:rsid w:val="00685B75"/>
    <w:rsid w:val="00685F73"/>
    <w:rsid w:val="006879B0"/>
    <w:rsid w:val="00687D89"/>
    <w:rsid w:val="00687E69"/>
    <w:rsid w:val="00690361"/>
    <w:rsid w:val="00691392"/>
    <w:rsid w:val="00691553"/>
    <w:rsid w:val="0069296D"/>
    <w:rsid w:val="006931A8"/>
    <w:rsid w:val="00693B1F"/>
    <w:rsid w:val="00694D6A"/>
    <w:rsid w:val="0069525D"/>
    <w:rsid w:val="0069605A"/>
    <w:rsid w:val="0069723D"/>
    <w:rsid w:val="00697BBE"/>
    <w:rsid w:val="006A1495"/>
    <w:rsid w:val="006A2105"/>
    <w:rsid w:val="006A478C"/>
    <w:rsid w:val="006A4DB0"/>
    <w:rsid w:val="006A5256"/>
    <w:rsid w:val="006A6103"/>
    <w:rsid w:val="006A64D0"/>
    <w:rsid w:val="006A70B1"/>
    <w:rsid w:val="006A7739"/>
    <w:rsid w:val="006A7795"/>
    <w:rsid w:val="006B074E"/>
    <w:rsid w:val="006B0842"/>
    <w:rsid w:val="006B0B0B"/>
    <w:rsid w:val="006B0BB4"/>
    <w:rsid w:val="006B15CF"/>
    <w:rsid w:val="006B1ABA"/>
    <w:rsid w:val="006B2165"/>
    <w:rsid w:val="006B3939"/>
    <w:rsid w:val="006B39AE"/>
    <w:rsid w:val="006B3B68"/>
    <w:rsid w:val="006B4072"/>
    <w:rsid w:val="006B52FD"/>
    <w:rsid w:val="006B572C"/>
    <w:rsid w:val="006B598B"/>
    <w:rsid w:val="006B62D9"/>
    <w:rsid w:val="006B64E1"/>
    <w:rsid w:val="006B78AF"/>
    <w:rsid w:val="006B7D48"/>
    <w:rsid w:val="006C0113"/>
    <w:rsid w:val="006C089E"/>
    <w:rsid w:val="006C100D"/>
    <w:rsid w:val="006C1051"/>
    <w:rsid w:val="006C125F"/>
    <w:rsid w:val="006C17D6"/>
    <w:rsid w:val="006C1D24"/>
    <w:rsid w:val="006C1E2B"/>
    <w:rsid w:val="006C314C"/>
    <w:rsid w:val="006C41E6"/>
    <w:rsid w:val="006C4796"/>
    <w:rsid w:val="006C4CD9"/>
    <w:rsid w:val="006C4EA7"/>
    <w:rsid w:val="006C5183"/>
    <w:rsid w:val="006C63F2"/>
    <w:rsid w:val="006C6FE4"/>
    <w:rsid w:val="006C7859"/>
    <w:rsid w:val="006C7888"/>
    <w:rsid w:val="006D0CE4"/>
    <w:rsid w:val="006D0DDE"/>
    <w:rsid w:val="006D1136"/>
    <w:rsid w:val="006D23BB"/>
    <w:rsid w:val="006D2C0F"/>
    <w:rsid w:val="006D379C"/>
    <w:rsid w:val="006D41BC"/>
    <w:rsid w:val="006D44BF"/>
    <w:rsid w:val="006D580F"/>
    <w:rsid w:val="006D59F5"/>
    <w:rsid w:val="006D5F7D"/>
    <w:rsid w:val="006D622A"/>
    <w:rsid w:val="006D6E27"/>
    <w:rsid w:val="006D773C"/>
    <w:rsid w:val="006D7AF0"/>
    <w:rsid w:val="006E0A06"/>
    <w:rsid w:val="006E1FD3"/>
    <w:rsid w:val="006E27DE"/>
    <w:rsid w:val="006E28F9"/>
    <w:rsid w:val="006E2B3C"/>
    <w:rsid w:val="006E2F5F"/>
    <w:rsid w:val="006E371B"/>
    <w:rsid w:val="006E49E5"/>
    <w:rsid w:val="006E4AD3"/>
    <w:rsid w:val="006E4DFA"/>
    <w:rsid w:val="006E587F"/>
    <w:rsid w:val="006E62B4"/>
    <w:rsid w:val="006F077A"/>
    <w:rsid w:val="006F0B0A"/>
    <w:rsid w:val="006F10A5"/>
    <w:rsid w:val="006F13BD"/>
    <w:rsid w:val="006F1699"/>
    <w:rsid w:val="006F1B05"/>
    <w:rsid w:val="006F21D7"/>
    <w:rsid w:val="006F234B"/>
    <w:rsid w:val="006F3B18"/>
    <w:rsid w:val="006F5A18"/>
    <w:rsid w:val="006F5DD8"/>
    <w:rsid w:val="006F5F82"/>
    <w:rsid w:val="006F68BB"/>
    <w:rsid w:val="006F6A19"/>
    <w:rsid w:val="006F74F4"/>
    <w:rsid w:val="00700483"/>
    <w:rsid w:val="00700D31"/>
    <w:rsid w:val="007010CE"/>
    <w:rsid w:val="0070171C"/>
    <w:rsid w:val="00701A50"/>
    <w:rsid w:val="00702531"/>
    <w:rsid w:val="00703FDF"/>
    <w:rsid w:val="007044E3"/>
    <w:rsid w:val="0070470E"/>
    <w:rsid w:val="00704C66"/>
    <w:rsid w:val="007057BE"/>
    <w:rsid w:val="00705B25"/>
    <w:rsid w:val="00705D81"/>
    <w:rsid w:val="00705E71"/>
    <w:rsid w:val="007070C4"/>
    <w:rsid w:val="00707341"/>
    <w:rsid w:val="007073AD"/>
    <w:rsid w:val="00711A23"/>
    <w:rsid w:val="00711E4A"/>
    <w:rsid w:val="00711F2A"/>
    <w:rsid w:val="00714496"/>
    <w:rsid w:val="00714F60"/>
    <w:rsid w:val="007156C4"/>
    <w:rsid w:val="0071583F"/>
    <w:rsid w:val="007160CE"/>
    <w:rsid w:val="00716945"/>
    <w:rsid w:val="00717C6A"/>
    <w:rsid w:val="007206B3"/>
    <w:rsid w:val="007212E0"/>
    <w:rsid w:val="00721DF0"/>
    <w:rsid w:val="007233BF"/>
    <w:rsid w:val="00723A11"/>
    <w:rsid w:val="00725A8A"/>
    <w:rsid w:val="00725E35"/>
    <w:rsid w:val="00726D2F"/>
    <w:rsid w:val="00727430"/>
    <w:rsid w:val="007278EC"/>
    <w:rsid w:val="00727C50"/>
    <w:rsid w:val="007300C8"/>
    <w:rsid w:val="0073065D"/>
    <w:rsid w:val="00731201"/>
    <w:rsid w:val="00731506"/>
    <w:rsid w:val="00733156"/>
    <w:rsid w:val="0073318A"/>
    <w:rsid w:val="007341A8"/>
    <w:rsid w:val="0073563B"/>
    <w:rsid w:val="007367A2"/>
    <w:rsid w:val="00740001"/>
    <w:rsid w:val="00741954"/>
    <w:rsid w:val="00742CA6"/>
    <w:rsid w:val="00744F51"/>
    <w:rsid w:val="007452E9"/>
    <w:rsid w:val="00746179"/>
    <w:rsid w:val="00746677"/>
    <w:rsid w:val="007471D1"/>
    <w:rsid w:val="00747314"/>
    <w:rsid w:val="00747D70"/>
    <w:rsid w:val="00747E50"/>
    <w:rsid w:val="00747EF9"/>
    <w:rsid w:val="00750815"/>
    <w:rsid w:val="007519B1"/>
    <w:rsid w:val="007523C8"/>
    <w:rsid w:val="00754BBC"/>
    <w:rsid w:val="00754F64"/>
    <w:rsid w:val="00755160"/>
    <w:rsid w:val="0075661E"/>
    <w:rsid w:val="007606B6"/>
    <w:rsid w:val="007608D6"/>
    <w:rsid w:val="00760BB7"/>
    <w:rsid w:val="00761A00"/>
    <w:rsid w:val="0076377A"/>
    <w:rsid w:val="007638E1"/>
    <w:rsid w:val="00764166"/>
    <w:rsid w:val="00764C6C"/>
    <w:rsid w:val="00766163"/>
    <w:rsid w:val="0076617D"/>
    <w:rsid w:val="00766647"/>
    <w:rsid w:val="0076770F"/>
    <w:rsid w:val="007706BF"/>
    <w:rsid w:val="00770DE2"/>
    <w:rsid w:val="007712C8"/>
    <w:rsid w:val="00771909"/>
    <w:rsid w:val="00772564"/>
    <w:rsid w:val="00772671"/>
    <w:rsid w:val="007734D5"/>
    <w:rsid w:val="007737D2"/>
    <w:rsid w:val="007750AF"/>
    <w:rsid w:val="00775865"/>
    <w:rsid w:val="00775CAE"/>
    <w:rsid w:val="00776235"/>
    <w:rsid w:val="0077653F"/>
    <w:rsid w:val="00776C81"/>
    <w:rsid w:val="00777194"/>
    <w:rsid w:val="007776F3"/>
    <w:rsid w:val="00777BD5"/>
    <w:rsid w:val="00780FAD"/>
    <w:rsid w:val="00781394"/>
    <w:rsid w:val="00781756"/>
    <w:rsid w:val="00781D5D"/>
    <w:rsid w:val="00782786"/>
    <w:rsid w:val="007844E0"/>
    <w:rsid w:val="00784C6A"/>
    <w:rsid w:val="007857F5"/>
    <w:rsid w:val="00785ADE"/>
    <w:rsid w:val="00786209"/>
    <w:rsid w:val="00786232"/>
    <w:rsid w:val="007906C7"/>
    <w:rsid w:val="0079201E"/>
    <w:rsid w:val="00792242"/>
    <w:rsid w:val="00793101"/>
    <w:rsid w:val="007934A0"/>
    <w:rsid w:val="00793975"/>
    <w:rsid w:val="0079404D"/>
    <w:rsid w:val="0079444B"/>
    <w:rsid w:val="00794BE6"/>
    <w:rsid w:val="007952EE"/>
    <w:rsid w:val="007963B0"/>
    <w:rsid w:val="007970E4"/>
    <w:rsid w:val="00797BC1"/>
    <w:rsid w:val="00797C56"/>
    <w:rsid w:val="007A009B"/>
    <w:rsid w:val="007A0262"/>
    <w:rsid w:val="007A0729"/>
    <w:rsid w:val="007A07C1"/>
    <w:rsid w:val="007A167B"/>
    <w:rsid w:val="007A193A"/>
    <w:rsid w:val="007A24F2"/>
    <w:rsid w:val="007A26EC"/>
    <w:rsid w:val="007A27B7"/>
    <w:rsid w:val="007A2A85"/>
    <w:rsid w:val="007A2DDA"/>
    <w:rsid w:val="007A332E"/>
    <w:rsid w:val="007A356F"/>
    <w:rsid w:val="007A35D3"/>
    <w:rsid w:val="007A3AD5"/>
    <w:rsid w:val="007A3B76"/>
    <w:rsid w:val="007A477A"/>
    <w:rsid w:val="007A523A"/>
    <w:rsid w:val="007A590D"/>
    <w:rsid w:val="007A5BA3"/>
    <w:rsid w:val="007A60BA"/>
    <w:rsid w:val="007B0CE2"/>
    <w:rsid w:val="007B11FC"/>
    <w:rsid w:val="007B2EA1"/>
    <w:rsid w:val="007B36C9"/>
    <w:rsid w:val="007B3D98"/>
    <w:rsid w:val="007B3F11"/>
    <w:rsid w:val="007B42D9"/>
    <w:rsid w:val="007B5300"/>
    <w:rsid w:val="007B5678"/>
    <w:rsid w:val="007B69EC"/>
    <w:rsid w:val="007B7265"/>
    <w:rsid w:val="007B7EE6"/>
    <w:rsid w:val="007C02B0"/>
    <w:rsid w:val="007C03F0"/>
    <w:rsid w:val="007C08B1"/>
    <w:rsid w:val="007C176C"/>
    <w:rsid w:val="007C2038"/>
    <w:rsid w:val="007C22A2"/>
    <w:rsid w:val="007C255C"/>
    <w:rsid w:val="007C26A9"/>
    <w:rsid w:val="007C2A35"/>
    <w:rsid w:val="007C453B"/>
    <w:rsid w:val="007C4CDE"/>
    <w:rsid w:val="007C4E9C"/>
    <w:rsid w:val="007C53D1"/>
    <w:rsid w:val="007C5413"/>
    <w:rsid w:val="007C5C6D"/>
    <w:rsid w:val="007C732F"/>
    <w:rsid w:val="007C790E"/>
    <w:rsid w:val="007D078B"/>
    <w:rsid w:val="007D1925"/>
    <w:rsid w:val="007D2C75"/>
    <w:rsid w:val="007D2DDC"/>
    <w:rsid w:val="007D3182"/>
    <w:rsid w:val="007D321D"/>
    <w:rsid w:val="007D3B33"/>
    <w:rsid w:val="007D508F"/>
    <w:rsid w:val="007D6135"/>
    <w:rsid w:val="007D6A23"/>
    <w:rsid w:val="007D6FF2"/>
    <w:rsid w:val="007D7BE9"/>
    <w:rsid w:val="007E0B00"/>
    <w:rsid w:val="007E0DD5"/>
    <w:rsid w:val="007E1541"/>
    <w:rsid w:val="007E1E80"/>
    <w:rsid w:val="007E27B5"/>
    <w:rsid w:val="007E2979"/>
    <w:rsid w:val="007E2C12"/>
    <w:rsid w:val="007E30DC"/>
    <w:rsid w:val="007E41E0"/>
    <w:rsid w:val="007E4275"/>
    <w:rsid w:val="007E44DE"/>
    <w:rsid w:val="007E5E58"/>
    <w:rsid w:val="007E5EC3"/>
    <w:rsid w:val="007E6BD1"/>
    <w:rsid w:val="007E6CBD"/>
    <w:rsid w:val="007E7A27"/>
    <w:rsid w:val="007E7EDE"/>
    <w:rsid w:val="007F0745"/>
    <w:rsid w:val="007F0924"/>
    <w:rsid w:val="007F13FE"/>
    <w:rsid w:val="007F1566"/>
    <w:rsid w:val="007F163B"/>
    <w:rsid w:val="007F17DF"/>
    <w:rsid w:val="007F2474"/>
    <w:rsid w:val="007F28E0"/>
    <w:rsid w:val="007F296C"/>
    <w:rsid w:val="007F32AF"/>
    <w:rsid w:val="007F355A"/>
    <w:rsid w:val="007F369D"/>
    <w:rsid w:val="007F36A2"/>
    <w:rsid w:val="007F498D"/>
    <w:rsid w:val="007F4BDA"/>
    <w:rsid w:val="007F5AAE"/>
    <w:rsid w:val="007F77E8"/>
    <w:rsid w:val="0080078D"/>
    <w:rsid w:val="00801A95"/>
    <w:rsid w:val="00801D2B"/>
    <w:rsid w:val="00801D48"/>
    <w:rsid w:val="00801D57"/>
    <w:rsid w:val="00803261"/>
    <w:rsid w:val="0080360A"/>
    <w:rsid w:val="008040EF"/>
    <w:rsid w:val="00804D37"/>
    <w:rsid w:val="00805FBA"/>
    <w:rsid w:val="00807146"/>
    <w:rsid w:val="00807BAA"/>
    <w:rsid w:val="00811F75"/>
    <w:rsid w:val="008148AC"/>
    <w:rsid w:val="0081503D"/>
    <w:rsid w:val="00815E9B"/>
    <w:rsid w:val="0081656D"/>
    <w:rsid w:val="00817665"/>
    <w:rsid w:val="00817874"/>
    <w:rsid w:val="008178D3"/>
    <w:rsid w:val="00817FCB"/>
    <w:rsid w:val="0082014E"/>
    <w:rsid w:val="00821A69"/>
    <w:rsid w:val="00821B64"/>
    <w:rsid w:val="00822174"/>
    <w:rsid w:val="008260BE"/>
    <w:rsid w:val="0082627F"/>
    <w:rsid w:val="00827C97"/>
    <w:rsid w:val="00831198"/>
    <w:rsid w:val="00831BB1"/>
    <w:rsid w:val="00833405"/>
    <w:rsid w:val="00833D57"/>
    <w:rsid w:val="00834271"/>
    <w:rsid w:val="00834A3F"/>
    <w:rsid w:val="00834DF3"/>
    <w:rsid w:val="00835512"/>
    <w:rsid w:val="00835B7E"/>
    <w:rsid w:val="00840ECF"/>
    <w:rsid w:val="00841FD2"/>
    <w:rsid w:val="008431B2"/>
    <w:rsid w:val="008438E2"/>
    <w:rsid w:val="00843FCB"/>
    <w:rsid w:val="00845802"/>
    <w:rsid w:val="0084637F"/>
    <w:rsid w:val="00846B30"/>
    <w:rsid w:val="00847625"/>
    <w:rsid w:val="00847BA9"/>
    <w:rsid w:val="00847D90"/>
    <w:rsid w:val="00847F74"/>
    <w:rsid w:val="00850CCA"/>
    <w:rsid w:val="00850F13"/>
    <w:rsid w:val="008510E8"/>
    <w:rsid w:val="00851338"/>
    <w:rsid w:val="0085194E"/>
    <w:rsid w:val="00853EB7"/>
    <w:rsid w:val="008541E6"/>
    <w:rsid w:val="00855800"/>
    <w:rsid w:val="00855D34"/>
    <w:rsid w:val="00855F95"/>
    <w:rsid w:val="00857329"/>
    <w:rsid w:val="0085738C"/>
    <w:rsid w:val="00857ED2"/>
    <w:rsid w:val="0086149B"/>
    <w:rsid w:val="008623F9"/>
    <w:rsid w:val="008629B1"/>
    <w:rsid w:val="00862ABB"/>
    <w:rsid w:val="00862F0C"/>
    <w:rsid w:val="00863B36"/>
    <w:rsid w:val="00864212"/>
    <w:rsid w:val="008643EE"/>
    <w:rsid w:val="00864696"/>
    <w:rsid w:val="00865952"/>
    <w:rsid w:val="008678B6"/>
    <w:rsid w:val="008706B8"/>
    <w:rsid w:val="008712BD"/>
    <w:rsid w:val="00871D83"/>
    <w:rsid w:val="00872176"/>
    <w:rsid w:val="00872484"/>
    <w:rsid w:val="00872927"/>
    <w:rsid w:val="00872ECD"/>
    <w:rsid w:val="00873C1E"/>
    <w:rsid w:val="0087492B"/>
    <w:rsid w:val="008750B5"/>
    <w:rsid w:val="008767B9"/>
    <w:rsid w:val="0087683F"/>
    <w:rsid w:val="00880714"/>
    <w:rsid w:val="00880DF4"/>
    <w:rsid w:val="00881B9E"/>
    <w:rsid w:val="00882137"/>
    <w:rsid w:val="00882785"/>
    <w:rsid w:val="00882AAA"/>
    <w:rsid w:val="00882C32"/>
    <w:rsid w:val="00885925"/>
    <w:rsid w:val="008859FA"/>
    <w:rsid w:val="00886D67"/>
    <w:rsid w:val="00886F07"/>
    <w:rsid w:val="00887F11"/>
    <w:rsid w:val="00890395"/>
    <w:rsid w:val="008906ED"/>
    <w:rsid w:val="00890B74"/>
    <w:rsid w:val="00890CD9"/>
    <w:rsid w:val="008910C3"/>
    <w:rsid w:val="00891FE0"/>
    <w:rsid w:val="00892089"/>
    <w:rsid w:val="00893FA3"/>
    <w:rsid w:val="00895A65"/>
    <w:rsid w:val="008963F3"/>
    <w:rsid w:val="00896F37"/>
    <w:rsid w:val="008A11DF"/>
    <w:rsid w:val="008A2489"/>
    <w:rsid w:val="008A257D"/>
    <w:rsid w:val="008A2E12"/>
    <w:rsid w:val="008A4007"/>
    <w:rsid w:val="008A5103"/>
    <w:rsid w:val="008A58A8"/>
    <w:rsid w:val="008A5F60"/>
    <w:rsid w:val="008A6865"/>
    <w:rsid w:val="008A7948"/>
    <w:rsid w:val="008A7DB7"/>
    <w:rsid w:val="008B0CA9"/>
    <w:rsid w:val="008B15C7"/>
    <w:rsid w:val="008B1723"/>
    <w:rsid w:val="008B1781"/>
    <w:rsid w:val="008B1F42"/>
    <w:rsid w:val="008B2117"/>
    <w:rsid w:val="008B22D2"/>
    <w:rsid w:val="008B2DC5"/>
    <w:rsid w:val="008B31B6"/>
    <w:rsid w:val="008B3457"/>
    <w:rsid w:val="008B3AF9"/>
    <w:rsid w:val="008B4D77"/>
    <w:rsid w:val="008B4F6A"/>
    <w:rsid w:val="008B5229"/>
    <w:rsid w:val="008B551F"/>
    <w:rsid w:val="008B59C2"/>
    <w:rsid w:val="008B5D1C"/>
    <w:rsid w:val="008B5E2C"/>
    <w:rsid w:val="008B6272"/>
    <w:rsid w:val="008B62A9"/>
    <w:rsid w:val="008B66FA"/>
    <w:rsid w:val="008C0941"/>
    <w:rsid w:val="008C0FA5"/>
    <w:rsid w:val="008C1094"/>
    <w:rsid w:val="008C1E2E"/>
    <w:rsid w:val="008C2058"/>
    <w:rsid w:val="008C22A7"/>
    <w:rsid w:val="008C5566"/>
    <w:rsid w:val="008C65FD"/>
    <w:rsid w:val="008C66B8"/>
    <w:rsid w:val="008C6784"/>
    <w:rsid w:val="008C67AB"/>
    <w:rsid w:val="008C6D1F"/>
    <w:rsid w:val="008C7236"/>
    <w:rsid w:val="008C7CD7"/>
    <w:rsid w:val="008D0343"/>
    <w:rsid w:val="008D0365"/>
    <w:rsid w:val="008D0D23"/>
    <w:rsid w:val="008D0F7D"/>
    <w:rsid w:val="008D2E43"/>
    <w:rsid w:val="008D2E6B"/>
    <w:rsid w:val="008D30CA"/>
    <w:rsid w:val="008D37A8"/>
    <w:rsid w:val="008D3B66"/>
    <w:rsid w:val="008D60BB"/>
    <w:rsid w:val="008D6379"/>
    <w:rsid w:val="008D6B94"/>
    <w:rsid w:val="008D741B"/>
    <w:rsid w:val="008E06BF"/>
    <w:rsid w:val="008E0B12"/>
    <w:rsid w:val="008E18C2"/>
    <w:rsid w:val="008E252B"/>
    <w:rsid w:val="008E27A4"/>
    <w:rsid w:val="008E2B54"/>
    <w:rsid w:val="008E3AAD"/>
    <w:rsid w:val="008E5ACA"/>
    <w:rsid w:val="008E6240"/>
    <w:rsid w:val="008E6CC4"/>
    <w:rsid w:val="008F00DF"/>
    <w:rsid w:val="008F05C3"/>
    <w:rsid w:val="008F0DD4"/>
    <w:rsid w:val="008F130A"/>
    <w:rsid w:val="008F1ED8"/>
    <w:rsid w:val="008F2616"/>
    <w:rsid w:val="008F2A1B"/>
    <w:rsid w:val="008F2B8F"/>
    <w:rsid w:val="008F2BA1"/>
    <w:rsid w:val="008F30B8"/>
    <w:rsid w:val="008F4187"/>
    <w:rsid w:val="008F4510"/>
    <w:rsid w:val="008F608F"/>
    <w:rsid w:val="008F72D3"/>
    <w:rsid w:val="008F783D"/>
    <w:rsid w:val="009002DC"/>
    <w:rsid w:val="00900552"/>
    <w:rsid w:val="009006CC"/>
    <w:rsid w:val="00900869"/>
    <w:rsid w:val="009009B3"/>
    <w:rsid w:val="00901CD4"/>
    <w:rsid w:val="00904B55"/>
    <w:rsid w:val="009066A9"/>
    <w:rsid w:val="0090723F"/>
    <w:rsid w:val="0091048F"/>
    <w:rsid w:val="00911476"/>
    <w:rsid w:val="00911767"/>
    <w:rsid w:val="0091256F"/>
    <w:rsid w:val="00912EC3"/>
    <w:rsid w:val="00912FC0"/>
    <w:rsid w:val="00913727"/>
    <w:rsid w:val="00913DC9"/>
    <w:rsid w:val="00913E7E"/>
    <w:rsid w:val="00914709"/>
    <w:rsid w:val="009154B8"/>
    <w:rsid w:val="0091556A"/>
    <w:rsid w:val="00915691"/>
    <w:rsid w:val="00915DFD"/>
    <w:rsid w:val="009160A1"/>
    <w:rsid w:val="00916E16"/>
    <w:rsid w:val="00917199"/>
    <w:rsid w:val="0091721E"/>
    <w:rsid w:val="00917301"/>
    <w:rsid w:val="00917C68"/>
    <w:rsid w:val="0092014D"/>
    <w:rsid w:val="0092014E"/>
    <w:rsid w:val="009214A0"/>
    <w:rsid w:val="00921A7F"/>
    <w:rsid w:val="00923493"/>
    <w:rsid w:val="00924C2F"/>
    <w:rsid w:val="00930764"/>
    <w:rsid w:val="009307C3"/>
    <w:rsid w:val="009313E2"/>
    <w:rsid w:val="0093162F"/>
    <w:rsid w:val="009318D1"/>
    <w:rsid w:val="00931952"/>
    <w:rsid w:val="00931F2C"/>
    <w:rsid w:val="00932FFD"/>
    <w:rsid w:val="0093385B"/>
    <w:rsid w:val="00933CCC"/>
    <w:rsid w:val="009340AE"/>
    <w:rsid w:val="009341CB"/>
    <w:rsid w:val="009348B9"/>
    <w:rsid w:val="00934A08"/>
    <w:rsid w:val="00934CB5"/>
    <w:rsid w:val="00934CEE"/>
    <w:rsid w:val="00935019"/>
    <w:rsid w:val="00935481"/>
    <w:rsid w:val="0093599A"/>
    <w:rsid w:val="00935DFF"/>
    <w:rsid w:val="00935E79"/>
    <w:rsid w:val="00936EE5"/>
    <w:rsid w:val="00937D5B"/>
    <w:rsid w:val="009402D4"/>
    <w:rsid w:val="00940300"/>
    <w:rsid w:val="00940BC4"/>
    <w:rsid w:val="00943A53"/>
    <w:rsid w:val="00943F04"/>
    <w:rsid w:val="0094429D"/>
    <w:rsid w:val="00945F4B"/>
    <w:rsid w:val="009478AE"/>
    <w:rsid w:val="00950729"/>
    <w:rsid w:val="00950910"/>
    <w:rsid w:val="00950A90"/>
    <w:rsid w:val="0095392A"/>
    <w:rsid w:val="00953CAC"/>
    <w:rsid w:val="00954527"/>
    <w:rsid w:val="009557E6"/>
    <w:rsid w:val="009568B7"/>
    <w:rsid w:val="0096039D"/>
    <w:rsid w:val="00961385"/>
    <w:rsid w:val="00962E66"/>
    <w:rsid w:val="009630FA"/>
    <w:rsid w:val="00964B4B"/>
    <w:rsid w:val="00964DA6"/>
    <w:rsid w:val="00970A99"/>
    <w:rsid w:val="00970D87"/>
    <w:rsid w:val="00971668"/>
    <w:rsid w:val="00972EA1"/>
    <w:rsid w:val="00973914"/>
    <w:rsid w:val="00973C38"/>
    <w:rsid w:val="00973CEB"/>
    <w:rsid w:val="00973EC6"/>
    <w:rsid w:val="00975CE8"/>
    <w:rsid w:val="00976811"/>
    <w:rsid w:val="00976908"/>
    <w:rsid w:val="009769DA"/>
    <w:rsid w:val="00980CF7"/>
    <w:rsid w:val="00982DEE"/>
    <w:rsid w:val="009837AE"/>
    <w:rsid w:val="00983FF8"/>
    <w:rsid w:val="00984BCB"/>
    <w:rsid w:val="00984EAA"/>
    <w:rsid w:val="00986636"/>
    <w:rsid w:val="00986BBB"/>
    <w:rsid w:val="0098760D"/>
    <w:rsid w:val="00987FFB"/>
    <w:rsid w:val="0099183F"/>
    <w:rsid w:val="009928B4"/>
    <w:rsid w:val="0099294D"/>
    <w:rsid w:val="00993D93"/>
    <w:rsid w:val="00994228"/>
    <w:rsid w:val="009949AC"/>
    <w:rsid w:val="00995AA1"/>
    <w:rsid w:val="00997F97"/>
    <w:rsid w:val="009A068A"/>
    <w:rsid w:val="009A0A26"/>
    <w:rsid w:val="009A0B92"/>
    <w:rsid w:val="009A19D0"/>
    <w:rsid w:val="009A1E15"/>
    <w:rsid w:val="009A23BA"/>
    <w:rsid w:val="009A2AF7"/>
    <w:rsid w:val="009A2EB7"/>
    <w:rsid w:val="009A4A17"/>
    <w:rsid w:val="009A5660"/>
    <w:rsid w:val="009A5A5D"/>
    <w:rsid w:val="009A6157"/>
    <w:rsid w:val="009A6619"/>
    <w:rsid w:val="009A772E"/>
    <w:rsid w:val="009B097C"/>
    <w:rsid w:val="009B0C1B"/>
    <w:rsid w:val="009B1C82"/>
    <w:rsid w:val="009B249F"/>
    <w:rsid w:val="009B26EF"/>
    <w:rsid w:val="009B2C65"/>
    <w:rsid w:val="009B5080"/>
    <w:rsid w:val="009B5123"/>
    <w:rsid w:val="009B5169"/>
    <w:rsid w:val="009B5601"/>
    <w:rsid w:val="009B571D"/>
    <w:rsid w:val="009B6599"/>
    <w:rsid w:val="009B70E2"/>
    <w:rsid w:val="009B764E"/>
    <w:rsid w:val="009C01EA"/>
    <w:rsid w:val="009C15C9"/>
    <w:rsid w:val="009C1680"/>
    <w:rsid w:val="009C1C8E"/>
    <w:rsid w:val="009C1E3E"/>
    <w:rsid w:val="009C2330"/>
    <w:rsid w:val="009C283D"/>
    <w:rsid w:val="009C3545"/>
    <w:rsid w:val="009C3A4E"/>
    <w:rsid w:val="009C608F"/>
    <w:rsid w:val="009C7823"/>
    <w:rsid w:val="009D333D"/>
    <w:rsid w:val="009D40CB"/>
    <w:rsid w:val="009D5B7E"/>
    <w:rsid w:val="009D6182"/>
    <w:rsid w:val="009D6457"/>
    <w:rsid w:val="009E0011"/>
    <w:rsid w:val="009E1837"/>
    <w:rsid w:val="009E3329"/>
    <w:rsid w:val="009E5D56"/>
    <w:rsid w:val="009E5E60"/>
    <w:rsid w:val="009E610E"/>
    <w:rsid w:val="009E69AF"/>
    <w:rsid w:val="009E6FAF"/>
    <w:rsid w:val="009E7398"/>
    <w:rsid w:val="009F01CF"/>
    <w:rsid w:val="009F13DC"/>
    <w:rsid w:val="009F1D56"/>
    <w:rsid w:val="009F1D77"/>
    <w:rsid w:val="009F1E9D"/>
    <w:rsid w:val="009F2FEC"/>
    <w:rsid w:val="009F559F"/>
    <w:rsid w:val="009F55AB"/>
    <w:rsid w:val="009F5B53"/>
    <w:rsid w:val="009F6143"/>
    <w:rsid w:val="00A008C7"/>
    <w:rsid w:val="00A00AEC"/>
    <w:rsid w:val="00A01FC7"/>
    <w:rsid w:val="00A02A83"/>
    <w:rsid w:val="00A02B3C"/>
    <w:rsid w:val="00A036D0"/>
    <w:rsid w:val="00A03833"/>
    <w:rsid w:val="00A04426"/>
    <w:rsid w:val="00A04A8D"/>
    <w:rsid w:val="00A05002"/>
    <w:rsid w:val="00A0520E"/>
    <w:rsid w:val="00A05E1D"/>
    <w:rsid w:val="00A06B91"/>
    <w:rsid w:val="00A07670"/>
    <w:rsid w:val="00A07CDA"/>
    <w:rsid w:val="00A108AE"/>
    <w:rsid w:val="00A116D3"/>
    <w:rsid w:val="00A11B95"/>
    <w:rsid w:val="00A158FB"/>
    <w:rsid w:val="00A1697F"/>
    <w:rsid w:val="00A20383"/>
    <w:rsid w:val="00A21BAD"/>
    <w:rsid w:val="00A21CA5"/>
    <w:rsid w:val="00A22931"/>
    <w:rsid w:val="00A243A5"/>
    <w:rsid w:val="00A24B7F"/>
    <w:rsid w:val="00A26524"/>
    <w:rsid w:val="00A2680E"/>
    <w:rsid w:val="00A26B65"/>
    <w:rsid w:val="00A30B53"/>
    <w:rsid w:val="00A31EA7"/>
    <w:rsid w:val="00A31F1C"/>
    <w:rsid w:val="00A32418"/>
    <w:rsid w:val="00A32C1A"/>
    <w:rsid w:val="00A32C21"/>
    <w:rsid w:val="00A3398C"/>
    <w:rsid w:val="00A34DBF"/>
    <w:rsid w:val="00A34E12"/>
    <w:rsid w:val="00A36AB7"/>
    <w:rsid w:val="00A36C50"/>
    <w:rsid w:val="00A37E82"/>
    <w:rsid w:val="00A40F54"/>
    <w:rsid w:val="00A413B5"/>
    <w:rsid w:val="00A41593"/>
    <w:rsid w:val="00A41B4B"/>
    <w:rsid w:val="00A430C6"/>
    <w:rsid w:val="00A434C1"/>
    <w:rsid w:val="00A4384C"/>
    <w:rsid w:val="00A45240"/>
    <w:rsid w:val="00A45BDB"/>
    <w:rsid w:val="00A46C61"/>
    <w:rsid w:val="00A501FC"/>
    <w:rsid w:val="00A508F0"/>
    <w:rsid w:val="00A51695"/>
    <w:rsid w:val="00A51BA1"/>
    <w:rsid w:val="00A51CA9"/>
    <w:rsid w:val="00A523DA"/>
    <w:rsid w:val="00A533DA"/>
    <w:rsid w:val="00A5383D"/>
    <w:rsid w:val="00A5445F"/>
    <w:rsid w:val="00A54ACA"/>
    <w:rsid w:val="00A56588"/>
    <w:rsid w:val="00A60273"/>
    <w:rsid w:val="00A60810"/>
    <w:rsid w:val="00A6120B"/>
    <w:rsid w:val="00A61671"/>
    <w:rsid w:val="00A62A7D"/>
    <w:rsid w:val="00A63096"/>
    <w:rsid w:val="00A63BAC"/>
    <w:rsid w:val="00A64534"/>
    <w:rsid w:val="00A65809"/>
    <w:rsid w:val="00A6718B"/>
    <w:rsid w:val="00A67C76"/>
    <w:rsid w:val="00A70B69"/>
    <w:rsid w:val="00A723FA"/>
    <w:rsid w:val="00A72848"/>
    <w:rsid w:val="00A734DA"/>
    <w:rsid w:val="00A73FC8"/>
    <w:rsid w:val="00A74465"/>
    <w:rsid w:val="00A74CBD"/>
    <w:rsid w:val="00A752F2"/>
    <w:rsid w:val="00A753EC"/>
    <w:rsid w:val="00A75FD3"/>
    <w:rsid w:val="00A77FE3"/>
    <w:rsid w:val="00A80C4C"/>
    <w:rsid w:val="00A80CC8"/>
    <w:rsid w:val="00A8316C"/>
    <w:rsid w:val="00A8394E"/>
    <w:rsid w:val="00A8566F"/>
    <w:rsid w:val="00A87D4B"/>
    <w:rsid w:val="00A87FD8"/>
    <w:rsid w:val="00A90366"/>
    <w:rsid w:val="00A906E4"/>
    <w:rsid w:val="00A90882"/>
    <w:rsid w:val="00A917B2"/>
    <w:rsid w:val="00A92227"/>
    <w:rsid w:val="00A922BD"/>
    <w:rsid w:val="00A927BE"/>
    <w:rsid w:val="00A931B0"/>
    <w:rsid w:val="00A93576"/>
    <w:rsid w:val="00A9408D"/>
    <w:rsid w:val="00A942A8"/>
    <w:rsid w:val="00A960DC"/>
    <w:rsid w:val="00A9635E"/>
    <w:rsid w:val="00A96581"/>
    <w:rsid w:val="00A96F51"/>
    <w:rsid w:val="00A9714F"/>
    <w:rsid w:val="00A97843"/>
    <w:rsid w:val="00AA0161"/>
    <w:rsid w:val="00AA08AA"/>
    <w:rsid w:val="00AA0A4C"/>
    <w:rsid w:val="00AA0B6D"/>
    <w:rsid w:val="00AA0CF3"/>
    <w:rsid w:val="00AA0E37"/>
    <w:rsid w:val="00AA1B6B"/>
    <w:rsid w:val="00AA1C5F"/>
    <w:rsid w:val="00AA223D"/>
    <w:rsid w:val="00AA2325"/>
    <w:rsid w:val="00AA2648"/>
    <w:rsid w:val="00AA387B"/>
    <w:rsid w:val="00AA438B"/>
    <w:rsid w:val="00AA54D4"/>
    <w:rsid w:val="00AA5A14"/>
    <w:rsid w:val="00AA5DB9"/>
    <w:rsid w:val="00AA6C70"/>
    <w:rsid w:val="00AA733D"/>
    <w:rsid w:val="00AA7403"/>
    <w:rsid w:val="00AA7946"/>
    <w:rsid w:val="00AA7E48"/>
    <w:rsid w:val="00AA7F34"/>
    <w:rsid w:val="00AB0268"/>
    <w:rsid w:val="00AB05CE"/>
    <w:rsid w:val="00AB0773"/>
    <w:rsid w:val="00AB1EBD"/>
    <w:rsid w:val="00AB24F1"/>
    <w:rsid w:val="00AB2717"/>
    <w:rsid w:val="00AB273A"/>
    <w:rsid w:val="00AB30FC"/>
    <w:rsid w:val="00AB318B"/>
    <w:rsid w:val="00AB350B"/>
    <w:rsid w:val="00AB356E"/>
    <w:rsid w:val="00AB46EB"/>
    <w:rsid w:val="00AB4B8F"/>
    <w:rsid w:val="00AB5C15"/>
    <w:rsid w:val="00AB693F"/>
    <w:rsid w:val="00AB7220"/>
    <w:rsid w:val="00AB7D42"/>
    <w:rsid w:val="00AC04AD"/>
    <w:rsid w:val="00AC063D"/>
    <w:rsid w:val="00AC06FF"/>
    <w:rsid w:val="00AC097D"/>
    <w:rsid w:val="00AC09C9"/>
    <w:rsid w:val="00AC135E"/>
    <w:rsid w:val="00AC1981"/>
    <w:rsid w:val="00AC1B35"/>
    <w:rsid w:val="00AC1F33"/>
    <w:rsid w:val="00AC2380"/>
    <w:rsid w:val="00AC343B"/>
    <w:rsid w:val="00AC3EE3"/>
    <w:rsid w:val="00AC4045"/>
    <w:rsid w:val="00AC45B1"/>
    <w:rsid w:val="00AC5853"/>
    <w:rsid w:val="00AC64EE"/>
    <w:rsid w:val="00AC675B"/>
    <w:rsid w:val="00AC67DC"/>
    <w:rsid w:val="00AC70BB"/>
    <w:rsid w:val="00AC7E6A"/>
    <w:rsid w:val="00AD05AC"/>
    <w:rsid w:val="00AD0778"/>
    <w:rsid w:val="00AD2229"/>
    <w:rsid w:val="00AD38EF"/>
    <w:rsid w:val="00AD3A06"/>
    <w:rsid w:val="00AD5731"/>
    <w:rsid w:val="00AD5DCA"/>
    <w:rsid w:val="00AD7767"/>
    <w:rsid w:val="00AD78F4"/>
    <w:rsid w:val="00AD7CFC"/>
    <w:rsid w:val="00AD7E98"/>
    <w:rsid w:val="00AE07D4"/>
    <w:rsid w:val="00AE0B46"/>
    <w:rsid w:val="00AE18D1"/>
    <w:rsid w:val="00AE261D"/>
    <w:rsid w:val="00AE266F"/>
    <w:rsid w:val="00AE568A"/>
    <w:rsid w:val="00AE5B7B"/>
    <w:rsid w:val="00AE6A0B"/>
    <w:rsid w:val="00AE77A2"/>
    <w:rsid w:val="00AE78E0"/>
    <w:rsid w:val="00AE7EF5"/>
    <w:rsid w:val="00AF2FBB"/>
    <w:rsid w:val="00AF3199"/>
    <w:rsid w:val="00AF3E70"/>
    <w:rsid w:val="00AF442D"/>
    <w:rsid w:val="00AF4D0A"/>
    <w:rsid w:val="00AF504C"/>
    <w:rsid w:val="00AF598F"/>
    <w:rsid w:val="00AF644E"/>
    <w:rsid w:val="00AF75FA"/>
    <w:rsid w:val="00AF7F4B"/>
    <w:rsid w:val="00B00794"/>
    <w:rsid w:val="00B0111E"/>
    <w:rsid w:val="00B0113C"/>
    <w:rsid w:val="00B01644"/>
    <w:rsid w:val="00B01E07"/>
    <w:rsid w:val="00B01EED"/>
    <w:rsid w:val="00B022BB"/>
    <w:rsid w:val="00B02880"/>
    <w:rsid w:val="00B03F11"/>
    <w:rsid w:val="00B04111"/>
    <w:rsid w:val="00B04DC1"/>
    <w:rsid w:val="00B04F46"/>
    <w:rsid w:val="00B071A5"/>
    <w:rsid w:val="00B07BE4"/>
    <w:rsid w:val="00B10177"/>
    <w:rsid w:val="00B101EF"/>
    <w:rsid w:val="00B107DB"/>
    <w:rsid w:val="00B117BC"/>
    <w:rsid w:val="00B11C97"/>
    <w:rsid w:val="00B11FD2"/>
    <w:rsid w:val="00B12408"/>
    <w:rsid w:val="00B12B3E"/>
    <w:rsid w:val="00B12D4B"/>
    <w:rsid w:val="00B13D07"/>
    <w:rsid w:val="00B14890"/>
    <w:rsid w:val="00B14B62"/>
    <w:rsid w:val="00B15A5E"/>
    <w:rsid w:val="00B17A63"/>
    <w:rsid w:val="00B17BB7"/>
    <w:rsid w:val="00B17C6B"/>
    <w:rsid w:val="00B2076F"/>
    <w:rsid w:val="00B21D53"/>
    <w:rsid w:val="00B2283E"/>
    <w:rsid w:val="00B242CD"/>
    <w:rsid w:val="00B2454F"/>
    <w:rsid w:val="00B249C2"/>
    <w:rsid w:val="00B24D3C"/>
    <w:rsid w:val="00B25699"/>
    <w:rsid w:val="00B265B6"/>
    <w:rsid w:val="00B26697"/>
    <w:rsid w:val="00B26903"/>
    <w:rsid w:val="00B27017"/>
    <w:rsid w:val="00B2763C"/>
    <w:rsid w:val="00B27B50"/>
    <w:rsid w:val="00B30D57"/>
    <w:rsid w:val="00B30E48"/>
    <w:rsid w:val="00B31490"/>
    <w:rsid w:val="00B31B90"/>
    <w:rsid w:val="00B31E87"/>
    <w:rsid w:val="00B3281D"/>
    <w:rsid w:val="00B32C42"/>
    <w:rsid w:val="00B34F78"/>
    <w:rsid w:val="00B35EC1"/>
    <w:rsid w:val="00B36BEB"/>
    <w:rsid w:val="00B37D99"/>
    <w:rsid w:val="00B40658"/>
    <w:rsid w:val="00B409DC"/>
    <w:rsid w:val="00B40CB9"/>
    <w:rsid w:val="00B420F5"/>
    <w:rsid w:val="00B42421"/>
    <w:rsid w:val="00B43BFD"/>
    <w:rsid w:val="00B443B7"/>
    <w:rsid w:val="00B44831"/>
    <w:rsid w:val="00B44E08"/>
    <w:rsid w:val="00B45112"/>
    <w:rsid w:val="00B46B73"/>
    <w:rsid w:val="00B46E27"/>
    <w:rsid w:val="00B47257"/>
    <w:rsid w:val="00B47522"/>
    <w:rsid w:val="00B5008E"/>
    <w:rsid w:val="00B5107A"/>
    <w:rsid w:val="00B51648"/>
    <w:rsid w:val="00B53ED8"/>
    <w:rsid w:val="00B547C3"/>
    <w:rsid w:val="00B55A7D"/>
    <w:rsid w:val="00B563CA"/>
    <w:rsid w:val="00B5763B"/>
    <w:rsid w:val="00B608A7"/>
    <w:rsid w:val="00B617FE"/>
    <w:rsid w:val="00B61FAD"/>
    <w:rsid w:val="00B623B7"/>
    <w:rsid w:val="00B627BB"/>
    <w:rsid w:val="00B62FFC"/>
    <w:rsid w:val="00B63923"/>
    <w:rsid w:val="00B639A4"/>
    <w:rsid w:val="00B639CF"/>
    <w:rsid w:val="00B63FE6"/>
    <w:rsid w:val="00B642A2"/>
    <w:rsid w:val="00B6601A"/>
    <w:rsid w:val="00B67982"/>
    <w:rsid w:val="00B679DF"/>
    <w:rsid w:val="00B70117"/>
    <w:rsid w:val="00B71023"/>
    <w:rsid w:val="00B71176"/>
    <w:rsid w:val="00B71221"/>
    <w:rsid w:val="00B717C5"/>
    <w:rsid w:val="00B71A5D"/>
    <w:rsid w:val="00B73831"/>
    <w:rsid w:val="00B74401"/>
    <w:rsid w:val="00B745BE"/>
    <w:rsid w:val="00B74A14"/>
    <w:rsid w:val="00B74B96"/>
    <w:rsid w:val="00B74EF7"/>
    <w:rsid w:val="00B761F0"/>
    <w:rsid w:val="00B76C6C"/>
    <w:rsid w:val="00B77A9F"/>
    <w:rsid w:val="00B800C9"/>
    <w:rsid w:val="00B81762"/>
    <w:rsid w:val="00B824AD"/>
    <w:rsid w:val="00B82503"/>
    <w:rsid w:val="00B8288C"/>
    <w:rsid w:val="00B828B7"/>
    <w:rsid w:val="00B83454"/>
    <w:rsid w:val="00B835C2"/>
    <w:rsid w:val="00B84388"/>
    <w:rsid w:val="00B86712"/>
    <w:rsid w:val="00B90B53"/>
    <w:rsid w:val="00B90F61"/>
    <w:rsid w:val="00B91DB5"/>
    <w:rsid w:val="00B926DD"/>
    <w:rsid w:val="00B928C5"/>
    <w:rsid w:val="00B934F5"/>
    <w:rsid w:val="00B9375D"/>
    <w:rsid w:val="00B93A13"/>
    <w:rsid w:val="00B93A41"/>
    <w:rsid w:val="00B946E9"/>
    <w:rsid w:val="00B9539C"/>
    <w:rsid w:val="00B97155"/>
    <w:rsid w:val="00B97BF7"/>
    <w:rsid w:val="00BA09AD"/>
    <w:rsid w:val="00BA1E78"/>
    <w:rsid w:val="00BA4685"/>
    <w:rsid w:val="00BA6358"/>
    <w:rsid w:val="00BA745F"/>
    <w:rsid w:val="00BB0EAD"/>
    <w:rsid w:val="00BB0EF5"/>
    <w:rsid w:val="00BB12E4"/>
    <w:rsid w:val="00BB133F"/>
    <w:rsid w:val="00BB15A1"/>
    <w:rsid w:val="00BB1649"/>
    <w:rsid w:val="00BB2655"/>
    <w:rsid w:val="00BB31BD"/>
    <w:rsid w:val="00BB3565"/>
    <w:rsid w:val="00BB3BC1"/>
    <w:rsid w:val="00BB4658"/>
    <w:rsid w:val="00BB4695"/>
    <w:rsid w:val="00BB4D84"/>
    <w:rsid w:val="00BB5CF9"/>
    <w:rsid w:val="00BB600A"/>
    <w:rsid w:val="00BB6585"/>
    <w:rsid w:val="00BB6619"/>
    <w:rsid w:val="00BB6A78"/>
    <w:rsid w:val="00BB7883"/>
    <w:rsid w:val="00BB7F22"/>
    <w:rsid w:val="00BC01F5"/>
    <w:rsid w:val="00BC27A0"/>
    <w:rsid w:val="00BC2AC1"/>
    <w:rsid w:val="00BC2F04"/>
    <w:rsid w:val="00BC3111"/>
    <w:rsid w:val="00BC3498"/>
    <w:rsid w:val="00BC468A"/>
    <w:rsid w:val="00BC56E8"/>
    <w:rsid w:val="00BC5B9D"/>
    <w:rsid w:val="00BC62EA"/>
    <w:rsid w:val="00BC70A3"/>
    <w:rsid w:val="00BC7203"/>
    <w:rsid w:val="00BD1B6B"/>
    <w:rsid w:val="00BD30BB"/>
    <w:rsid w:val="00BD321C"/>
    <w:rsid w:val="00BD322D"/>
    <w:rsid w:val="00BD476B"/>
    <w:rsid w:val="00BD4B9A"/>
    <w:rsid w:val="00BD5170"/>
    <w:rsid w:val="00BD52E3"/>
    <w:rsid w:val="00BD560B"/>
    <w:rsid w:val="00BD66C5"/>
    <w:rsid w:val="00BD6DD2"/>
    <w:rsid w:val="00BD6DE9"/>
    <w:rsid w:val="00BD7352"/>
    <w:rsid w:val="00BD7799"/>
    <w:rsid w:val="00BE0B25"/>
    <w:rsid w:val="00BE0E69"/>
    <w:rsid w:val="00BE21A5"/>
    <w:rsid w:val="00BE3A6F"/>
    <w:rsid w:val="00BE4122"/>
    <w:rsid w:val="00BE4792"/>
    <w:rsid w:val="00BE5D62"/>
    <w:rsid w:val="00BE6A9F"/>
    <w:rsid w:val="00BE6F41"/>
    <w:rsid w:val="00BE7418"/>
    <w:rsid w:val="00BE7FBA"/>
    <w:rsid w:val="00BF036D"/>
    <w:rsid w:val="00BF08F7"/>
    <w:rsid w:val="00BF0A8A"/>
    <w:rsid w:val="00BF1194"/>
    <w:rsid w:val="00BF17C0"/>
    <w:rsid w:val="00BF2C8D"/>
    <w:rsid w:val="00BF33E7"/>
    <w:rsid w:val="00BF3A99"/>
    <w:rsid w:val="00BF3D45"/>
    <w:rsid w:val="00BF4095"/>
    <w:rsid w:val="00BF4B50"/>
    <w:rsid w:val="00BF5215"/>
    <w:rsid w:val="00BF5AC1"/>
    <w:rsid w:val="00BF6319"/>
    <w:rsid w:val="00BF6B2C"/>
    <w:rsid w:val="00BF710E"/>
    <w:rsid w:val="00BF792A"/>
    <w:rsid w:val="00BF7B3C"/>
    <w:rsid w:val="00C00586"/>
    <w:rsid w:val="00C007DB"/>
    <w:rsid w:val="00C00977"/>
    <w:rsid w:val="00C028CB"/>
    <w:rsid w:val="00C02F95"/>
    <w:rsid w:val="00C03C9E"/>
    <w:rsid w:val="00C0471E"/>
    <w:rsid w:val="00C04968"/>
    <w:rsid w:val="00C052BC"/>
    <w:rsid w:val="00C05C22"/>
    <w:rsid w:val="00C068C3"/>
    <w:rsid w:val="00C0708A"/>
    <w:rsid w:val="00C07223"/>
    <w:rsid w:val="00C07285"/>
    <w:rsid w:val="00C07856"/>
    <w:rsid w:val="00C079E7"/>
    <w:rsid w:val="00C118FD"/>
    <w:rsid w:val="00C11BDE"/>
    <w:rsid w:val="00C12619"/>
    <w:rsid w:val="00C1297B"/>
    <w:rsid w:val="00C129E3"/>
    <w:rsid w:val="00C12D9B"/>
    <w:rsid w:val="00C13188"/>
    <w:rsid w:val="00C1365F"/>
    <w:rsid w:val="00C13CD6"/>
    <w:rsid w:val="00C13F52"/>
    <w:rsid w:val="00C15851"/>
    <w:rsid w:val="00C15F5E"/>
    <w:rsid w:val="00C15FAA"/>
    <w:rsid w:val="00C16295"/>
    <w:rsid w:val="00C164C8"/>
    <w:rsid w:val="00C17377"/>
    <w:rsid w:val="00C17611"/>
    <w:rsid w:val="00C17878"/>
    <w:rsid w:val="00C17AC7"/>
    <w:rsid w:val="00C200B4"/>
    <w:rsid w:val="00C20DF6"/>
    <w:rsid w:val="00C22067"/>
    <w:rsid w:val="00C22141"/>
    <w:rsid w:val="00C23255"/>
    <w:rsid w:val="00C23695"/>
    <w:rsid w:val="00C240A2"/>
    <w:rsid w:val="00C24472"/>
    <w:rsid w:val="00C24901"/>
    <w:rsid w:val="00C2513C"/>
    <w:rsid w:val="00C25F46"/>
    <w:rsid w:val="00C263DB"/>
    <w:rsid w:val="00C26432"/>
    <w:rsid w:val="00C27DDA"/>
    <w:rsid w:val="00C30324"/>
    <w:rsid w:val="00C30E91"/>
    <w:rsid w:val="00C31841"/>
    <w:rsid w:val="00C32E16"/>
    <w:rsid w:val="00C333B8"/>
    <w:rsid w:val="00C333E3"/>
    <w:rsid w:val="00C3382E"/>
    <w:rsid w:val="00C34281"/>
    <w:rsid w:val="00C34D3E"/>
    <w:rsid w:val="00C34F5B"/>
    <w:rsid w:val="00C35791"/>
    <w:rsid w:val="00C362C2"/>
    <w:rsid w:val="00C36560"/>
    <w:rsid w:val="00C370D3"/>
    <w:rsid w:val="00C371D2"/>
    <w:rsid w:val="00C400E0"/>
    <w:rsid w:val="00C40144"/>
    <w:rsid w:val="00C40905"/>
    <w:rsid w:val="00C40B1B"/>
    <w:rsid w:val="00C41BCF"/>
    <w:rsid w:val="00C41DC8"/>
    <w:rsid w:val="00C41E06"/>
    <w:rsid w:val="00C427FC"/>
    <w:rsid w:val="00C434A6"/>
    <w:rsid w:val="00C43EFA"/>
    <w:rsid w:val="00C45256"/>
    <w:rsid w:val="00C457E6"/>
    <w:rsid w:val="00C46023"/>
    <w:rsid w:val="00C46719"/>
    <w:rsid w:val="00C46D9C"/>
    <w:rsid w:val="00C47001"/>
    <w:rsid w:val="00C473FC"/>
    <w:rsid w:val="00C47D7C"/>
    <w:rsid w:val="00C47FA2"/>
    <w:rsid w:val="00C50F5F"/>
    <w:rsid w:val="00C52B53"/>
    <w:rsid w:val="00C53E0E"/>
    <w:rsid w:val="00C53ECC"/>
    <w:rsid w:val="00C54BBB"/>
    <w:rsid w:val="00C552A3"/>
    <w:rsid w:val="00C55AB5"/>
    <w:rsid w:val="00C5748B"/>
    <w:rsid w:val="00C57587"/>
    <w:rsid w:val="00C5794F"/>
    <w:rsid w:val="00C57BBF"/>
    <w:rsid w:val="00C60FF9"/>
    <w:rsid w:val="00C617FF"/>
    <w:rsid w:val="00C618DC"/>
    <w:rsid w:val="00C629ED"/>
    <w:rsid w:val="00C638B9"/>
    <w:rsid w:val="00C649BE"/>
    <w:rsid w:val="00C65C4C"/>
    <w:rsid w:val="00C660FA"/>
    <w:rsid w:val="00C668C2"/>
    <w:rsid w:val="00C6730C"/>
    <w:rsid w:val="00C713D0"/>
    <w:rsid w:val="00C71577"/>
    <w:rsid w:val="00C7184E"/>
    <w:rsid w:val="00C71D85"/>
    <w:rsid w:val="00C71DC3"/>
    <w:rsid w:val="00C72BBA"/>
    <w:rsid w:val="00C72E9F"/>
    <w:rsid w:val="00C73A32"/>
    <w:rsid w:val="00C7417E"/>
    <w:rsid w:val="00C745EB"/>
    <w:rsid w:val="00C761E1"/>
    <w:rsid w:val="00C7645A"/>
    <w:rsid w:val="00C77378"/>
    <w:rsid w:val="00C77A0B"/>
    <w:rsid w:val="00C81382"/>
    <w:rsid w:val="00C81C7D"/>
    <w:rsid w:val="00C81F54"/>
    <w:rsid w:val="00C82328"/>
    <w:rsid w:val="00C82577"/>
    <w:rsid w:val="00C82790"/>
    <w:rsid w:val="00C8359C"/>
    <w:rsid w:val="00C842B5"/>
    <w:rsid w:val="00C84529"/>
    <w:rsid w:val="00C84AF6"/>
    <w:rsid w:val="00C852AF"/>
    <w:rsid w:val="00C8685B"/>
    <w:rsid w:val="00C87089"/>
    <w:rsid w:val="00C87815"/>
    <w:rsid w:val="00C87BAB"/>
    <w:rsid w:val="00C90144"/>
    <w:rsid w:val="00C90434"/>
    <w:rsid w:val="00C914E5"/>
    <w:rsid w:val="00C91E4B"/>
    <w:rsid w:val="00C925B5"/>
    <w:rsid w:val="00C929C1"/>
    <w:rsid w:val="00C92D2D"/>
    <w:rsid w:val="00C93022"/>
    <w:rsid w:val="00C9306D"/>
    <w:rsid w:val="00C93110"/>
    <w:rsid w:val="00C93867"/>
    <w:rsid w:val="00C93B4C"/>
    <w:rsid w:val="00C94AFC"/>
    <w:rsid w:val="00C94FE2"/>
    <w:rsid w:val="00C9501D"/>
    <w:rsid w:val="00C95678"/>
    <w:rsid w:val="00C961DF"/>
    <w:rsid w:val="00CA0965"/>
    <w:rsid w:val="00CA153C"/>
    <w:rsid w:val="00CA22CE"/>
    <w:rsid w:val="00CA3F97"/>
    <w:rsid w:val="00CA4127"/>
    <w:rsid w:val="00CA41D4"/>
    <w:rsid w:val="00CA4A9A"/>
    <w:rsid w:val="00CA51BF"/>
    <w:rsid w:val="00CA531D"/>
    <w:rsid w:val="00CA53C4"/>
    <w:rsid w:val="00CA6F17"/>
    <w:rsid w:val="00CA6F1C"/>
    <w:rsid w:val="00CA7506"/>
    <w:rsid w:val="00CA788C"/>
    <w:rsid w:val="00CA7BD5"/>
    <w:rsid w:val="00CB0E8E"/>
    <w:rsid w:val="00CB0FB5"/>
    <w:rsid w:val="00CB19B5"/>
    <w:rsid w:val="00CB1DE3"/>
    <w:rsid w:val="00CB1DE9"/>
    <w:rsid w:val="00CB21DC"/>
    <w:rsid w:val="00CB34A9"/>
    <w:rsid w:val="00CB39ED"/>
    <w:rsid w:val="00CB42DA"/>
    <w:rsid w:val="00CB4B12"/>
    <w:rsid w:val="00CB4D74"/>
    <w:rsid w:val="00CB5028"/>
    <w:rsid w:val="00CB5CFE"/>
    <w:rsid w:val="00CB65EF"/>
    <w:rsid w:val="00CB7B14"/>
    <w:rsid w:val="00CB7F98"/>
    <w:rsid w:val="00CC04AA"/>
    <w:rsid w:val="00CC18A2"/>
    <w:rsid w:val="00CC2902"/>
    <w:rsid w:val="00CC2C85"/>
    <w:rsid w:val="00CC329F"/>
    <w:rsid w:val="00CC380D"/>
    <w:rsid w:val="00CC520C"/>
    <w:rsid w:val="00CC53FB"/>
    <w:rsid w:val="00CD0014"/>
    <w:rsid w:val="00CD0031"/>
    <w:rsid w:val="00CD0287"/>
    <w:rsid w:val="00CD072D"/>
    <w:rsid w:val="00CD0992"/>
    <w:rsid w:val="00CD1062"/>
    <w:rsid w:val="00CD16B2"/>
    <w:rsid w:val="00CD1CDF"/>
    <w:rsid w:val="00CD3486"/>
    <w:rsid w:val="00CD4173"/>
    <w:rsid w:val="00CD592C"/>
    <w:rsid w:val="00CD5B84"/>
    <w:rsid w:val="00CD5DC1"/>
    <w:rsid w:val="00CD77CF"/>
    <w:rsid w:val="00CD7B26"/>
    <w:rsid w:val="00CE0668"/>
    <w:rsid w:val="00CE066D"/>
    <w:rsid w:val="00CE0733"/>
    <w:rsid w:val="00CE0BD7"/>
    <w:rsid w:val="00CE2617"/>
    <w:rsid w:val="00CE2B3B"/>
    <w:rsid w:val="00CE393B"/>
    <w:rsid w:val="00CE47B9"/>
    <w:rsid w:val="00CE52E5"/>
    <w:rsid w:val="00CE551B"/>
    <w:rsid w:val="00CE5916"/>
    <w:rsid w:val="00CE7538"/>
    <w:rsid w:val="00CF220B"/>
    <w:rsid w:val="00CF2FB6"/>
    <w:rsid w:val="00CF30B1"/>
    <w:rsid w:val="00CF3B86"/>
    <w:rsid w:val="00CF51A1"/>
    <w:rsid w:val="00CF51A9"/>
    <w:rsid w:val="00CF6366"/>
    <w:rsid w:val="00CF6AAD"/>
    <w:rsid w:val="00CF6E51"/>
    <w:rsid w:val="00CF779A"/>
    <w:rsid w:val="00CF7B05"/>
    <w:rsid w:val="00D029F5"/>
    <w:rsid w:val="00D02A64"/>
    <w:rsid w:val="00D0319E"/>
    <w:rsid w:val="00D04191"/>
    <w:rsid w:val="00D04C07"/>
    <w:rsid w:val="00D05AA4"/>
    <w:rsid w:val="00D073DC"/>
    <w:rsid w:val="00D07ABA"/>
    <w:rsid w:val="00D11892"/>
    <w:rsid w:val="00D1205E"/>
    <w:rsid w:val="00D128ED"/>
    <w:rsid w:val="00D133BF"/>
    <w:rsid w:val="00D13BAE"/>
    <w:rsid w:val="00D13BDF"/>
    <w:rsid w:val="00D13D85"/>
    <w:rsid w:val="00D1523B"/>
    <w:rsid w:val="00D170C6"/>
    <w:rsid w:val="00D20337"/>
    <w:rsid w:val="00D22269"/>
    <w:rsid w:val="00D23325"/>
    <w:rsid w:val="00D235F4"/>
    <w:rsid w:val="00D237D8"/>
    <w:rsid w:val="00D24370"/>
    <w:rsid w:val="00D26159"/>
    <w:rsid w:val="00D26532"/>
    <w:rsid w:val="00D276D7"/>
    <w:rsid w:val="00D27E2C"/>
    <w:rsid w:val="00D27E2D"/>
    <w:rsid w:val="00D303A6"/>
    <w:rsid w:val="00D30AEE"/>
    <w:rsid w:val="00D31E77"/>
    <w:rsid w:val="00D3202C"/>
    <w:rsid w:val="00D325CB"/>
    <w:rsid w:val="00D329FB"/>
    <w:rsid w:val="00D33C01"/>
    <w:rsid w:val="00D3416D"/>
    <w:rsid w:val="00D3433C"/>
    <w:rsid w:val="00D35327"/>
    <w:rsid w:val="00D35758"/>
    <w:rsid w:val="00D360BC"/>
    <w:rsid w:val="00D37010"/>
    <w:rsid w:val="00D37128"/>
    <w:rsid w:val="00D37DD2"/>
    <w:rsid w:val="00D4049E"/>
    <w:rsid w:val="00D40ECC"/>
    <w:rsid w:val="00D41013"/>
    <w:rsid w:val="00D41323"/>
    <w:rsid w:val="00D4146A"/>
    <w:rsid w:val="00D43575"/>
    <w:rsid w:val="00D44B13"/>
    <w:rsid w:val="00D45CE7"/>
    <w:rsid w:val="00D46528"/>
    <w:rsid w:val="00D465B2"/>
    <w:rsid w:val="00D4714D"/>
    <w:rsid w:val="00D47D89"/>
    <w:rsid w:val="00D47FDB"/>
    <w:rsid w:val="00D50CF4"/>
    <w:rsid w:val="00D510A0"/>
    <w:rsid w:val="00D515E4"/>
    <w:rsid w:val="00D51AA0"/>
    <w:rsid w:val="00D52232"/>
    <w:rsid w:val="00D5424C"/>
    <w:rsid w:val="00D55EFD"/>
    <w:rsid w:val="00D55FDE"/>
    <w:rsid w:val="00D564C7"/>
    <w:rsid w:val="00D57B23"/>
    <w:rsid w:val="00D6077D"/>
    <w:rsid w:val="00D6104B"/>
    <w:rsid w:val="00D617AD"/>
    <w:rsid w:val="00D640B9"/>
    <w:rsid w:val="00D647E9"/>
    <w:rsid w:val="00D64D6F"/>
    <w:rsid w:val="00D64EB9"/>
    <w:rsid w:val="00D65244"/>
    <w:rsid w:val="00D65340"/>
    <w:rsid w:val="00D65F1C"/>
    <w:rsid w:val="00D661B1"/>
    <w:rsid w:val="00D6697F"/>
    <w:rsid w:val="00D70177"/>
    <w:rsid w:val="00D70A80"/>
    <w:rsid w:val="00D70F54"/>
    <w:rsid w:val="00D7158A"/>
    <w:rsid w:val="00D71C81"/>
    <w:rsid w:val="00D71DCF"/>
    <w:rsid w:val="00D72739"/>
    <w:rsid w:val="00D75061"/>
    <w:rsid w:val="00D75810"/>
    <w:rsid w:val="00D768E6"/>
    <w:rsid w:val="00D7764E"/>
    <w:rsid w:val="00D8043A"/>
    <w:rsid w:val="00D8043D"/>
    <w:rsid w:val="00D80C03"/>
    <w:rsid w:val="00D8188A"/>
    <w:rsid w:val="00D8315B"/>
    <w:rsid w:val="00D83F5D"/>
    <w:rsid w:val="00D85692"/>
    <w:rsid w:val="00D85A67"/>
    <w:rsid w:val="00D8741A"/>
    <w:rsid w:val="00D877F6"/>
    <w:rsid w:val="00D87A94"/>
    <w:rsid w:val="00D910DA"/>
    <w:rsid w:val="00D91EE1"/>
    <w:rsid w:val="00D921E5"/>
    <w:rsid w:val="00D92AB2"/>
    <w:rsid w:val="00D92B00"/>
    <w:rsid w:val="00D93DD5"/>
    <w:rsid w:val="00D94FF1"/>
    <w:rsid w:val="00D966B7"/>
    <w:rsid w:val="00D96E2D"/>
    <w:rsid w:val="00DA0BC5"/>
    <w:rsid w:val="00DA1566"/>
    <w:rsid w:val="00DA185C"/>
    <w:rsid w:val="00DA39C4"/>
    <w:rsid w:val="00DA3CBF"/>
    <w:rsid w:val="00DA488D"/>
    <w:rsid w:val="00DA53E2"/>
    <w:rsid w:val="00DA6F32"/>
    <w:rsid w:val="00DA72B1"/>
    <w:rsid w:val="00DA7930"/>
    <w:rsid w:val="00DB04FD"/>
    <w:rsid w:val="00DB113F"/>
    <w:rsid w:val="00DB145D"/>
    <w:rsid w:val="00DB1710"/>
    <w:rsid w:val="00DB2140"/>
    <w:rsid w:val="00DB590F"/>
    <w:rsid w:val="00DB6640"/>
    <w:rsid w:val="00DB6C48"/>
    <w:rsid w:val="00DB6F21"/>
    <w:rsid w:val="00DB6FA1"/>
    <w:rsid w:val="00DB7274"/>
    <w:rsid w:val="00DB774F"/>
    <w:rsid w:val="00DC0505"/>
    <w:rsid w:val="00DC05CA"/>
    <w:rsid w:val="00DC2933"/>
    <w:rsid w:val="00DC2A31"/>
    <w:rsid w:val="00DC2A79"/>
    <w:rsid w:val="00DC2D4E"/>
    <w:rsid w:val="00DC403A"/>
    <w:rsid w:val="00DC4837"/>
    <w:rsid w:val="00DC49B3"/>
    <w:rsid w:val="00DC5B44"/>
    <w:rsid w:val="00DC625D"/>
    <w:rsid w:val="00DC654D"/>
    <w:rsid w:val="00DC693B"/>
    <w:rsid w:val="00DC6A3F"/>
    <w:rsid w:val="00DC7BFF"/>
    <w:rsid w:val="00DD05F4"/>
    <w:rsid w:val="00DD31D2"/>
    <w:rsid w:val="00DD6FB7"/>
    <w:rsid w:val="00DD726B"/>
    <w:rsid w:val="00DD76CC"/>
    <w:rsid w:val="00DE0B40"/>
    <w:rsid w:val="00DE15DD"/>
    <w:rsid w:val="00DE2894"/>
    <w:rsid w:val="00DE28B7"/>
    <w:rsid w:val="00DE2C02"/>
    <w:rsid w:val="00DE33C0"/>
    <w:rsid w:val="00DE3954"/>
    <w:rsid w:val="00DE5036"/>
    <w:rsid w:val="00DE603D"/>
    <w:rsid w:val="00DE6FBE"/>
    <w:rsid w:val="00DE7127"/>
    <w:rsid w:val="00DF11BA"/>
    <w:rsid w:val="00DF28C7"/>
    <w:rsid w:val="00DF4743"/>
    <w:rsid w:val="00DF58FE"/>
    <w:rsid w:val="00DF5CF3"/>
    <w:rsid w:val="00DF6972"/>
    <w:rsid w:val="00DF711D"/>
    <w:rsid w:val="00E00220"/>
    <w:rsid w:val="00E01704"/>
    <w:rsid w:val="00E027A9"/>
    <w:rsid w:val="00E042A0"/>
    <w:rsid w:val="00E065CA"/>
    <w:rsid w:val="00E07915"/>
    <w:rsid w:val="00E07A64"/>
    <w:rsid w:val="00E07E3D"/>
    <w:rsid w:val="00E102FE"/>
    <w:rsid w:val="00E105F1"/>
    <w:rsid w:val="00E10DE5"/>
    <w:rsid w:val="00E1221D"/>
    <w:rsid w:val="00E13C25"/>
    <w:rsid w:val="00E140DF"/>
    <w:rsid w:val="00E143C8"/>
    <w:rsid w:val="00E14E61"/>
    <w:rsid w:val="00E15DC0"/>
    <w:rsid w:val="00E15E21"/>
    <w:rsid w:val="00E16548"/>
    <w:rsid w:val="00E16C4A"/>
    <w:rsid w:val="00E17663"/>
    <w:rsid w:val="00E17A74"/>
    <w:rsid w:val="00E17B84"/>
    <w:rsid w:val="00E17C79"/>
    <w:rsid w:val="00E21063"/>
    <w:rsid w:val="00E23EB4"/>
    <w:rsid w:val="00E24826"/>
    <w:rsid w:val="00E2610C"/>
    <w:rsid w:val="00E277DB"/>
    <w:rsid w:val="00E27B18"/>
    <w:rsid w:val="00E30B5F"/>
    <w:rsid w:val="00E30EA5"/>
    <w:rsid w:val="00E338A1"/>
    <w:rsid w:val="00E340B0"/>
    <w:rsid w:val="00E345D4"/>
    <w:rsid w:val="00E36403"/>
    <w:rsid w:val="00E368C1"/>
    <w:rsid w:val="00E374D5"/>
    <w:rsid w:val="00E3769C"/>
    <w:rsid w:val="00E377B0"/>
    <w:rsid w:val="00E417C9"/>
    <w:rsid w:val="00E41E2D"/>
    <w:rsid w:val="00E42CCD"/>
    <w:rsid w:val="00E42FA3"/>
    <w:rsid w:val="00E43ACF"/>
    <w:rsid w:val="00E43E58"/>
    <w:rsid w:val="00E43EB3"/>
    <w:rsid w:val="00E4445D"/>
    <w:rsid w:val="00E44C6D"/>
    <w:rsid w:val="00E44F69"/>
    <w:rsid w:val="00E45F52"/>
    <w:rsid w:val="00E46D72"/>
    <w:rsid w:val="00E46F57"/>
    <w:rsid w:val="00E47ABA"/>
    <w:rsid w:val="00E51C7F"/>
    <w:rsid w:val="00E51E6F"/>
    <w:rsid w:val="00E52166"/>
    <w:rsid w:val="00E5273C"/>
    <w:rsid w:val="00E52D52"/>
    <w:rsid w:val="00E53347"/>
    <w:rsid w:val="00E539EA"/>
    <w:rsid w:val="00E5406C"/>
    <w:rsid w:val="00E5498F"/>
    <w:rsid w:val="00E54B42"/>
    <w:rsid w:val="00E54F28"/>
    <w:rsid w:val="00E56467"/>
    <w:rsid w:val="00E567BC"/>
    <w:rsid w:val="00E56C2E"/>
    <w:rsid w:val="00E6053F"/>
    <w:rsid w:val="00E615BC"/>
    <w:rsid w:val="00E61C8C"/>
    <w:rsid w:val="00E62132"/>
    <w:rsid w:val="00E624AF"/>
    <w:rsid w:val="00E636A8"/>
    <w:rsid w:val="00E63AD0"/>
    <w:rsid w:val="00E642D3"/>
    <w:rsid w:val="00E6490F"/>
    <w:rsid w:val="00E65B28"/>
    <w:rsid w:val="00E667E0"/>
    <w:rsid w:val="00E678FF"/>
    <w:rsid w:val="00E67C05"/>
    <w:rsid w:val="00E70409"/>
    <w:rsid w:val="00E706F2"/>
    <w:rsid w:val="00E7361C"/>
    <w:rsid w:val="00E738E7"/>
    <w:rsid w:val="00E74E94"/>
    <w:rsid w:val="00E756BB"/>
    <w:rsid w:val="00E7594C"/>
    <w:rsid w:val="00E75B02"/>
    <w:rsid w:val="00E75E6B"/>
    <w:rsid w:val="00E75E9D"/>
    <w:rsid w:val="00E76608"/>
    <w:rsid w:val="00E76DCE"/>
    <w:rsid w:val="00E77DA5"/>
    <w:rsid w:val="00E8002B"/>
    <w:rsid w:val="00E80036"/>
    <w:rsid w:val="00E803BB"/>
    <w:rsid w:val="00E808E4"/>
    <w:rsid w:val="00E80E4B"/>
    <w:rsid w:val="00E81A37"/>
    <w:rsid w:val="00E81FF5"/>
    <w:rsid w:val="00E8213A"/>
    <w:rsid w:val="00E82742"/>
    <w:rsid w:val="00E82BEB"/>
    <w:rsid w:val="00E8350F"/>
    <w:rsid w:val="00E83904"/>
    <w:rsid w:val="00E84CD4"/>
    <w:rsid w:val="00E85BC5"/>
    <w:rsid w:val="00E861A5"/>
    <w:rsid w:val="00E86237"/>
    <w:rsid w:val="00E86453"/>
    <w:rsid w:val="00E87B9B"/>
    <w:rsid w:val="00E9097C"/>
    <w:rsid w:val="00E918AD"/>
    <w:rsid w:val="00E91A7E"/>
    <w:rsid w:val="00E9255D"/>
    <w:rsid w:val="00E93954"/>
    <w:rsid w:val="00E93DBB"/>
    <w:rsid w:val="00E94E55"/>
    <w:rsid w:val="00E95670"/>
    <w:rsid w:val="00E963C5"/>
    <w:rsid w:val="00E96F03"/>
    <w:rsid w:val="00EA1894"/>
    <w:rsid w:val="00EA204A"/>
    <w:rsid w:val="00EA2E03"/>
    <w:rsid w:val="00EA32A8"/>
    <w:rsid w:val="00EA4A9D"/>
    <w:rsid w:val="00EA5242"/>
    <w:rsid w:val="00EA5CC0"/>
    <w:rsid w:val="00EB0265"/>
    <w:rsid w:val="00EB060F"/>
    <w:rsid w:val="00EB2E60"/>
    <w:rsid w:val="00EB4824"/>
    <w:rsid w:val="00EB6E9A"/>
    <w:rsid w:val="00EC3A7D"/>
    <w:rsid w:val="00EC3B0A"/>
    <w:rsid w:val="00EC3EC5"/>
    <w:rsid w:val="00EC516D"/>
    <w:rsid w:val="00EC535E"/>
    <w:rsid w:val="00EC5434"/>
    <w:rsid w:val="00EC611E"/>
    <w:rsid w:val="00EC61FF"/>
    <w:rsid w:val="00EC6C1B"/>
    <w:rsid w:val="00EC6DCA"/>
    <w:rsid w:val="00EC6DE4"/>
    <w:rsid w:val="00EC6F17"/>
    <w:rsid w:val="00ED0998"/>
    <w:rsid w:val="00ED1963"/>
    <w:rsid w:val="00ED23D0"/>
    <w:rsid w:val="00ED2A97"/>
    <w:rsid w:val="00ED2C85"/>
    <w:rsid w:val="00ED318E"/>
    <w:rsid w:val="00ED3AF6"/>
    <w:rsid w:val="00ED3C17"/>
    <w:rsid w:val="00ED486F"/>
    <w:rsid w:val="00ED6479"/>
    <w:rsid w:val="00ED6EF9"/>
    <w:rsid w:val="00ED76EE"/>
    <w:rsid w:val="00ED7BA1"/>
    <w:rsid w:val="00EE2342"/>
    <w:rsid w:val="00EE4310"/>
    <w:rsid w:val="00EE48E8"/>
    <w:rsid w:val="00EE5E16"/>
    <w:rsid w:val="00EE5FD7"/>
    <w:rsid w:val="00EE6037"/>
    <w:rsid w:val="00EE6207"/>
    <w:rsid w:val="00EE7188"/>
    <w:rsid w:val="00EF1078"/>
    <w:rsid w:val="00EF11D5"/>
    <w:rsid w:val="00EF1991"/>
    <w:rsid w:val="00EF2E79"/>
    <w:rsid w:val="00EF3097"/>
    <w:rsid w:val="00EF30A7"/>
    <w:rsid w:val="00EF352E"/>
    <w:rsid w:val="00EF3C07"/>
    <w:rsid w:val="00EF411E"/>
    <w:rsid w:val="00EF4345"/>
    <w:rsid w:val="00EF47A9"/>
    <w:rsid w:val="00EF47C0"/>
    <w:rsid w:val="00EF51E2"/>
    <w:rsid w:val="00EF5E25"/>
    <w:rsid w:val="00EF6301"/>
    <w:rsid w:val="00EF6399"/>
    <w:rsid w:val="00EF6EB0"/>
    <w:rsid w:val="00EF7305"/>
    <w:rsid w:val="00F01083"/>
    <w:rsid w:val="00F01B91"/>
    <w:rsid w:val="00F03025"/>
    <w:rsid w:val="00F03771"/>
    <w:rsid w:val="00F03E1B"/>
    <w:rsid w:val="00F04E49"/>
    <w:rsid w:val="00F050B3"/>
    <w:rsid w:val="00F052F5"/>
    <w:rsid w:val="00F056FF"/>
    <w:rsid w:val="00F072F9"/>
    <w:rsid w:val="00F073F4"/>
    <w:rsid w:val="00F108F8"/>
    <w:rsid w:val="00F11A65"/>
    <w:rsid w:val="00F11D30"/>
    <w:rsid w:val="00F11FF1"/>
    <w:rsid w:val="00F1317D"/>
    <w:rsid w:val="00F131F7"/>
    <w:rsid w:val="00F13C3E"/>
    <w:rsid w:val="00F14326"/>
    <w:rsid w:val="00F1498D"/>
    <w:rsid w:val="00F149EF"/>
    <w:rsid w:val="00F14D8A"/>
    <w:rsid w:val="00F15B3D"/>
    <w:rsid w:val="00F16837"/>
    <w:rsid w:val="00F16ADC"/>
    <w:rsid w:val="00F20391"/>
    <w:rsid w:val="00F20558"/>
    <w:rsid w:val="00F232FD"/>
    <w:rsid w:val="00F23F3F"/>
    <w:rsid w:val="00F25146"/>
    <w:rsid w:val="00F268DF"/>
    <w:rsid w:val="00F272FF"/>
    <w:rsid w:val="00F278F0"/>
    <w:rsid w:val="00F27C3F"/>
    <w:rsid w:val="00F314D0"/>
    <w:rsid w:val="00F321EC"/>
    <w:rsid w:val="00F333CC"/>
    <w:rsid w:val="00F338A4"/>
    <w:rsid w:val="00F338C9"/>
    <w:rsid w:val="00F343F8"/>
    <w:rsid w:val="00F3468E"/>
    <w:rsid w:val="00F3556E"/>
    <w:rsid w:val="00F35B80"/>
    <w:rsid w:val="00F375D0"/>
    <w:rsid w:val="00F4007B"/>
    <w:rsid w:val="00F40230"/>
    <w:rsid w:val="00F402DE"/>
    <w:rsid w:val="00F41A68"/>
    <w:rsid w:val="00F41AE0"/>
    <w:rsid w:val="00F41B2B"/>
    <w:rsid w:val="00F44FB0"/>
    <w:rsid w:val="00F45861"/>
    <w:rsid w:val="00F469E8"/>
    <w:rsid w:val="00F46A0F"/>
    <w:rsid w:val="00F474EA"/>
    <w:rsid w:val="00F4774E"/>
    <w:rsid w:val="00F50601"/>
    <w:rsid w:val="00F50840"/>
    <w:rsid w:val="00F50F45"/>
    <w:rsid w:val="00F51298"/>
    <w:rsid w:val="00F518AB"/>
    <w:rsid w:val="00F51993"/>
    <w:rsid w:val="00F519F0"/>
    <w:rsid w:val="00F51F62"/>
    <w:rsid w:val="00F53B73"/>
    <w:rsid w:val="00F53B7E"/>
    <w:rsid w:val="00F53B9F"/>
    <w:rsid w:val="00F53D99"/>
    <w:rsid w:val="00F54DC5"/>
    <w:rsid w:val="00F556FC"/>
    <w:rsid w:val="00F56493"/>
    <w:rsid w:val="00F56DDE"/>
    <w:rsid w:val="00F5700C"/>
    <w:rsid w:val="00F57B62"/>
    <w:rsid w:val="00F57EB1"/>
    <w:rsid w:val="00F6024F"/>
    <w:rsid w:val="00F61430"/>
    <w:rsid w:val="00F61AE8"/>
    <w:rsid w:val="00F61D1B"/>
    <w:rsid w:val="00F625AC"/>
    <w:rsid w:val="00F65BE4"/>
    <w:rsid w:val="00F65D49"/>
    <w:rsid w:val="00F6636C"/>
    <w:rsid w:val="00F66835"/>
    <w:rsid w:val="00F6683A"/>
    <w:rsid w:val="00F66E71"/>
    <w:rsid w:val="00F67521"/>
    <w:rsid w:val="00F676EB"/>
    <w:rsid w:val="00F707AD"/>
    <w:rsid w:val="00F72AA1"/>
    <w:rsid w:val="00F7313B"/>
    <w:rsid w:val="00F7329D"/>
    <w:rsid w:val="00F73987"/>
    <w:rsid w:val="00F744AE"/>
    <w:rsid w:val="00F74AD3"/>
    <w:rsid w:val="00F751ED"/>
    <w:rsid w:val="00F755BD"/>
    <w:rsid w:val="00F7789C"/>
    <w:rsid w:val="00F80756"/>
    <w:rsid w:val="00F815BF"/>
    <w:rsid w:val="00F81A54"/>
    <w:rsid w:val="00F82149"/>
    <w:rsid w:val="00F84136"/>
    <w:rsid w:val="00F84EAD"/>
    <w:rsid w:val="00F854A9"/>
    <w:rsid w:val="00F85795"/>
    <w:rsid w:val="00F85EA5"/>
    <w:rsid w:val="00F86214"/>
    <w:rsid w:val="00F8645F"/>
    <w:rsid w:val="00F86CC3"/>
    <w:rsid w:val="00F87B8A"/>
    <w:rsid w:val="00F90241"/>
    <w:rsid w:val="00F9101B"/>
    <w:rsid w:val="00F91A71"/>
    <w:rsid w:val="00F92717"/>
    <w:rsid w:val="00F92BF3"/>
    <w:rsid w:val="00F94039"/>
    <w:rsid w:val="00F94B34"/>
    <w:rsid w:val="00F95989"/>
    <w:rsid w:val="00F95CE0"/>
    <w:rsid w:val="00F97111"/>
    <w:rsid w:val="00F971C8"/>
    <w:rsid w:val="00F974E4"/>
    <w:rsid w:val="00F976A1"/>
    <w:rsid w:val="00F97968"/>
    <w:rsid w:val="00FA0472"/>
    <w:rsid w:val="00FA0DCA"/>
    <w:rsid w:val="00FA0F12"/>
    <w:rsid w:val="00FA1315"/>
    <w:rsid w:val="00FA3C72"/>
    <w:rsid w:val="00FA3C80"/>
    <w:rsid w:val="00FA4802"/>
    <w:rsid w:val="00FA5315"/>
    <w:rsid w:val="00FA5811"/>
    <w:rsid w:val="00FA5C1D"/>
    <w:rsid w:val="00FA62F7"/>
    <w:rsid w:val="00FA6DAC"/>
    <w:rsid w:val="00FA70A1"/>
    <w:rsid w:val="00FA725D"/>
    <w:rsid w:val="00FA72BC"/>
    <w:rsid w:val="00FB07B1"/>
    <w:rsid w:val="00FB13B1"/>
    <w:rsid w:val="00FB1A28"/>
    <w:rsid w:val="00FB1E06"/>
    <w:rsid w:val="00FB1E7B"/>
    <w:rsid w:val="00FB25E7"/>
    <w:rsid w:val="00FB2E05"/>
    <w:rsid w:val="00FB36FB"/>
    <w:rsid w:val="00FB397D"/>
    <w:rsid w:val="00FB3D8F"/>
    <w:rsid w:val="00FB41D2"/>
    <w:rsid w:val="00FB4358"/>
    <w:rsid w:val="00FB4409"/>
    <w:rsid w:val="00FB499C"/>
    <w:rsid w:val="00FB4D81"/>
    <w:rsid w:val="00FB673A"/>
    <w:rsid w:val="00FB68D8"/>
    <w:rsid w:val="00FB6DDA"/>
    <w:rsid w:val="00FB6F49"/>
    <w:rsid w:val="00FB7C39"/>
    <w:rsid w:val="00FC08AE"/>
    <w:rsid w:val="00FC228E"/>
    <w:rsid w:val="00FC22A7"/>
    <w:rsid w:val="00FC3103"/>
    <w:rsid w:val="00FC34E5"/>
    <w:rsid w:val="00FC4F33"/>
    <w:rsid w:val="00FC69B8"/>
    <w:rsid w:val="00FC7852"/>
    <w:rsid w:val="00FC7A20"/>
    <w:rsid w:val="00FD0153"/>
    <w:rsid w:val="00FD0617"/>
    <w:rsid w:val="00FD1677"/>
    <w:rsid w:val="00FD28F6"/>
    <w:rsid w:val="00FD2998"/>
    <w:rsid w:val="00FD3045"/>
    <w:rsid w:val="00FD3521"/>
    <w:rsid w:val="00FD418E"/>
    <w:rsid w:val="00FD47CB"/>
    <w:rsid w:val="00FD4F48"/>
    <w:rsid w:val="00FD645D"/>
    <w:rsid w:val="00FD6A27"/>
    <w:rsid w:val="00FD7836"/>
    <w:rsid w:val="00FE0A3C"/>
    <w:rsid w:val="00FE1280"/>
    <w:rsid w:val="00FE2134"/>
    <w:rsid w:val="00FE249E"/>
    <w:rsid w:val="00FE3C36"/>
    <w:rsid w:val="00FE3CAD"/>
    <w:rsid w:val="00FE4142"/>
    <w:rsid w:val="00FE47EA"/>
    <w:rsid w:val="00FE4A37"/>
    <w:rsid w:val="00FE50CB"/>
    <w:rsid w:val="00FE5ACE"/>
    <w:rsid w:val="00FE65D5"/>
    <w:rsid w:val="00FE68C1"/>
    <w:rsid w:val="00FE6A4B"/>
    <w:rsid w:val="00FE6FE4"/>
    <w:rsid w:val="00FE70EE"/>
    <w:rsid w:val="00FE73D9"/>
    <w:rsid w:val="00FF08B1"/>
    <w:rsid w:val="00FF130D"/>
    <w:rsid w:val="00FF2E5C"/>
    <w:rsid w:val="00FF4472"/>
    <w:rsid w:val="00FF5092"/>
    <w:rsid w:val="00FF5110"/>
    <w:rsid w:val="00FF5319"/>
    <w:rsid w:val="00FF561D"/>
    <w:rsid w:val="00FF687B"/>
    <w:rsid w:val="5D1E731A"/>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71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color w:val="000000"/>
        <w:sz w:val="22"/>
        <w:szCs w:val="22"/>
        <w:lang w:val="en-AU" w:eastAsia="en-US" w:bidi="ar-SA"/>
      </w:rPr>
    </w:rPrDefault>
    <w:pPrDefault>
      <w:pPr>
        <w:pBdr>
          <w:top w:val="nil"/>
          <w:left w:val="nil"/>
          <w:bottom w:val="nil"/>
          <w:right w:val="nil"/>
          <w:between w:val="nil"/>
        </w:pBdr>
        <w:spacing w:after="200" w:line="276" w:lineRule="auto"/>
      </w:pPr>
    </w:pPrDefault>
  </w:docDefaults>
  <w:latentStyles w:defLockedState="0" w:defUIPriority="99" w:defSemiHidden="0" w:defUnhideWhenUsed="0" w:defQFormat="0" w:count="371">
    <w:lsdException w:name="Normal" w:uiPriority="0" w:qFormat="1"/>
    <w:lsdException w:name="heading 1" w:uiPriority="4"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Normal123"/>
    <w:qFormat/>
    <w:rsid w:val="008B2117"/>
    <w:rPr>
      <w:rFonts w:ascii="Arial" w:eastAsiaTheme="minorHAnsi" w:hAnsi="Arial" w:cstheme="minorBidi"/>
    </w:rPr>
  </w:style>
  <w:style w:type="paragraph" w:styleId="Heading1">
    <w:name w:val="heading 1"/>
    <w:aliases w:val="Blue,Heading 1 Cab"/>
    <w:basedOn w:val="Normal"/>
    <w:next w:val="Normal"/>
    <w:link w:val="Heading1Char"/>
    <w:uiPriority w:val="4"/>
    <w:qFormat/>
    <w:rsid w:val="00566484"/>
    <w:pPr>
      <w:keepNext/>
      <w:spacing w:before="240" w:after="60"/>
      <w:outlineLvl w:val="0"/>
    </w:pPr>
    <w:rPr>
      <w:rFonts w:cs="Arial"/>
      <w:b/>
      <w:bCs/>
      <w:kern w:val="28"/>
      <w:sz w:val="28"/>
      <w:szCs w:val="32"/>
    </w:rPr>
  </w:style>
  <w:style w:type="paragraph" w:styleId="Heading2">
    <w:name w:val="heading 2"/>
    <w:aliases w:val="Heading2a"/>
    <w:basedOn w:val="Normal"/>
    <w:next w:val="Normal"/>
    <w:link w:val="Heading2Char"/>
    <w:qFormat/>
    <w:rsid w:val="00566484"/>
    <w:pPr>
      <w:keepNext/>
      <w:spacing w:before="240" w:after="60"/>
      <w:outlineLvl w:val="1"/>
    </w:pPr>
    <w:rPr>
      <w:rFonts w:cs="Arial"/>
      <w:b/>
      <w:bCs/>
      <w:i/>
      <w:iCs/>
      <w:szCs w:val="28"/>
    </w:rPr>
  </w:style>
  <w:style w:type="paragraph" w:styleId="Heading3">
    <w:name w:val="heading 3"/>
    <w:basedOn w:val="Normal"/>
    <w:next w:val="Normal"/>
    <w:link w:val="Heading3Char"/>
    <w:qFormat/>
    <w:rsid w:val="00566484"/>
    <w:pPr>
      <w:keepNext/>
      <w:spacing w:before="240" w:after="60"/>
      <w:outlineLvl w:val="2"/>
    </w:pPr>
    <w:rPr>
      <w:rFonts w:cs="Arial"/>
      <w:bCs/>
      <w:szCs w:val="26"/>
    </w:rPr>
  </w:style>
  <w:style w:type="paragraph" w:styleId="Heading4">
    <w:name w:val="heading 4"/>
    <w:basedOn w:val="Normal"/>
    <w:next w:val="Normal"/>
    <w:link w:val="Heading4Char"/>
    <w:qFormat/>
    <w:rsid w:val="00566484"/>
    <w:pPr>
      <w:keepNext/>
      <w:spacing w:before="240" w:after="60"/>
      <w:outlineLvl w:val="3"/>
    </w:pPr>
    <w:rPr>
      <w:bCs/>
      <w:sz w:val="28"/>
      <w:szCs w:val="28"/>
    </w:rPr>
  </w:style>
  <w:style w:type="paragraph" w:styleId="Heading5">
    <w:name w:val="heading 5"/>
    <w:basedOn w:val="Normal"/>
    <w:next w:val="Normal"/>
    <w:link w:val="Heading5Char"/>
    <w:qFormat/>
    <w:rsid w:val="00566484"/>
    <w:pPr>
      <w:keepNext/>
      <w:spacing w:before="240" w:after="60"/>
      <w:outlineLvl w:val="4"/>
    </w:pPr>
    <w:rPr>
      <w:b/>
      <w:bCs/>
      <w:iCs/>
      <w:szCs w:val="26"/>
    </w:rPr>
  </w:style>
  <w:style w:type="paragraph" w:styleId="Heading6">
    <w:name w:val="heading 6"/>
    <w:basedOn w:val="Normal"/>
    <w:next w:val="Normal"/>
    <w:link w:val="Heading6Char"/>
    <w:qFormat/>
    <w:rsid w:val="00566484"/>
    <w:pPr>
      <w:keepNext/>
      <w:spacing w:before="240" w:after="60"/>
      <w:outlineLvl w:val="5"/>
    </w:pPr>
    <w:rPr>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next w:val="Normal"/>
    <w:link w:val="TitleChar"/>
    <w:qFormat/>
    <w:rsid w:val="0016555F"/>
    <w:pPr>
      <w:spacing w:after="0"/>
    </w:pPr>
    <w:rPr>
      <w:rFonts w:ascii="Arial" w:eastAsia="Armata" w:hAnsi="Arial" w:cs="Arial"/>
      <w:i/>
      <w:iCs/>
      <w:color w:val="auto"/>
      <w:kern w:val="24"/>
      <w:sz w:val="12"/>
      <w:szCs w:val="96"/>
      <w:lang w:val="en-US"/>
    </w:rPr>
  </w:style>
  <w:style w:type="character" w:styleId="Emphasis">
    <w:name w:val="Emphasis"/>
    <w:basedOn w:val="DefaultParagraphFont"/>
    <w:uiPriority w:val="20"/>
    <w:qFormat/>
    <w:rsid w:val="00566484"/>
    <w:rPr>
      <w:i/>
      <w:iCs/>
    </w:rPr>
  </w:style>
  <w:style w:type="character" w:styleId="Strong">
    <w:name w:val="Strong"/>
    <w:basedOn w:val="DefaultParagraphFont"/>
    <w:uiPriority w:val="22"/>
    <w:qFormat/>
    <w:rsid w:val="00566484"/>
    <w:rPr>
      <w:b/>
      <w:bCs/>
    </w:rPr>
  </w:style>
  <w:style w:type="paragraph" w:styleId="Subtitle">
    <w:name w:val="Subtitle"/>
    <w:basedOn w:val="Normal"/>
    <w:next w:val="Normal"/>
    <w:link w:val="SubtitleChar"/>
    <w:rPr>
      <w:rFonts w:ascii="Cambria" w:eastAsia="Cambria" w:hAnsi="Cambria" w:cs="Cambria"/>
    </w:rPr>
  </w:style>
  <w:style w:type="character" w:customStyle="1" w:styleId="SubtitleChar">
    <w:name w:val="Subtitle Char"/>
    <w:basedOn w:val="DefaultParagraphFont"/>
    <w:link w:val="Subtitle"/>
    <w:rsid w:val="00566484"/>
    <w:rPr>
      <w:rFonts w:asciiTheme="majorHAnsi" w:eastAsiaTheme="majorEastAsia" w:hAnsiTheme="majorHAnsi" w:cstheme="majorBidi"/>
      <w:iCs/>
      <w:spacing w:val="15"/>
      <w:sz w:val="24"/>
      <w:szCs w:val="24"/>
    </w:rPr>
  </w:style>
  <w:style w:type="character" w:customStyle="1" w:styleId="TitleChar">
    <w:name w:val="Title Char"/>
    <w:basedOn w:val="DefaultParagraphFont"/>
    <w:link w:val="Title"/>
    <w:rsid w:val="0016555F"/>
    <w:rPr>
      <w:rFonts w:ascii="Arial" w:eastAsia="Armata" w:hAnsi="Arial" w:cs="Arial"/>
      <w:i/>
      <w:iCs/>
      <w:color w:val="auto"/>
      <w:kern w:val="24"/>
      <w:sz w:val="12"/>
      <w:szCs w:val="96"/>
      <w:lang w:val="en-US"/>
    </w:rPr>
  </w:style>
  <w:style w:type="paragraph" w:styleId="NoSpacing">
    <w:name w:val="No Spacing"/>
    <w:uiPriority w:val="1"/>
    <w:qFormat/>
    <w:rsid w:val="00566484"/>
    <w:rPr>
      <w:rFonts w:ascii="Times New Roman" w:hAnsi="Times New Roman" w:cs="Times New Roman"/>
      <w:sz w:val="24"/>
      <w:szCs w:val="24"/>
    </w:rPr>
  </w:style>
  <w:style w:type="character" w:styleId="SubtleEmphasis">
    <w:name w:val="Subtle Emphasis"/>
    <w:basedOn w:val="DefaultParagraphFont"/>
    <w:uiPriority w:val="19"/>
    <w:qFormat/>
    <w:rsid w:val="00566484"/>
    <w:rPr>
      <w:i/>
      <w:iCs/>
      <w:color w:val="808080" w:themeColor="text1" w:themeTint="7F"/>
    </w:rPr>
  </w:style>
  <w:style w:type="character" w:styleId="IntenseEmphasis">
    <w:name w:val="Intense Emphasis"/>
    <w:basedOn w:val="DefaultParagraphFont"/>
    <w:uiPriority w:val="21"/>
    <w:qFormat/>
    <w:rsid w:val="00566484"/>
    <w:rPr>
      <w:b/>
      <w:bCs/>
      <w:i/>
      <w:iCs/>
      <w:color w:val="4F81BD" w:themeColor="accent1"/>
    </w:rPr>
  </w:style>
  <w:style w:type="paragraph" w:styleId="Quote">
    <w:name w:val="Quote"/>
    <w:aliases w:val="quote,quote blue line"/>
    <w:basedOn w:val="Normal"/>
    <w:next w:val="Normal"/>
    <w:link w:val="QuoteChar"/>
    <w:uiPriority w:val="29"/>
    <w:qFormat/>
    <w:rsid w:val="00566484"/>
    <w:rPr>
      <w:i/>
      <w:iCs/>
      <w:color w:val="000000" w:themeColor="text1"/>
    </w:rPr>
  </w:style>
  <w:style w:type="character" w:customStyle="1" w:styleId="QuoteChar">
    <w:name w:val="Quote Char"/>
    <w:aliases w:val="quote Char,quote blue line Char"/>
    <w:basedOn w:val="DefaultParagraphFont"/>
    <w:link w:val="Quote"/>
    <w:uiPriority w:val="29"/>
    <w:rsid w:val="00566484"/>
    <w:rPr>
      <w:rFonts w:ascii="Times New Roman" w:hAnsi="Times New Roman" w:cs="Times New Roman"/>
      <w:i/>
      <w:iCs/>
      <w:color w:val="000000" w:themeColor="text1"/>
      <w:sz w:val="24"/>
      <w:szCs w:val="24"/>
    </w:rPr>
  </w:style>
  <w:style w:type="paragraph" w:styleId="IntenseQuote">
    <w:name w:val="Intense Quote"/>
    <w:basedOn w:val="Normal"/>
    <w:next w:val="Normal"/>
    <w:link w:val="IntenseQuoteChar"/>
    <w:uiPriority w:val="30"/>
    <w:qFormat/>
    <w:rsid w:val="0056648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566484"/>
    <w:rPr>
      <w:rFonts w:ascii="Times New Roman" w:hAnsi="Times New Roman" w:cs="Times New Roman"/>
      <w:b/>
      <w:bCs/>
      <w:i/>
      <w:iCs/>
      <w:color w:val="4F81BD" w:themeColor="accent1"/>
      <w:sz w:val="24"/>
      <w:szCs w:val="24"/>
    </w:rPr>
  </w:style>
  <w:style w:type="character" w:styleId="SubtleReference">
    <w:name w:val="Subtle Reference"/>
    <w:basedOn w:val="DefaultParagraphFont"/>
    <w:uiPriority w:val="31"/>
    <w:qFormat/>
    <w:rsid w:val="00566484"/>
    <w:rPr>
      <w:smallCaps/>
      <w:color w:val="C0504D" w:themeColor="accent2"/>
      <w:u w:val="single"/>
    </w:rPr>
  </w:style>
  <w:style w:type="character" w:styleId="IntenseReference">
    <w:name w:val="Intense Reference"/>
    <w:basedOn w:val="DefaultParagraphFont"/>
    <w:uiPriority w:val="32"/>
    <w:qFormat/>
    <w:rsid w:val="00566484"/>
    <w:rPr>
      <w:b/>
      <w:bCs/>
      <w:i/>
      <w:smallCaps/>
      <w:color w:val="C0504D" w:themeColor="accent2"/>
      <w:spacing w:val="5"/>
      <w:u w:val="none"/>
    </w:rPr>
  </w:style>
  <w:style w:type="character" w:styleId="BookTitle">
    <w:name w:val="Book Title"/>
    <w:basedOn w:val="DefaultParagraphFont"/>
    <w:uiPriority w:val="33"/>
    <w:qFormat/>
    <w:rsid w:val="00566484"/>
    <w:rPr>
      <w:b/>
      <w:bCs/>
      <w:smallCaps/>
      <w:spacing w:val="5"/>
    </w:rPr>
  </w:style>
  <w:style w:type="paragraph" w:styleId="ListParagraph">
    <w:name w:val="List Paragraph"/>
    <w:aliases w:val="CAB - List Bullet,Recommendation,List Paragraph1,List Bullet Cab,Bullet point,List Paragraph11,List Paragraph Number,Bulleted Para,NFP GP Bulleted List,bullet point list,L,Bullet points,Content descriptions,Bullet Point,List Paragraph2,列"/>
    <w:basedOn w:val="Normal"/>
    <w:link w:val="ListParagraphChar"/>
    <w:uiPriority w:val="34"/>
    <w:qFormat/>
    <w:rsid w:val="00566484"/>
    <w:pPr>
      <w:ind w:left="720"/>
      <w:contextualSpacing/>
    </w:pPr>
  </w:style>
  <w:style w:type="paragraph" w:customStyle="1" w:styleId="paragraph">
    <w:name w:val="paragraph"/>
    <w:basedOn w:val="Normal"/>
    <w:rsid w:val="00FA542C"/>
    <w:pPr>
      <w:spacing w:before="100" w:beforeAutospacing="1" w:after="100" w:afterAutospacing="1"/>
    </w:pPr>
  </w:style>
  <w:style w:type="character" w:customStyle="1" w:styleId="normaltextrun">
    <w:name w:val="normaltextrun"/>
    <w:basedOn w:val="DefaultParagraphFont"/>
    <w:rsid w:val="00FA542C"/>
  </w:style>
  <w:style w:type="character" w:customStyle="1" w:styleId="eop">
    <w:name w:val="eop"/>
    <w:basedOn w:val="DefaultParagraphFont"/>
    <w:rsid w:val="00FA542C"/>
  </w:style>
  <w:style w:type="character" w:customStyle="1" w:styleId="apple-converted-space">
    <w:name w:val="apple-converted-space"/>
    <w:basedOn w:val="DefaultParagraphFont"/>
    <w:rsid w:val="00FA542C"/>
  </w:style>
  <w:style w:type="character" w:customStyle="1" w:styleId="spellingerror">
    <w:name w:val="spellingerror"/>
    <w:basedOn w:val="DefaultParagraphFont"/>
    <w:rsid w:val="00FA542C"/>
  </w:style>
  <w:style w:type="paragraph" w:styleId="EndnoteText">
    <w:name w:val="endnote text"/>
    <w:basedOn w:val="Normal"/>
    <w:link w:val="EndnoteTextChar"/>
    <w:uiPriority w:val="99"/>
    <w:rsid w:val="00FA542C"/>
  </w:style>
  <w:style w:type="character" w:customStyle="1" w:styleId="EndnoteTextChar">
    <w:name w:val="Endnote Text Char"/>
    <w:basedOn w:val="DefaultParagraphFont"/>
    <w:link w:val="EndnoteText"/>
    <w:uiPriority w:val="99"/>
    <w:rsid w:val="00FA542C"/>
    <w:rPr>
      <w:lang w:eastAsia="en-US"/>
    </w:rPr>
  </w:style>
  <w:style w:type="character" w:styleId="EndnoteReference">
    <w:name w:val="endnote reference"/>
    <w:basedOn w:val="DefaultParagraphFont"/>
    <w:uiPriority w:val="99"/>
    <w:rsid w:val="00FA542C"/>
    <w:rPr>
      <w:vertAlign w:val="superscript"/>
    </w:rPr>
  </w:style>
  <w:style w:type="paragraph" w:styleId="FootnoteText">
    <w:name w:val="footnote text"/>
    <w:basedOn w:val="Normal"/>
    <w:link w:val="FootnoteTextChar"/>
    <w:uiPriority w:val="99"/>
    <w:unhideWhenUsed/>
    <w:rsid w:val="00F363C8"/>
  </w:style>
  <w:style w:type="character" w:customStyle="1" w:styleId="FootnoteTextChar">
    <w:name w:val="Footnote Text Char"/>
    <w:basedOn w:val="DefaultParagraphFont"/>
    <w:link w:val="FootnoteText"/>
    <w:uiPriority w:val="99"/>
    <w:rsid w:val="00F363C8"/>
    <w:rPr>
      <w:rFonts w:eastAsiaTheme="minorHAnsi" w:cstheme="minorBidi"/>
      <w:lang w:eastAsia="en-US"/>
    </w:rPr>
  </w:style>
  <w:style w:type="character" w:styleId="FootnoteReference">
    <w:name w:val="footnote reference"/>
    <w:basedOn w:val="DefaultParagraphFont"/>
    <w:uiPriority w:val="99"/>
    <w:unhideWhenUsed/>
    <w:rsid w:val="00F363C8"/>
    <w:rPr>
      <w:vertAlign w:val="superscript"/>
    </w:rPr>
  </w:style>
  <w:style w:type="character" w:styleId="CommentReference">
    <w:name w:val="annotation reference"/>
    <w:basedOn w:val="DefaultParagraphFont"/>
    <w:unhideWhenUsed/>
    <w:rsid w:val="00F363C8"/>
    <w:rPr>
      <w:sz w:val="16"/>
      <w:szCs w:val="16"/>
    </w:rPr>
  </w:style>
  <w:style w:type="paragraph" w:styleId="CommentText">
    <w:name w:val="annotation text"/>
    <w:basedOn w:val="Normal"/>
    <w:link w:val="CommentTextChar"/>
    <w:uiPriority w:val="99"/>
    <w:unhideWhenUsed/>
    <w:rsid w:val="00F363C8"/>
  </w:style>
  <w:style w:type="character" w:customStyle="1" w:styleId="CommentTextChar">
    <w:name w:val="Comment Text Char"/>
    <w:basedOn w:val="DefaultParagraphFont"/>
    <w:link w:val="CommentText"/>
    <w:uiPriority w:val="99"/>
    <w:rsid w:val="00F363C8"/>
    <w:rPr>
      <w:rFonts w:ascii="Arial" w:eastAsiaTheme="minorHAnsi" w:hAnsi="Arial" w:cstheme="minorBidi"/>
      <w:lang w:val="en-GB" w:eastAsia="en-US"/>
    </w:rPr>
  </w:style>
  <w:style w:type="paragraph" w:styleId="CommentSubject">
    <w:name w:val="annotation subject"/>
    <w:basedOn w:val="CommentText"/>
    <w:next w:val="CommentText"/>
    <w:link w:val="CommentSubjectChar"/>
    <w:uiPriority w:val="99"/>
    <w:unhideWhenUsed/>
    <w:rsid w:val="00F363C8"/>
    <w:rPr>
      <w:b/>
      <w:bCs/>
    </w:rPr>
  </w:style>
  <w:style w:type="character" w:customStyle="1" w:styleId="CommentSubjectChar">
    <w:name w:val="Comment Subject Char"/>
    <w:basedOn w:val="CommentTextChar"/>
    <w:link w:val="CommentSubject"/>
    <w:uiPriority w:val="99"/>
    <w:rsid w:val="00F363C8"/>
    <w:rPr>
      <w:rFonts w:ascii="Arial" w:eastAsiaTheme="minorHAnsi" w:hAnsi="Arial" w:cstheme="minorBidi"/>
      <w:b/>
      <w:bCs/>
      <w:lang w:val="en-GB" w:eastAsia="en-US"/>
    </w:rPr>
  </w:style>
  <w:style w:type="paragraph" w:styleId="BalloonText">
    <w:name w:val="Balloon Text"/>
    <w:basedOn w:val="Normal"/>
    <w:link w:val="BalloonTextChar"/>
    <w:uiPriority w:val="99"/>
    <w:unhideWhenUsed/>
    <w:rsid w:val="00F363C8"/>
    <w:rPr>
      <w:rFonts w:ascii="Tahoma" w:hAnsi="Tahoma" w:cs="Tahoma"/>
      <w:sz w:val="16"/>
    </w:rPr>
  </w:style>
  <w:style w:type="character" w:customStyle="1" w:styleId="BalloonTextChar">
    <w:name w:val="Balloon Text Char"/>
    <w:basedOn w:val="DefaultParagraphFont"/>
    <w:link w:val="BalloonText"/>
    <w:uiPriority w:val="99"/>
    <w:rsid w:val="00F363C8"/>
    <w:rPr>
      <w:rFonts w:ascii="Tahoma" w:eastAsiaTheme="minorHAnsi" w:hAnsi="Tahoma" w:cs="Tahoma"/>
      <w:sz w:val="16"/>
      <w:szCs w:val="16"/>
      <w:lang w:val="en-GB" w:eastAsia="en-US"/>
    </w:rPr>
  </w:style>
  <w:style w:type="character" w:customStyle="1" w:styleId="Heading1Char">
    <w:name w:val="Heading 1 Char"/>
    <w:aliases w:val="Blue Char,Heading 1 Cab Char"/>
    <w:basedOn w:val="DefaultParagraphFont"/>
    <w:link w:val="Heading1"/>
    <w:rsid w:val="00BE3718"/>
    <w:rPr>
      <w:b/>
      <w:bCs/>
      <w:kern w:val="28"/>
      <w:sz w:val="28"/>
      <w:szCs w:val="32"/>
    </w:rPr>
  </w:style>
  <w:style w:type="character" w:customStyle="1" w:styleId="Heading2Char">
    <w:name w:val="Heading 2 Char"/>
    <w:aliases w:val="Heading2a Char"/>
    <w:basedOn w:val="DefaultParagraphFont"/>
    <w:link w:val="Heading2"/>
    <w:rsid w:val="00BE3718"/>
    <w:rPr>
      <w:b/>
      <w:bCs/>
      <w:i/>
      <w:iCs/>
      <w:sz w:val="24"/>
      <w:szCs w:val="28"/>
    </w:rPr>
  </w:style>
  <w:style w:type="numbering" w:customStyle="1" w:styleId="KeyPoints">
    <w:name w:val="Key Points"/>
    <w:basedOn w:val="NoList"/>
    <w:uiPriority w:val="99"/>
    <w:rsid w:val="00FA542C"/>
  </w:style>
  <w:style w:type="paragraph" w:customStyle="1" w:styleId="1NumberPointsStyle">
    <w:name w:val="1. Number Points Style"/>
    <w:basedOn w:val="Normal"/>
    <w:link w:val="1NumberPointsStyleChar"/>
    <w:rsid w:val="00BE3718"/>
    <w:pPr>
      <w:ind w:left="369" w:hanging="369"/>
    </w:pPr>
    <w:rPr>
      <w:lang w:val="en-GB"/>
    </w:rPr>
  </w:style>
  <w:style w:type="character" w:customStyle="1" w:styleId="1NumberPointsStyleChar">
    <w:name w:val="1. Number Points Style Char"/>
    <w:basedOn w:val="DefaultParagraphFont"/>
    <w:link w:val="1NumberPointsStyle"/>
    <w:rsid w:val="00BE3718"/>
    <w:rPr>
      <w:rFonts w:ascii="Garamond" w:eastAsiaTheme="minorHAnsi" w:hAnsi="Garamond" w:cstheme="minorBidi"/>
      <w:szCs w:val="16"/>
      <w:lang w:val="en-GB"/>
    </w:rPr>
  </w:style>
  <w:style w:type="character" w:styleId="Hyperlink">
    <w:name w:val="Hyperlink"/>
    <w:basedOn w:val="DefaultParagraphFont"/>
    <w:uiPriority w:val="99"/>
    <w:unhideWhenUsed/>
    <w:rsid w:val="00FA542C"/>
    <w:rPr>
      <w:color w:val="0000FF" w:themeColor="hyperlink"/>
      <w:u w:val="single"/>
    </w:rPr>
  </w:style>
  <w:style w:type="paragraph" w:styleId="Header">
    <w:name w:val="header"/>
    <w:basedOn w:val="Normal"/>
    <w:link w:val="HeaderChar"/>
    <w:uiPriority w:val="99"/>
    <w:unhideWhenUsed/>
    <w:rsid w:val="00BE3718"/>
    <w:pPr>
      <w:tabs>
        <w:tab w:val="center" w:pos="4513"/>
        <w:tab w:val="right" w:pos="9026"/>
      </w:tabs>
    </w:pPr>
  </w:style>
  <w:style w:type="character" w:customStyle="1" w:styleId="HeaderChar">
    <w:name w:val="Header Char"/>
    <w:basedOn w:val="DefaultParagraphFont"/>
    <w:link w:val="Header"/>
    <w:uiPriority w:val="99"/>
    <w:rsid w:val="00BE3718"/>
    <w:rPr>
      <w:rFonts w:ascii="Garamond" w:eastAsiaTheme="minorHAnsi" w:hAnsi="Garamond" w:cstheme="minorBidi"/>
      <w:szCs w:val="16"/>
    </w:rPr>
  </w:style>
  <w:style w:type="paragraph" w:styleId="Footer">
    <w:name w:val="footer"/>
    <w:basedOn w:val="Normal"/>
    <w:link w:val="FooterChar"/>
    <w:uiPriority w:val="99"/>
    <w:unhideWhenUsed/>
    <w:rsid w:val="00F363C8"/>
    <w:pPr>
      <w:tabs>
        <w:tab w:val="center" w:pos="4513"/>
        <w:tab w:val="right" w:pos="9026"/>
      </w:tabs>
    </w:pPr>
    <w:rPr>
      <w:sz w:val="18"/>
    </w:rPr>
  </w:style>
  <w:style w:type="character" w:customStyle="1" w:styleId="FooterChar">
    <w:name w:val="Footer Char"/>
    <w:basedOn w:val="DefaultParagraphFont"/>
    <w:link w:val="Footer"/>
    <w:uiPriority w:val="99"/>
    <w:rsid w:val="00F363C8"/>
    <w:rPr>
      <w:rFonts w:ascii="Arial" w:eastAsiaTheme="minorHAnsi" w:hAnsi="Arial" w:cstheme="minorBidi"/>
      <w:sz w:val="18"/>
      <w:szCs w:val="22"/>
      <w:lang w:val="en-GB" w:eastAsia="en-US"/>
    </w:rPr>
  </w:style>
  <w:style w:type="paragraph" w:customStyle="1" w:styleId="FooterText">
    <w:name w:val="Footer Text"/>
    <w:basedOn w:val="Header"/>
    <w:link w:val="FooterTextChar"/>
    <w:rsid w:val="00BE3718"/>
    <w:pPr>
      <w:jc w:val="center"/>
    </w:pPr>
    <w:rPr>
      <w:rFonts w:ascii="Ebrima" w:hAnsi="Ebrima"/>
      <w:color w:val="FFFFFF"/>
      <w:lang w:val="en-GB" w:eastAsia="en-AU"/>
    </w:rPr>
  </w:style>
  <w:style w:type="character" w:customStyle="1" w:styleId="FooterTextChar">
    <w:name w:val="Footer Text Char"/>
    <w:basedOn w:val="HeaderChar"/>
    <w:link w:val="FooterText"/>
    <w:rsid w:val="00BE3718"/>
    <w:rPr>
      <w:rFonts w:ascii="Ebrima" w:eastAsiaTheme="minorHAnsi" w:hAnsi="Ebrima" w:cstheme="minorBidi"/>
      <w:color w:val="FFFFFF"/>
      <w:sz w:val="24"/>
      <w:szCs w:val="24"/>
      <w:lang w:val="en-GB"/>
    </w:rPr>
  </w:style>
  <w:style w:type="paragraph" w:customStyle="1" w:styleId="1Coloursectionbullet">
    <w:name w:val="1 Colour section bullet"/>
    <w:basedOn w:val="Normal"/>
    <w:rsid w:val="00FA542C"/>
    <w:pPr>
      <w:numPr>
        <w:numId w:val="2"/>
      </w:numPr>
      <w:pBdr>
        <w:left w:val="single" w:sz="36" w:space="4" w:color="E6F5F6"/>
        <w:bottom w:val="single" w:sz="36" w:space="1" w:color="E6F5F6"/>
      </w:pBdr>
      <w:shd w:val="clear" w:color="auto" w:fill="E6F5F6"/>
      <w:contextualSpacing/>
    </w:pPr>
    <w:rPr>
      <w:rFonts w:ascii="Calibri Light" w:hAnsi="Calibri Light"/>
      <w:kern w:val="20"/>
      <w:lang w:val="en-US" w:eastAsia="ja-JP"/>
    </w:rPr>
  </w:style>
  <w:style w:type="paragraph" w:customStyle="1" w:styleId="Bullets">
    <w:name w:val="Bullets"/>
    <w:basedOn w:val="ListParagraph"/>
    <w:link w:val="BulletsChar"/>
    <w:rsid w:val="00BE3718"/>
    <w:pPr>
      <w:spacing w:line="264" w:lineRule="auto"/>
      <w:ind w:left="360" w:hanging="360"/>
    </w:pPr>
    <w:rPr>
      <w:rFonts w:ascii="Franklin Gothic Book" w:hAnsi="Franklin Gothic Book"/>
      <w:lang w:val="en-GB"/>
    </w:rPr>
  </w:style>
  <w:style w:type="character" w:customStyle="1" w:styleId="BulletsChar">
    <w:name w:val="Bullets Char"/>
    <w:basedOn w:val="DefaultParagraphFont"/>
    <w:link w:val="Bullets"/>
    <w:rsid w:val="00BE3718"/>
    <w:rPr>
      <w:rFonts w:ascii="Franklin Gothic Book" w:eastAsiaTheme="minorHAnsi" w:hAnsi="Franklin Gothic Book" w:cstheme="minorBidi"/>
      <w:szCs w:val="24"/>
      <w:lang w:val="en-GB"/>
    </w:rPr>
  </w:style>
  <w:style w:type="paragraph" w:customStyle="1" w:styleId="RecWords">
    <w:name w:val="Rec Words"/>
    <w:basedOn w:val="Normal"/>
    <w:link w:val="RecWordsChar"/>
    <w:rsid w:val="00FA542C"/>
    <w:pPr>
      <w:pBdr>
        <w:top w:val="single" w:sz="36" w:space="1" w:color="B2A1C7" w:themeColor="accent4" w:themeTint="99"/>
        <w:left w:val="single" w:sz="36" w:space="4" w:color="B2A1C7" w:themeColor="accent4" w:themeTint="99"/>
        <w:bottom w:val="single" w:sz="36" w:space="1" w:color="B2A1C7" w:themeColor="accent4" w:themeTint="99"/>
      </w:pBdr>
      <w:shd w:val="clear" w:color="auto" w:fill="B2A1C7" w:themeFill="accent4" w:themeFillTint="99"/>
      <w:spacing w:after="240"/>
      <w:ind w:left="142"/>
    </w:pPr>
    <w:rPr>
      <w:rFonts w:ascii="Franklin Gothic Book" w:hAnsi="Franklin Gothic Book"/>
      <w:kern w:val="20"/>
      <w:lang w:eastAsia="ja-JP"/>
    </w:rPr>
  </w:style>
  <w:style w:type="paragraph" w:customStyle="1" w:styleId="RecDot">
    <w:name w:val="Rec Dot"/>
    <w:basedOn w:val="Normal"/>
    <w:link w:val="RecDotChar"/>
    <w:rsid w:val="00FA542C"/>
    <w:pPr>
      <w:numPr>
        <w:numId w:val="1"/>
      </w:numPr>
      <w:pBdr>
        <w:top w:val="single" w:sz="36" w:space="1" w:color="B2A1C7" w:themeColor="accent4" w:themeTint="99"/>
        <w:left w:val="single" w:sz="36" w:space="4" w:color="B2A1C7" w:themeColor="accent4" w:themeTint="99"/>
        <w:bottom w:val="single" w:sz="36" w:space="1" w:color="B2A1C7" w:themeColor="accent4" w:themeTint="99"/>
      </w:pBdr>
      <w:shd w:val="clear" w:color="auto" w:fill="B2A1C7" w:themeFill="accent4" w:themeFillTint="99"/>
      <w:spacing w:after="240"/>
      <w:ind w:left="567" w:hanging="425"/>
      <w:contextualSpacing/>
    </w:pPr>
    <w:rPr>
      <w:rFonts w:ascii="Franklin Gothic Book" w:hAnsi="Franklin Gothic Book"/>
      <w:kern w:val="20"/>
      <w:lang w:val="en-US" w:eastAsia="ja-JP"/>
    </w:rPr>
  </w:style>
  <w:style w:type="character" w:customStyle="1" w:styleId="RecWordsChar">
    <w:name w:val="Rec Words Char"/>
    <w:basedOn w:val="DefaultParagraphFont"/>
    <w:link w:val="RecWords"/>
    <w:rsid w:val="00FA542C"/>
    <w:rPr>
      <w:rFonts w:ascii="Franklin Gothic Book" w:hAnsi="Franklin Gothic Book" w:cs="Arial"/>
      <w:kern w:val="20"/>
      <w:sz w:val="22"/>
      <w:szCs w:val="22"/>
      <w:shd w:val="clear" w:color="auto" w:fill="B2A1C7" w:themeFill="accent4" w:themeFillTint="99"/>
      <w:lang w:eastAsia="ja-JP"/>
    </w:rPr>
  </w:style>
  <w:style w:type="character" w:customStyle="1" w:styleId="RecDotChar">
    <w:name w:val="Rec Dot Char"/>
    <w:basedOn w:val="DefaultParagraphFont"/>
    <w:link w:val="RecDot"/>
    <w:rsid w:val="00FA542C"/>
    <w:rPr>
      <w:rFonts w:ascii="Franklin Gothic Book" w:eastAsiaTheme="minorHAnsi" w:hAnsi="Franklin Gothic Book" w:cstheme="minorBidi"/>
      <w:kern w:val="20"/>
      <w:shd w:val="clear" w:color="auto" w:fill="B2A1C7" w:themeFill="accent4" w:themeFillTint="99"/>
      <w:lang w:val="en-US" w:eastAsia="ja-JP"/>
    </w:rPr>
  </w:style>
  <w:style w:type="paragraph" w:styleId="NormalWeb">
    <w:name w:val="Normal (Web)"/>
    <w:basedOn w:val="Normal"/>
    <w:uiPriority w:val="99"/>
    <w:unhideWhenUsed/>
    <w:rsid w:val="00F363C8"/>
    <w:pPr>
      <w:spacing w:before="100" w:beforeAutospacing="1" w:after="100" w:afterAutospacing="1"/>
    </w:pPr>
  </w:style>
  <w:style w:type="character" w:customStyle="1" w:styleId="ListParagraphChar">
    <w:name w:val="List Paragraph Char"/>
    <w:aliases w:val="CAB - List Bullet Char,Recommendation Char,List Paragraph1 Char,List Bullet Cab Char,Bullet point Char,List Paragraph11 Char,List Paragraph Number Char,Bulleted Para Char,NFP GP Bulleted List Char,bullet point list Char,L Char,列 Char"/>
    <w:link w:val="ListParagraph"/>
    <w:uiPriority w:val="34"/>
    <w:locked/>
    <w:rsid w:val="00BE3718"/>
    <w:rPr>
      <w:rFonts w:ascii="Times New Roman" w:hAnsi="Times New Roman" w:cs="Times New Roman"/>
      <w:sz w:val="24"/>
      <w:szCs w:val="24"/>
    </w:rPr>
  </w:style>
  <w:style w:type="paragraph" w:styleId="BodyText">
    <w:name w:val="Body Text"/>
    <w:aliases w:val="CAB - Body Text,Body Text Cab"/>
    <w:link w:val="BodyTextChar"/>
    <w:rsid w:val="00FA542C"/>
    <w:pPr>
      <w:spacing w:before="120"/>
    </w:pPr>
    <w:rPr>
      <w:rFonts w:eastAsiaTheme="minorHAnsi" w:cstheme="minorBidi"/>
    </w:rPr>
  </w:style>
  <w:style w:type="character" w:customStyle="1" w:styleId="BodyTextChar">
    <w:name w:val="Body Text Char"/>
    <w:aliases w:val="CAB - Body Text Char,Body Text Cab Char"/>
    <w:basedOn w:val="DefaultParagraphFont"/>
    <w:link w:val="BodyText"/>
    <w:rsid w:val="00FA542C"/>
    <w:rPr>
      <w:rFonts w:ascii="Arial" w:eastAsiaTheme="minorHAnsi" w:hAnsi="Arial" w:cstheme="minorBidi"/>
      <w:sz w:val="22"/>
      <w:szCs w:val="22"/>
      <w:lang w:eastAsia="en-US"/>
    </w:rPr>
  </w:style>
  <w:style w:type="table" w:styleId="TableGrid">
    <w:name w:val="Table Grid"/>
    <w:basedOn w:val="TableNormal"/>
    <w:uiPriority w:val="59"/>
    <w:rsid w:val="00F363C8"/>
    <w:rPr>
      <w:rFonts w:eastAsiaTheme="minorHAnsi" w:cstheme="minorBidi"/>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Pnormal">
    <w:name w:val="IP normal"/>
    <w:basedOn w:val="Normal"/>
    <w:autoRedefine/>
    <w:rsid w:val="00FA542C"/>
    <w:pPr>
      <w:shd w:val="clear" w:color="auto" w:fill="FFFFFF" w:themeFill="background1"/>
      <w:spacing w:before="120"/>
      <w:contextualSpacing/>
      <w:jc w:val="both"/>
    </w:pPr>
  </w:style>
  <w:style w:type="paragraph" w:customStyle="1" w:styleId="IPbulletlist">
    <w:name w:val="IP bullet list"/>
    <w:basedOn w:val="Normal"/>
    <w:rsid w:val="00BE3718"/>
    <w:pPr>
      <w:numPr>
        <w:numId w:val="3"/>
      </w:numPr>
      <w:spacing w:before="120"/>
      <w:contextualSpacing/>
    </w:pPr>
  </w:style>
  <w:style w:type="paragraph" w:customStyle="1" w:styleId="FootnoteText1">
    <w:name w:val="Footnote Text1"/>
    <w:basedOn w:val="Normal"/>
    <w:next w:val="FootnoteText"/>
    <w:uiPriority w:val="99"/>
    <w:unhideWhenUsed/>
    <w:rsid w:val="00FA542C"/>
    <w:rPr>
      <w:rFonts w:asciiTheme="majorHAnsi" w:eastAsiaTheme="majorEastAsia" w:hAnsiTheme="majorHAnsi" w:cstheme="majorBidi"/>
    </w:rPr>
  </w:style>
  <w:style w:type="character" w:customStyle="1" w:styleId="FootnoteTextChar1">
    <w:name w:val="Footnote Text Char1"/>
    <w:basedOn w:val="DefaultParagraphFont"/>
    <w:rsid w:val="00FA542C"/>
    <w:rPr>
      <w:rFonts w:asciiTheme="minorHAnsi" w:eastAsia="Calibri" w:hAnsiTheme="minorHAnsi"/>
      <w:sz w:val="20"/>
      <w:szCs w:val="20"/>
      <w:lang w:eastAsia="en-US"/>
    </w:rPr>
  </w:style>
  <w:style w:type="paragraph" w:customStyle="1" w:styleId="Default">
    <w:name w:val="Default"/>
    <w:rsid w:val="00F363C8"/>
    <w:pPr>
      <w:autoSpaceDE w:val="0"/>
      <w:autoSpaceDN w:val="0"/>
      <w:adjustRightInd w:val="0"/>
    </w:pPr>
    <w:rPr>
      <w:rFonts w:ascii="Adobe Garamond Pro" w:hAnsi="Adobe Garamond Pro" w:cs="Adobe Garamond Pro"/>
      <w:sz w:val="24"/>
      <w:szCs w:val="24"/>
    </w:rPr>
  </w:style>
  <w:style w:type="paragraph" w:customStyle="1" w:styleId="Pa9">
    <w:name w:val="Pa9"/>
    <w:basedOn w:val="Default"/>
    <w:next w:val="Default"/>
    <w:uiPriority w:val="99"/>
    <w:rsid w:val="00FA542C"/>
    <w:pPr>
      <w:spacing w:line="201" w:lineRule="atLeast"/>
    </w:pPr>
    <w:rPr>
      <w:rFonts w:ascii="Swis721 Lt BT" w:eastAsiaTheme="minorHAnsi" w:hAnsi="Swis721 Lt BT" w:cstheme="minorBidi"/>
      <w:color w:val="auto"/>
    </w:rPr>
  </w:style>
  <w:style w:type="paragraph" w:styleId="Revision">
    <w:name w:val="Revision"/>
    <w:hidden/>
    <w:uiPriority w:val="99"/>
    <w:semiHidden/>
    <w:rsid w:val="00F363C8"/>
    <w:rPr>
      <w:rFonts w:asciiTheme="minorHAnsi" w:eastAsiaTheme="minorHAnsi" w:hAnsiTheme="minorHAnsi" w:cstheme="minorBidi"/>
    </w:rPr>
  </w:style>
  <w:style w:type="character" w:customStyle="1" w:styleId="fa">
    <w:name w:val="fa"/>
    <w:basedOn w:val="DefaultParagraphFont"/>
    <w:rsid w:val="00FA542C"/>
  </w:style>
  <w:style w:type="character" w:customStyle="1" w:styleId="visuallyhidden">
    <w:name w:val="visuallyhidden"/>
    <w:basedOn w:val="DefaultParagraphFont"/>
    <w:rsid w:val="00FA542C"/>
  </w:style>
  <w:style w:type="character" w:customStyle="1" w:styleId="sf-sub-indicator1">
    <w:name w:val="sf-sub-indicator1"/>
    <w:basedOn w:val="DefaultParagraphFont"/>
    <w:rsid w:val="00FA542C"/>
    <w:rPr>
      <w:vanish w:val="0"/>
      <w:webHidden w:val="0"/>
      <w:specVanish w:val="0"/>
    </w:rPr>
  </w:style>
  <w:style w:type="character" w:styleId="FollowedHyperlink">
    <w:name w:val="FollowedHyperlink"/>
    <w:basedOn w:val="DefaultParagraphFont"/>
    <w:rsid w:val="00FA542C"/>
    <w:rPr>
      <w:color w:val="800080" w:themeColor="followedHyperlink"/>
      <w:u w:val="single"/>
    </w:rPr>
  </w:style>
  <w:style w:type="table" w:styleId="LightList-Accent4">
    <w:name w:val="Light List Accent 4"/>
    <w:basedOn w:val="TableNormal"/>
    <w:uiPriority w:val="61"/>
    <w:rsid w:val="00FA542C"/>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character" w:customStyle="1" w:styleId="selectable">
    <w:name w:val="selectable"/>
    <w:basedOn w:val="DefaultParagraphFont"/>
    <w:rsid w:val="00FA542C"/>
  </w:style>
  <w:style w:type="paragraph" w:styleId="TOCHeading">
    <w:name w:val="TOC Heading"/>
    <w:basedOn w:val="Heading1"/>
    <w:next w:val="Normal"/>
    <w:uiPriority w:val="39"/>
    <w:unhideWhenUsed/>
    <w:qFormat/>
    <w:rsid w:val="00BE3718"/>
    <w:pPr>
      <w:outlineLvl w:val="9"/>
    </w:pPr>
    <w:rPr>
      <w:rFonts w:asciiTheme="majorHAnsi" w:hAnsiTheme="majorHAnsi"/>
      <w:color w:val="365F91" w:themeColor="accent1" w:themeShade="BF"/>
      <w:lang w:val="en-US" w:eastAsia="ja-JP"/>
    </w:rPr>
  </w:style>
  <w:style w:type="paragraph" w:styleId="TOC1">
    <w:name w:val="toc 1"/>
    <w:autoRedefine/>
    <w:uiPriority w:val="39"/>
    <w:qFormat/>
    <w:rsid w:val="00EA204A"/>
    <w:pPr>
      <w:spacing w:before="120" w:after="120"/>
    </w:pPr>
    <w:rPr>
      <w:rFonts w:ascii="Arial" w:eastAsiaTheme="minorHAnsi" w:hAnsi="Arial" w:cstheme="minorBidi"/>
      <w:bCs/>
      <w:smallCaps/>
      <w:color w:val="0070C0"/>
      <w:sz w:val="24"/>
      <w:szCs w:val="20"/>
    </w:rPr>
  </w:style>
  <w:style w:type="paragraph" w:styleId="TOC3">
    <w:name w:val="toc 3"/>
    <w:basedOn w:val="Normal"/>
    <w:next w:val="Normal"/>
    <w:autoRedefine/>
    <w:uiPriority w:val="39"/>
    <w:qFormat/>
    <w:rsid w:val="00FA542C"/>
    <w:pPr>
      <w:spacing w:after="0"/>
      <w:ind w:left="440"/>
    </w:pPr>
    <w:rPr>
      <w:rFonts w:asciiTheme="minorHAnsi" w:hAnsiTheme="minorHAnsi"/>
      <w:i/>
      <w:iCs/>
      <w:sz w:val="20"/>
      <w:szCs w:val="20"/>
    </w:rPr>
  </w:style>
  <w:style w:type="paragraph" w:styleId="TOC2">
    <w:name w:val="toc 2"/>
    <w:basedOn w:val="Normal"/>
    <w:next w:val="Normal"/>
    <w:autoRedefine/>
    <w:uiPriority w:val="39"/>
    <w:qFormat/>
    <w:rsid w:val="00FB2E05"/>
    <w:pPr>
      <w:spacing w:after="0"/>
      <w:ind w:left="220"/>
    </w:pPr>
    <w:rPr>
      <w:smallCaps/>
      <w:color w:val="0070C0"/>
      <w:sz w:val="24"/>
      <w:szCs w:val="20"/>
    </w:rPr>
  </w:style>
  <w:style w:type="character" w:customStyle="1" w:styleId="element-citation">
    <w:name w:val="element-citation"/>
    <w:basedOn w:val="DefaultParagraphFont"/>
    <w:rsid w:val="00FA542C"/>
  </w:style>
  <w:style w:type="character" w:customStyle="1" w:styleId="ref-journal">
    <w:name w:val="ref-journal"/>
    <w:basedOn w:val="DefaultParagraphFont"/>
    <w:rsid w:val="00FA542C"/>
  </w:style>
  <w:style w:type="character" w:customStyle="1" w:styleId="ref-vol">
    <w:name w:val="ref-vol"/>
    <w:basedOn w:val="DefaultParagraphFont"/>
    <w:rsid w:val="00FA542C"/>
  </w:style>
  <w:style w:type="character" w:customStyle="1" w:styleId="A4">
    <w:name w:val="A4"/>
    <w:uiPriority w:val="99"/>
    <w:rsid w:val="00F363C8"/>
    <w:rPr>
      <w:rFonts w:cs="Helvetica 45 Light"/>
      <w:color w:val="AC892E"/>
      <w:sz w:val="35"/>
      <w:szCs w:val="35"/>
    </w:rPr>
  </w:style>
  <w:style w:type="character" w:customStyle="1" w:styleId="tgc">
    <w:name w:val="_tgc"/>
    <w:basedOn w:val="DefaultParagraphFont"/>
    <w:rsid w:val="00FA542C"/>
  </w:style>
  <w:style w:type="character" w:customStyle="1" w:styleId="Heading3Char">
    <w:name w:val="Heading 3 Char"/>
    <w:basedOn w:val="DefaultParagraphFont"/>
    <w:link w:val="Heading3"/>
    <w:rsid w:val="00BE3718"/>
    <w:rPr>
      <w:bCs/>
      <w:sz w:val="24"/>
      <w:szCs w:val="26"/>
    </w:rPr>
  </w:style>
  <w:style w:type="paragraph" w:customStyle="1" w:styleId="HPFFiguredescriptionblue">
    <w:name w:val="HPF Figure description (blue)"/>
    <w:basedOn w:val="Normal"/>
    <w:link w:val="HPFFiguredescriptionblueChar"/>
    <w:rsid w:val="00BE3718"/>
    <w:pPr>
      <w:tabs>
        <w:tab w:val="center" w:pos="4320"/>
        <w:tab w:val="right" w:pos="10234"/>
      </w:tabs>
    </w:pPr>
    <w:rPr>
      <w:rFonts w:ascii="Avenir Book" w:hAnsi="Avenir Book" w:cs="Calibri"/>
      <w:bCs/>
      <w:color w:val="003A6C"/>
      <w:sz w:val="17"/>
      <w:lang w:eastAsia="ja-JP"/>
    </w:rPr>
  </w:style>
  <w:style w:type="character" w:customStyle="1" w:styleId="HPFFiguredescriptionblueChar">
    <w:name w:val="HPF Figure description (blue) Char"/>
    <w:basedOn w:val="DefaultParagraphFont"/>
    <w:link w:val="HPFFiguredescriptionblue"/>
    <w:rsid w:val="00BE3718"/>
    <w:rPr>
      <w:rFonts w:ascii="Avenir Book" w:eastAsiaTheme="minorHAnsi" w:hAnsi="Avenir Book" w:cs="Calibri"/>
      <w:bCs/>
      <w:color w:val="003A6C"/>
      <w:sz w:val="17"/>
      <w:lang w:eastAsia="ja-JP"/>
    </w:rPr>
  </w:style>
  <w:style w:type="paragraph" w:customStyle="1" w:styleId="A-HPFMainText">
    <w:name w:val="A - HPF Main Text"/>
    <w:basedOn w:val="Normal"/>
    <w:link w:val="A-HPFMainTextChar"/>
    <w:rsid w:val="00BE3718"/>
    <w:rPr>
      <w:rFonts w:ascii="Calibri Light" w:hAnsi="Calibri Light" w:cs="Calibri"/>
      <w:sz w:val="19"/>
      <w:lang w:eastAsia="ja-JP"/>
    </w:rPr>
  </w:style>
  <w:style w:type="paragraph" w:customStyle="1" w:styleId="A-HPFSource">
    <w:name w:val="A - HPF Source"/>
    <w:basedOn w:val="Normal"/>
    <w:rsid w:val="00FA542C"/>
    <w:rPr>
      <w:rFonts w:ascii="Avenir Book" w:hAnsi="Avenir Book"/>
      <w:i/>
      <w:sz w:val="16"/>
      <w:lang w:eastAsia="ja-JP"/>
    </w:rPr>
  </w:style>
  <w:style w:type="character" w:customStyle="1" w:styleId="A-HPFMainTextChar">
    <w:name w:val="A - HPF Main Text Char"/>
    <w:basedOn w:val="DefaultParagraphFont"/>
    <w:link w:val="A-HPFMainText"/>
    <w:rsid w:val="00BE3718"/>
    <w:rPr>
      <w:rFonts w:ascii="Calibri Light" w:eastAsiaTheme="minorHAnsi" w:hAnsi="Calibri Light" w:cs="Calibri"/>
      <w:sz w:val="19"/>
      <w:szCs w:val="16"/>
      <w:lang w:eastAsia="ja-JP"/>
    </w:rPr>
  </w:style>
  <w:style w:type="paragraph" w:customStyle="1" w:styleId="Note">
    <w:name w:val="Note"/>
    <w:basedOn w:val="BodyText"/>
    <w:next w:val="BodyText"/>
    <w:rsid w:val="00FA542C"/>
    <w:pPr>
      <w:keepLines/>
      <w:spacing w:before="80" w:line="220" w:lineRule="exact"/>
      <w:jc w:val="both"/>
    </w:pPr>
    <w:rPr>
      <w:rFonts w:eastAsia="Times New Roman" w:cs="Times New Roman"/>
      <w:sz w:val="18"/>
      <w:szCs w:val="20"/>
      <w:lang w:eastAsia="en-AU"/>
    </w:rPr>
  </w:style>
  <w:style w:type="paragraph" w:customStyle="1" w:styleId="Figure">
    <w:name w:val="Figure"/>
    <w:basedOn w:val="BodyText"/>
    <w:rsid w:val="00AC7EEE"/>
    <w:pPr>
      <w:keepNext/>
      <w:spacing w:after="120" w:line="240" w:lineRule="atLeast"/>
    </w:pPr>
    <w:rPr>
      <w:rFonts w:eastAsia="Times New Roman" w:cs="Times New Roman"/>
      <w:color w:val="4F2270"/>
      <w:sz w:val="20"/>
      <w:szCs w:val="20"/>
      <w:lang w:eastAsia="en-AU"/>
    </w:rPr>
  </w:style>
  <w:style w:type="paragraph" w:customStyle="1" w:styleId="FigureTitle">
    <w:name w:val="Figure Title"/>
    <w:basedOn w:val="Caption"/>
    <w:next w:val="Subtitle"/>
    <w:rsid w:val="00FA542C"/>
    <w:pPr>
      <w:spacing w:before="120" w:after="80" w:line="280" w:lineRule="exact"/>
      <w:ind w:left="1474" w:hanging="1474"/>
    </w:pPr>
    <w:rPr>
      <w:bCs w:val="0"/>
      <w:color w:val="auto"/>
      <w:szCs w:val="22"/>
    </w:rPr>
  </w:style>
  <w:style w:type="character" w:customStyle="1" w:styleId="NoteLabel">
    <w:name w:val="Note Label"/>
    <w:basedOn w:val="DefaultParagraphFont"/>
    <w:rsid w:val="00FA542C"/>
    <w:rPr>
      <w:rFonts w:ascii="Arial" w:hAnsi="Arial"/>
      <w:b/>
      <w:position w:val="6"/>
      <w:sz w:val="18"/>
    </w:rPr>
  </w:style>
  <w:style w:type="paragraph" w:styleId="Caption">
    <w:name w:val="caption"/>
    <w:basedOn w:val="Normal"/>
    <w:next w:val="Normal"/>
    <w:link w:val="CaptionChar"/>
    <w:uiPriority w:val="35"/>
    <w:unhideWhenUsed/>
    <w:rsid w:val="00BE3718"/>
    <w:rPr>
      <w:b/>
      <w:bCs/>
      <w:color w:val="4F81BD" w:themeColor="accent1"/>
      <w:sz w:val="18"/>
      <w:szCs w:val="18"/>
    </w:rPr>
  </w:style>
  <w:style w:type="numbering" w:customStyle="1" w:styleId="NoList1">
    <w:name w:val="No List1"/>
    <w:next w:val="NoList"/>
    <w:uiPriority w:val="99"/>
    <w:semiHidden/>
    <w:unhideWhenUsed/>
    <w:rsid w:val="00B62D00"/>
  </w:style>
  <w:style w:type="character" w:customStyle="1" w:styleId="date-display-single">
    <w:name w:val="date-display-single"/>
    <w:basedOn w:val="DefaultParagraphFont"/>
    <w:rsid w:val="00A13AA8"/>
  </w:style>
  <w:style w:type="character" w:customStyle="1" w:styleId="file">
    <w:name w:val="file"/>
    <w:basedOn w:val="DefaultParagraphFont"/>
    <w:rsid w:val="00A13AA8"/>
  </w:style>
  <w:style w:type="paragraph" w:styleId="PlainText">
    <w:name w:val="Plain Text"/>
    <w:basedOn w:val="Normal"/>
    <w:link w:val="PlainTextChar"/>
    <w:rsid w:val="005B6109"/>
    <w:rPr>
      <w:rFonts w:ascii="Consolas" w:hAnsi="Consolas" w:cs="Consolas"/>
      <w:sz w:val="21"/>
      <w:szCs w:val="21"/>
    </w:rPr>
  </w:style>
  <w:style w:type="character" w:customStyle="1" w:styleId="PlainTextChar">
    <w:name w:val="Plain Text Char"/>
    <w:basedOn w:val="DefaultParagraphFont"/>
    <w:link w:val="PlainText"/>
    <w:rsid w:val="005B6109"/>
    <w:rPr>
      <w:rFonts w:ascii="Consolas" w:hAnsi="Consolas" w:cs="Consolas"/>
      <w:sz w:val="21"/>
      <w:szCs w:val="21"/>
      <w:lang w:eastAsia="en-US"/>
    </w:rPr>
  </w:style>
  <w:style w:type="table" w:customStyle="1" w:styleId="TableGrid1">
    <w:name w:val="Table Grid1"/>
    <w:basedOn w:val="TableNormal"/>
    <w:next w:val="TableGrid"/>
    <w:rsid w:val="00F363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Casestudy1a">
    <w:name w:val="xCase study 1a"/>
    <w:next w:val="xCasestudybody"/>
    <w:qFormat/>
    <w:rsid w:val="00CE7538"/>
    <w:pPr>
      <w:keepNext/>
      <w:pBdr>
        <w:top w:val="single" w:sz="4" w:space="5" w:color="F79646" w:themeColor="accent6"/>
        <w:left w:val="single" w:sz="4" w:space="5" w:color="F79646" w:themeColor="accent6"/>
        <w:bottom w:val="single" w:sz="4" w:space="5" w:color="F79646" w:themeColor="accent6"/>
        <w:right w:val="single" w:sz="4" w:space="5" w:color="F79646" w:themeColor="accent6"/>
      </w:pBdr>
      <w:shd w:val="clear" w:color="auto" w:fill="F79646" w:themeFill="accent6"/>
      <w:spacing w:before="240" w:after="60"/>
      <w:ind w:left="170" w:right="170"/>
    </w:pPr>
    <w:rPr>
      <w:rFonts w:ascii="Arial" w:hAnsi="Arial" w:cs="Times New Roman"/>
      <w:b/>
      <w:bCs/>
      <w:i/>
      <w:color w:val="FFFFFF" w:themeColor="background1"/>
      <w:sz w:val="24"/>
      <w:szCs w:val="18"/>
      <w:lang w:eastAsia="en-AU"/>
    </w:rPr>
  </w:style>
  <w:style w:type="paragraph" w:customStyle="1" w:styleId="CaseStudybodytext">
    <w:name w:val="Case Study body text"/>
    <w:next w:val="xBodytext1"/>
    <w:rsid w:val="00795765"/>
    <w:pPr>
      <w:pBdr>
        <w:top w:val="single" w:sz="4" w:space="8" w:color="F2F2F2" w:themeColor="background1" w:themeShade="F2"/>
        <w:left w:val="single" w:sz="4" w:space="8" w:color="F2F2F2" w:themeColor="background1" w:themeShade="F2"/>
        <w:bottom w:val="single" w:sz="4" w:space="8" w:color="F2F2F2" w:themeColor="background1" w:themeShade="F2"/>
        <w:right w:val="single" w:sz="4" w:space="8" w:color="F2F2F2" w:themeColor="background1" w:themeShade="F2"/>
      </w:pBdr>
      <w:shd w:val="clear" w:color="auto" w:fill="F2F2F2" w:themeFill="background1" w:themeFillShade="F2"/>
      <w:ind w:left="170" w:right="170"/>
    </w:pPr>
    <w:rPr>
      <w:rFonts w:cs="Times New Roman"/>
      <w:color w:val="323E4F"/>
      <w:sz w:val="20"/>
      <w:szCs w:val="20"/>
      <w:lang w:eastAsia="en-AU"/>
    </w:rPr>
  </w:style>
  <w:style w:type="paragraph" w:customStyle="1" w:styleId="BoxText">
    <w:name w:val="Box Text"/>
    <w:basedOn w:val="Boxbullets"/>
    <w:rsid w:val="00BE3718"/>
    <w:pPr>
      <w:pBdr>
        <w:top w:val="single" w:sz="8" w:space="8" w:color="F79646" w:themeColor="accent6"/>
        <w:left w:val="single" w:sz="8" w:space="8" w:color="F79646" w:themeColor="accent6"/>
        <w:bottom w:val="single" w:sz="8" w:space="8" w:color="F79646" w:themeColor="accent6"/>
        <w:right w:val="single" w:sz="8" w:space="8" w:color="F79646" w:themeColor="accent6"/>
      </w:pBdr>
      <w:ind w:left="227" w:right="227"/>
    </w:pPr>
  </w:style>
  <w:style w:type="numbering" w:customStyle="1" w:styleId="Borderteststyle">
    <w:name w:val="Border test style"/>
    <w:uiPriority w:val="99"/>
    <w:rsid w:val="00F363C8"/>
  </w:style>
  <w:style w:type="paragraph" w:customStyle="1" w:styleId="Bullet">
    <w:name w:val="Bullet"/>
    <w:basedOn w:val="Normal"/>
    <w:link w:val="BulletChar"/>
    <w:rsid w:val="00BE3718"/>
    <w:pPr>
      <w:numPr>
        <w:numId w:val="4"/>
      </w:numPr>
      <w:spacing w:before="60"/>
      <w:contextualSpacing/>
    </w:pPr>
  </w:style>
  <w:style w:type="paragraph" w:customStyle="1" w:styleId="Heading1Green">
    <w:name w:val="Heading 1 Green"/>
    <w:basedOn w:val="Heading1"/>
    <w:next w:val="Normal"/>
    <w:rsid w:val="00F363C8"/>
    <w:pPr>
      <w:pBdr>
        <w:bottom w:val="single" w:sz="18" w:space="1" w:color="2F693F"/>
      </w:pBdr>
    </w:pPr>
    <w:rPr>
      <w:color w:val="2F693F"/>
    </w:rPr>
  </w:style>
  <w:style w:type="paragraph" w:customStyle="1" w:styleId="xHeading1a">
    <w:name w:val="xHeading 1a"/>
    <w:next w:val="xbodytext"/>
    <w:qFormat/>
    <w:rsid w:val="007A0729"/>
    <w:pPr>
      <w:outlineLvl w:val="0"/>
    </w:pPr>
    <w:rPr>
      <w:rFonts w:ascii="Arial" w:hAnsi="Arial" w:cs="Times New Roman"/>
      <w:caps/>
      <w:color w:val="0070C0"/>
      <w:sz w:val="32"/>
      <w:szCs w:val="36"/>
      <w:lang w:eastAsia="en-AU"/>
    </w:rPr>
  </w:style>
  <w:style w:type="paragraph" w:customStyle="1" w:styleId="Heading1Purple">
    <w:name w:val="Heading 1 Purple"/>
    <w:basedOn w:val="Heading1"/>
    <w:next w:val="Normal"/>
    <w:rsid w:val="00F363C8"/>
    <w:pPr>
      <w:pBdr>
        <w:bottom w:val="single" w:sz="18" w:space="1" w:color="65305C"/>
      </w:pBdr>
    </w:pPr>
    <w:rPr>
      <w:color w:val="65305C"/>
    </w:rPr>
  </w:style>
  <w:style w:type="paragraph" w:customStyle="1" w:styleId="Heading1Red">
    <w:name w:val="Heading 1 Red"/>
    <w:basedOn w:val="Heading1"/>
    <w:next w:val="Normal"/>
    <w:rsid w:val="00F363C8"/>
    <w:pPr>
      <w:pBdr>
        <w:bottom w:val="single" w:sz="18" w:space="1" w:color="9B2029"/>
      </w:pBdr>
    </w:pPr>
    <w:rPr>
      <w:color w:val="9B2029"/>
    </w:rPr>
  </w:style>
  <w:style w:type="paragraph" w:customStyle="1" w:styleId="Heading2Blue">
    <w:name w:val="Heading 2 Blue"/>
    <w:basedOn w:val="Heading2"/>
    <w:rsid w:val="00BE3718"/>
    <w:rPr>
      <w:color w:val="153F7A"/>
    </w:rPr>
  </w:style>
  <w:style w:type="paragraph" w:customStyle="1" w:styleId="Heading2Red">
    <w:name w:val="Heading 2 Red"/>
    <w:basedOn w:val="Heading2Blue"/>
    <w:rsid w:val="00BE3718"/>
    <w:rPr>
      <w:color w:val="9B2029"/>
    </w:rPr>
  </w:style>
  <w:style w:type="paragraph" w:customStyle="1" w:styleId="Heading2Purple">
    <w:name w:val="Heading 2 Purple"/>
    <w:basedOn w:val="Heading2Red"/>
    <w:rsid w:val="00BE3718"/>
    <w:rPr>
      <w:color w:val="65305C"/>
    </w:rPr>
  </w:style>
  <w:style w:type="paragraph" w:customStyle="1" w:styleId="Heading2Green">
    <w:name w:val="Heading 2 Green"/>
    <w:basedOn w:val="Heading2Purple"/>
    <w:rsid w:val="00F363C8"/>
    <w:rPr>
      <w:color w:val="2F693F"/>
    </w:rPr>
  </w:style>
  <w:style w:type="paragraph" w:customStyle="1" w:styleId="Heading2Gold">
    <w:name w:val="Heading 2 Gold"/>
    <w:basedOn w:val="Heading2Green"/>
    <w:rsid w:val="00F363C8"/>
    <w:rPr>
      <w:color w:val="AC892F"/>
    </w:rPr>
  </w:style>
  <w:style w:type="character" w:customStyle="1" w:styleId="Heading4Char">
    <w:name w:val="Heading 4 Char"/>
    <w:basedOn w:val="DefaultParagraphFont"/>
    <w:link w:val="Heading4"/>
    <w:rsid w:val="00BE3718"/>
    <w:rPr>
      <w:rFonts w:cs="Times New Roman"/>
      <w:bCs/>
      <w:sz w:val="28"/>
      <w:szCs w:val="28"/>
    </w:rPr>
  </w:style>
  <w:style w:type="paragraph" w:customStyle="1" w:styleId="Heading3Black">
    <w:name w:val="Heading 3 Black"/>
    <w:basedOn w:val="Heading3"/>
    <w:rsid w:val="00BE3718"/>
  </w:style>
  <w:style w:type="table" w:styleId="LightList-Accent1">
    <w:name w:val="Light List Accent 1"/>
    <w:basedOn w:val="TableNormal"/>
    <w:uiPriority w:val="61"/>
    <w:rsid w:val="00F363C8"/>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1">
    <w:name w:val="Medium Shading 1 Accent 1"/>
    <w:basedOn w:val="TableNormal"/>
    <w:uiPriority w:val="63"/>
    <w:rsid w:val="00F363C8"/>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ListParagraphGhosted">
    <w:name w:val="List Paragraph Ghosted"/>
    <w:basedOn w:val="ListParagraph"/>
    <w:rsid w:val="00BE3718"/>
    <w:pPr>
      <w:numPr>
        <w:numId w:val="5"/>
      </w:numPr>
    </w:pPr>
    <w:rPr>
      <w:rFonts w:eastAsiaTheme="minorEastAsia" w:hAnsi="Calibri"/>
      <w:color w:val="7F7F7F" w:themeColor="text1" w:themeTint="80"/>
      <w:kern w:val="24"/>
      <w:szCs w:val="36"/>
    </w:rPr>
  </w:style>
  <w:style w:type="paragraph" w:customStyle="1" w:styleId="QuoteRef">
    <w:name w:val="Quote Ref"/>
    <w:basedOn w:val="Normal"/>
    <w:rsid w:val="00F363C8"/>
    <w:pPr>
      <w:spacing w:before="120"/>
    </w:pPr>
    <w:rPr>
      <w:color w:val="000000" w:themeColor="text1"/>
    </w:rPr>
  </w:style>
  <w:style w:type="table" w:customStyle="1" w:styleId="PlainTable21">
    <w:name w:val="Plain Table 21"/>
    <w:basedOn w:val="TableNormal"/>
    <w:uiPriority w:val="42"/>
    <w:rsid w:val="00F363C8"/>
    <w:rPr>
      <w:rFonts w:eastAsiaTheme="minorHAnsi" w:cstheme="minorBidi"/>
      <w:sz w:val="24"/>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TableText">
    <w:name w:val="Table Text"/>
    <w:rsid w:val="00F363C8"/>
    <w:pPr>
      <w:spacing w:after="120"/>
    </w:pPr>
    <w:rPr>
      <w:rFonts w:eastAsiaTheme="minorHAnsi" w:cstheme="minorBidi"/>
      <w:bCs/>
      <w:sz w:val="18"/>
      <w:szCs w:val="18"/>
    </w:rPr>
  </w:style>
  <w:style w:type="paragraph" w:customStyle="1" w:styleId="TableHeaderRow">
    <w:name w:val="Table Header Row"/>
    <w:basedOn w:val="Normal"/>
    <w:rsid w:val="00F363C8"/>
    <w:rPr>
      <w:bCs/>
      <w:color w:val="FFFFFF" w:themeColor="background1"/>
    </w:rPr>
  </w:style>
  <w:style w:type="paragraph" w:customStyle="1" w:styleId="TableTextbullet">
    <w:name w:val="Table Text bullet"/>
    <w:basedOn w:val="TableText"/>
    <w:rsid w:val="00F363C8"/>
    <w:pPr>
      <w:numPr>
        <w:numId w:val="6"/>
      </w:numPr>
      <w:spacing w:after="60" w:line="240" w:lineRule="auto"/>
      <w:ind w:left="357" w:hanging="357"/>
    </w:pPr>
  </w:style>
  <w:style w:type="paragraph" w:customStyle="1" w:styleId="TabletextfirstColumn">
    <w:name w:val="Table text first Column"/>
    <w:basedOn w:val="TableText"/>
    <w:rsid w:val="00F363C8"/>
    <w:pPr>
      <w:spacing w:line="300" w:lineRule="auto"/>
    </w:pPr>
    <w:rPr>
      <w:bCs w:val="0"/>
      <w:i/>
    </w:rPr>
  </w:style>
  <w:style w:type="character" w:styleId="PageNumber">
    <w:name w:val="page number"/>
    <w:basedOn w:val="DefaultParagraphFont"/>
    <w:uiPriority w:val="99"/>
    <w:unhideWhenUsed/>
    <w:rsid w:val="00F363C8"/>
  </w:style>
  <w:style w:type="paragraph" w:customStyle="1" w:styleId="xHeading2PriorityIntro">
    <w:name w:val="xHeading 2 Priority Intro"/>
    <w:basedOn w:val="Heading2"/>
    <w:rsid w:val="00BE3718"/>
    <w:pPr>
      <w:pBdr>
        <w:top w:val="single" w:sz="4" w:space="8" w:color="F2F2F2" w:themeColor="background1" w:themeShade="F2"/>
        <w:left w:val="single" w:sz="4" w:space="8" w:color="F2F2F2" w:themeColor="background1" w:themeShade="F2"/>
        <w:bottom w:val="single" w:sz="4" w:space="8" w:color="F2F2F2" w:themeColor="background1" w:themeShade="F2"/>
        <w:right w:val="single" w:sz="4" w:space="8" w:color="F2F2F2" w:themeColor="background1" w:themeShade="F2"/>
      </w:pBdr>
      <w:shd w:val="clear" w:color="auto" w:fill="F2F2F2" w:themeFill="background1" w:themeFillShade="F2"/>
      <w:ind w:left="170" w:right="170"/>
    </w:pPr>
  </w:style>
  <w:style w:type="paragraph" w:customStyle="1" w:styleId="CaseStudyBullet">
    <w:name w:val="Case Study Bullet"/>
    <w:basedOn w:val="Bullet"/>
    <w:rsid w:val="00BE3718"/>
    <w:pPr>
      <w:numPr>
        <w:numId w:val="0"/>
      </w:numPr>
      <w:pBdr>
        <w:top w:val="single" w:sz="4" w:space="8" w:color="F2F2F2" w:themeColor="background1" w:themeShade="F2"/>
        <w:left w:val="single" w:sz="4" w:space="8" w:color="F2F2F2" w:themeColor="background1" w:themeShade="F2"/>
        <w:bottom w:val="single" w:sz="4" w:space="8" w:color="F2F2F2" w:themeColor="background1" w:themeShade="F2"/>
        <w:right w:val="single" w:sz="4" w:space="8" w:color="F2F2F2" w:themeColor="background1" w:themeShade="F2"/>
      </w:pBdr>
      <w:shd w:val="clear" w:color="auto" w:fill="F2F2F2" w:themeFill="background1" w:themeFillShade="F2"/>
      <w:ind w:right="170"/>
    </w:pPr>
  </w:style>
  <w:style w:type="paragraph" w:customStyle="1" w:styleId="Boxbullets">
    <w:name w:val="Box bullets"/>
    <w:basedOn w:val="Bullet"/>
    <w:rsid w:val="00BE3718"/>
    <w:pPr>
      <w:numPr>
        <w:numId w:val="0"/>
      </w:numPr>
      <w:pBdr>
        <w:top w:val="single" w:sz="4" w:space="8" w:color="00B0F0"/>
        <w:left w:val="single" w:sz="4" w:space="5" w:color="00B0F0"/>
        <w:bottom w:val="single" w:sz="4" w:space="5" w:color="00B0F0"/>
        <w:right w:val="single" w:sz="4" w:space="5" w:color="00B0F0"/>
      </w:pBdr>
      <w:ind w:right="170"/>
    </w:pPr>
  </w:style>
  <w:style w:type="paragraph" w:customStyle="1" w:styleId="ActionBullet">
    <w:name w:val="Action Bullet"/>
    <w:basedOn w:val="Boxbullets"/>
    <w:rsid w:val="00BE3718"/>
    <w:pPr>
      <w:pBdr>
        <w:top w:val="none" w:sz="0" w:space="0" w:color="auto"/>
        <w:left w:val="none" w:sz="0" w:space="0" w:color="auto"/>
        <w:bottom w:val="single" w:sz="4" w:space="8" w:color="00B0F0"/>
        <w:right w:val="none" w:sz="0" w:space="0" w:color="auto"/>
      </w:pBdr>
      <w:ind w:right="57"/>
    </w:pPr>
  </w:style>
  <w:style w:type="paragraph" w:customStyle="1" w:styleId="Normalafterpullout">
    <w:name w:val="Normal after pull out"/>
    <w:basedOn w:val="Normal"/>
    <w:rsid w:val="00F363C8"/>
    <w:pPr>
      <w:spacing w:before="360"/>
    </w:pPr>
  </w:style>
  <w:style w:type="character" w:customStyle="1" w:styleId="StrongAction">
    <w:name w:val="Strong Action"/>
    <w:basedOn w:val="Strong"/>
    <w:uiPriority w:val="1"/>
    <w:rsid w:val="00F363C8"/>
    <w:rPr>
      <w:rFonts w:ascii="Arial" w:hAnsi="Arial"/>
      <w:b/>
      <w:bCs/>
      <w:sz w:val="24"/>
    </w:rPr>
  </w:style>
  <w:style w:type="paragraph" w:customStyle="1" w:styleId="Style1">
    <w:name w:val="Style1"/>
    <w:basedOn w:val="Heading1BlueAllCaps"/>
    <w:link w:val="Style1Char"/>
    <w:rsid w:val="00BE3718"/>
    <w:pPr>
      <w:numPr>
        <w:numId w:val="7"/>
      </w:numPr>
    </w:pPr>
  </w:style>
  <w:style w:type="paragraph" w:customStyle="1" w:styleId="ActionHeading1">
    <w:name w:val="Action Heading 1"/>
    <w:basedOn w:val="Normal"/>
    <w:link w:val="ActionHeading1Char"/>
    <w:rsid w:val="00BE3718"/>
    <w:pPr>
      <w:pBdr>
        <w:top w:val="single" w:sz="24" w:space="10" w:color="4F2270"/>
      </w:pBdr>
    </w:pPr>
    <w:rPr>
      <w:color w:val="4F2270"/>
      <w:sz w:val="28"/>
      <w:szCs w:val="28"/>
    </w:rPr>
  </w:style>
  <w:style w:type="paragraph" w:customStyle="1" w:styleId="ActionHeading2Numbered">
    <w:name w:val="Action Heading 2 Numbered"/>
    <w:basedOn w:val="Normal"/>
    <w:link w:val="ActionHeading2NumberedChar"/>
    <w:rsid w:val="00BE3718"/>
    <w:pPr>
      <w:numPr>
        <w:numId w:val="8"/>
      </w:numPr>
      <w:outlineLvl w:val="1"/>
    </w:pPr>
    <w:rPr>
      <w:b/>
      <w:color w:val="4F2270"/>
    </w:rPr>
  </w:style>
  <w:style w:type="paragraph" w:customStyle="1" w:styleId="Bulletpurple">
    <w:name w:val="Bullet purple"/>
    <w:basedOn w:val="Bullet"/>
    <w:link w:val="BulletpurpleChar"/>
    <w:rsid w:val="00BE3718"/>
    <w:pPr>
      <w:numPr>
        <w:numId w:val="9"/>
      </w:numPr>
    </w:pPr>
  </w:style>
  <w:style w:type="paragraph" w:customStyle="1" w:styleId="ActionNormallastpara">
    <w:name w:val="Action Normal last para"/>
    <w:basedOn w:val="Normal"/>
    <w:link w:val="ActionNormallastparaChar"/>
    <w:rsid w:val="00BE3718"/>
    <w:pPr>
      <w:pBdr>
        <w:bottom w:val="single" w:sz="24" w:space="8" w:color="4F2270"/>
      </w:pBdr>
    </w:pPr>
    <w:rPr>
      <w:lang w:eastAsia="ja-JP"/>
    </w:rPr>
  </w:style>
  <w:style w:type="paragraph" w:styleId="TOC4">
    <w:name w:val="toc 4"/>
    <w:basedOn w:val="Normal"/>
    <w:next w:val="Normal"/>
    <w:autoRedefine/>
    <w:uiPriority w:val="39"/>
    <w:unhideWhenUsed/>
    <w:rsid w:val="000B0671"/>
    <w:pPr>
      <w:spacing w:after="0"/>
      <w:ind w:left="660"/>
    </w:pPr>
    <w:rPr>
      <w:rFonts w:asciiTheme="minorHAnsi" w:hAnsiTheme="minorHAnsi"/>
      <w:sz w:val="18"/>
      <w:szCs w:val="18"/>
    </w:rPr>
  </w:style>
  <w:style w:type="paragraph" w:styleId="TOC5">
    <w:name w:val="toc 5"/>
    <w:basedOn w:val="Normal"/>
    <w:next w:val="Normal"/>
    <w:autoRedefine/>
    <w:uiPriority w:val="39"/>
    <w:unhideWhenUsed/>
    <w:rsid w:val="000B0671"/>
    <w:pPr>
      <w:spacing w:after="0"/>
      <w:ind w:left="880"/>
    </w:pPr>
    <w:rPr>
      <w:rFonts w:asciiTheme="minorHAnsi" w:hAnsiTheme="minorHAnsi"/>
      <w:sz w:val="18"/>
      <w:szCs w:val="18"/>
    </w:rPr>
  </w:style>
  <w:style w:type="paragraph" w:styleId="TOC6">
    <w:name w:val="toc 6"/>
    <w:basedOn w:val="Normal"/>
    <w:next w:val="Normal"/>
    <w:autoRedefine/>
    <w:uiPriority w:val="39"/>
    <w:unhideWhenUsed/>
    <w:rsid w:val="000B0671"/>
    <w:pPr>
      <w:spacing w:after="0"/>
      <w:ind w:left="1100"/>
    </w:pPr>
    <w:rPr>
      <w:rFonts w:asciiTheme="minorHAnsi" w:hAnsiTheme="minorHAnsi"/>
      <w:sz w:val="18"/>
      <w:szCs w:val="18"/>
    </w:rPr>
  </w:style>
  <w:style w:type="paragraph" w:styleId="TOC7">
    <w:name w:val="toc 7"/>
    <w:basedOn w:val="Normal"/>
    <w:next w:val="Normal"/>
    <w:autoRedefine/>
    <w:uiPriority w:val="39"/>
    <w:unhideWhenUsed/>
    <w:rsid w:val="000B0671"/>
    <w:pPr>
      <w:spacing w:after="0"/>
      <w:ind w:left="1320"/>
    </w:pPr>
    <w:rPr>
      <w:rFonts w:asciiTheme="minorHAnsi" w:hAnsiTheme="minorHAnsi"/>
      <w:sz w:val="18"/>
      <w:szCs w:val="18"/>
    </w:rPr>
  </w:style>
  <w:style w:type="paragraph" w:styleId="TOC8">
    <w:name w:val="toc 8"/>
    <w:basedOn w:val="Normal"/>
    <w:next w:val="Normal"/>
    <w:autoRedefine/>
    <w:uiPriority w:val="39"/>
    <w:unhideWhenUsed/>
    <w:rsid w:val="000B0671"/>
    <w:pPr>
      <w:spacing w:after="0"/>
      <w:ind w:left="1540"/>
    </w:pPr>
    <w:rPr>
      <w:rFonts w:asciiTheme="minorHAnsi" w:hAnsiTheme="minorHAnsi"/>
      <w:sz w:val="18"/>
      <w:szCs w:val="18"/>
    </w:rPr>
  </w:style>
  <w:style w:type="paragraph" w:styleId="TOC9">
    <w:name w:val="toc 9"/>
    <w:basedOn w:val="Normal"/>
    <w:next w:val="Normal"/>
    <w:autoRedefine/>
    <w:uiPriority w:val="39"/>
    <w:unhideWhenUsed/>
    <w:rsid w:val="000B0671"/>
    <w:pPr>
      <w:spacing w:after="0"/>
      <w:ind w:left="1760"/>
    </w:pPr>
    <w:rPr>
      <w:rFonts w:asciiTheme="minorHAnsi" w:hAnsiTheme="minorHAnsi"/>
      <w:sz w:val="18"/>
      <w:szCs w:val="18"/>
    </w:rPr>
  </w:style>
  <w:style w:type="character" w:customStyle="1" w:styleId="Heading5Char">
    <w:name w:val="Heading 5 Char"/>
    <w:basedOn w:val="DefaultParagraphFont"/>
    <w:link w:val="Heading5"/>
    <w:rsid w:val="00BE3718"/>
    <w:rPr>
      <w:rFonts w:ascii="Times New Roman" w:hAnsi="Times New Roman" w:cs="Times New Roman"/>
      <w:b/>
      <w:bCs/>
      <w:iCs/>
      <w:sz w:val="24"/>
      <w:szCs w:val="26"/>
    </w:rPr>
  </w:style>
  <w:style w:type="character" w:customStyle="1" w:styleId="Heading6Char">
    <w:name w:val="Heading 6 Char"/>
    <w:basedOn w:val="DefaultParagraphFont"/>
    <w:link w:val="Heading6"/>
    <w:rsid w:val="00BE3718"/>
    <w:rPr>
      <w:rFonts w:ascii="Times New Roman" w:hAnsi="Times New Roman" w:cs="Times New Roman"/>
      <w:b/>
      <w:bCs/>
      <w:i/>
      <w:sz w:val="24"/>
    </w:rPr>
  </w:style>
  <w:style w:type="paragraph" w:customStyle="1" w:styleId="xBodytext1">
    <w:name w:val="xBodytext1"/>
    <w:link w:val="xBodytext1Char"/>
    <w:qFormat/>
    <w:rsid w:val="000C1AEF"/>
    <w:rPr>
      <w:rFonts w:ascii="Arial" w:hAnsi="Arial" w:cs="Times New Roman"/>
      <w:color w:val="323E4F"/>
      <w:szCs w:val="20"/>
      <w:lang w:eastAsia="en-AU"/>
    </w:rPr>
  </w:style>
  <w:style w:type="character" w:customStyle="1" w:styleId="xBodytext1Char">
    <w:name w:val="xBodytext1 Char"/>
    <w:basedOn w:val="DefaultParagraphFont"/>
    <w:link w:val="xBodytext1"/>
    <w:rsid w:val="000C1AEF"/>
    <w:rPr>
      <w:rFonts w:ascii="Arial" w:hAnsi="Arial" w:cs="Times New Roman"/>
      <w:color w:val="323E4F"/>
      <w:szCs w:val="20"/>
      <w:lang w:eastAsia="en-AU"/>
    </w:rPr>
  </w:style>
  <w:style w:type="paragraph" w:customStyle="1" w:styleId="casestudypara">
    <w:name w:val="case study para"/>
    <w:link w:val="casestudyparaChar"/>
    <w:rsid w:val="00795765"/>
    <w:pPr>
      <w:shd w:val="clear" w:color="auto" w:fill="F2F2F2" w:themeFill="background1" w:themeFillShade="F2"/>
    </w:pPr>
    <w:rPr>
      <w:rFonts w:cs="Times New Roman"/>
      <w:color w:val="323E4F"/>
      <w:szCs w:val="20"/>
      <w:lang w:eastAsia="en-AU"/>
    </w:rPr>
  </w:style>
  <w:style w:type="paragraph" w:styleId="BodyText2">
    <w:name w:val="Body Text 2"/>
    <w:basedOn w:val="Normal"/>
    <w:link w:val="BodyText2Char"/>
    <w:rsid w:val="007B11F0"/>
    <w:pPr>
      <w:spacing w:after="120" w:line="480" w:lineRule="auto"/>
    </w:pPr>
  </w:style>
  <w:style w:type="character" w:customStyle="1" w:styleId="BodyText2Char">
    <w:name w:val="Body Text 2 Char"/>
    <w:basedOn w:val="DefaultParagraphFont"/>
    <w:link w:val="BodyText2"/>
    <w:rsid w:val="007B11F0"/>
    <w:rPr>
      <w:rFonts w:ascii="Algerian" w:hAnsi="Algerian" w:cs="Times New Roman"/>
      <w:color w:val="323E4F"/>
      <w:sz w:val="20"/>
      <w:szCs w:val="20"/>
      <w:lang w:eastAsia="en-AU"/>
    </w:rPr>
  </w:style>
  <w:style w:type="paragraph" w:customStyle="1" w:styleId="casestudybullet0">
    <w:name w:val="case study bullet"/>
    <w:basedOn w:val="Bullet"/>
    <w:link w:val="casestudybulletChar"/>
    <w:rsid w:val="007B11F0"/>
    <w:pPr>
      <w:shd w:val="clear" w:color="auto" w:fill="F2F2F2" w:themeFill="background1" w:themeFillShade="F2"/>
    </w:pPr>
  </w:style>
  <w:style w:type="character" w:customStyle="1" w:styleId="casestudyparaChar">
    <w:name w:val="case study para Char"/>
    <w:basedOn w:val="xBodytext1Char"/>
    <w:link w:val="casestudypara"/>
    <w:rsid w:val="00795765"/>
    <w:rPr>
      <w:rFonts w:ascii="Arial" w:hAnsi="Arial" w:cs="Times New Roman"/>
      <w:color w:val="323E4F"/>
      <w:szCs w:val="20"/>
      <w:shd w:val="clear" w:color="auto" w:fill="F2F2F2" w:themeFill="background1" w:themeFillShade="F2"/>
      <w:lang w:eastAsia="en-AU"/>
    </w:rPr>
  </w:style>
  <w:style w:type="paragraph" w:customStyle="1" w:styleId="Actionbulletslastpara">
    <w:name w:val="Action bullets last para"/>
    <w:link w:val="ActionbulletslastparaChar"/>
    <w:rsid w:val="005B7F00"/>
    <w:pPr>
      <w:pBdr>
        <w:bottom w:val="single" w:sz="24" w:space="1" w:color="4F2270"/>
      </w:pBdr>
      <w:contextualSpacing/>
    </w:pPr>
    <w:rPr>
      <w:rFonts w:cs="Times New Roman"/>
      <w:color w:val="323E4F"/>
      <w:szCs w:val="20"/>
      <w:lang w:eastAsia="en-AU"/>
    </w:rPr>
  </w:style>
  <w:style w:type="character" w:customStyle="1" w:styleId="BulletChar">
    <w:name w:val="Bullet Char"/>
    <w:basedOn w:val="DefaultParagraphFont"/>
    <w:link w:val="Bullet"/>
    <w:rsid w:val="00795765"/>
    <w:rPr>
      <w:rFonts w:ascii="Arial" w:eastAsiaTheme="minorHAnsi" w:hAnsi="Arial" w:cstheme="minorBidi"/>
    </w:rPr>
  </w:style>
  <w:style w:type="character" w:customStyle="1" w:styleId="casestudybulletChar">
    <w:name w:val="case study bullet Char"/>
    <w:basedOn w:val="BulletChar"/>
    <w:link w:val="casestudybullet0"/>
    <w:rsid w:val="007B11F0"/>
    <w:rPr>
      <w:rFonts w:ascii="Arial" w:eastAsiaTheme="minorHAnsi" w:hAnsi="Arial" w:cstheme="minorBidi"/>
      <w:shd w:val="clear" w:color="auto" w:fill="F2F2F2" w:themeFill="background1" w:themeFillShade="F2"/>
    </w:rPr>
  </w:style>
  <w:style w:type="character" w:customStyle="1" w:styleId="BulletpurpleChar">
    <w:name w:val="Bullet purple Char"/>
    <w:basedOn w:val="DefaultParagraphFont"/>
    <w:link w:val="Bulletpurple"/>
    <w:rsid w:val="00B0535E"/>
    <w:rPr>
      <w:rFonts w:ascii="Arial" w:eastAsiaTheme="minorHAnsi" w:hAnsi="Arial" w:cstheme="minorBidi"/>
    </w:rPr>
  </w:style>
  <w:style w:type="character" w:customStyle="1" w:styleId="ActionbulletslastparaChar">
    <w:name w:val="Action bullets last para Char"/>
    <w:basedOn w:val="BulletpurpleChar"/>
    <w:link w:val="Actionbulletslastpara"/>
    <w:rsid w:val="005B7F00"/>
    <w:rPr>
      <w:rFonts w:ascii="Algerian" w:eastAsiaTheme="minorHAnsi" w:hAnsi="Algerian" w:cs="Times New Roman"/>
      <w:color w:val="323E4F"/>
      <w:sz w:val="20"/>
      <w:szCs w:val="20"/>
      <w:lang w:eastAsia="en-AU"/>
    </w:rPr>
  </w:style>
  <w:style w:type="paragraph" w:customStyle="1" w:styleId="CaseStudyHeading">
    <w:name w:val="Case Study Heading"/>
    <w:basedOn w:val="Caption"/>
    <w:rsid w:val="00BE3718"/>
    <w:pPr>
      <w:keepNext/>
      <w:pBdr>
        <w:top w:val="single" w:sz="4" w:space="5" w:color="F79646" w:themeColor="accent6"/>
        <w:left w:val="single" w:sz="4" w:space="5" w:color="F79646" w:themeColor="accent6"/>
        <w:bottom w:val="single" w:sz="4" w:space="5" w:color="F79646" w:themeColor="accent6"/>
        <w:right w:val="single" w:sz="4" w:space="5" w:color="F79646" w:themeColor="accent6"/>
      </w:pBdr>
      <w:shd w:val="clear" w:color="auto" w:fill="F79646" w:themeFill="accent6"/>
      <w:spacing w:before="240" w:after="60"/>
      <w:ind w:left="170" w:right="170"/>
    </w:pPr>
    <w:rPr>
      <w:b w:val="0"/>
      <w:i/>
      <w:color w:val="FFFFFF" w:themeColor="background1"/>
      <w:sz w:val="24"/>
    </w:rPr>
  </w:style>
  <w:style w:type="paragraph" w:customStyle="1" w:styleId="CaseStudyNormal">
    <w:name w:val="Case Study Normal"/>
    <w:basedOn w:val="Normal"/>
    <w:rsid w:val="00BE3718"/>
    <w:pPr>
      <w:pBdr>
        <w:top w:val="single" w:sz="4" w:space="8" w:color="F2F2F2" w:themeColor="background1" w:themeShade="F2"/>
        <w:left w:val="single" w:sz="4" w:space="8" w:color="F2F2F2" w:themeColor="background1" w:themeShade="F2"/>
        <w:bottom w:val="single" w:sz="4" w:space="8" w:color="F2F2F2" w:themeColor="background1" w:themeShade="F2"/>
        <w:right w:val="single" w:sz="4" w:space="8" w:color="F2F2F2" w:themeColor="background1" w:themeShade="F2"/>
      </w:pBdr>
      <w:shd w:val="clear" w:color="auto" w:fill="F2F2F2" w:themeFill="background1" w:themeFillShade="F2"/>
      <w:ind w:left="170" w:right="170"/>
    </w:pPr>
  </w:style>
  <w:style w:type="paragraph" w:customStyle="1" w:styleId="Heading1BlueAllCaps">
    <w:name w:val="Heading 1 Blue AllCaps"/>
    <w:basedOn w:val="xStyle1"/>
    <w:next w:val="Normal"/>
    <w:link w:val="Heading1BlueAllCapsChar"/>
    <w:autoRedefine/>
    <w:rsid w:val="0016555F"/>
    <w:pPr>
      <w:numPr>
        <w:numId w:val="0"/>
      </w:numPr>
    </w:pPr>
    <w:rPr>
      <w:sz w:val="28"/>
      <w:szCs w:val="28"/>
    </w:rPr>
  </w:style>
  <w:style w:type="paragraph" w:customStyle="1" w:styleId="xheadingno2">
    <w:name w:val="xheading no2"/>
    <w:basedOn w:val="Normal"/>
    <w:next w:val="xbodytext"/>
    <w:link w:val="xheadingno2Char"/>
    <w:qFormat/>
    <w:rsid w:val="00627BE1"/>
    <w:pPr>
      <w:spacing w:after="5520"/>
      <w:jc w:val="center"/>
    </w:pPr>
    <w:rPr>
      <w:rFonts w:eastAsia="Armata" w:cs="Arial"/>
      <w:i/>
      <w:iCs/>
      <w:color w:val="E36C0A" w:themeColor="accent6" w:themeShade="BF"/>
      <w:kern w:val="24"/>
      <w:sz w:val="96"/>
      <w:szCs w:val="96"/>
      <w:lang w:val="en-US"/>
    </w:rPr>
  </w:style>
  <w:style w:type="character" w:customStyle="1" w:styleId="xheadingno2Char">
    <w:name w:val="xheading no2 Char"/>
    <w:basedOn w:val="Heading2Char"/>
    <w:link w:val="xheadingno2"/>
    <w:rsid w:val="00627BE1"/>
    <w:rPr>
      <w:rFonts w:ascii="Arial" w:eastAsia="Armata" w:hAnsi="Arial" w:cs="Arial"/>
      <w:b w:val="0"/>
      <w:bCs w:val="0"/>
      <w:i/>
      <w:iCs/>
      <w:color w:val="E36C0A" w:themeColor="accent6" w:themeShade="BF"/>
      <w:kern w:val="24"/>
      <w:sz w:val="96"/>
      <w:szCs w:val="96"/>
      <w:lang w:val="en-US"/>
    </w:rPr>
  </w:style>
  <w:style w:type="paragraph" w:customStyle="1" w:styleId="xquotes">
    <w:name w:val="xquotes"/>
    <w:next w:val="xbodytext"/>
    <w:link w:val="xquotesChar"/>
    <w:qFormat/>
    <w:rsid w:val="009B26EF"/>
    <w:pPr>
      <w:pBdr>
        <w:top w:val="single" w:sz="8" w:space="1" w:color="0070C0"/>
        <w:bottom w:val="single" w:sz="8" w:space="1" w:color="0070C0"/>
      </w:pBdr>
      <w:spacing w:before="120" w:after="120"/>
    </w:pPr>
    <w:rPr>
      <w:rFonts w:ascii="Arial" w:hAnsi="Arial"/>
      <w:iCs/>
      <w:color w:val="0070C0"/>
      <w:kern w:val="28"/>
    </w:rPr>
  </w:style>
  <w:style w:type="paragraph" w:customStyle="1" w:styleId="xheading3">
    <w:name w:val="xheading3"/>
    <w:next w:val="xbodytext"/>
    <w:link w:val="xheading3Char"/>
    <w:qFormat/>
    <w:rsid w:val="007A0729"/>
    <w:pPr>
      <w:outlineLvl w:val="2"/>
    </w:pPr>
    <w:rPr>
      <w:rFonts w:ascii="Arial" w:eastAsiaTheme="majorEastAsia" w:hAnsi="Arial"/>
      <w:b/>
      <w:bCs/>
      <w:caps/>
      <w:color w:val="0070C0"/>
      <w:sz w:val="20"/>
      <w:szCs w:val="20"/>
      <w:lang w:eastAsia="en-AU"/>
    </w:rPr>
  </w:style>
  <w:style w:type="character" w:customStyle="1" w:styleId="xquotesChar">
    <w:name w:val="xquotes Char"/>
    <w:basedOn w:val="QuoteChar"/>
    <w:link w:val="xquotes"/>
    <w:rsid w:val="009B26EF"/>
    <w:rPr>
      <w:rFonts w:ascii="Arial" w:hAnsi="Arial" w:cs="Times New Roman"/>
      <w:i w:val="0"/>
      <w:iCs/>
      <w:color w:val="0070C0"/>
      <w:kern w:val="28"/>
      <w:sz w:val="24"/>
      <w:szCs w:val="24"/>
    </w:rPr>
  </w:style>
  <w:style w:type="paragraph" w:customStyle="1" w:styleId="xbullets">
    <w:name w:val="xbullets"/>
    <w:link w:val="xbulletsChar"/>
    <w:qFormat/>
    <w:rsid w:val="007A0729"/>
    <w:pPr>
      <w:numPr>
        <w:numId w:val="12"/>
      </w:numPr>
    </w:pPr>
    <w:rPr>
      <w:rFonts w:ascii="Arial" w:eastAsiaTheme="majorEastAsia" w:hAnsi="Arial"/>
      <w:color w:val="323E4F"/>
      <w:lang w:eastAsia="en-AU"/>
    </w:rPr>
  </w:style>
  <w:style w:type="character" w:customStyle="1" w:styleId="xheading3Char">
    <w:name w:val="xheading3 Char"/>
    <w:basedOn w:val="Heading3Char"/>
    <w:link w:val="xheading3"/>
    <w:rsid w:val="007A0729"/>
    <w:rPr>
      <w:rFonts w:ascii="Arial" w:eastAsiaTheme="majorEastAsia" w:hAnsi="Arial"/>
      <w:b/>
      <w:bCs/>
      <w:caps/>
      <w:color w:val="0070C0"/>
      <w:sz w:val="20"/>
      <w:szCs w:val="20"/>
      <w:lang w:eastAsia="en-AU"/>
    </w:rPr>
  </w:style>
  <w:style w:type="paragraph" w:customStyle="1" w:styleId="xActionheading">
    <w:name w:val="xActionheading"/>
    <w:next w:val="xActionnum"/>
    <w:link w:val="xActionheadingChar"/>
    <w:qFormat/>
    <w:rsid w:val="007A0729"/>
    <w:pPr>
      <w:pBdr>
        <w:top w:val="single" w:sz="24" w:space="1" w:color="4F2270"/>
      </w:pBdr>
      <w:spacing w:before="300"/>
    </w:pPr>
    <w:rPr>
      <w:rFonts w:ascii="Arial" w:hAnsi="Arial"/>
      <w:b/>
      <w:color w:val="4F2270"/>
      <w:sz w:val="28"/>
      <w:szCs w:val="28"/>
      <w:lang w:eastAsia="en-AU"/>
    </w:rPr>
  </w:style>
  <w:style w:type="character" w:customStyle="1" w:styleId="xbulletsChar">
    <w:name w:val="xbullets Char"/>
    <w:basedOn w:val="BulletChar"/>
    <w:link w:val="xbullets"/>
    <w:rsid w:val="007A0729"/>
    <w:rPr>
      <w:rFonts w:ascii="Arial" w:eastAsiaTheme="majorEastAsia" w:hAnsi="Arial" w:cstheme="minorBidi"/>
      <w:color w:val="323E4F"/>
      <w:lang w:eastAsia="en-AU"/>
    </w:rPr>
  </w:style>
  <w:style w:type="paragraph" w:customStyle="1" w:styleId="xActionnum">
    <w:name w:val="xActionnum"/>
    <w:next w:val="xActionlastpara"/>
    <w:link w:val="xActionnumChar"/>
    <w:rsid w:val="00750D7E"/>
    <w:pPr>
      <w:numPr>
        <w:numId w:val="11"/>
      </w:numPr>
      <w:spacing w:before="200"/>
      <w:ind w:left="714" w:hanging="357"/>
      <w:outlineLvl w:val="3"/>
    </w:pPr>
    <w:rPr>
      <w:b/>
      <w:color w:val="4F2270"/>
      <w:sz w:val="32"/>
      <w:szCs w:val="24"/>
      <w:lang w:eastAsia="en-AU"/>
    </w:rPr>
  </w:style>
  <w:style w:type="character" w:customStyle="1" w:styleId="ActionHeading1Char">
    <w:name w:val="Action Heading 1 Char"/>
    <w:basedOn w:val="DefaultParagraphFont"/>
    <w:link w:val="ActionHeading1"/>
    <w:rsid w:val="00960B65"/>
    <w:rPr>
      <w:rFonts w:ascii="Garamond" w:eastAsiaTheme="minorHAnsi" w:hAnsi="Garamond" w:cstheme="minorBidi"/>
      <w:color w:val="4F2270"/>
      <w:sz w:val="28"/>
      <w:szCs w:val="28"/>
    </w:rPr>
  </w:style>
  <w:style w:type="character" w:customStyle="1" w:styleId="xActionheadingChar">
    <w:name w:val="xActionheading Char"/>
    <w:basedOn w:val="ActionHeading1Char"/>
    <w:link w:val="xActionheading"/>
    <w:rsid w:val="007A0729"/>
    <w:rPr>
      <w:rFonts w:ascii="Arial" w:eastAsiaTheme="minorHAnsi" w:hAnsi="Arial" w:cstheme="minorBidi"/>
      <w:b/>
      <w:color w:val="4F2270"/>
      <w:sz w:val="28"/>
      <w:szCs w:val="28"/>
      <w:lang w:eastAsia="en-AU"/>
    </w:rPr>
  </w:style>
  <w:style w:type="paragraph" w:customStyle="1" w:styleId="xActionlastpara">
    <w:name w:val="xAction last para"/>
    <w:link w:val="xActionlastparaChar"/>
    <w:qFormat/>
    <w:rsid w:val="00886F07"/>
    <w:pPr>
      <w:pBdr>
        <w:bottom w:val="single" w:sz="24" w:space="6" w:color="4F2270"/>
      </w:pBdr>
      <w:spacing w:after="300" w:line="240" w:lineRule="auto"/>
    </w:pPr>
    <w:rPr>
      <w:rFonts w:ascii="Arial" w:hAnsi="Arial"/>
      <w:color w:val="323E4F"/>
      <w:szCs w:val="20"/>
      <w:lang w:eastAsia="ja-JP"/>
    </w:rPr>
  </w:style>
  <w:style w:type="character" w:customStyle="1" w:styleId="ActionHeading2NumberedChar">
    <w:name w:val="Action Heading 2 Numbered Char"/>
    <w:basedOn w:val="DefaultParagraphFont"/>
    <w:link w:val="ActionHeading2Numbered"/>
    <w:rsid w:val="00960B65"/>
    <w:rPr>
      <w:rFonts w:ascii="Arial" w:eastAsiaTheme="minorHAnsi" w:hAnsi="Arial" w:cstheme="minorBidi"/>
      <w:b/>
      <w:color w:val="4F2270"/>
    </w:rPr>
  </w:style>
  <w:style w:type="character" w:customStyle="1" w:styleId="xActionnumChar">
    <w:name w:val="xActionnum Char"/>
    <w:basedOn w:val="ActionHeading2NumberedChar"/>
    <w:link w:val="xActionnum"/>
    <w:rsid w:val="00750D7E"/>
    <w:rPr>
      <w:rFonts w:ascii="Arial" w:eastAsiaTheme="minorHAnsi" w:hAnsi="Arial" w:cstheme="minorBidi"/>
      <w:b/>
      <w:color w:val="4F2270"/>
      <w:sz w:val="32"/>
      <w:szCs w:val="24"/>
      <w:lang w:eastAsia="en-AU"/>
    </w:rPr>
  </w:style>
  <w:style w:type="character" w:customStyle="1" w:styleId="ActionNormallastparaChar">
    <w:name w:val="Action Normal last para Char"/>
    <w:basedOn w:val="DefaultParagraphFont"/>
    <w:link w:val="ActionNormallastpara"/>
    <w:rsid w:val="00714B43"/>
    <w:rPr>
      <w:rFonts w:ascii="Garamond" w:eastAsiaTheme="minorHAnsi" w:hAnsi="Garamond" w:cstheme="minorBidi"/>
      <w:szCs w:val="16"/>
      <w:lang w:eastAsia="ja-JP"/>
    </w:rPr>
  </w:style>
  <w:style w:type="character" w:customStyle="1" w:styleId="xActionlastparaChar">
    <w:name w:val="xAction last para Char"/>
    <w:basedOn w:val="ActionNormallastparaChar"/>
    <w:link w:val="xActionlastpara"/>
    <w:rsid w:val="00886F07"/>
    <w:rPr>
      <w:rFonts w:ascii="Arial" w:eastAsiaTheme="minorHAnsi" w:hAnsi="Arial" w:cstheme="minorBidi"/>
      <w:color w:val="323E4F"/>
      <w:szCs w:val="20"/>
      <w:lang w:eastAsia="ja-JP"/>
    </w:rPr>
  </w:style>
  <w:style w:type="paragraph" w:customStyle="1" w:styleId="xPriority">
    <w:name w:val="xPriority"/>
    <w:next w:val="xBodytext1"/>
    <w:link w:val="xPriorityChar"/>
    <w:rsid w:val="00F062FA"/>
    <w:pPr>
      <w:numPr>
        <w:numId w:val="10"/>
      </w:numPr>
      <w:outlineLvl w:val="0"/>
    </w:pPr>
    <w:rPr>
      <w:caps/>
      <w:color w:val="0070C0"/>
      <w:sz w:val="32"/>
      <w:szCs w:val="36"/>
      <w:lang w:eastAsia="en-AU"/>
    </w:rPr>
  </w:style>
  <w:style w:type="paragraph" w:customStyle="1" w:styleId="xCasestudybullets">
    <w:name w:val="xCase study bullets"/>
    <w:next w:val="xBodytext1"/>
    <w:link w:val="xCasestudybulletsChar"/>
    <w:qFormat/>
    <w:rsid w:val="007A0729"/>
    <w:pPr>
      <w:shd w:val="pct5" w:color="auto" w:fill="auto"/>
      <w:tabs>
        <w:tab w:val="num" w:pos="720"/>
      </w:tabs>
      <w:ind w:left="357" w:hanging="357"/>
    </w:pPr>
    <w:rPr>
      <w:rFonts w:ascii="Arial" w:hAnsi="Arial"/>
      <w:color w:val="323E4F"/>
      <w:lang w:eastAsia="en-AU"/>
    </w:rPr>
  </w:style>
  <w:style w:type="character" w:customStyle="1" w:styleId="Heading1BlueAllCapsChar">
    <w:name w:val="Heading 1 Blue AllCaps Char"/>
    <w:basedOn w:val="Heading1Char"/>
    <w:link w:val="Heading1BlueAllCaps"/>
    <w:rsid w:val="0016555F"/>
    <w:rPr>
      <w:rFonts w:ascii="Arial" w:eastAsia="Times New Roman" w:hAnsi="Arial" w:cs="Arial"/>
      <w:b w:val="0"/>
      <w:bCs w:val="0"/>
      <w:caps/>
      <w:color w:val="0070C0"/>
      <w:kern w:val="28"/>
      <w:sz w:val="28"/>
      <w:szCs w:val="28"/>
    </w:rPr>
  </w:style>
  <w:style w:type="character" w:customStyle="1" w:styleId="Style1Char">
    <w:name w:val="Style1 Char"/>
    <w:basedOn w:val="Heading1BlueAllCapsChar"/>
    <w:link w:val="Style1"/>
    <w:rsid w:val="009C04B7"/>
    <w:rPr>
      <w:rFonts w:ascii="Arial" w:eastAsiaTheme="minorHAnsi" w:hAnsi="Arial" w:cs="Arial"/>
      <w:b w:val="0"/>
      <w:bCs w:val="0"/>
      <w:caps/>
      <w:color w:val="0070C0"/>
      <w:kern w:val="28"/>
      <w:sz w:val="32"/>
      <w:szCs w:val="36"/>
    </w:rPr>
  </w:style>
  <w:style w:type="character" w:customStyle="1" w:styleId="xPriorityChar">
    <w:name w:val="xPriority Char"/>
    <w:basedOn w:val="Style1Char"/>
    <w:link w:val="xPriority"/>
    <w:rsid w:val="00F062FA"/>
    <w:rPr>
      <w:rFonts w:ascii="Arial" w:eastAsiaTheme="minorHAnsi" w:hAnsi="Arial" w:cs="Arial"/>
      <w:b w:val="0"/>
      <w:bCs w:val="0"/>
      <w:caps/>
      <w:color w:val="0070C0"/>
      <w:kern w:val="28"/>
      <w:sz w:val="32"/>
      <w:szCs w:val="36"/>
      <w:lang w:eastAsia="en-AU"/>
    </w:rPr>
  </w:style>
  <w:style w:type="paragraph" w:customStyle="1" w:styleId="xCasestudybody">
    <w:name w:val="xCase study body"/>
    <w:next w:val="xbodytext"/>
    <w:link w:val="xCasestudybodyChar"/>
    <w:qFormat/>
    <w:rsid w:val="00CE7538"/>
    <w:pPr>
      <w:shd w:val="pct5" w:color="auto" w:fill="auto"/>
    </w:pPr>
    <w:rPr>
      <w:rFonts w:ascii="Arial" w:hAnsi="Arial" w:cs="Times New Roman"/>
      <w:color w:val="323E4F"/>
      <w:lang w:eastAsia="en-AU"/>
    </w:rPr>
  </w:style>
  <w:style w:type="character" w:customStyle="1" w:styleId="xCasestudybulletsChar">
    <w:name w:val="xCase study bullets Char"/>
    <w:basedOn w:val="DefaultParagraphFont"/>
    <w:link w:val="xCasestudybullets"/>
    <w:rsid w:val="007A0729"/>
    <w:rPr>
      <w:rFonts w:ascii="Arial" w:hAnsi="Arial"/>
      <w:color w:val="323E4F"/>
      <w:shd w:val="pct5" w:color="auto" w:fill="auto"/>
      <w:lang w:eastAsia="en-AU"/>
    </w:rPr>
  </w:style>
  <w:style w:type="character" w:customStyle="1" w:styleId="xCasestudybodyChar">
    <w:name w:val="xCase study body Char"/>
    <w:basedOn w:val="DefaultParagraphFont"/>
    <w:link w:val="xCasestudybody"/>
    <w:rsid w:val="00CE7538"/>
    <w:rPr>
      <w:rFonts w:ascii="Arial" w:hAnsi="Arial" w:cs="Times New Roman"/>
      <w:color w:val="323E4F"/>
      <w:shd w:val="pct5" w:color="auto" w:fill="auto"/>
      <w:lang w:eastAsia="en-AU"/>
    </w:rPr>
  </w:style>
  <w:style w:type="paragraph" w:customStyle="1" w:styleId="ACTION">
    <w:name w:val="ACTION"/>
    <w:link w:val="ACTIONChar"/>
    <w:rsid w:val="00DB406E"/>
    <w:rPr>
      <w:rFonts w:eastAsiaTheme="majorEastAsia" w:cstheme="majorBidi"/>
      <w:b/>
      <w:sz w:val="32"/>
      <w:szCs w:val="52"/>
    </w:rPr>
  </w:style>
  <w:style w:type="character" w:customStyle="1" w:styleId="CaptionChar">
    <w:name w:val="Caption Char"/>
    <w:basedOn w:val="DefaultParagraphFont"/>
    <w:link w:val="Caption"/>
    <w:uiPriority w:val="35"/>
    <w:rsid w:val="00DB406E"/>
    <w:rPr>
      <w:rFonts w:ascii="Garamond" w:eastAsiaTheme="minorHAnsi" w:hAnsi="Garamond" w:cstheme="minorBidi"/>
      <w:b/>
      <w:bCs/>
      <w:color w:val="4F81BD" w:themeColor="accent1"/>
      <w:sz w:val="18"/>
      <w:szCs w:val="18"/>
    </w:rPr>
  </w:style>
  <w:style w:type="character" w:customStyle="1" w:styleId="ACTIONChar">
    <w:name w:val="ACTION Char"/>
    <w:basedOn w:val="CaptionChar"/>
    <w:link w:val="ACTION"/>
    <w:rsid w:val="00DB406E"/>
    <w:rPr>
      <w:rFonts w:ascii="Garamond" w:eastAsiaTheme="majorEastAsia" w:hAnsi="Garamond" w:cstheme="majorBidi"/>
      <w:b/>
      <w:bCs w:val="0"/>
      <w:color w:val="4F81BD" w:themeColor="accent1"/>
      <w:sz w:val="32"/>
      <w:szCs w:val="52"/>
    </w:rPr>
  </w:style>
  <w:style w:type="paragraph" w:customStyle="1" w:styleId="XACTION">
    <w:name w:val="XACTION"/>
    <w:link w:val="XACTIONChar"/>
    <w:qFormat/>
    <w:rsid w:val="007A0729"/>
    <w:pPr>
      <w:spacing w:before="200"/>
    </w:pPr>
    <w:rPr>
      <w:rFonts w:ascii="Arial" w:hAnsi="Arial" w:cs="Times New Roman"/>
      <w:b/>
      <w:color w:val="4F2270"/>
      <w:sz w:val="28"/>
      <w:szCs w:val="28"/>
      <w:lang w:eastAsia="en-AU"/>
    </w:rPr>
  </w:style>
  <w:style w:type="character" w:customStyle="1" w:styleId="XACTIONChar">
    <w:name w:val="XACTION Char"/>
    <w:basedOn w:val="xBodytext1Char"/>
    <w:link w:val="XACTION"/>
    <w:rsid w:val="007A0729"/>
    <w:rPr>
      <w:rFonts w:ascii="Arial" w:hAnsi="Arial" w:cs="Times New Roman"/>
      <w:b/>
      <w:color w:val="4F2270"/>
      <w:sz w:val="28"/>
      <w:szCs w:val="28"/>
      <w:lang w:eastAsia="en-AU"/>
    </w:rPr>
  </w:style>
  <w:style w:type="paragraph" w:customStyle="1" w:styleId="xactionsubpoints">
    <w:name w:val="x action sub points"/>
    <w:basedOn w:val="xbullets"/>
    <w:link w:val="xactionsubpointsChar"/>
    <w:qFormat/>
    <w:rsid w:val="00F63612"/>
    <w:pPr>
      <w:numPr>
        <w:numId w:val="0"/>
      </w:numPr>
      <w:tabs>
        <w:tab w:val="num" w:pos="720"/>
      </w:tabs>
      <w:ind w:left="720" w:hanging="218"/>
    </w:pPr>
  </w:style>
  <w:style w:type="character" w:customStyle="1" w:styleId="xactionsubpointsChar">
    <w:name w:val="x action sub points Char"/>
    <w:basedOn w:val="xbulletsChar"/>
    <w:link w:val="xactionsubpoints"/>
    <w:rsid w:val="00F63612"/>
    <w:rPr>
      <w:rFonts w:ascii="Times New Roman" w:eastAsiaTheme="majorEastAsia" w:hAnsi="Times New Roman" w:cs="Times New Roman"/>
      <w:color w:val="323E4F"/>
      <w:sz w:val="24"/>
      <w:szCs w:val="24"/>
      <w:lang w:eastAsia="en-AU"/>
    </w:rPr>
  </w:style>
  <w:style w:type="paragraph" w:customStyle="1" w:styleId="xbodytext">
    <w:name w:val="xbodytext"/>
    <w:link w:val="xbodytextChar"/>
    <w:qFormat/>
    <w:rsid w:val="007A0729"/>
    <w:rPr>
      <w:rFonts w:ascii="Arial" w:eastAsiaTheme="minorHAnsi" w:hAnsi="Arial" w:cstheme="minorBidi"/>
    </w:rPr>
  </w:style>
  <w:style w:type="character" w:customStyle="1" w:styleId="xbodytextChar">
    <w:name w:val="xbodytext Char"/>
    <w:basedOn w:val="DefaultParagraphFont"/>
    <w:link w:val="xbodytext"/>
    <w:rsid w:val="007A0729"/>
    <w:rPr>
      <w:rFonts w:ascii="Arial" w:eastAsiaTheme="minorHAnsi" w:hAnsi="Arial" w:cstheme="minorBidi"/>
    </w:rPr>
  </w:style>
  <w:style w:type="paragraph" w:customStyle="1" w:styleId="xBodyText10">
    <w:name w:val="xBody Text1"/>
    <w:link w:val="xBodyText1Char0"/>
    <w:autoRedefine/>
    <w:qFormat/>
    <w:rsid w:val="00CC329F"/>
    <w:pPr>
      <w:pBdr>
        <w:top w:val="none" w:sz="0" w:space="0" w:color="auto"/>
        <w:left w:val="none" w:sz="0" w:space="0" w:color="auto"/>
        <w:bottom w:val="none" w:sz="0" w:space="0" w:color="auto"/>
        <w:right w:val="none" w:sz="0" w:space="0" w:color="auto"/>
        <w:between w:val="none" w:sz="0" w:space="0" w:color="auto"/>
      </w:pBdr>
      <w:spacing w:after="0" w:line="240" w:lineRule="auto"/>
    </w:pPr>
    <w:rPr>
      <w:rFonts w:ascii="Arial" w:eastAsia="Arial" w:hAnsi="Arial" w:cs="Arial"/>
      <w:color w:val="auto"/>
      <w:sz w:val="20"/>
      <w:szCs w:val="20"/>
      <w:lang w:eastAsia="en-AU"/>
    </w:rPr>
  </w:style>
  <w:style w:type="character" w:customStyle="1" w:styleId="xBodyText1Char0">
    <w:name w:val="xBody Text1 Char"/>
    <w:basedOn w:val="DefaultParagraphFont"/>
    <w:link w:val="xBodyText10"/>
    <w:rsid w:val="00CC329F"/>
    <w:rPr>
      <w:rFonts w:ascii="Arial" w:eastAsia="Arial" w:hAnsi="Arial" w:cs="Arial"/>
      <w:color w:val="auto"/>
      <w:sz w:val="20"/>
      <w:szCs w:val="20"/>
      <w:lang w:eastAsia="en-AU"/>
    </w:rPr>
  </w:style>
  <w:style w:type="paragraph" w:customStyle="1" w:styleId="xQuotes0">
    <w:name w:val="xQuotes"/>
    <w:basedOn w:val="xBodyText10"/>
    <w:link w:val="xQuotesChar0"/>
    <w:qFormat/>
    <w:rsid w:val="00F56DDE"/>
    <w:pPr>
      <w:pBdr>
        <w:top w:val="single" w:sz="8" w:space="1" w:color="0070C0"/>
      </w:pBdr>
      <w:spacing w:before="120"/>
    </w:pPr>
    <w:rPr>
      <w:rFonts w:eastAsiaTheme="minorEastAsia"/>
      <w:color w:val="0070C0"/>
      <w14:textFill>
        <w14:solidFill>
          <w14:srgbClr w14:val="0070C0">
            <w14:lumMod w14:val="50000"/>
          </w14:srgbClr>
        </w14:solidFill>
      </w14:textFill>
    </w:rPr>
  </w:style>
  <w:style w:type="character" w:customStyle="1" w:styleId="xQuotesChar0">
    <w:name w:val="xQuotes Char"/>
    <w:basedOn w:val="xBodyText1Char0"/>
    <w:link w:val="xQuotes0"/>
    <w:rsid w:val="00F56DDE"/>
    <w:rPr>
      <w:rFonts w:ascii="Arial" w:eastAsiaTheme="minorEastAsia" w:hAnsi="Arial" w:cs="Arial"/>
      <w:b w:val="0"/>
      <w:color w:val="0070C0"/>
      <w:sz w:val="20"/>
      <w:szCs w:val="20"/>
      <w:lang w:eastAsia="en-AU"/>
      <w14:textFill>
        <w14:solidFill>
          <w14:srgbClr w14:val="0070C0">
            <w14:lumMod w14:val="50000"/>
          </w14:srgbClr>
        </w14:solidFill>
      </w14:textFill>
    </w:rPr>
  </w:style>
  <w:style w:type="character" w:customStyle="1" w:styleId="A194">
    <w:name w:val="A19+4"/>
    <w:uiPriority w:val="99"/>
    <w:rsid w:val="00221A69"/>
    <w:rPr>
      <w:rFonts w:ascii="Proxima Nova Th" w:hAnsi="Proxima Nova Th" w:cs="Proxima Nova Th"/>
      <w:b/>
      <w:bCs/>
    </w:rPr>
  </w:style>
  <w:style w:type="paragraph" w:customStyle="1" w:styleId="xStyle1">
    <w:name w:val="xStyle1"/>
    <w:qFormat/>
    <w:rsid w:val="00297EEA"/>
    <w:pPr>
      <w:keepNext/>
      <w:numPr>
        <w:numId w:val="13"/>
      </w:numPr>
      <w:pBdr>
        <w:top w:val="none" w:sz="0" w:space="0" w:color="auto"/>
        <w:left w:val="none" w:sz="0" w:space="0" w:color="auto"/>
        <w:bottom w:val="none" w:sz="0" w:space="0" w:color="auto"/>
        <w:right w:val="none" w:sz="0" w:space="0" w:color="auto"/>
        <w:between w:val="none" w:sz="0" w:space="0" w:color="auto"/>
      </w:pBdr>
      <w:spacing w:after="240"/>
      <w:outlineLvl w:val="0"/>
    </w:pPr>
    <w:rPr>
      <w:rFonts w:ascii="Arial" w:eastAsia="Times New Roman" w:hAnsi="Arial" w:cs="Arial"/>
      <w:caps/>
      <w:color w:val="0070C0"/>
      <w:kern w:val="28"/>
      <w:sz w:val="32"/>
      <w:szCs w:val="36"/>
    </w:rPr>
  </w:style>
  <w:style w:type="table" w:customStyle="1" w:styleId="TableGrid2">
    <w:name w:val="Table Grid2"/>
    <w:basedOn w:val="TableNormal"/>
    <w:next w:val="TableGrid"/>
    <w:rsid w:val="00D5424C"/>
    <w:pPr>
      <w:pBdr>
        <w:top w:val="none" w:sz="0" w:space="0" w:color="auto"/>
        <w:left w:val="none" w:sz="0" w:space="0" w:color="auto"/>
        <w:bottom w:val="none" w:sz="0" w:space="0" w:color="auto"/>
        <w:right w:val="none" w:sz="0" w:space="0" w:color="auto"/>
        <w:between w:val="none" w:sz="0" w:space="0" w:color="auto"/>
      </w:pBdr>
      <w:spacing w:after="0" w:line="240" w:lineRule="auto"/>
    </w:pPr>
    <w:rPr>
      <w:rFonts w:ascii="Times New Roman" w:eastAsia="Times New Roman" w:hAnsi="Times New Roman" w:cs="Times New Roman"/>
      <w:color w:val="auto"/>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basedOn w:val="DefaultParagraphFont"/>
    <w:rsid w:val="00890CD9"/>
  </w:style>
  <w:style w:type="table" w:styleId="LightShading-Accent1">
    <w:name w:val="Light Shading Accent 1"/>
    <w:basedOn w:val="TableNormal"/>
    <w:uiPriority w:val="60"/>
    <w:rsid w:val="00936EE5"/>
    <w:pPr>
      <w:pBdr>
        <w:top w:val="none" w:sz="0" w:space="0" w:color="auto"/>
        <w:left w:val="none" w:sz="0" w:space="0" w:color="auto"/>
        <w:bottom w:val="none" w:sz="0" w:space="0" w:color="auto"/>
        <w:right w:val="none" w:sz="0" w:space="0" w:color="auto"/>
        <w:between w:val="none" w:sz="0" w:space="0" w:color="auto"/>
      </w:pBdr>
      <w:spacing w:after="0" w:line="240" w:lineRule="auto"/>
    </w:pPr>
    <w:rPr>
      <w:rFonts w:ascii="Arial" w:eastAsia="Times New Roman" w:hAnsi="Arial" w:cs="Times New Roman"/>
      <w:color w:val="365F91" w:themeColor="accent1" w:themeShade="BF"/>
      <w:sz w:val="24"/>
      <w:szCs w:val="24"/>
      <w:lang w:eastAsia="en-AU"/>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programheading">
    <w:name w:val="program heading"/>
    <w:basedOn w:val="Heading5"/>
    <w:link w:val="programheadingChar"/>
    <w:qFormat/>
    <w:rsid w:val="00B9539C"/>
  </w:style>
  <w:style w:type="character" w:customStyle="1" w:styleId="programheadingChar">
    <w:name w:val="program heading Char"/>
    <w:basedOn w:val="Heading5Char"/>
    <w:link w:val="programheading"/>
    <w:rsid w:val="00B9539C"/>
    <w:rPr>
      <w:rFonts w:ascii="Arial" w:eastAsiaTheme="minorHAnsi" w:hAnsi="Arial" w:cstheme="minorBidi"/>
      <w:b/>
      <w:bCs/>
      <w:iCs/>
      <w:sz w:val="24"/>
      <w:szCs w:val="26"/>
    </w:rPr>
  </w:style>
  <w:style w:type="paragraph" w:customStyle="1" w:styleId="CAB-NumberedParagraph">
    <w:name w:val="CAB - Numbered Paragraph"/>
    <w:basedOn w:val="Normal"/>
    <w:uiPriority w:val="98"/>
    <w:rsid w:val="00CA7BD5"/>
    <w:pPr>
      <w:pBdr>
        <w:top w:val="none" w:sz="0" w:space="0" w:color="auto"/>
        <w:left w:val="none" w:sz="0" w:space="0" w:color="auto"/>
        <w:bottom w:val="none" w:sz="0" w:space="0" w:color="auto"/>
        <w:right w:val="none" w:sz="0" w:space="0" w:color="auto"/>
        <w:between w:val="none" w:sz="0" w:space="0" w:color="auto"/>
      </w:pBdr>
      <w:tabs>
        <w:tab w:val="num" w:pos="142"/>
      </w:tabs>
      <w:spacing w:before="120" w:after="120" w:line="240" w:lineRule="auto"/>
      <w:ind w:left="142"/>
    </w:pPr>
    <w:rPr>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82618">
      <w:bodyDiv w:val="1"/>
      <w:marLeft w:val="0"/>
      <w:marRight w:val="0"/>
      <w:marTop w:val="0"/>
      <w:marBottom w:val="0"/>
      <w:divBdr>
        <w:top w:val="none" w:sz="0" w:space="0" w:color="auto"/>
        <w:left w:val="none" w:sz="0" w:space="0" w:color="auto"/>
        <w:bottom w:val="none" w:sz="0" w:space="0" w:color="auto"/>
        <w:right w:val="none" w:sz="0" w:space="0" w:color="auto"/>
      </w:divBdr>
    </w:div>
    <w:div w:id="9530050">
      <w:bodyDiv w:val="1"/>
      <w:marLeft w:val="0"/>
      <w:marRight w:val="0"/>
      <w:marTop w:val="0"/>
      <w:marBottom w:val="0"/>
      <w:divBdr>
        <w:top w:val="none" w:sz="0" w:space="0" w:color="auto"/>
        <w:left w:val="none" w:sz="0" w:space="0" w:color="auto"/>
        <w:bottom w:val="none" w:sz="0" w:space="0" w:color="auto"/>
        <w:right w:val="none" w:sz="0" w:space="0" w:color="auto"/>
      </w:divBdr>
    </w:div>
    <w:div w:id="40638153">
      <w:bodyDiv w:val="1"/>
      <w:marLeft w:val="0"/>
      <w:marRight w:val="0"/>
      <w:marTop w:val="0"/>
      <w:marBottom w:val="0"/>
      <w:divBdr>
        <w:top w:val="none" w:sz="0" w:space="0" w:color="auto"/>
        <w:left w:val="none" w:sz="0" w:space="0" w:color="auto"/>
        <w:bottom w:val="none" w:sz="0" w:space="0" w:color="auto"/>
        <w:right w:val="none" w:sz="0" w:space="0" w:color="auto"/>
      </w:divBdr>
    </w:div>
    <w:div w:id="43216458">
      <w:bodyDiv w:val="1"/>
      <w:marLeft w:val="0"/>
      <w:marRight w:val="0"/>
      <w:marTop w:val="0"/>
      <w:marBottom w:val="0"/>
      <w:divBdr>
        <w:top w:val="none" w:sz="0" w:space="0" w:color="auto"/>
        <w:left w:val="none" w:sz="0" w:space="0" w:color="auto"/>
        <w:bottom w:val="none" w:sz="0" w:space="0" w:color="auto"/>
        <w:right w:val="none" w:sz="0" w:space="0" w:color="auto"/>
      </w:divBdr>
    </w:div>
    <w:div w:id="72826377">
      <w:bodyDiv w:val="1"/>
      <w:marLeft w:val="0"/>
      <w:marRight w:val="0"/>
      <w:marTop w:val="0"/>
      <w:marBottom w:val="0"/>
      <w:divBdr>
        <w:top w:val="none" w:sz="0" w:space="0" w:color="auto"/>
        <w:left w:val="none" w:sz="0" w:space="0" w:color="auto"/>
        <w:bottom w:val="none" w:sz="0" w:space="0" w:color="auto"/>
        <w:right w:val="none" w:sz="0" w:space="0" w:color="auto"/>
      </w:divBdr>
    </w:div>
    <w:div w:id="295137553">
      <w:bodyDiv w:val="1"/>
      <w:marLeft w:val="0"/>
      <w:marRight w:val="0"/>
      <w:marTop w:val="0"/>
      <w:marBottom w:val="0"/>
      <w:divBdr>
        <w:top w:val="none" w:sz="0" w:space="0" w:color="auto"/>
        <w:left w:val="none" w:sz="0" w:space="0" w:color="auto"/>
        <w:bottom w:val="none" w:sz="0" w:space="0" w:color="auto"/>
        <w:right w:val="none" w:sz="0" w:space="0" w:color="auto"/>
      </w:divBdr>
    </w:div>
    <w:div w:id="296884481">
      <w:bodyDiv w:val="1"/>
      <w:marLeft w:val="0"/>
      <w:marRight w:val="0"/>
      <w:marTop w:val="0"/>
      <w:marBottom w:val="0"/>
      <w:divBdr>
        <w:top w:val="none" w:sz="0" w:space="0" w:color="auto"/>
        <w:left w:val="none" w:sz="0" w:space="0" w:color="auto"/>
        <w:bottom w:val="none" w:sz="0" w:space="0" w:color="auto"/>
        <w:right w:val="none" w:sz="0" w:space="0" w:color="auto"/>
      </w:divBdr>
    </w:div>
    <w:div w:id="329909915">
      <w:bodyDiv w:val="1"/>
      <w:marLeft w:val="0"/>
      <w:marRight w:val="0"/>
      <w:marTop w:val="0"/>
      <w:marBottom w:val="0"/>
      <w:divBdr>
        <w:top w:val="none" w:sz="0" w:space="0" w:color="auto"/>
        <w:left w:val="none" w:sz="0" w:space="0" w:color="auto"/>
        <w:bottom w:val="none" w:sz="0" w:space="0" w:color="auto"/>
        <w:right w:val="none" w:sz="0" w:space="0" w:color="auto"/>
      </w:divBdr>
    </w:div>
    <w:div w:id="343673757">
      <w:bodyDiv w:val="1"/>
      <w:marLeft w:val="0"/>
      <w:marRight w:val="0"/>
      <w:marTop w:val="0"/>
      <w:marBottom w:val="0"/>
      <w:divBdr>
        <w:top w:val="none" w:sz="0" w:space="0" w:color="auto"/>
        <w:left w:val="none" w:sz="0" w:space="0" w:color="auto"/>
        <w:bottom w:val="none" w:sz="0" w:space="0" w:color="auto"/>
        <w:right w:val="none" w:sz="0" w:space="0" w:color="auto"/>
      </w:divBdr>
    </w:div>
    <w:div w:id="344791502">
      <w:bodyDiv w:val="1"/>
      <w:marLeft w:val="0"/>
      <w:marRight w:val="0"/>
      <w:marTop w:val="0"/>
      <w:marBottom w:val="0"/>
      <w:divBdr>
        <w:top w:val="none" w:sz="0" w:space="0" w:color="auto"/>
        <w:left w:val="none" w:sz="0" w:space="0" w:color="auto"/>
        <w:bottom w:val="none" w:sz="0" w:space="0" w:color="auto"/>
        <w:right w:val="none" w:sz="0" w:space="0" w:color="auto"/>
      </w:divBdr>
    </w:div>
    <w:div w:id="350301427">
      <w:bodyDiv w:val="1"/>
      <w:marLeft w:val="0"/>
      <w:marRight w:val="0"/>
      <w:marTop w:val="0"/>
      <w:marBottom w:val="0"/>
      <w:divBdr>
        <w:top w:val="none" w:sz="0" w:space="0" w:color="auto"/>
        <w:left w:val="none" w:sz="0" w:space="0" w:color="auto"/>
        <w:bottom w:val="none" w:sz="0" w:space="0" w:color="auto"/>
        <w:right w:val="none" w:sz="0" w:space="0" w:color="auto"/>
      </w:divBdr>
    </w:div>
    <w:div w:id="354577771">
      <w:bodyDiv w:val="1"/>
      <w:marLeft w:val="0"/>
      <w:marRight w:val="0"/>
      <w:marTop w:val="0"/>
      <w:marBottom w:val="0"/>
      <w:divBdr>
        <w:top w:val="none" w:sz="0" w:space="0" w:color="auto"/>
        <w:left w:val="none" w:sz="0" w:space="0" w:color="auto"/>
        <w:bottom w:val="none" w:sz="0" w:space="0" w:color="auto"/>
        <w:right w:val="none" w:sz="0" w:space="0" w:color="auto"/>
      </w:divBdr>
    </w:div>
    <w:div w:id="357389269">
      <w:bodyDiv w:val="1"/>
      <w:marLeft w:val="0"/>
      <w:marRight w:val="0"/>
      <w:marTop w:val="0"/>
      <w:marBottom w:val="0"/>
      <w:divBdr>
        <w:top w:val="none" w:sz="0" w:space="0" w:color="auto"/>
        <w:left w:val="none" w:sz="0" w:space="0" w:color="auto"/>
        <w:bottom w:val="none" w:sz="0" w:space="0" w:color="auto"/>
        <w:right w:val="none" w:sz="0" w:space="0" w:color="auto"/>
      </w:divBdr>
    </w:div>
    <w:div w:id="378213247">
      <w:bodyDiv w:val="1"/>
      <w:marLeft w:val="0"/>
      <w:marRight w:val="0"/>
      <w:marTop w:val="0"/>
      <w:marBottom w:val="0"/>
      <w:divBdr>
        <w:top w:val="none" w:sz="0" w:space="0" w:color="auto"/>
        <w:left w:val="none" w:sz="0" w:space="0" w:color="auto"/>
        <w:bottom w:val="none" w:sz="0" w:space="0" w:color="auto"/>
        <w:right w:val="none" w:sz="0" w:space="0" w:color="auto"/>
      </w:divBdr>
    </w:div>
    <w:div w:id="391730905">
      <w:bodyDiv w:val="1"/>
      <w:marLeft w:val="0"/>
      <w:marRight w:val="0"/>
      <w:marTop w:val="0"/>
      <w:marBottom w:val="0"/>
      <w:divBdr>
        <w:top w:val="none" w:sz="0" w:space="0" w:color="auto"/>
        <w:left w:val="none" w:sz="0" w:space="0" w:color="auto"/>
        <w:bottom w:val="none" w:sz="0" w:space="0" w:color="auto"/>
        <w:right w:val="none" w:sz="0" w:space="0" w:color="auto"/>
      </w:divBdr>
      <w:divsChild>
        <w:div w:id="1931815539">
          <w:marLeft w:val="0"/>
          <w:marRight w:val="0"/>
          <w:marTop w:val="0"/>
          <w:marBottom w:val="0"/>
          <w:divBdr>
            <w:top w:val="none" w:sz="0" w:space="0" w:color="auto"/>
            <w:left w:val="none" w:sz="0" w:space="0" w:color="auto"/>
            <w:bottom w:val="none" w:sz="0" w:space="0" w:color="auto"/>
            <w:right w:val="none" w:sz="0" w:space="0" w:color="auto"/>
          </w:divBdr>
          <w:divsChild>
            <w:div w:id="901909718">
              <w:marLeft w:val="0"/>
              <w:marRight w:val="0"/>
              <w:marTop w:val="0"/>
              <w:marBottom w:val="0"/>
              <w:divBdr>
                <w:top w:val="none" w:sz="0" w:space="0" w:color="auto"/>
                <w:left w:val="none" w:sz="0" w:space="0" w:color="auto"/>
                <w:bottom w:val="none" w:sz="0" w:space="0" w:color="auto"/>
                <w:right w:val="none" w:sz="0" w:space="0" w:color="auto"/>
              </w:divBdr>
              <w:divsChild>
                <w:div w:id="331876157">
                  <w:marLeft w:val="0"/>
                  <w:marRight w:val="0"/>
                  <w:marTop w:val="0"/>
                  <w:marBottom w:val="0"/>
                  <w:divBdr>
                    <w:top w:val="none" w:sz="0" w:space="0" w:color="auto"/>
                    <w:left w:val="none" w:sz="0" w:space="0" w:color="auto"/>
                    <w:bottom w:val="none" w:sz="0" w:space="0" w:color="auto"/>
                    <w:right w:val="none" w:sz="0" w:space="0" w:color="auto"/>
                  </w:divBdr>
                  <w:divsChild>
                    <w:div w:id="488711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2550316">
      <w:bodyDiv w:val="1"/>
      <w:marLeft w:val="0"/>
      <w:marRight w:val="0"/>
      <w:marTop w:val="0"/>
      <w:marBottom w:val="0"/>
      <w:divBdr>
        <w:top w:val="none" w:sz="0" w:space="0" w:color="auto"/>
        <w:left w:val="none" w:sz="0" w:space="0" w:color="auto"/>
        <w:bottom w:val="none" w:sz="0" w:space="0" w:color="auto"/>
        <w:right w:val="none" w:sz="0" w:space="0" w:color="auto"/>
      </w:divBdr>
    </w:div>
    <w:div w:id="464854764">
      <w:bodyDiv w:val="1"/>
      <w:marLeft w:val="0"/>
      <w:marRight w:val="0"/>
      <w:marTop w:val="0"/>
      <w:marBottom w:val="0"/>
      <w:divBdr>
        <w:top w:val="none" w:sz="0" w:space="0" w:color="auto"/>
        <w:left w:val="none" w:sz="0" w:space="0" w:color="auto"/>
        <w:bottom w:val="none" w:sz="0" w:space="0" w:color="auto"/>
        <w:right w:val="none" w:sz="0" w:space="0" w:color="auto"/>
      </w:divBdr>
      <w:divsChild>
        <w:div w:id="44110433">
          <w:marLeft w:val="547"/>
          <w:marRight w:val="0"/>
          <w:marTop w:val="0"/>
          <w:marBottom w:val="0"/>
          <w:divBdr>
            <w:top w:val="none" w:sz="0" w:space="0" w:color="auto"/>
            <w:left w:val="none" w:sz="0" w:space="0" w:color="auto"/>
            <w:bottom w:val="none" w:sz="0" w:space="0" w:color="auto"/>
            <w:right w:val="none" w:sz="0" w:space="0" w:color="auto"/>
          </w:divBdr>
        </w:div>
        <w:div w:id="157117359">
          <w:marLeft w:val="547"/>
          <w:marRight w:val="0"/>
          <w:marTop w:val="0"/>
          <w:marBottom w:val="0"/>
          <w:divBdr>
            <w:top w:val="none" w:sz="0" w:space="0" w:color="auto"/>
            <w:left w:val="none" w:sz="0" w:space="0" w:color="auto"/>
            <w:bottom w:val="none" w:sz="0" w:space="0" w:color="auto"/>
            <w:right w:val="none" w:sz="0" w:space="0" w:color="auto"/>
          </w:divBdr>
        </w:div>
        <w:div w:id="1029144548">
          <w:marLeft w:val="547"/>
          <w:marRight w:val="0"/>
          <w:marTop w:val="0"/>
          <w:marBottom w:val="0"/>
          <w:divBdr>
            <w:top w:val="none" w:sz="0" w:space="0" w:color="auto"/>
            <w:left w:val="none" w:sz="0" w:space="0" w:color="auto"/>
            <w:bottom w:val="none" w:sz="0" w:space="0" w:color="auto"/>
            <w:right w:val="none" w:sz="0" w:space="0" w:color="auto"/>
          </w:divBdr>
        </w:div>
        <w:div w:id="1707950407">
          <w:marLeft w:val="547"/>
          <w:marRight w:val="0"/>
          <w:marTop w:val="0"/>
          <w:marBottom w:val="0"/>
          <w:divBdr>
            <w:top w:val="none" w:sz="0" w:space="0" w:color="auto"/>
            <w:left w:val="none" w:sz="0" w:space="0" w:color="auto"/>
            <w:bottom w:val="none" w:sz="0" w:space="0" w:color="auto"/>
            <w:right w:val="none" w:sz="0" w:space="0" w:color="auto"/>
          </w:divBdr>
        </w:div>
      </w:divsChild>
    </w:div>
    <w:div w:id="495925724">
      <w:bodyDiv w:val="1"/>
      <w:marLeft w:val="0"/>
      <w:marRight w:val="0"/>
      <w:marTop w:val="0"/>
      <w:marBottom w:val="0"/>
      <w:divBdr>
        <w:top w:val="none" w:sz="0" w:space="0" w:color="auto"/>
        <w:left w:val="none" w:sz="0" w:space="0" w:color="auto"/>
        <w:bottom w:val="none" w:sz="0" w:space="0" w:color="auto"/>
        <w:right w:val="none" w:sz="0" w:space="0" w:color="auto"/>
      </w:divBdr>
    </w:div>
    <w:div w:id="510919521">
      <w:bodyDiv w:val="1"/>
      <w:marLeft w:val="0"/>
      <w:marRight w:val="0"/>
      <w:marTop w:val="0"/>
      <w:marBottom w:val="0"/>
      <w:divBdr>
        <w:top w:val="none" w:sz="0" w:space="0" w:color="auto"/>
        <w:left w:val="none" w:sz="0" w:space="0" w:color="auto"/>
        <w:bottom w:val="none" w:sz="0" w:space="0" w:color="auto"/>
        <w:right w:val="none" w:sz="0" w:space="0" w:color="auto"/>
      </w:divBdr>
    </w:div>
    <w:div w:id="518668316">
      <w:bodyDiv w:val="1"/>
      <w:marLeft w:val="0"/>
      <w:marRight w:val="0"/>
      <w:marTop w:val="0"/>
      <w:marBottom w:val="0"/>
      <w:divBdr>
        <w:top w:val="none" w:sz="0" w:space="0" w:color="auto"/>
        <w:left w:val="none" w:sz="0" w:space="0" w:color="auto"/>
        <w:bottom w:val="none" w:sz="0" w:space="0" w:color="auto"/>
        <w:right w:val="none" w:sz="0" w:space="0" w:color="auto"/>
      </w:divBdr>
    </w:div>
    <w:div w:id="548223934">
      <w:bodyDiv w:val="1"/>
      <w:marLeft w:val="0"/>
      <w:marRight w:val="0"/>
      <w:marTop w:val="0"/>
      <w:marBottom w:val="0"/>
      <w:divBdr>
        <w:top w:val="none" w:sz="0" w:space="0" w:color="auto"/>
        <w:left w:val="none" w:sz="0" w:space="0" w:color="auto"/>
        <w:bottom w:val="none" w:sz="0" w:space="0" w:color="auto"/>
        <w:right w:val="none" w:sz="0" w:space="0" w:color="auto"/>
      </w:divBdr>
    </w:div>
    <w:div w:id="570772125">
      <w:bodyDiv w:val="1"/>
      <w:marLeft w:val="0"/>
      <w:marRight w:val="0"/>
      <w:marTop w:val="0"/>
      <w:marBottom w:val="0"/>
      <w:divBdr>
        <w:top w:val="none" w:sz="0" w:space="0" w:color="auto"/>
        <w:left w:val="none" w:sz="0" w:space="0" w:color="auto"/>
        <w:bottom w:val="none" w:sz="0" w:space="0" w:color="auto"/>
        <w:right w:val="none" w:sz="0" w:space="0" w:color="auto"/>
      </w:divBdr>
    </w:div>
    <w:div w:id="573466813">
      <w:bodyDiv w:val="1"/>
      <w:marLeft w:val="0"/>
      <w:marRight w:val="0"/>
      <w:marTop w:val="0"/>
      <w:marBottom w:val="0"/>
      <w:divBdr>
        <w:top w:val="none" w:sz="0" w:space="0" w:color="auto"/>
        <w:left w:val="none" w:sz="0" w:space="0" w:color="auto"/>
        <w:bottom w:val="none" w:sz="0" w:space="0" w:color="auto"/>
        <w:right w:val="none" w:sz="0" w:space="0" w:color="auto"/>
      </w:divBdr>
    </w:div>
    <w:div w:id="597058279">
      <w:bodyDiv w:val="1"/>
      <w:marLeft w:val="0"/>
      <w:marRight w:val="0"/>
      <w:marTop w:val="0"/>
      <w:marBottom w:val="0"/>
      <w:divBdr>
        <w:top w:val="none" w:sz="0" w:space="0" w:color="auto"/>
        <w:left w:val="none" w:sz="0" w:space="0" w:color="auto"/>
        <w:bottom w:val="none" w:sz="0" w:space="0" w:color="auto"/>
        <w:right w:val="none" w:sz="0" w:space="0" w:color="auto"/>
      </w:divBdr>
    </w:div>
    <w:div w:id="606087933">
      <w:bodyDiv w:val="1"/>
      <w:marLeft w:val="0"/>
      <w:marRight w:val="0"/>
      <w:marTop w:val="0"/>
      <w:marBottom w:val="0"/>
      <w:divBdr>
        <w:top w:val="none" w:sz="0" w:space="0" w:color="auto"/>
        <w:left w:val="none" w:sz="0" w:space="0" w:color="auto"/>
        <w:bottom w:val="none" w:sz="0" w:space="0" w:color="auto"/>
        <w:right w:val="none" w:sz="0" w:space="0" w:color="auto"/>
      </w:divBdr>
    </w:div>
    <w:div w:id="648900447">
      <w:bodyDiv w:val="1"/>
      <w:marLeft w:val="0"/>
      <w:marRight w:val="0"/>
      <w:marTop w:val="0"/>
      <w:marBottom w:val="0"/>
      <w:divBdr>
        <w:top w:val="none" w:sz="0" w:space="0" w:color="auto"/>
        <w:left w:val="none" w:sz="0" w:space="0" w:color="auto"/>
        <w:bottom w:val="none" w:sz="0" w:space="0" w:color="auto"/>
        <w:right w:val="none" w:sz="0" w:space="0" w:color="auto"/>
      </w:divBdr>
    </w:div>
    <w:div w:id="658733908">
      <w:bodyDiv w:val="1"/>
      <w:marLeft w:val="0"/>
      <w:marRight w:val="0"/>
      <w:marTop w:val="0"/>
      <w:marBottom w:val="0"/>
      <w:divBdr>
        <w:top w:val="none" w:sz="0" w:space="0" w:color="auto"/>
        <w:left w:val="none" w:sz="0" w:space="0" w:color="auto"/>
        <w:bottom w:val="none" w:sz="0" w:space="0" w:color="auto"/>
        <w:right w:val="none" w:sz="0" w:space="0" w:color="auto"/>
      </w:divBdr>
    </w:div>
    <w:div w:id="662972782">
      <w:bodyDiv w:val="1"/>
      <w:marLeft w:val="0"/>
      <w:marRight w:val="0"/>
      <w:marTop w:val="0"/>
      <w:marBottom w:val="0"/>
      <w:divBdr>
        <w:top w:val="none" w:sz="0" w:space="0" w:color="auto"/>
        <w:left w:val="none" w:sz="0" w:space="0" w:color="auto"/>
        <w:bottom w:val="none" w:sz="0" w:space="0" w:color="auto"/>
        <w:right w:val="none" w:sz="0" w:space="0" w:color="auto"/>
      </w:divBdr>
      <w:divsChild>
        <w:div w:id="10492834">
          <w:marLeft w:val="547"/>
          <w:marRight w:val="0"/>
          <w:marTop w:val="0"/>
          <w:marBottom w:val="0"/>
          <w:divBdr>
            <w:top w:val="none" w:sz="0" w:space="0" w:color="auto"/>
            <w:left w:val="none" w:sz="0" w:space="0" w:color="auto"/>
            <w:bottom w:val="none" w:sz="0" w:space="0" w:color="auto"/>
            <w:right w:val="none" w:sz="0" w:space="0" w:color="auto"/>
          </w:divBdr>
        </w:div>
        <w:div w:id="963465520">
          <w:marLeft w:val="547"/>
          <w:marRight w:val="0"/>
          <w:marTop w:val="0"/>
          <w:marBottom w:val="0"/>
          <w:divBdr>
            <w:top w:val="none" w:sz="0" w:space="0" w:color="auto"/>
            <w:left w:val="none" w:sz="0" w:space="0" w:color="auto"/>
            <w:bottom w:val="none" w:sz="0" w:space="0" w:color="auto"/>
            <w:right w:val="none" w:sz="0" w:space="0" w:color="auto"/>
          </w:divBdr>
        </w:div>
        <w:div w:id="1844007949">
          <w:marLeft w:val="547"/>
          <w:marRight w:val="0"/>
          <w:marTop w:val="0"/>
          <w:marBottom w:val="0"/>
          <w:divBdr>
            <w:top w:val="none" w:sz="0" w:space="0" w:color="auto"/>
            <w:left w:val="none" w:sz="0" w:space="0" w:color="auto"/>
            <w:bottom w:val="none" w:sz="0" w:space="0" w:color="auto"/>
            <w:right w:val="none" w:sz="0" w:space="0" w:color="auto"/>
          </w:divBdr>
        </w:div>
        <w:div w:id="1934432026">
          <w:marLeft w:val="547"/>
          <w:marRight w:val="0"/>
          <w:marTop w:val="0"/>
          <w:marBottom w:val="0"/>
          <w:divBdr>
            <w:top w:val="none" w:sz="0" w:space="0" w:color="auto"/>
            <w:left w:val="none" w:sz="0" w:space="0" w:color="auto"/>
            <w:bottom w:val="none" w:sz="0" w:space="0" w:color="auto"/>
            <w:right w:val="none" w:sz="0" w:space="0" w:color="auto"/>
          </w:divBdr>
        </w:div>
      </w:divsChild>
    </w:div>
    <w:div w:id="678190818">
      <w:bodyDiv w:val="1"/>
      <w:marLeft w:val="0"/>
      <w:marRight w:val="0"/>
      <w:marTop w:val="0"/>
      <w:marBottom w:val="0"/>
      <w:divBdr>
        <w:top w:val="none" w:sz="0" w:space="0" w:color="auto"/>
        <w:left w:val="none" w:sz="0" w:space="0" w:color="auto"/>
        <w:bottom w:val="none" w:sz="0" w:space="0" w:color="auto"/>
        <w:right w:val="none" w:sz="0" w:space="0" w:color="auto"/>
      </w:divBdr>
    </w:div>
    <w:div w:id="736904463">
      <w:bodyDiv w:val="1"/>
      <w:marLeft w:val="0"/>
      <w:marRight w:val="0"/>
      <w:marTop w:val="0"/>
      <w:marBottom w:val="0"/>
      <w:divBdr>
        <w:top w:val="none" w:sz="0" w:space="0" w:color="auto"/>
        <w:left w:val="none" w:sz="0" w:space="0" w:color="auto"/>
        <w:bottom w:val="none" w:sz="0" w:space="0" w:color="auto"/>
        <w:right w:val="none" w:sz="0" w:space="0" w:color="auto"/>
      </w:divBdr>
    </w:div>
    <w:div w:id="738018172">
      <w:bodyDiv w:val="1"/>
      <w:marLeft w:val="0"/>
      <w:marRight w:val="0"/>
      <w:marTop w:val="0"/>
      <w:marBottom w:val="0"/>
      <w:divBdr>
        <w:top w:val="none" w:sz="0" w:space="0" w:color="auto"/>
        <w:left w:val="none" w:sz="0" w:space="0" w:color="auto"/>
        <w:bottom w:val="none" w:sz="0" w:space="0" w:color="auto"/>
        <w:right w:val="none" w:sz="0" w:space="0" w:color="auto"/>
      </w:divBdr>
    </w:div>
    <w:div w:id="741636067">
      <w:bodyDiv w:val="1"/>
      <w:marLeft w:val="0"/>
      <w:marRight w:val="0"/>
      <w:marTop w:val="0"/>
      <w:marBottom w:val="0"/>
      <w:divBdr>
        <w:top w:val="none" w:sz="0" w:space="0" w:color="auto"/>
        <w:left w:val="none" w:sz="0" w:space="0" w:color="auto"/>
        <w:bottom w:val="none" w:sz="0" w:space="0" w:color="auto"/>
        <w:right w:val="none" w:sz="0" w:space="0" w:color="auto"/>
      </w:divBdr>
      <w:divsChild>
        <w:div w:id="295380402">
          <w:marLeft w:val="0"/>
          <w:marRight w:val="0"/>
          <w:marTop w:val="0"/>
          <w:marBottom w:val="0"/>
          <w:divBdr>
            <w:top w:val="none" w:sz="0" w:space="0" w:color="auto"/>
            <w:left w:val="none" w:sz="0" w:space="0" w:color="auto"/>
            <w:bottom w:val="none" w:sz="0" w:space="0" w:color="auto"/>
            <w:right w:val="none" w:sz="0" w:space="0" w:color="auto"/>
          </w:divBdr>
          <w:divsChild>
            <w:div w:id="991520025">
              <w:marLeft w:val="0"/>
              <w:marRight w:val="0"/>
              <w:marTop w:val="0"/>
              <w:marBottom w:val="0"/>
              <w:divBdr>
                <w:top w:val="none" w:sz="0" w:space="0" w:color="auto"/>
                <w:left w:val="none" w:sz="0" w:space="0" w:color="auto"/>
                <w:bottom w:val="none" w:sz="0" w:space="0" w:color="auto"/>
                <w:right w:val="none" w:sz="0" w:space="0" w:color="auto"/>
              </w:divBdr>
              <w:divsChild>
                <w:div w:id="482627187">
                  <w:marLeft w:val="0"/>
                  <w:marRight w:val="0"/>
                  <w:marTop w:val="0"/>
                  <w:marBottom w:val="0"/>
                  <w:divBdr>
                    <w:top w:val="none" w:sz="0" w:space="0" w:color="auto"/>
                    <w:left w:val="none" w:sz="0" w:space="0" w:color="auto"/>
                    <w:bottom w:val="none" w:sz="0" w:space="0" w:color="auto"/>
                    <w:right w:val="none" w:sz="0" w:space="0" w:color="auto"/>
                  </w:divBdr>
                  <w:divsChild>
                    <w:div w:id="172845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1437507">
      <w:bodyDiv w:val="1"/>
      <w:marLeft w:val="0"/>
      <w:marRight w:val="0"/>
      <w:marTop w:val="0"/>
      <w:marBottom w:val="0"/>
      <w:divBdr>
        <w:top w:val="none" w:sz="0" w:space="0" w:color="auto"/>
        <w:left w:val="none" w:sz="0" w:space="0" w:color="auto"/>
        <w:bottom w:val="none" w:sz="0" w:space="0" w:color="auto"/>
        <w:right w:val="none" w:sz="0" w:space="0" w:color="auto"/>
      </w:divBdr>
    </w:div>
    <w:div w:id="880094767">
      <w:bodyDiv w:val="1"/>
      <w:marLeft w:val="0"/>
      <w:marRight w:val="0"/>
      <w:marTop w:val="0"/>
      <w:marBottom w:val="0"/>
      <w:divBdr>
        <w:top w:val="none" w:sz="0" w:space="0" w:color="auto"/>
        <w:left w:val="none" w:sz="0" w:space="0" w:color="auto"/>
        <w:bottom w:val="none" w:sz="0" w:space="0" w:color="auto"/>
        <w:right w:val="none" w:sz="0" w:space="0" w:color="auto"/>
      </w:divBdr>
    </w:div>
    <w:div w:id="915434868">
      <w:bodyDiv w:val="1"/>
      <w:marLeft w:val="0"/>
      <w:marRight w:val="0"/>
      <w:marTop w:val="0"/>
      <w:marBottom w:val="0"/>
      <w:divBdr>
        <w:top w:val="none" w:sz="0" w:space="0" w:color="auto"/>
        <w:left w:val="none" w:sz="0" w:space="0" w:color="auto"/>
        <w:bottom w:val="none" w:sz="0" w:space="0" w:color="auto"/>
        <w:right w:val="none" w:sz="0" w:space="0" w:color="auto"/>
      </w:divBdr>
    </w:div>
    <w:div w:id="1015039262">
      <w:bodyDiv w:val="1"/>
      <w:marLeft w:val="0"/>
      <w:marRight w:val="0"/>
      <w:marTop w:val="0"/>
      <w:marBottom w:val="0"/>
      <w:divBdr>
        <w:top w:val="none" w:sz="0" w:space="0" w:color="auto"/>
        <w:left w:val="none" w:sz="0" w:space="0" w:color="auto"/>
        <w:bottom w:val="none" w:sz="0" w:space="0" w:color="auto"/>
        <w:right w:val="none" w:sz="0" w:space="0" w:color="auto"/>
      </w:divBdr>
    </w:div>
    <w:div w:id="1035351716">
      <w:bodyDiv w:val="1"/>
      <w:marLeft w:val="0"/>
      <w:marRight w:val="0"/>
      <w:marTop w:val="0"/>
      <w:marBottom w:val="0"/>
      <w:divBdr>
        <w:top w:val="none" w:sz="0" w:space="0" w:color="auto"/>
        <w:left w:val="none" w:sz="0" w:space="0" w:color="auto"/>
        <w:bottom w:val="none" w:sz="0" w:space="0" w:color="auto"/>
        <w:right w:val="none" w:sz="0" w:space="0" w:color="auto"/>
      </w:divBdr>
    </w:div>
    <w:div w:id="1048912753">
      <w:bodyDiv w:val="1"/>
      <w:marLeft w:val="0"/>
      <w:marRight w:val="0"/>
      <w:marTop w:val="0"/>
      <w:marBottom w:val="0"/>
      <w:divBdr>
        <w:top w:val="none" w:sz="0" w:space="0" w:color="auto"/>
        <w:left w:val="none" w:sz="0" w:space="0" w:color="auto"/>
        <w:bottom w:val="none" w:sz="0" w:space="0" w:color="auto"/>
        <w:right w:val="none" w:sz="0" w:space="0" w:color="auto"/>
      </w:divBdr>
    </w:div>
    <w:div w:id="1061178220">
      <w:bodyDiv w:val="1"/>
      <w:marLeft w:val="0"/>
      <w:marRight w:val="0"/>
      <w:marTop w:val="0"/>
      <w:marBottom w:val="0"/>
      <w:divBdr>
        <w:top w:val="none" w:sz="0" w:space="0" w:color="auto"/>
        <w:left w:val="none" w:sz="0" w:space="0" w:color="auto"/>
        <w:bottom w:val="none" w:sz="0" w:space="0" w:color="auto"/>
        <w:right w:val="none" w:sz="0" w:space="0" w:color="auto"/>
      </w:divBdr>
    </w:div>
    <w:div w:id="1092895974">
      <w:bodyDiv w:val="1"/>
      <w:marLeft w:val="0"/>
      <w:marRight w:val="0"/>
      <w:marTop w:val="0"/>
      <w:marBottom w:val="0"/>
      <w:divBdr>
        <w:top w:val="none" w:sz="0" w:space="0" w:color="auto"/>
        <w:left w:val="none" w:sz="0" w:space="0" w:color="auto"/>
        <w:bottom w:val="none" w:sz="0" w:space="0" w:color="auto"/>
        <w:right w:val="none" w:sz="0" w:space="0" w:color="auto"/>
      </w:divBdr>
    </w:div>
    <w:div w:id="1100220770">
      <w:bodyDiv w:val="1"/>
      <w:marLeft w:val="0"/>
      <w:marRight w:val="0"/>
      <w:marTop w:val="0"/>
      <w:marBottom w:val="0"/>
      <w:divBdr>
        <w:top w:val="none" w:sz="0" w:space="0" w:color="auto"/>
        <w:left w:val="none" w:sz="0" w:space="0" w:color="auto"/>
        <w:bottom w:val="none" w:sz="0" w:space="0" w:color="auto"/>
        <w:right w:val="none" w:sz="0" w:space="0" w:color="auto"/>
      </w:divBdr>
    </w:div>
    <w:div w:id="1156149151">
      <w:bodyDiv w:val="1"/>
      <w:marLeft w:val="0"/>
      <w:marRight w:val="0"/>
      <w:marTop w:val="0"/>
      <w:marBottom w:val="0"/>
      <w:divBdr>
        <w:top w:val="none" w:sz="0" w:space="0" w:color="auto"/>
        <w:left w:val="none" w:sz="0" w:space="0" w:color="auto"/>
        <w:bottom w:val="none" w:sz="0" w:space="0" w:color="auto"/>
        <w:right w:val="none" w:sz="0" w:space="0" w:color="auto"/>
      </w:divBdr>
    </w:div>
    <w:div w:id="1158689110">
      <w:bodyDiv w:val="1"/>
      <w:marLeft w:val="0"/>
      <w:marRight w:val="0"/>
      <w:marTop w:val="0"/>
      <w:marBottom w:val="0"/>
      <w:divBdr>
        <w:top w:val="none" w:sz="0" w:space="0" w:color="auto"/>
        <w:left w:val="none" w:sz="0" w:space="0" w:color="auto"/>
        <w:bottom w:val="none" w:sz="0" w:space="0" w:color="auto"/>
        <w:right w:val="none" w:sz="0" w:space="0" w:color="auto"/>
      </w:divBdr>
    </w:div>
    <w:div w:id="1170757012">
      <w:bodyDiv w:val="1"/>
      <w:marLeft w:val="0"/>
      <w:marRight w:val="0"/>
      <w:marTop w:val="0"/>
      <w:marBottom w:val="0"/>
      <w:divBdr>
        <w:top w:val="none" w:sz="0" w:space="0" w:color="auto"/>
        <w:left w:val="none" w:sz="0" w:space="0" w:color="auto"/>
        <w:bottom w:val="none" w:sz="0" w:space="0" w:color="auto"/>
        <w:right w:val="none" w:sz="0" w:space="0" w:color="auto"/>
      </w:divBdr>
    </w:div>
    <w:div w:id="1203975430">
      <w:bodyDiv w:val="1"/>
      <w:marLeft w:val="0"/>
      <w:marRight w:val="0"/>
      <w:marTop w:val="0"/>
      <w:marBottom w:val="0"/>
      <w:divBdr>
        <w:top w:val="none" w:sz="0" w:space="0" w:color="auto"/>
        <w:left w:val="none" w:sz="0" w:space="0" w:color="auto"/>
        <w:bottom w:val="none" w:sz="0" w:space="0" w:color="auto"/>
        <w:right w:val="none" w:sz="0" w:space="0" w:color="auto"/>
      </w:divBdr>
    </w:div>
    <w:div w:id="1215001489">
      <w:bodyDiv w:val="1"/>
      <w:marLeft w:val="0"/>
      <w:marRight w:val="0"/>
      <w:marTop w:val="0"/>
      <w:marBottom w:val="0"/>
      <w:divBdr>
        <w:top w:val="none" w:sz="0" w:space="0" w:color="auto"/>
        <w:left w:val="none" w:sz="0" w:space="0" w:color="auto"/>
        <w:bottom w:val="none" w:sz="0" w:space="0" w:color="auto"/>
        <w:right w:val="none" w:sz="0" w:space="0" w:color="auto"/>
      </w:divBdr>
    </w:div>
    <w:div w:id="1259481153">
      <w:bodyDiv w:val="1"/>
      <w:marLeft w:val="0"/>
      <w:marRight w:val="0"/>
      <w:marTop w:val="0"/>
      <w:marBottom w:val="0"/>
      <w:divBdr>
        <w:top w:val="none" w:sz="0" w:space="0" w:color="auto"/>
        <w:left w:val="none" w:sz="0" w:space="0" w:color="auto"/>
        <w:bottom w:val="none" w:sz="0" w:space="0" w:color="auto"/>
        <w:right w:val="none" w:sz="0" w:space="0" w:color="auto"/>
      </w:divBdr>
    </w:div>
    <w:div w:id="1259828152">
      <w:bodyDiv w:val="1"/>
      <w:marLeft w:val="0"/>
      <w:marRight w:val="0"/>
      <w:marTop w:val="0"/>
      <w:marBottom w:val="0"/>
      <w:divBdr>
        <w:top w:val="none" w:sz="0" w:space="0" w:color="auto"/>
        <w:left w:val="none" w:sz="0" w:space="0" w:color="auto"/>
        <w:bottom w:val="none" w:sz="0" w:space="0" w:color="auto"/>
        <w:right w:val="none" w:sz="0" w:space="0" w:color="auto"/>
      </w:divBdr>
    </w:div>
    <w:div w:id="1377848162">
      <w:bodyDiv w:val="1"/>
      <w:marLeft w:val="0"/>
      <w:marRight w:val="0"/>
      <w:marTop w:val="0"/>
      <w:marBottom w:val="0"/>
      <w:divBdr>
        <w:top w:val="none" w:sz="0" w:space="0" w:color="auto"/>
        <w:left w:val="none" w:sz="0" w:space="0" w:color="auto"/>
        <w:bottom w:val="none" w:sz="0" w:space="0" w:color="auto"/>
        <w:right w:val="none" w:sz="0" w:space="0" w:color="auto"/>
      </w:divBdr>
    </w:div>
    <w:div w:id="1383401330">
      <w:bodyDiv w:val="1"/>
      <w:marLeft w:val="0"/>
      <w:marRight w:val="0"/>
      <w:marTop w:val="0"/>
      <w:marBottom w:val="0"/>
      <w:divBdr>
        <w:top w:val="none" w:sz="0" w:space="0" w:color="auto"/>
        <w:left w:val="none" w:sz="0" w:space="0" w:color="auto"/>
        <w:bottom w:val="none" w:sz="0" w:space="0" w:color="auto"/>
        <w:right w:val="none" w:sz="0" w:space="0" w:color="auto"/>
      </w:divBdr>
    </w:div>
    <w:div w:id="1398045086">
      <w:bodyDiv w:val="1"/>
      <w:marLeft w:val="0"/>
      <w:marRight w:val="0"/>
      <w:marTop w:val="0"/>
      <w:marBottom w:val="0"/>
      <w:divBdr>
        <w:top w:val="none" w:sz="0" w:space="0" w:color="auto"/>
        <w:left w:val="none" w:sz="0" w:space="0" w:color="auto"/>
        <w:bottom w:val="none" w:sz="0" w:space="0" w:color="auto"/>
        <w:right w:val="none" w:sz="0" w:space="0" w:color="auto"/>
      </w:divBdr>
    </w:div>
    <w:div w:id="1412696421">
      <w:bodyDiv w:val="1"/>
      <w:marLeft w:val="0"/>
      <w:marRight w:val="0"/>
      <w:marTop w:val="0"/>
      <w:marBottom w:val="0"/>
      <w:divBdr>
        <w:top w:val="none" w:sz="0" w:space="0" w:color="auto"/>
        <w:left w:val="none" w:sz="0" w:space="0" w:color="auto"/>
        <w:bottom w:val="none" w:sz="0" w:space="0" w:color="auto"/>
        <w:right w:val="none" w:sz="0" w:space="0" w:color="auto"/>
      </w:divBdr>
    </w:div>
    <w:div w:id="1450582562">
      <w:bodyDiv w:val="1"/>
      <w:marLeft w:val="0"/>
      <w:marRight w:val="0"/>
      <w:marTop w:val="0"/>
      <w:marBottom w:val="0"/>
      <w:divBdr>
        <w:top w:val="none" w:sz="0" w:space="0" w:color="auto"/>
        <w:left w:val="none" w:sz="0" w:space="0" w:color="auto"/>
        <w:bottom w:val="none" w:sz="0" w:space="0" w:color="auto"/>
        <w:right w:val="none" w:sz="0" w:space="0" w:color="auto"/>
      </w:divBdr>
    </w:div>
    <w:div w:id="1450662004">
      <w:bodyDiv w:val="1"/>
      <w:marLeft w:val="0"/>
      <w:marRight w:val="0"/>
      <w:marTop w:val="0"/>
      <w:marBottom w:val="0"/>
      <w:divBdr>
        <w:top w:val="none" w:sz="0" w:space="0" w:color="auto"/>
        <w:left w:val="none" w:sz="0" w:space="0" w:color="auto"/>
        <w:bottom w:val="none" w:sz="0" w:space="0" w:color="auto"/>
        <w:right w:val="none" w:sz="0" w:space="0" w:color="auto"/>
      </w:divBdr>
    </w:div>
    <w:div w:id="1498418566">
      <w:bodyDiv w:val="1"/>
      <w:marLeft w:val="0"/>
      <w:marRight w:val="0"/>
      <w:marTop w:val="0"/>
      <w:marBottom w:val="0"/>
      <w:divBdr>
        <w:top w:val="none" w:sz="0" w:space="0" w:color="auto"/>
        <w:left w:val="none" w:sz="0" w:space="0" w:color="auto"/>
        <w:bottom w:val="none" w:sz="0" w:space="0" w:color="auto"/>
        <w:right w:val="none" w:sz="0" w:space="0" w:color="auto"/>
      </w:divBdr>
    </w:div>
    <w:div w:id="1538350456">
      <w:bodyDiv w:val="1"/>
      <w:marLeft w:val="0"/>
      <w:marRight w:val="0"/>
      <w:marTop w:val="0"/>
      <w:marBottom w:val="0"/>
      <w:divBdr>
        <w:top w:val="none" w:sz="0" w:space="0" w:color="auto"/>
        <w:left w:val="none" w:sz="0" w:space="0" w:color="auto"/>
        <w:bottom w:val="none" w:sz="0" w:space="0" w:color="auto"/>
        <w:right w:val="none" w:sz="0" w:space="0" w:color="auto"/>
      </w:divBdr>
    </w:div>
    <w:div w:id="1576160217">
      <w:bodyDiv w:val="1"/>
      <w:marLeft w:val="0"/>
      <w:marRight w:val="0"/>
      <w:marTop w:val="0"/>
      <w:marBottom w:val="0"/>
      <w:divBdr>
        <w:top w:val="none" w:sz="0" w:space="0" w:color="auto"/>
        <w:left w:val="none" w:sz="0" w:space="0" w:color="auto"/>
        <w:bottom w:val="none" w:sz="0" w:space="0" w:color="auto"/>
        <w:right w:val="none" w:sz="0" w:space="0" w:color="auto"/>
      </w:divBdr>
      <w:divsChild>
        <w:div w:id="1208450793">
          <w:marLeft w:val="0"/>
          <w:marRight w:val="0"/>
          <w:marTop w:val="0"/>
          <w:marBottom w:val="0"/>
          <w:divBdr>
            <w:top w:val="none" w:sz="0" w:space="0" w:color="auto"/>
            <w:left w:val="none" w:sz="0" w:space="0" w:color="auto"/>
            <w:bottom w:val="none" w:sz="0" w:space="0" w:color="auto"/>
            <w:right w:val="none" w:sz="0" w:space="0" w:color="auto"/>
          </w:divBdr>
          <w:divsChild>
            <w:div w:id="2012950833">
              <w:marLeft w:val="0"/>
              <w:marRight w:val="0"/>
              <w:marTop w:val="0"/>
              <w:marBottom w:val="0"/>
              <w:divBdr>
                <w:top w:val="none" w:sz="0" w:space="0" w:color="auto"/>
                <w:left w:val="none" w:sz="0" w:space="0" w:color="auto"/>
                <w:bottom w:val="none" w:sz="0" w:space="0" w:color="auto"/>
                <w:right w:val="none" w:sz="0" w:space="0" w:color="auto"/>
              </w:divBdr>
              <w:divsChild>
                <w:div w:id="1222400696">
                  <w:marLeft w:val="-75"/>
                  <w:marRight w:val="-75"/>
                  <w:marTop w:val="0"/>
                  <w:marBottom w:val="0"/>
                  <w:divBdr>
                    <w:top w:val="none" w:sz="0" w:space="0" w:color="auto"/>
                    <w:left w:val="none" w:sz="0" w:space="0" w:color="auto"/>
                    <w:bottom w:val="none" w:sz="0" w:space="0" w:color="auto"/>
                    <w:right w:val="none" w:sz="0" w:space="0" w:color="auto"/>
                  </w:divBdr>
                  <w:divsChild>
                    <w:div w:id="628977523">
                      <w:marLeft w:val="0"/>
                      <w:marRight w:val="0"/>
                      <w:marTop w:val="0"/>
                      <w:marBottom w:val="0"/>
                      <w:divBdr>
                        <w:top w:val="none" w:sz="0" w:space="0" w:color="auto"/>
                        <w:left w:val="none" w:sz="0" w:space="0" w:color="auto"/>
                        <w:bottom w:val="none" w:sz="0" w:space="0" w:color="auto"/>
                        <w:right w:val="none" w:sz="0" w:space="0" w:color="auto"/>
                      </w:divBdr>
                      <w:divsChild>
                        <w:div w:id="2099860380">
                          <w:marLeft w:val="-75"/>
                          <w:marRight w:val="-75"/>
                          <w:marTop w:val="0"/>
                          <w:marBottom w:val="0"/>
                          <w:divBdr>
                            <w:top w:val="none" w:sz="0" w:space="0" w:color="auto"/>
                            <w:left w:val="none" w:sz="0" w:space="0" w:color="auto"/>
                            <w:bottom w:val="none" w:sz="0" w:space="0" w:color="auto"/>
                            <w:right w:val="none" w:sz="0" w:space="0" w:color="auto"/>
                          </w:divBdr>
                          <w:divsChild>
                            <w:div w:id="209068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8461337">
      <w:bodyDiv w:val="1"/>
      <w:marLeft w:val="0"/>
      <w:marRight w:val="0"/>
      <w:marTop w:val="0"/>
      <w:marBottom w:val="0"/>
      <w:divBdr>
        <w:top w:val="none" w:sz="0" w:space="0" w:color="auto"/>
        <w:left w:val="none" w:sz="0" w:space="0" w:color="auto"/>
        <w:bottom w:val="none" w:sz="0" w:space="0" w:color="auto"/>
        <w:right w:val="none" w:sz="0" w:space="0" w:color="auto"/>
      </w:divBdr>
    </w:div>
    <w:div w:id="1623225958">
      <w:bodyDiv w:val="1"/>
      <w:marLeft w:val="0"/>
      <w:marRight w:val="0"/>
      <w:marTop w:val="0"/>
      <w:marBottom w:val="0"/>
      <w:divBdr>
        <w:top w:val="none" w:sz="0" w:space="0" w:color="auto"/>
        <w:left w:val="none" w:sz="0" w:space="0" w:color="auto"/>
        <w:bottom w:val="none" w:sz="0" w:space="0" w:color="auto"/>
        <w:right w:val="none" w:sz="0" w:space="0" w:color="auto"/>
      </w:divBdr>
    </w:div>
    <w:div w:id="1646155483">
      <w:bodyDiv w:val="1"/>
      <w:marLeft w:val="0"/>
      <w:marRight w:val="0"/>
      <w:marTop w:val="0"/>
      <w:marBottom w:val="0"/>
      <w:divBdr>
        <w:top w:val="none" w:sz="0" w:space="0" w:color="auto"/>
        <w:left w:val="none" w:sz="0" w:space="0" w:color="auto"/>
        <w:bottom w:val="none" w:sz="0" w:space="0" w:color="auto"/>
        <w:right w:val="none" w:sz="0" w:space="0" w:color="auto"/>
      </w:divBdr>
    </w:div>
    <w:div w:id="1704212166">
      <w:bodyDiv w:val="1"/>
      <w:marLeft w:val="0"/>
      <w:marRight w:val="0"/>
      <w:marTop w:val="0"/>
      <w:marBottom w:val="0"/>
      <w:divBdr>
        <w:top w:val="none" w:sz="0" w:space="0" w:color="auto"/>
        <w:left w:val="none" w:sz="0" w:space="0" w:color="auto"/>
        <w:bottom w:val="none" w:sz="0" w:space="0" w:color="auto"/>
        <w:right w:val="none" w:sz="0" w:space="0" w:color="auto"/>
      </w:divBdr>
    </w:div>
    <w:div w:id="1726560690">
      <w:bodyDiv w:val="1"/>
      <w:marLeft w:val="0"/>
      <w:marRight w:val="0"/>
      <w:marTop w:val="0"/>
      <w:marBottom w:val="0"/>
      <w:divBdr>
        <w:top w:val="none" w:sz="0" w:space="0" w:color="auto"/>
        <w:left w:val="none" w:sz="0" w:space="0" w:color="auto"/>
        <w:bottom w:val="none" w:sz="0" w:space="0" w:color="auto"/>
        <w:right w:val="none" w:sz="0" w:space="0" w:color="auto"/>
      </w:divBdr>
      <w:divsChild>
        <w:div w:id="265501921">
          <w:marLeft w:val="547"/>
          <w:marRight w:val="0"/>
          <w:marTop w:val="0"/>
          <w:marBottom w:val="0"/>
          <w:divBdr>
            <w:top w:val="none" w:sz="0" w:space="0" w:color="auto"/>
            <w:left w:val="none" w:sz="0" w:space="0" w:color="auto"/>
            <w:bottom w:val="none" w:sz="0" w:space="0" w:color="auto"/>
            <w:right w:val="none" w:sz="0" w:space="0" w:color="auto"/>
          </w:divBdr>
        </w:div>
        <w:div w:id="388266685">
          <w:marLeft w:val="547"/>
          <w:marRight w:val="0"/>
          <w:marTop w:val="0"/>
          <w:marBottom w:val="0"/>
          <w:divBdr>
            <w:top w:val="none" w:sz="0" w:space="0" w:color="auto"/>
            <w:left w:val="none" w:sz="0" w:space="0" w:color="auto"/>
            <w:bottom w:val="none" w:sz="0" w:space="0" w:color="auto"/>
            <w:right w:val="none" w:sz="0" w:space="0" w:color="auto"/>
          </w:divBdr>
        </w:div>
        <w:div w:id="608316410">
          <w:marLeft w:val="547"/>
          <w:marRight w:val="0"/>
          <w:marTop w:val="0"/>
          <w:marBottom w:val="0"/>
          <w:divBdr>
            <w:top w:val="none" w:sz="0" w:space="0" w:color="auto"/>
            <w:left w:val="none" w:sz="0" w:space="0" w:color="auto"/>
            <w:bottom w:val="none" w:sz="0" w:space="0" w:color="auto"/>
            <w:right w:val="none" w:sz="0" w:space="0" w:color="auto"/>
          </w:divBdr>
        </w:div>
        <w:div w:id="1594362003">
          <w:marLeft w:val="547"/>
          <w:marRight w:val="0"/>
          <w:marTop w:val="0"/>
          <w:marBottom w:val="0"/>
          <w:divBdr>
            <w:top w:val="none" w:sz="0" w:space="0" w:color="auto"/>
            <w:left w:val="none" w:sz="0" w:space="0" w:color="auto"/>
            <w:bottom w:val="none" w:sz="0" w:space="0" w:color="auto"/>
            <w:right w:val="none" w:sz="0" w:space="0" w:color="auto"/>
          </w:divBdr>
        </w:div>
      </w:divsChild>
    </w:div>
    <w:div w:id="1837064977">
      <w:bodyDiv w:val="1"/>
      <w:marLeft w:val="0"/>
      <w:marRight w:val="0"/>
      <w:marTop w:val="0"/>
      <w:marBottom w:val="0"/>
      <w:divBdr>
        <w:top w:val="none" w:sz="0" w:space="0" w:color="auto"/>
        <w:left w:val="none" w:sz="0" w:space="0" w:color="auto"/>
        <w:bottom w:val="none" w:sz="0" w:space="0" w:color="auto"/>
        <w:right w:val="none" w:sz="0" w:space="0" w:color="auto"/>
      </w:divBdr>
    </w:div>
    <w:div w:id="1889026499">
      <w:bodyDiv w:val="1"/>
      <w:marLeft w:val="0"/>
      <w:marRight w:val="0"/>
      <w:marTop w:val="0"/>
      <w:marBottom w:val="0"/>
      <w:divBdr>
        <w:top w:val="none" w:sz="0" w:space="0" w:color="auto"/>
        <w:left w:val="none" w:sz="0" w:space="0" w:color="auto"/>
        <w:bottom w:val="none" w:sz="0" w:space="0" w:color="auto"/>
        <w:right w:val="none" w:sz="0" w:space="0" w:color="auto"/>
      </w:divBdr>
    </w:div>
    <w:div w:id="1892158298">
      <w:bodyDiv w:val="1"/>
      <w:marLeft w:val="0"/>
      <w:marRight w:val="0"/>
      <w:marTop w:val="0"/>
      <w:marBottom w:val="0"/>
      <w:divBdr>
        <w:top w:val="none" w:sz="0" w:space="0" w:color="auto"/>
        <w:left w:val="none" w:sz="0" w:space="0" w:color="auto"/>
        <w:bottom w:val="none" w:sz="0" w:space="0" w:color="auto"/>
        <w:right w:val="none" w:sz="0" w:space="0" w:color="auto"/>
      </w:divBdr>
    </w:div>
    <w:div w:id="1928994740">
      <w:bodyDiv w:val="1"/>
      <w:marLeft w:val="0"/>
      <w:marRight w:val="0"/>
      <w:marTop w:val="0"/>
      <w:marBottom w:val="0"/>
      <w:divBdr>
        <w:top w:val="none" w:sz="0" w:space="0" w:color="auto"/>
        <w:left w:val="none" w:sz="0" w:space="0" w:color="auto"/>
        <w:bottom w:val="none" w:sz="0" w:space="0" w:color="auto"/>
        <w:right w:val="none" w:sz="0" w:space="0" w:color="auto"/>
      </w:divBdr>
    </w:div>
    <w:div w:id="1944413625">
      <w:bodyDiv w:val="1"/>
      <w:marLeft w:val="0"/>
      <w:marRight w:val="0"/>
      <w:marTop w:val="0"/>
      <w:marBottom w:val="0"/>
      <w:divBdr>
        <w:top w:val="none" w:sz="0" w:space="0" w:color="auto"/>
        <w:left w:val="none" w:sz="0" w:space="0" w:color="auto"/>
        <w:bottom w:val="none" w:sz="0" w:space="0" w:color="auto"/>
        <w:right w:val="none" w:sz="0" w:space="0" w:color="auto"/>
      </w:divBdr>
    </w:div>
    <w:div w:id="2006858405">
      <w:bodyDiv w:val="1"/>
      <w:marLeft w:val="0"/>
      <w:marRight w:val="0"/>
      <w:marTop w:val="0"/>
      <w:marBottom w:val="0"/>
      <w:divBdr>
        <w:top w:val="none" w:sz="0" w:space="0" w:color="auto"/>
        <w:left w:val="none" w:sz="0" w:space="0" w:color="auto"/>
        <w:bottom w:val="none" w:sz="0" w:space="0" w:color="auto"/>
        <w:right w:val="none" w:sz="0" w:space="0" w:color="auto"/>
      </w:divBdr>
    </w:div>
    <w:div w:id="2007780766">
      <w:bodyDiv w:val="1"/>
      <w:marLeft w:val="0"/>
      <w:marRight w:val="0"/>
      <w:marTop w:val="0"/>
      <w:marBottom w:val="0"/>
      <w:divBdr>
        <w:top w:val="none" w:sz="0" w:space="0" w:color="auto"/>
        <w:left w:val="none" w:sz="0" w:space="0" w:color="auto"/>
        <w:bottom w:val="none" w:sz="0" w:space="0" w:color="auto"/>
        <w:right w:val="none" w:sz="0" w:space="0" w:color="auto"/>
      </w:divBdr>
      <w:divsChild>
        <w:div w:id="2043554395">
          <w:marLeft w:val="0"/>
          <w:marRight w:val="0"/>
          <w:marTop w:val="0"/>
          <w:marBottom w:val="0"/>
          <w:divBdr>
            <w:top w:val="none" w:sz="0" w:space="0" w:color="auto"/>
            <w:left w:val="none" w:sz="0" w:space="0" w:color="auto"/>
            <w:bottom w:val="none" w:sz="0" w:space="0" w:color="auto"/>
            <w:right w:val="none" w:sz="0" w:space="0" w:color="auto"/>
          </w:divBdr>
          <w:divsChild>
            <w:div w:id="329450282">
              <w:marLeft w:val="0"/>
              <w:marRight w:val="0"/>
              <w:marTop w:val="0"/>
              <w:marBottom w:val="0"/>
              <w:divBdr>
                <w:top w:val="none" w:sz="0" w:space="0" w:color="auto"/>
                <w:left w:val="none" w:sz="0" w:space="0" w:color="auto"/>
                <w:bottom w:val="none" w:sz="0" w:space="0" w:color="auto"/>
                <w:right w:val="none" w:sz="0" w:space="0" w:color="auto"/>
              </w:divBdr>
              <w:divsChild>
                <w:div w:id="104906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316826">
      <w:bodyDiv w:val="1"/>
      <w:marLeft w:val="0"/>
      <w:marRight w:val="0"/>
      <w:marTop w:val="0"/>
      <w:marBottom w:val="0"/>
      <w:divBdr>
        <w:top w:val="none" w:sz="0" w:space="0" w:color="auto"/>
        <w:left w:val="none" w:sz="0" w:space="0" w:color="auto"/>
        <w:bottom w:val="none" w:sz="0" w:space="0" w:color="auto"/>
        <w:right w:val="none" w:sz="0" w:space="0" w:color="auto"/>
      </w:divBdr>
    </w:div>
    <w:div w:id="2097239399">
      <w:bodyDiv w:val="1"/>
      <w:marLeft w:val="0"/>
      <w:marRight w:val="0"/>
      <w:marTop w:val="0"/>
      <w:marBottom w:val="0"/>
      <w:divBdr>
        <w:top w:val="none" w:sz="0" w:space="0" w:color="auto"/>
        <w:left w:val="none" w:sz="0" w:space="0" w:color="auto"/>
        <w:bottom w:val="none" w:sz="0" w:space="0" w:color="auto"/>
        <w:right w:val="none" w:sz="0" w:space="0" w:color="auto"/>
      </w:divBdr>
    </w:div>
    <w:div w:id="21343283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4.jp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7.jpg"/><Relationship Id="rId7" Type="http://schemas.openxmlformats.org/officeDocument/2006/relationships/settings" Target="settings.xml"/><Relationship Id="rId12" Type="http://schemas.openxmlformats.org/officeDocument/2006/relationships/hyperlink" Target="mailto:copyright@health.gov.au" TargetMode="External"/><Relationship Id="rId17" Type="http://schemas.openxmlformats.org/officeDocument/2006/relationships/image" Target="media/image3.jpe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jpg"/><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9.jpg"/><Relationship Id="rId10" Type="http://schemas.openxmlformats.org/officeDocument/2006/relationships/endnotes" Target="endnotes.xml"/><Relationship Id="rId19" Type="http://schemas.openxmlformats.org/officeDocument/2006/relationships/image" Target="media/image5.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8.jpeg"/></Relationships>
</file>

<file path=word/_rels/endnotes.xml.rels><?xml version="1.0" encoding="UTF-8" standalone="yes"?>
<Relationships xmlns="http://schemas.openxmlformats.org/package/2006/relationships"><Relationship Id="rId3" Type="http://schemas.openxmlformats.org/officeDocument/2006/relationships/hyperlink" Target="https://www.lowitja.org.au/sites/default/files/docs/Racism-Report.pdf" TargetMode="External"/><Relationship Id="rId2" Type="http://schemas.openxmlformats.org/officeDocument/2006/relationships/hyperlink" Target="https://www.unicef.org.au/blog/news-and-insights/november-2016/research-reveals-what-racism-can-do-to-a-childs-body" TargetMode="External"/><Relationship Id="rId1" Type="http://schemas.openxmlformats.org/officeDocument/2006/relationships/hyperlink" Target="http://www.lowitja.org.au/sites/default/files/docs/Cultural-Determinants-Roundtable-Background-Paper.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A217076F0871349BCBE5A6EC7EEC4B3" ma:contentTypeVersion="16" ma:contentTypeDescription="Create a new document." ma:contentTypeScope="" ma:versionID="9df34c50d087ac73e645bebf37be71ca">
  <xsd:schema xmlns:xsd="http://www.w3.org/2001/XMLSchema" xmlns:xs="http://www.w3.org/2001/XMLSchema" xmlns:p="http://schemas.microsoft.com/office/2006/metadata/properties" xmlns:ns2="dcf7b372-aaaa-46d8-9da6-ade9aab953df" xmlns:ns3="236487dd-ec90-4f99-8970-1318e5f29791" targetNamespace="http://schemas.microsoft.com/office/2006/metadata/properties" ma:root="true" ma:fieldsID="a10b7c6b2bdffd3aa1d9fd76c1e6f657" ns2:_="" ns3:_="">
    <xsd:import namespace="dcf7b372-aaaa-46d8-9da6-ade9aab953df"/>
    <xsd:import namespace="236487dd-ec90-4f99-8970-1318e5f2979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f7b372-aaaa-46d8-9da6-ade9aab953d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36487dd-ec90-4f99-8970-1318e5f29791"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b:Source>
    <b:Tag>Win10</b:Tag>
    <b:SourceType>Report</b:SourceType>
    <b:Guid>{5373F1AE-774F-4EC1-B733-DAD612246FB1}</b:Guid>
    <b:Title>Engaging Families in the Early Development Story: neuroscience and early childhood development: summary of selected literature and key messages for parenting.</b:Title>
    <b:Year>2010</b:Year>
    <b:Author>
      <b:Author>
        <b:NameList>
          <b:Person>
            <b:Last>Winter</b:Last>
            <b:First>Pam</b:First>
          </b:Person>
          <b:Person>
            <b:Last>&amp; Ministerial Council for Education</b:Last>
            <b:First>Early</b:First>
            <b:Middle>Childhood Development and Youth Affarirs (Australia)</b:Middle>
          </b:Person>
          <b:Person>
            <b:Last>Ltd</b:Last>
            <b:First>&amp;</b:First>
            <b:Middle>Early Childhood Services</b:Middle>
          </b:Person>
        </b:NameList>
      </b:Author>
    </b:Author>
    <b:Publisher>Ministerial Council for Education, Early Childhood Development and Youth Affairs</b:Publisher>
    <b:City>Carlton South, Vic</b:City>
    <b:RefOrder>1</b:RefOrder>
  </b:Source>
</b:Sources>
</file>

<file path=customXml/itemProps1.xml><?xml version="1.0" encoding="utf-8"?>
<ds:datastoreItem xmlns:ds="http://schemas.openxmlformats.org/officeDocument/2006/customXml" ds:itemID="{6E6580D4-DD3A-4228-96E7-32080CF627FC}">
  <ds:schemaRefs>
    <ds:schemaRef ds:uri="http://purl.org/dc/terms/"/>
    <ds:schemaRef ds:uri="http://schemas.microsoft.com/office/infopath/2007/PartnerControls"/>
    <ds:schemaRef ds:uri="http://schemas.microsoft.com/office/2006/documentManagement/types"/>
    <ds:schemaRef ds:uri="236487dd-ec90-4f99-8970-1318e5f29791"/>
    <ds:schemaRef ds:uri="dcf7b372-aaaa-46d8-9da6-ade9aab953df"/>
    <ds:schemaRef ds:uri="http://purl.org/dc/elements/1.1/"/>
    <ds:schemaRef ds:uri="http://schemas.microsoft.com/office/2006/metadata/properties"/>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D0086B41-4FF2-432E-A281-E1CC83E8F4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cf7b372-aaaa-46d8-9da6-ade9aab953df"/>
    <ds:schemaRef ds:uri="236487dd-ec90-4f99-8970-1318e5f297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4F08715-1D07-4095-9342-CD586F1ACCAF}">
  <ds:schemaRefs>
    <ds:schemaRef ds:uri="http://schemas.microsoft.com/sharepoint/v3/contenttype/forms"/>
  </ds:schemaRefs>
</ds:datastoreItem>
</file>

<file path=customXml/itemProps4.xml><?xml version="1.0" encoding="utf-8"?>
<ds:datastoreItem xmlns:ds="http://schemas.openxmlformats.org/officeDocument/2006/customXml" ds:itemID="{8EE87A77-33D2-419A-B694-764DF5D7CD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7656</Words>
  <Characters>43644</Characters>
  <Application>Microsoft Office Word</Application>
  <DocSecurity>0</DocSecurity>
  <Lines>363</Lines>
  <Paragraphs>102</Paragraphs>
  <ScaleCrop>false</ScaleCrop>
  <HeadingPairs>
    <vt:vector size="2" baseType="variant">
      <vt:variant>
        <vt:lpstr>Title</vt:lpstr>
      </vt:variant>
      <vt:variant>
        <vt:i4>1</vt:i4>
      </vt:variant>
    </vt:vector>
  </HeadingPairs>
  <TitlesOfParts>
    <vt:vector size="1" baseType="lpstr">
      <vt:lpstr>My Life My Lead - Opportunities for strengthening approaches to the social determinants and cultural determinants of Indigenous health: Report on the national consultations December 2017.</vt:lpstr>
    </vt:vector>
  </TitlesOfParts>
  <LinksUpToDate>false</LinksUpToDate>
  <CharactersWithSpaces>51198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My Life My Lead - Opportunities for strengthening approaches to the social determinants and cultural determinants of Indigenous health: Report on the national consultations December 2017.</dc:title>
  <dc:creator/>
  <cp:keywords>Aboriginal and Torres Strait Islander health</cp:keywords>
  <cp:lastModifiedBy/>
  <cp:revision>1</cp:revision>
  <dcterms:created xsi:type="dcterms:W3CDTF">2020-12-08T00:29:00Z</dcterms:created>
  <dcterms:modified xsi:type="dcterms:W3CDTF">2020-12-08T00:29:00Z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0x010100BA217076F0871349BCBE5A6EC7EEC4B3</vt:lpwstr>
  </property>
</Properties>
</file>