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47F3" w14:textId="77777777" w:rsidR="00D45E85" w:rsidRPr="00196E76" w:rsidRDefault="00D45E85" w:rsidP="00350985">
      <w:pPr>
        <w:spacing w:after="0" w:line="240" w:lineRule="auto"/>
        <w:ind w:left="-567" w:right="-613"/>
        <w:jc w:val="center"/>
        <w:rPr>
          <w:rFonts w:ascii="Arial" w:hAnsi="Arial" w:cs="Arial"/>
          <w:b/>
          <w:sz w:val="16"/>
          <w:szCs w:val="16"/>
          <w:highlight w:val="yellow"/>
        </w:rPr>
      </w:pPr>
      <w:bookmarkStart w:id="0" w:name="_GoBack"/>
      <w:bookmarkEnd w:id="0"/>
    </w:p>
    <w:p w14:paraId="57B047F4" w14:textId="77777777" w:rsidR="00483373" w:rsidRPr="00196E76" w:rsidRDefault="00483373" w:rsidP="00350985">
      <w:pPr>
        <w:spacing w:after="0" w:line="240" w:lineRule="auto"/>
        <w:ind w:left="-567" w:right="-613"/>
        <w:jc w:val="center"/>
        <w:rPr>
          <w:rFonts w:ascii="Arial" w:hAnsi="Arial" w:cs="Arial"/>
          <w:b/>
          <w:sz w:val="24"/>
          <w:szCs w:val="24"/>
          <w:highlight w:val="yellow"/>
        </w:rPr>
      </w:pPr>
    </w:p>
    <w:p w14:paraId="57B047F5" w14:textId="77777777" w:rsidR="002F7525" w:rsidRPr="00A629F0" w:rsidRDefault="002F7525" w:rsidP="00A629F0">
      <w:pPr>
        <w:spacing w:after="0" w:line="240" w:lineRule="auto"/>
        <w:ind w:left="-567" w:right="261"/>
        <w:jc w:val="center"/>
        <w:rPr>
          <w:rFonts w:ascii="Arial" w:hAnsi="Arial" w:cs="Arial"/>
          <w:b/>
          <w:sz w:val="28"/>
          <w:szCs w:val="24"/>
        </w:rPr>
      </w:pPr>
      <w:r w:rsidRPr="00A629F0">
        <w:rPr>
          <w:rFonts w:ascii="Arial" w:hAnsi="Arial" w:cs="Arial"/>
          <w:b/>
          <w:sz w:val="28"/>
          <w:szCs w:val="24"/>
        </w:rPr>
        <w:t xml:space="preserve">MULTIJURISDICTIONAL SYPHILIS OUTBREAK </w:t>
      </w:r>
      <w:r w:rsidR="00483373" w:rsidRPr="00A629F0">
        <w:rPr>
          <w:rFonts w:ascii="Arial" w:hAnsi="Arial" w:cs="Arial"/>
          <w:b/>
          <w:sz w:val="28"/>
          <w:szCs w:val="24"/>
        </w:rPr>
        <w:br/>
      </w:r>
      <w:r w:rsidR="00D45E85" w:rsidRPr="00A629F0">
        <w:rPr>
          <w:rFonts w:ascii="Arial" w:hAnsi="Arial" w:cs="Arial"/>
          <w:b/>
          <w:sz w:val="28"/>
          <w:szCs w:val="24"/>
        </w:rPr>
        <w:t xml:space="preserve">SURVEILLANCE REPORT: </w:t>
      </w:r>
      <w:r w:rsidR="00D125E8" w:rsidRPr="00A629F0">
        <w:rPr>
          <w:rFonts w:ascii="Arial" w:hAnsi="Arial" w:cs="Arial"/>
          <w:b/>
          <w:sz w:val="28"/>
          <w:szCs w:val="24"/>
        </w:rPr>
        <w:t>FEBRUARY</w:t>
      </w:r>
      <w:r w:rsidR="00D45E85" w:rsidRPr="00A629F0">
        <w:rPr>
          <w:rFonts w:ascii="Arial" w:hAnsi="Arial" w:cs="Arial"/>
          <w:b/>
          <w:sz w:val="28"/>
          <w:szCs w:val="24"/>
        </w:rPr>
        <w:t xml:space="preserve"> 201</w:t>
      </w:r>
      <w:r w:rsidR="00C7209E" w:rsidRPr="00A629F0">
        <w:rPr>
          <w:rFonts w:ascii="Arial" w:hAnsi="Arial" w:cs="Arial"/>
          <w:b/>
          <w:sz w:val="28"/>
          <w:szCs w:val="24"/>
        </w:rPr>
        <w:t>9</w:t>
      </w:r>
    </w:p>
    <w:p w14:paraId="57B047F6" w14:textId="77777777" w:rsidR="002F7525" w:rsidRPr="001D3B21" w:rsidRDefault="002F7525" w:rsidP="00350985">
      <w:pPr>
        <w:spacing w:after="0" w:line="120" w:lineRule="auto"/>
        <w:ind w:left="-567" w:right="-612"/>
        <w:jc w:val="center"/>
        <w:rPr>
          <w:rFonts w:ascii="Arial" w:hAnsi="Arial" w:cs="Arial"/>
          <w:b/>
          <w:sz w:val="24"/>
          <w:szCs w:val="24"/>
        </w:rPr>
      </w:pPr>
    </w:p>
    <w:p w14:paraId="57B047F7" w14:textId="77777777" w:rsidR="00353031" w:rsidRPr="001D3B21" w:rsidRDefault="00353031" w:rsidP="00483373">
      <w:pPr>
        <w:spacing w:after="0" w:line="240" w:lineRule="auto"/>
        <w:ind w:left="-567" w:right="119"/>
        <w:jc w:val="center"/>
        <w:rPr>
          <w:rFonts w:ascii="Arial" w:hAnsi="Arial" w:cs="Arial"/>
          <w:b/>
          <w:sz w:val="24"/>
          <w:szCs w:val="24"/>
        </w:rPr>
      </w:pPr>
      <w:r w:rsidRPr="001D3B21">
        <w:rPr>
          <w:rFonts w:ascii="Arial" w:hAnsi="Arial" w:cs="Arial"/>
          <w:b/>
          <w:sz w:val="24"/>
          <w:szCs w:val="24"/>
        </w:rPr>
        <w:t xml:space="preserve">This </w:t>
      </w:r>
      <w:r w:rsidR="00D45E85" w:rsidRPr="001D3B21">
        <w:rPr>
          <w:rFonts w:ascii="Arial" w:hAnsi="Arial" w:cs="Arial"/>
          <w:b/>
          <w:sz w:val="24"/>
          <w:szCs w:val="24"/>
        </w:rPr>
        <w:t>surveillance report</w:t>
      </w:r>
      <w:r w:rsidRPr="001D3B21">
        <w:rPr>
          <w:rFonts w:ascii="Arial" w:hAnsi="Arial" w:cs="Arial"/>
          <w:b/>
          <w:sz w:val="24"/>
          <w:szCs w:val="24"/>
        </w:rPr>
        <w:t xml:space="preserve"> has been authorised by </w:t>
      </w:r>
      <w:r w:rsidR="00D45E85" w:rsidRPr="001D3B21">
        <w:rPr>
          <w:rFonts w:ascii="Arial" w:hAnsi="Arial" w:cs="Arial"/>
          <w:b/>
          <w:sz w:val="24"/>
          <w:szCs w:val="24"/>
        </w:rPr>
        <w:t>Health Departments in outbreak affected jurisdictions and the Office of Health Protection</w:t>
      </w:r>
      <w:r w:rsidR="00630D11" w:rsidRPr="001D3B21">
        <w:rPr>
          <w:rFonts w:ascii="Arial" w:hAnsi="Arial" w:cs="Arial"/>
          <w:b/>
          <w:sz w:val="24"/>
          <w:szCs w:val="24"/>
        </w:rPr>
        <w:t>.</w:t>
      </w:r>
    </w:p>
    <w:p w14:paraId="57B047F8" w14:textId="77777777" w:rsidR="002F7525" w:rsidRPr="001D3B21" w:rsidRDefault="002F7525" w:rsidP="00372E85">
      <w:pPr>
        <w:spacing w:after="0" w:line="240" w:lineRule="auto"/>
        <w:ind w:right="-613"/>
        <w:rPr>
          <w:rFonts w:ascii="Arial" w:hAnsi="Arial" w:cs="Arial"/>
          <w:sz w:val="20"/>
          <w:szCs w:val="20"/>
        </w:rPr>
      </w:pPr>
    </w:p>
    <w:p w14:paraId="57B047F9" w14:textId="77777777" w:rsidR="006829B0" w:rsidRPr="001D3B21" w:rsidRDefault="006829B0" w:rsidP="00D44019">
      <w:pPr>
        <w:pStyle w:val="PlainText"/>
        <w:ind w:left="-709" w:right="-23"/>
        <w:jc w:val="both"/>
        <w:rPr>
          <w:color w:val="000000" w:themeColor="text1"/>
        </w:rPr>
      </w:pPr>
      <w:r w:rsidRPr="001D3B21">
        <w:rPr>
          <w:rFonts w:cs="Arial"/>
          <w:szCs w:val="20"/>
        </w:rPr>
        <w:t>The Multijurisdictional Syphilis Outbreak</w:t>
      </w:r>
      <w:r w:rsidR="00832D3D" w:rsidRPr="001D3B21">
        <w:rPr>
          <w:rFonts w:cs="Arial"/>
          <w:szCs w:val="20"/>
        </w:rPr>
        <w:t xml:space="preserve"> (MJSO)</w:t>
      </w:r>
      <w:r w:rsidRPr="001D3B21">
        <w:rPr>
          <w:rFonts w:cs="Arial"/>
          <w:szCs w:val="20"/>
        </w:rPr>
        <w:t xml:space="preserve"> Working Group was formed by the Communicable Diseases Network of Australia (CDNA) in April 2015, in response to an ongoing outbreak of </w:t>
      </w:r>
      <w:r w:rsidR="000A2EF8" w:rsidRPr="001D3B21">
        <w:rPr>
          <w:rFonts w:cs="Arial"/>
          <w:szCs w:val="20"/>
        </w:rPr>
        <w:t xml:space="preserve">infectious </w:t>
      </w:r>
      <w:r w:rsidRPr="001D3B21">
        <w:rPr>
          <w:rFonts w:cs="Arial"/>
          <w:szCs w:val="20"/>
        </w:rPr>
        <w:t xml:space="preserve">syphilis among Aboriginal and Torres Strait Islander people living largely in remote and </w:t>
      </w:r>
      <w:r w:rsidRPr="001D3B21">
        <w:rPr>
          <w:rFonts w:cs="Arial"/>
          <w:color w:val="000000" w:themeColor="text1"/>
          <w:szCs w:val="20"/>
        </w:rPr>
        <w:t xml:space="preserve">rural areas of northern Australia. </w:t>
      </w:r>
      <w:r w:rsidRPr="001D3B21">
        <w:rPr>
          <w:color w:val="000000" w:themeColor="text1"/>
        </w:rPr>
        <w:t>Increased notifications associated with the outbreak in northern Australia were first reported in January 2011 in northwest Queensland</w:t>
      </w:r>
      <w:r w:rsidR="0084566F" w:rsidRPr="001D3B21">
        <w:rPr>
          <w:color w:val="000000" w:themeColor="text1"/>
        </w:rPr>
        <w:t xml:space="preserve"> (Qld)</w:t>
      </w:r>
      <w:r w:rsidRPr="001D3B21">
        <w:rPr>
          <w:color w:val="000000" w:themeColor="text1"/>
        </w:rPr>
        <w:t>, followed by the Northern Territory (NT) in July 2013, and the Kimberley region of Western Australia (WA) in June 2014. In March 2017, South Australia (SA) decla</w:t>
      </w:r>
      <w:r w:rsidR="004D0EAB" w:rsidRPr="001D3B21">
        <w:rPr>
          <w:color w:val="000000" w:themeColor="text1"/>
        </w:rPr>
        <w:t xml:space="preserve">red an outbreak in the </w:t>
      </w:r>
      <w:r w:rsidR="00707254" w:rsidRPr="001D3B21">
        <w:rPr>
          <w:color w:val="000000" w:themeColor="text1"/>
        </w:rPr>
        <w:t>Far North</w:t>
      </w:r>
      <w:r w:rsidR="008B44D3" w:rsidRPr="001D3B21">
        <w:rPr>
          <w:color w:val="000000" w:themeColor="text1"/>
        </w:rPr>
        <w:t xml:space="preserve"> and Western and Eyre</w:t>
      </w:r>
      <w:r w:rsidRPr="001D3B21">
        <w:rPr>
          <w:color w:val="000000" w:themeColor="text1"/>
        </w:rPr>
        <w:t xml:space="preserve"> regions from November 2016.</w:t>
      </w:r>
      <w:r w:rsidR="001E3448" w:rsidRPr="001D3B21">
        <w:rPr>
          <w:color w:val="000000" w:themeColor="text1"/>
        </w:rPr>
        <w:t xml:space="preserve">  </w:t>
      </w:r>
      <w:r w:rsidR="001E3448" w:rsidRPr="0066612D">
        <w:rPr>
          <w:color w:val="000000" w:themeColor="text1"/>
        </w:rPr>
        <w:t>In August 2018, WA declared that the outbreak had spread to the Pilbara region with the first syphilis notification in this region in February 2018</w:t>
      </w:r>
      <w:r w:rsidR="001E3448" w:rsidRPr="001D3B21">
        <w:rPr>
          <w:color w:val="000000" w:themeColor="text1"/>
        </w:rPr>
        <w:t>.</w:t>
      </w:r>
      <w:r w:rsidR="0066612D">
        <w:rPr>
          <w:color w:val="000000" w:themeColor="text1"/>
        </w:rPr>
        <w:t xml:space="preserve"> In </w:t>
      </w:r>
      <w:r w:rsidR="001251E7">
        <w:rPr>
          <w:color w:val="000000" w:themeColor="text1"/>
        </w:rPr>
        <w:t>January</w:t>
      </w:r>
      <w:r w:rsidR="0066612D" w:rsidRPr="00846705">
        <w:rPr>
          <w:color w:val="000000" w:themeColor="text1"/>
        </w:rPr>
        <w:t xml:space="preserve"> 2019</w:t>
      </w:r>
      <w:r w:rsidR="0066612D">
        <w:rPr>
          <w:color w:val="000000" w:themeColor="text1"/>
        </w:rPr>
        <w:t xml:space="preserve">, SA declared the outbreak had spread to Adelaide with the first notification in this region reported in February 2018. </w:t>
      </w:r>
    </w:p>
    <w:p w14:paraId="57B047FA" w14:textId="77777777" w:rsidR="00D45E85" w:rsidRPr="001D3B21" w:rsidRDefault="00D45E85" w:rsidP="00D44019">
      <w:pPr>
        <w:pStyle w:val="PlainText"/>
        <w:ind w:left="-709" w:right="-23"/>
        <w:rPr>
          <w:color w:val="000000" w:themeColor="text1"/>
        </w:rPr>
      </w:pPr>
    </w:p>
    <w:p w14:paraId="57B047FB" w14:textId="77777777" w:rsidR="00E050FE" w:rsidRPr="001D3B21" w:rsidRDefault="00FC4048" w:rsidP="00D44019">
      <w:pPr>
        <w:pStyle w:val="PlainText"/>
        <w:ind w:left="-709" w:right="-23"/>
        <w:rPr>
          <w:color w:val="000000" w:themeColor="text1"/>
        </w:rPr>
      </w:pPr>
      <w:r w:rsidRPr="001D3B21">
        <w:rPr>
          <w:color w:val="000000" w:themeColor="text1"/>
        </w:rPr>
        <w:t xml:space="preserve">This </w:t>
      </w:r>
      <w:r w:rsidR="00D45E85" w:rsidRPr="001D3B21">
        <w:rPr>
          <w:color w:val="000000" w:themeColor="text1"/>
        </w:rPr>
        <w:t xml:space="preserve">surveillance report </w:t>
      </w:r>
      <w:r w:rsidRPr="001D3B21">
        <w:rPr>
          <w:color w:val="000000" w:themeColor="text1"/>
        </w:rPr>
        <w:t xml:space="preserve">summarises the </w:t>
      </w:r>
      <w:r w:rsidR="006D7EDC" w:rsidRPr="001D3B21">
        <w:rPr>
          <w:color w:val="000000" w:themeColor="text1"/>
        </w:rPr>
        <w:t xml:space="preserve">outbreak </w:t>
      </w:r>
      <w:r w:rsidR="00DC456E" w:rsidRPr="001D3B21">
        <w:rPr>
          <w:color w:val="000000" w:themeColor="text1"/>
        </w:rPr>
        <w:t xml:space="preserve">epidemiological data as of </w:t>
      </w:r>
      <w:r w:rsidR="00C7209E">
        <w:rPr>
          <w:color w:val="000000" w:themeColor="text1"/>
        </w:rPr>
        <w:t>31</w:t>
      </w:r>
      <w:r w:rsidR="00B97120">
        <w:rPr>
          <w:color w:val="000000" w:themeColor="text1"/>
        </w:rPr>
        <w:t xml:space="preserve"> </w:t>
      </w:r>
      <w:r w:rsidR="00736F53">
        <w:rPr>
          <w:color w:val="000000" w:themeColor="text1"/>
        </w:rPr>
        <w:t>January</w:t>
      </w:r>
      <w:r w:rsidR="00C7209E">
        <w:rPr>
          <w:color w:val="000000" w:themeColor="text1"/>
        </w:rPr>
        <w:t xml:space="preserve"> </w:t>
      </w:r>
      <w:r w:rsidR="00216285" w:rsidRPr="001D3B21">
        <w:rPr>
          <w:color w:val="000000" w:themeColor="text1"/>
        </w:rPr>
        <w:t>201</w:t>
      </w:r>
      <w:r w:rsidR="00736F53">
        <w:rPr>
          <w:color w:val="000000" w:themeColor="text1"/>
        </w:rPr>
        <w:t>9</w:t>
      </w:r>
      <w:r w:rsidR="004E075B" w:rsidRPr="001D3B21">
        <w:rPr>
          <w:color w:val="000000" w:themeColor="text1"/>
        </w:rPr>
        <w:t xml:space="preserve"> (current status</w:t>
      </w:r>
      <w:r w:rsidR="00B0465E" w:rsidRPr="001D3B21">
        <w:rPr>
          <w:color w:val="000000" w:themeColor="text1"/>
        </w:rPr>
        <w:t>)</w:t>
      </w:r>
      <w:r w:rsidR="00646927" w:rsidRPr="001D3B21">
        <w:rPr>
          <w:color w:val="000000" w:themeColor="text1"/>
        </w:rPr>
        <w:t>.</w:t>
      </w:r>
    </w:p>
    <w:p w14:paraId="57B047FC" w14:textId="77777777" w:rsidR="00D45E85" w:rsidRPr="001D3B21" w:rsidRDefault="00D45E85" w:rsidP="00D44019">
      <w:pPr>
        <w:pStyle w:val="PlainText"/>
        <w:ind w:left="-709" w:right="-23"/>
        <w:rPr>
          <w:color w:val="000000" w:themeColor="text1"/>
        </w:rPr>
      </w:pPr>
    </w:p>
    <w:p w14:paraId="57B047FD" w14:textId="77777777" w:rsidR="00A74C79" w:rsidRDefault="00D45E85" w:rsidP="00D44019">
      <w:pPr>
        <w:pStyle w:val="PlainText"/>
        <w:ind w:left="-709" w:right="-23"/>
        <w:rPr>
          <w:rStyle w:val="Hyperlink"/>
          <w:i/>
          <w:szCs w:val="20"/>
        </w:rPr>
      </w:pPr>
      <w:r w:rsidRPr="001D3B21">
        <w:rPr>
          <w:b/>
          <w:color w:val="000000" w:themeColor="text1"/>
        </w:rPr>
        <w:t>Please note:</w:t>
      </w:r>
      <w:r w:rsidR="00832D3D" w:rsidRPr="001D3B21">
        <w:rPr>
          <w:color w:val="000000" w:themeColor="text1"/>
        </w:rPr>
        <w:t xml:space="preserve"> the MJSO Surveillance Report was </w:t>
      </w:r>
      <w:r w:rsidR="00D216E9" w:rsidRPr="001D3B21">
        <w:rPr>
          <w:color w:val="000000" w:themeColor="text1"/>
        </w:rPr>
        <w:t>formerly</w:t>
      </w:r>
      <w:r w:rsidR="00832D3D" w:rsidRPr="001D3B21">
        <w:rPr>
          <w:color w:val="000000" w:themeColor="text1"/>
        </w:rPr>
        <w:t xml:space="preserve"> known as the MJSO Communique. H</w:t>
      </w:r>
      <w:r w:rsidRPr="001D3B21">
        <w:rPr>
          <w:color w:val="000000" w:themeColor="text1"/>
        </w:rPr>
        <w:t xml:space="preserve">istorical epidemiological data and MJSO activities are published </w:t>
      </w:r>
      <w:r w:rsidR="00832D3D" w:rsidRPr="001D3B21">
        <w:rPr>
          <w:color w:val="000000" w:themeColor="text1"/>
        </w:rPr>
        <w:t>in earlier</w:t>
      </w:r>
      <w:r w:rsidRPr="001D3B21">
        <w:rPr>
          <w:color w:val="000000" w:themeColor="text1"/>
        </w:rPr>
        <w:t xml:space="preserve"> MJSO Communiques available at </w:t>
      </w:r>
      <w:r w:rsidR="00A74C79" w:rsidRPr="00A74C79">
        <w:rPr>
          <w:rStyle w:val="Hyperlink"/>
          <w:i/>
          <w:szCs w:val="20"/>
        </w:rPr>
        <w:t>http://www.health.gov.au/internet/main/publishing.nsf/Content/ohp-infectious-syphilis-outbreak.htm</w:t>
      </w:r>
    </w:p>
    <w:p w14:paraId="57B047FE" w14:textId="77777777" w:rsidR="00D45E85" w:rsidRPr="001D3B21" w:rsidRDefault="00D45E85" w:rsidP="00D44019">
      <w:pPr>
        <w:pStyle w:val="PlainText"/>
        <w:ind w:left="-709" w:right="-23"/>
      </w:pPr>
    </w:p>
    <w:p w14:paraId="57B047FF" w14:textId="77777777" w:rsidR="004E075B" w:rsidRPr="001D3B21" w:rsidRDefault="0037506D" w:rsidP="00D44019">
      <w:pPr>
        <w:spacing w:after="0" w:line="240" w:lineRule="auto"/>
        <w:ind w:left="-709" w:right="-23"/>
        <w:jc w:val="both"/>
        <w:rPr>
          <w:rFonts w:ascii="Arial" w:hAnsi="Arial" w:cs="Arial"/>
          <w:b/>
        </w:rPr>
      </w:pPr>
      <w:r w:rsidRPr="001D3B21">
        <w:rPr>
          <w:rFonts w:ascii="Arial" w:hAnsi="Arial" w:cs="Arial"/>
          <w:b/>
        </w:rPr>
        <w:t>Current status</w:t>
      </w:r>
    </w:p>
    <w:p w14:paraId="57B04800" w14:textId="77777777" w:rsidR="009C3C6F" w:rsidRPr="001D3B21" w:rsidRDefault="009C3C6F" w:rsidP="00D44019">
      <w:pPr>
        <w:spacing w:after="0" w:line="240" w:lineRule="auto"/>
        <w:ind w:left="-709" w:right="-23"/>
        <w:jc w:val="both"/>
        <w:rPr>
          <w:rFonts w:ascii="Arial" w:hAnsi="Arial" w:cs="Arial"/>
          <w:sz w:val="20"/>
          <w:szCs w:val="20"/>
        </w:rPr>
      </w:pPr>
      <w:r w:rsidRPr="001D3B21">
        <w:rPr>
          <w:rFonts w:ascii="Arial" w:hAnsi="Arial" w:cs="Arial"/>
          <w:sz w:val="20"/>
          <w:szCs w:val="20"/>
        </w:rPr>
        <w:t xml:space="preserve">Outbreak data to </w:t>
      </w:r>
      <w:r w:rsidR="00736F53">
        <w:rPr>
          <w:color w:val="000000" w:themeColor="text1"/>
        </w:rPr>
        <w:t xml:space="preserve">31 January </w:t>
      </w:r>
      <w:r w:rsidR="00736F53" w:rsidRPr="001D3B21">
        <w:rPr>
          <w:color w:val="000000" w:themeColor="text1"/>
        </w:rPr>
        <w:t>201</w:t>
      </w:r>
      <w:r w:rsidR="00736F53">
        <w:rPr>
          <w:color w:val="000000" w:themeColor="text1"/>
        </w:rPr>
        <w:t>9</w:t>
      </w:r>
      <w:r w:rsidR="00431952" w:rsidRPr="001D3B21">
        <w:rPr>
          <w:rFonts w:ascii="Arial" w:hAnsi="Arial" w:cs="Arial"/>
          <w:sz w:val="20"/>
          <w:szCs w:val="20"/>
          <w:vertAlign w:val="superscript"/>
        </w:rPr>
        <w:t>ȶ</w:t>
      </w:r>
      <w:r w:rsidRPr="001D3B21">
        <w:rPr>
          <w:rFonts w:ascii="Arial" w:hAnsi="Arial" w:cs="Arial"/>
          <w:sz w:val="20"/>
          <w:szCs w:val="20"/>
        </w:rPr>
        <w:t xml:space="preserve"> are summarised in Figure 1</w:t>
      </w:r>
      <w:r w:rsidR="00145B1F" w:rsidRPr="001D3B21">
        <w:rPr>
          <w:rFonts w:ascii="Arial" w:hAnsi="Arial" w:cs="Arial"/>
          <w:sz w:val="20"/>
          <w:szCs w:val="20"/>
        </w:rPr>
        <w:t>,</w:t>
      </w:r>
      <w:r w:rsidRPr="001D3B21">
        <w:rPr>
          <w:rFonts w:ascii="Arial" w:hAnsi="Arial" w:cs="Arial"/>
          <w:sz w:val="20"/>
          <w:szCs w:val="20"/>
        </w:rPr>
        <w:t xml:space="preserve"> Table 1</w:t>
      </w:r>
      <w:r w:rsidR="00145B1F" w:rsidRPr="001D3B21">
        <w:rPr>
          <w:rFonts w:ascii="Arial" w:hAnsi="Arial" w:cs="Arial"/>
          <w:sz w:val="20"/>
          <w:szCs w:val="20"/>
        </w:rPr>
        <w:t xml:space="preserve"> and Table 2</w:t>
      </w:r>
      <w:r w:rsidRPr="001D3B21">
        <w:rPr>
          <w:rFonts w:ascii="Arial" w:hAnsi="Arial" w:cs="Arial"/>
          <w:sz w:val="20"/>
          <w:szCs w:val="20"/>
        </w:rPr>
        <w:t xml:space="preserve"> below.</w:t>
      </w:r>
    </w:p>
    <w:p w14:paraId="57B04801" w14:textId="77777777" w:rsidR="00145B1F" w:rsidRPr="001D3B21" w:rsidRDefault="00145B1F" w:rsidP="00D44019">
      <w:pPr>
        <w:spacing w:after="0" w:line="240" w:lineRule="auto"/>
        <w:ind w:left="-709" w:right="-23"/>
        <w:jc w:val="both"/>
        <w:rPr>
          <w:rFonts w:ascii="Arial" w:hAnsi="Arial" w:cs="Arial"/>
          <w:sz w:val="20"/>
          <w:szCs w:val="20"/>
        </w:rPr>
      </w:pPr>
    </w:p>
    <w:p w14:paraId="57B04802" w14:textId="77777777" w:rsidR="00A34CE9" w:rsidRPr="001D3B21" w:rsidRDefault="00772420" w:rsidP="00D44019">
      <w:pPr>
        <w:spacing w:after="0" w:line="240" w:lineRule="auto"/>
        <w:ind w:left="-709" w:right="-23"/>
        <w:jc w:val="both"/>
        <w:rPr>
          <w:rFonts w:ascii="Arial" w:hAnsi="Arial" w:cs="Arial"/>
          <w:sz w:val="20"/>
          <w:szCs w:val="20"/>
        </w:rPr>
      </w:pPr>
      <w:r w:rsidRPr="001D3B21">
        <w:rPr>
          <w:rFonts w:ascii="Arial" w:hAnsi="Arial" w:cs="Arial"/>
          <w:sz w:val="20"/>
          <w:szCs w:val="20"/>
        </w:rPr>
        <w:t>Outbreak c</w:t>
      </w:r>
      <w:r w:rsidR="00145B1F" w:rsidRPr="001D3B21">
        <w:rPr>
          <w:rFonts w:ascii="Arial" w:hAnsi="Arial" w:cs="Arial"/>
          <w:sz w:val="20"/>
          <w:szCs w:val="20"/>
        </w:rPr>
        <w:t xml:space="preserve">ases are reported as either category 1 or category 2: category 1 cases </w:t>
      </w:r>
      <w:r w:rsidR="00FC5374" w:rsidRPr="001D3B21">
        <w:rPr>
          <w:rFonts w:ascii="Arial" w:hAnsi="Arial" w:cs="Arial"/>
          <w:sz w:val="20"/>
          <w:szCs w:val="20"/>
        </w:rPr>
        <w:t>include</w:t>
      </w:r>
      <w:r w:rsidR="00145B1F" w:rsidRPr="001D3B21">
        <w:rPr>
          <w:rFonts w:ascii="Arial" w:hAnsi="Arial" w:cs="Arial"/>
          <w:sz w:val="20"/>
          <w:szCs w:val="20"/>
        </w:rPr>
        <w:t xml:space="preserve"> Aboriginal and Torres Strait Islander people residing </w:t>
      </w:r>
      <w:r w:rsidRPr="001D3B21">
        <w:rPr>
          <w:rFonts w:ascii="Arial" w:hAnsi="Arial" w:cs="Arial"/>
          <w:sz w:val="20"/>
          <w:szCs w:val="20"/>
        </w:rPr>
        <w:t>in an</w:t>
      </w:r>
      <w:r w:rsidR="00145B1F" w:rsidRPr="001D3B21">
        <w:rPr>
          <w:rFonts w:ascii="Arial" w:hAnsi="Arial" w:cs="Arial"/>
          <w:sz w:val="20"/>
          <w:szCs w:val="20"/>
        </w:rPr>
        <w:t xml:space="preserve"> outbreak declared region</w:t>
      </w:r>
      <w:r w:rsidR="009C40E9" w:rsidRPr="001D3B21">
        <w:rPr>
          <w:rFonts w:ascii="Arial" w:hAnsi="Arial" w:cs="Arial"/>
          <w:sz w:val="20"/>
          <w:szCs w:val="20"/>
          <w:vertAlign w:val="superscript"/>
        </w:rPr>
        <w:t>β</w:t>
      </w:r>
      <w:r w:rsidR="00145B1F" w:rsidRPr="001D3B21">
        <w:rPr>
          <w:rFonts w:ascii="Arial" w:hAnsi="Arial" w:cs="Arial"/>
          <w:sz w:val="20"/>
          <w:szCs w:val="20"/>
        </w:rPr>
        <w:t xml:space="preserve"> at the time of diagnosis, and; category 2 cases include </w:t>
      </w:r>
      <w:r w:rsidR="00FC5374" w:rsidRPr="001D3B21">
        <w:rPr>
          <w:rFonts w:ascii="Arial" w:hAnsi="Arial" w:cs="Arial"/>
          <w:sz w:val="20"/>
          <w:szCs w:val="20"/>
        </w:rPr>
        <w:t xml:space="preserve">people who are a </w:t>
      </w:r>
      <w:r w:rsidR="00145B1F" w:rsidRPr="001D3B21">
        <w:rPr>
          <w:rFonts w:ascii="Arial" w:hAnsi="Arial" w:cs="Arial"/>
          <w:sz w:val="20"/>
          <w:szCs w:val="20"/>
        </w:rPr>
        <w:t>sexual contact of a confirmed outbreak case which include</w:t>
      </w:r>
      <w:r w:rsidR="00832D3D" w:rsidRPr="001D3B21">
        <w:rPr>
          <w:rFonts w:ascii="Arial" w:hAnsi="Arial" w:cs="Arial"/>
          <w:sz w:val="20"/>
          <w:szCs w:val="20"/>
        </w:rPr>
        <w:t>s Aboriginal and Torres Strait Islander people who do not reside in an outbreak area</w:t>
      </w:r>
      <w:r w:rsidR="007036F8" w:rsidRPr="001D3B21">
        <w:rPr>
          <w:rFonts w:ascii="Arial" w:hAnsi="Arial" w:cs="Arial"/>
          <w:sz w:val="20"/>
          <w:szCs w:val="20"/>
        </w:rPr>
        <w:t xml:space="preserve"> at the time of diagnosis</w:t>
      </w:r>
      <w:r w:rsidR="00832D3D" w:rsidRPr="001D3B21">
        <w:rPr>
          <w:rFonts w:ascii="Arial" w:hAnsi="Arial" w:cs="Arial"/>
          <w:sz w:val="20"/>
          <w:szCs w:val="20"/>
        </w:rPr>
        <w:t xml:space="preserve"> and non-Indigenous people regardless of where they reside</w:t>
      </w:r>
      <w:r w:rsidR="00145B1F" w:rsidRPr="001D3B21">
        <w:rPr>
          <w:rFonts w:ascii="Arial" w:hAnsi="Arial" w:cs="Arial"/>
          <w:sz w:val="20"/>
          <w:szCs w:val="20"/>
        </w:rPr>
        <w:t>.</w:t>
      </w:r>
      <w:r w:rsidR="00B60B0F" w:rsidRPr="001D3B21">
        <w:rPr>
          <w:rFonts w:ascii="Arial" w:hAnsi="Arial" w:cs="Arial"/>
          <w:sz w:val="20"/>
          <w:szCs w:val="20"/>
        </w:rPr>
        <w:t xml:space="preserve"> </w:t>
      </w:r>
    </w:p>
    <w:p w14:paraId="57B04803" w14:textId="77777777" w:rsidR="0082562E" w:rsidRPr="002C52B9" w:rsidRDefault="0082562E" w:rsidP="00D44019">
      <w:pPr>
        <w:spacing w:after="0" w:line="240" w:lineRule="auto"/>
        <w:ind w:left="-709" w:right="-23"/>
        <w:jc w:val="both"/>
        <w:rPr>
          <w:rFonts w:ascii="Arial" w:hAnsi="Arial" w:cs="Arial"/>
          <w:sz w:val="20"/>
          <w:szCs w:val="20"/>
        </w:rPr>
      </w:pPr>
    </w:p>
    <w:p w14:paraId="57B04804" w14:textId="77777777" w:rsidR="0082562E" w:rsidRPr="00736F53" w:rsidRDefault="009A3524" w:rsidP="00D44019">
      <w:pPr>
        <w:spacing w:after="0" w:line="240" w:lineRule="auto"/>
        <w:ind w:left="-709" w:right="-23"/>
        <w:jc w:val="both"/>
        <w:rPr>
          <w:rFonts w:ascii="Arial" w:hAnsi="Arial" w:cs="Arial"/>
          <w:sz w:val="20"/>
          <w:szCs w:val="20"/>
          <w:highlight w:val="yellow"/>
        </w:rPr>
      </w:pPr>
      <w:r w:rsidRPr="002C52B9">
        <w:rPr>
          <w:rFonts w:ascii="Arial" w:hAnsi="Arial" w:cs="Arial"/>
          <w:sz w:val="20"/>
          <w:szCs w:val="20"/>
        </w:rPr>
        <w:t>Between 1 – 3</w:t>
      </w:r>
      <w:r w:rsidR="00C7209E" w:rsidRPr="002C52B9">
        <w:rPr>
          <w:rFonts w:ascii="Arial" w:hAnsi="Arial" w:cs="Arial"/>
          <w:sz w:val="20"/>
          <w:szCs w:val="20"/>
        </w:rPr>
        <w:t>1</w:t>
      </w:r>
      <w:r w:rsidR="00B97120" w:rsidRPr="002C52B9">
        <w:rPr>
          <w:rFonts w:ascii="Arial" w:hAnsi="Arial" w:cs="Arial"/>
          <w:sz w:val="20"/>
          <w:szCs w:val="20"/>
        </w:rPr>
        <w:t xml:space="preserve"> </w:t>
      </w:r>
      <w:r w:rsidR="00736F53">
        <w:rPr>
          <w:color w:val="000000" w:themeColor="text1"/>
        </w:rPr>
        <w:t xml:space="preserve">January </w:t>
      </w:r>
      <w:r w:rsidR="00736F53" w:rsidRPr="001D3B21">
        <w:rPr>
          <w:color w:val="000000" w:themeColor="text1"/>
        </w:rPr>
        <w:t>201</w:t>
      </w:r>
      <w:r w:rsidR="00736F53">
        <w:rPr>
          <w:color w:val="000000" w:themeColor="text1"/>
        </w:rPr>
        <w:t>9</w:t>
      </w:r>
      <w:r w:rsidR="00431952" w:rsidRPr="002C52B9">
        <w:rPr>
          <w:rFonts w:ascii="Arial" w:hAnsi="Arial" w:cs="Arial"/>
          <w:sz w:val="20"/>
          <w:szCs w:val="20"/>
          <w:vertAlign w:val="superscript"/>
        </w:rPr>
        <w:t>ȶ</w:t>
      </w:r>
      <w:r w:rsidRPr="002C52B9">
        <w:rPr>
          <w:rFonts w:ascii="Arial" w:hAnsi="Arial" w:cs="Arial"/>
          <w:sz w:val="20"/>
          <w:szCs w:val="20"/>
        </w:rPr>
        <w:t>, the</w:t>
      </w:r>
      <w:r w:rsidRPr="003D13EF">
        <w:rPr>
          <w:rFonts w:ascii="Arial" w:hAnsi="Arial" w:cs="Arial"/>
          <w:sz w:val="20"/>
          <w:szCs w:val="20"/>
        </w:rPr>
        <w:t xml:space="preserve">re were </w:t>
      </w:r>
      <w:r w:rsidR="003D13EF" w:rsidRPr="003D13EF">
        <w:rPr>
          <w:rFonts w:ascii="Arial" w:hAnsi="Arial" w:cs="Arial"/>
          <w:sz w:val="20"/>
          <w:szCs w:val="20"/>
        </w:rPr>
        <w:t>57</w:t>
      </w:r>
      <w:r w:rsidRPr="003D13EF">
        <w:rPr>
          <w:rFonts w:ascii="Arial" w:hAnsi="Arial" w:cs="Arial"/>
          <w:sz w:val="20"/>
          <w:szCs w:val="20"/>
        </w:rPr>
        <w:t xml:space="preserve"> outbreak cases (category 1 and 2 cases) reported from the four outbreak affected jurisdictions: </w:t>
      </w:r>
      <w:r w:rsidR="003D13EF" w:rsidRPr="003D13EF">
        <w:rPr>
          <w:rFonts w:ascii="Arial" w:hAnsi="Arial" w:cs="Arial"/>
          <w:sz w:val="20"/>
          <w:szCs w:val="20"/>
        </w:rPr>
        <w:t>18</w:t>
      </w:r>
      <w:r w:rsidRPr="003D13EF">
        <w:rPr>
          <w:rFonts w:ascii="Arial" w:hAnsi="Arial" w:cs="Arial"/>
          <w:sz w:val="20"/>
          <w:szCs w:val="20"/>
        </w:rPr>
        <w:t xml:space="preserve"> in Queensland;</w:t>
      </w:r>
      <w:r w:rsidR="003D13EF" w:rsidRPr="003D13EF">
        <w:rPr>
          <w:rFonts w:ascii="Arial" w:hAnsi="Arial" w:cs="Arial"/>
          <w:sz w:val="20"/>
          <w:szCs w:val="20"/>
        </w:rPr>
        <w:t xml:space="preserve"> 23</w:t>
      </w:r>
      <w:r w:rsidR="00F83A73" w:rsidRPr="003D13EF">
        <w:rPr>
          <w:rFonts w:ascii="Arial" w:hAnsi="Arial" w:cs="Arial"/>
          <w:sz w:val="20"/>
          <w:szCs w:val="20"/>
        </w:rPr>
        <w:t xml:space="preserve"> </w:t>
      </w:r>
      <w:r w:rsidRPr="003D13EF">
        <w:rPr>
          <w:rFonts w:ascii="Arial" w:hAnsi="Arial" w:cs="Arial"/>
          <w:sz w:val="20"/>
          <w:szCs w:val="20"/>
        </w:rPr>
        <w:t>in the Northern Territory;</w:t>
      </w:r>
      <w:r w:rsidR="002C52B9" w:rsidRPr="003D13EF">
        <w:rPr>
          <w:rFonts w:ascii="Arial" w:hAnsi="Arial" w:cs="Arial"/>
          <w:sz w:val="20"/>
          <w:szCs w:val="20"/>
        </w:rPr>
        <w:t xml:space="preserve"> 1</w:t>
      </w:r>
      <w:r w:rsidR="003D13EF" w:rsidRPr="003D13EF">
        <w:rPr>
          <w:rFonts w:ascii="Arial" w:hAnsi="Arial" w:cs="Arial"/>
          <w:sz w:val="20"/>
          <w:szCs w:val="20"/>
        </w:rPr>
        <w:t>4</w:t>
      </w:r>
      <w:r w:rsidRPr="003D13EF">
        <w:rPr>
          <w:rFonts w:ascii="Arial" w:hAnsi="Arial" w:cs="Arial"/>
          <w:sz w:val="20"/>
          <w:szCs w:val="20"/>
        </w:rPr>
        <w:t xml:space="preserve"> in Western Australia and; </w:t>
      </w:r>
      <w:proofErr w:type="gramStart"/>
      <w:r w:rsidR="003D13EF" w:rsidRPr="003D13EF">
        <w:rPr>
          <w:rFonts w:ascii="Arial" w:hAnsi="Arial" w:cs="Arial"/>
          <w:sz w:val="20"/>
          <w:szCs w:val="20"/>
        </w:rPr>
        <w:t>2</w:t>
      </w:r>
      <w:proofErr w:type="gramEnd"/>
      <w:r w:rsidRPr="003D13EF">
        <w:rPr>
          <w:rFonts w:ascii="Arial" w:hAnsi="Arial" w:cs="Arial"/>
          <w:sz w:val="20"/>
          <w:szCs w:val="20"/>
        </w:rPr>
        <w:t xml:space="preserve"> in South Australia (Figure 1, Table 1 and Table 2).  From the commencement of the outbreak to 3</w:t>
      </w:r>
      <w:r w:rsidR="002C52B9" w:rsidRPr="003D13EF">
        <w:rPr>
          <w:rFonts w:ascii="Arial" w:hAnsi="Arial" w:cs="Arial"/>
          <w:sz w:val="20"/>
          <w:szCs w:val="20"/>
        </w:rPr>
        <w:t xml:space="preserve">1 </w:t>
      </w:r>
      <w:r w:rsidR="003D13EF" w:rsidRPr="003D13EF">
        <w:rPr>
          <w:rFonts w:ascii="Arial" w:hAnsi="Arial" w:cs="Arial"/>
          <w:sz w:val="20"/>
          <w:szCs w:val="20"/>
        </w:rPr>
        <w:t>January</w:t>
      </w:r>
      <w:r w:rsidR="0038367E" w:rsidRPr="003D13EF">
        <w:rPr>
          <w:rFonts w:ascii="Arial" w:hAnsi="Arial" w:cs="Arial"/>
          <w:sz w:val="20"/>
          <w:szCs w:val="20"/>
        </w:rPr>
        <w:t xml:space="preserve"> </w:t>
      </w:r>
      <w:r w:rsidRPr="003D13EF">
        <w:rPr>
          <w:rFonts w:ascii="Arial" w:hAnsi="Arial" w:cs="Arial"/>
          <w:sz w:val="20"/>
          <w:szCs w:val="20"/>
        </w:rPr>
        <w:t>201</w:t>
      </w:r>
      <w:r w:rsidR="003D13EF" w:rsidRPr="003D13EF">
        <w:rPr>
          <w:rFonts w:ascii="Arial" w:hAnsi="Arial" w:cs="Arial"/>
          <w:sz w:val="20"/>
          <w:szCs w:val="20"/>
        </w:rPr>
        <w:t>9</w:t>
      </w:r>
      <w:r w:rsidR="00431952" w:rsidRPr="003D13EF">
        <w:rPr>
          <w:rFonts w:ascii="Arial" w:hAnsi="Arial" w:cs="Arial"/>
          <w:sz w:val="20"/>
          <w:szCs w:val="20"/>
          <w:vertAlign w:val="superscript"/>
        </w:rPr>
        <w:t xml:space="preserve"> ȶ</w:t>
      </w:r>
      <w:r w:rsidRPr="003D13EF">
        <w:rPr>
          <w:rFonts w:ascii="Arial" w:hAnsi="Arial" w:cs="Arial"/>
          <w:sz w:val="20"/>
          <w:szCs w:val="20"/>
        </w:rPr>
        <w:t xml:space="preserve">, there were a total of </w:t>
      </w:r>
      <w:r w:rsidR="00E254E1">
        <w:rPr>
          <w:rFonts w:ascii="Arial" w:hAnsi="Arial" w:cs="Arial"/>
          <w:sz w:val="20"/>
          <w:szCs w:val="20"/>
        </w:rPr>
        <w:t>255</w:t>
      </w:r>
      <w:r w:rsidR="00460892">
        <w:rPr>
          <w:rFonts w:ascii="Arial" w:hAnsi="Arial" w:cs="Arial"/>
          <w:sz w:val="20"/>
          <w:szCs w:val="20"/>
        </w:rPr>
        <w:t>9</w:t>
      </w:r>
      <w:r w:rsidR="00AB125E" w:rsidRPr="003D13EF">
        <w:rPr>
          <w:rFonts w:ascii="Arial" w:hAnsi="Arial" w:cs="Arial"/>
          <w:sz w:val="20"/>
          <w:szCs w:val="20"/>
        </w:rPr>
        <w:t xml:space="preserve"> </w:t>
      </w:r>
      <w:r w:rsidRPr="003D13EF">
        <w:rPr>
          <w:rFonts w:ascii="Arial" w:hAnsi="Arial" w:cs="Arial"/>
          <w:sz w:val="20"/>
          <w:szCs w:val="20"/>
        </w:rPr>
        <w:t xml:space="preserve">outbreak cases (category 1 and 2 cases) reported across the four outbreak affected jurisdictions: </w:t>
      </w:r>
      <w:r w:rsidR="003D13EF" w:rsidRPr="003D13EF">
        <w:rPr>
          <w:rFonts w:ascii="Arial" w:hAnsi="Arial" w:cs="Arial"/>
          <w:sz w:val="20"/>
          <w:szCs w:val="20"/>
        </w:rPr>
        <w:t>1271</w:t>
      </w:r>
      <w:r w:rsidRPr="003D13EF">
        <w:rPr>
          <w:rFonts w:ascii="Arial" w:hAnsi="Arial" w:cs="Arial"/>
          <w:sz w:val="20"/>
          <w:szCs w:val="20"/>
        </w:rPr>
        <w:t xml:space="preserve"> in Queensland (from January 2011);</w:t>
      </w:r>
      <w:r w:rsidR="002475C0" w:rsidRPr="003D13EF">
        <w:rPr>
          <w:rFonts w:ascii="Arial" w:hAnsi="Arial" w:cs="Arial"/>
          <w:sz w:val="20"/>
          <w:szCs w:val="20"/>
        </w:rPr>
        <w:t xml:space="preserve"> </w:t>
      </w:r>
      <w:r w:rsidR="003D13EF" w:rsidRPr="003D13EF">
        <w:rPr>
          <w:rFonts w:ascii="Arial" w:hAnsi="Arial" w:cs="Arial"/>
          <w:sz w:val="20"/>
          <w:szCs w:val="20"/>
        </w:rPr>
        <w:t>967</w:t>
      </w:r>
      <w:r w:rsidRPr="003D13EF">
        <w:rPr>
          <w:rFonts w:ascii="Arial" w:hAnsi="Arial" w:cs="Arial"/>
          <w:sz w:val="20"/>
          <w:szCs w:val="20"/>
        </w:rPr>
        <w:t xml:space="preserve"> in the Northe</w:t>
      </w:r>
      <w:r w:rsidR="004009E2" w:rsidRPr="003D13EF">
        <w:rPr>
          <w:rFonts w:ascii="Arial" w:hAnsi="Arial" w:cs="Arial"/>
          <w:sz w:val="20"/>
          <w:szCs w:val="20"/>
        </w:rPr>
        <w:t>rn Territory (from</w:t>
      </w:r>
      <w:r w:rsidR="003844E5" w:rsidRPr="003D13EF">
        <w:rPr>
          <w:rFonts w:ascii="Arial" w:hAnsi="Arial" w:cs="Arial"/>
          <w:sz w:val="20"/>
          <w:szCs w:val="20"/>
        </w:rPr>
        <w:t xml:space="preserve"> Jul</w:t>
      </w:r>
      <w:r w:rsidR="003D13EF" w:rsidRPr="003D13EF">
        <w:rPr>
          <w:rFonts w:ascii="Arial" w:hAnsi="Arial" w:cs="Arial"/>
          <w:sz w:val="20"/>
          <w:szCs w:val="20"/>
        </w:rPr>
        <w:t>y 2013); 253</w:t>
      </w:r>
      <w:r w:rsidRPr="003D13EF">
        <w:rPr>
          <w:rFonts w:ascii="Arial" w:hAnsi="Arial" w:cs="Arial"/>
          <w:sz w:val="20"/>
          <w:szCs w:val="20"/>
        </w:rPr>
        <w:t xml:space="preserve"> in Western Australia (from June 2014), and; </w:t>
      </w:r>
      <w:r w:rsidR="00460892">
        <w:rPr>
          <w:rFonts w:ascii="Arial" w:hAnsi="Arial" w:cs="Arial"/>
          <w:sz w:val="20"/>
          <w:szCs w:val="20"/>
        </w:rPr>
        <w:t>68</w:t>
      </w:r>
      <w:r w:rsidRPr="003D13EF">
        <w:rPr>
          <w:rFonts w:ascii="Arial" w:hAnsi="Arial" w:cs="Arial"/>
          <w:sz w:val="20"/>
          <w:szCs w:val="20"/>
        </w:rPr>
        <w:t xml:space="preserve"> in South Australia (from November 2016) (Table 1 and 2).</w:t>
      </w:r>
    </w:p>
    <w:p w14:paraId="57B04805" w14:textId="77777777" w:rsidR="00415E72" w:rsidRPr="00196E76" w:rsidRDefault="00415E72" w:rsidP="00D44019">
      <w:pPr>
        <w:spacing w:after="0" w:line="240" w:lineRule="auto"/>
        <w:ind w:left="-709" w:right="-23"/>
        <w:jc w:val="both"/>
        <w:rPr>
          <w:rFonts w:ascii="Arial" w:hAnsi="Arial" w:cs="Arial"/>
          <w:sz w:val="20"/>
          <w:szCs w:val="20"/>
          <w:highlight w:val="yellow"/>
        </w:rPr>
      </w:pPr>
    </w:p>
    <w:p w14:paraId="57B04806" w14:textId="77777777" w:rsidR="00CD51A1" w:rsidRPr="001D3B21" w:rsidRDefault="00C55AC7" w:rsidP="00D44019">
      <w:pPr>
        <w:spacing w:after="0" w:line="240" w:lineRule="auto"/>
        <w:ind w:left="-709" w:right="-23"/>
        <w:jc w:val="both"/>
        <w:rPr>
          <w:rFonts w:ascii="Arial" w:hAnsi="Arial" w:cs="Arial"/>
          <w:sz w:val="20"/>
          <w:szCs w:val="20"/>
          <w:vertAlign w:val="superscript"/>
        </w:rPr>
      </w:pPr>
      <w:r w:rsidRPr="001D3B21">
        <w:rPr>
          <w:rFonts w:ascii="Arial" w:hAnsi="Arial" w:cs="Arial"/>
          <w:b/>
          <w:sz w:val="20"/>
          <w:szCs w:val="20"/>
        </w:rPr>
        <w:t>Figure 1</w:t>
      </w:r>
      <w:r w:rsidRPr="001D3B21">
        <w:rPr>
          <w:rFonts w:ascii="Arial" w:hAnsi="Arial" w:cs="Arial"/>
          <w:sz w:val="20"/>
          <w:szCs w:val="20"/>
        </w:rPr>
        <w:t>. Epidemic curve showing</w:t>
      </w:r>
      <w:r w:rsidR="00695EC9" w:rsidRPr="001D3B21">
        <w:rPr>
          <w:rFonts w:ascii="Arial" w:hAnsi="Arial" w:cs="Arial"/>
          <w:sz w:val="20"/>
          <w:szCs w:val="20"/>
        </w:rPr>
        <w:t xml:space="preserve"> category 1</w:t>
      </w:r>
      <w:r w:rsidR="002C510D" w:rsidRPr="001D3B21">
        <w:rPr>
          <w:rFonts w:ascii="Arial" w:hAnsi="Arial" w:cs="Arial"/>
          <w:sz w:val="20"/>
          <w:szCs w:val="20"/>
        </w:rPr>
        <w:t xml:space="preserve"> infectious syphilis</w:t>
      </w:r>
      <w:r w:rsidR="002C510D" w:rsidRPr="001D3B21">
        <w:rPr>
          <w:rFonts w:ascii="Arial" w:hAnsi="Arial" w:cs="Arial"/>
          <w:sz w:val="20"/>
          <w:szCs w:val="20"/>
          <w:vertAlign w:val="superscript"/>
        </w:rPr>
        <w:t xml:space="preserve"> α</w:t>
      </w:r>
      <w:r w:rsidR="002C510D" w:rsidRPr="001D3B21">
        <w:rPr>
          <w:rFonts w:ascii="Arial" w:hAnsi="Arial" w:cs="Arial"/>
          <w:sz w:val="20"/>
          <w:szCs w:val="20"/>
        </w:rPr>
        <w:t xml:space="preserve"> outbreak</w:t>
      </w:r>
      <w:r w:rsidRPr="001D3B21">
        <w:rPr>
          <w:rFonts w:ascii="Arial" w:hAnsi="Arial" w:cs="Arial"/>
          <w:sz w:val="20"/>
          <w:szCs w:val="20"/>
        </w:rPr>
        <w:t xml:space="preserve"> cases notified in</w:t>
      </w:r>
      <w:r w:rsidR="00145B1F" w:rsidRPr="001D3B21">
        <w:rPr>
          <w:rFonts w:ascii="Arial" w:hAnsi="Arial" w:cs="Arial"/>
          <w:sz w:val="20"/>
          <w:szCs w:val="20"/>
        </w:rPr>
        <w:t xml:space="preserve"> Aboriginal and Torres Strait Islander people residing in</w:t>
      </w:r>
      <w:r w:rsidRPr="001D3B21">
        <w:rPr>
          <w:rFonts w:ascii="Arial" w:hAnsi="Arial" w:cs="Arial"/>
          <w:sz w:val="20"/>
          <w:szCs w:val="20"/>
        </w:rPr>
        <w:t xml:space="preserve">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w:t>
      </w:r>
      <w:r w:rsidR="001541C8" w:rsidRPr="001D3B21">
        <w:rPr>
          <w:rFonts w:ascii="Arial" w:hAnsi="Arial" w:cs="Arial"/>
          <w:sz w:val="20"/>
          <w:szCs w:val="20"/>
        </w:rPr>
        <w:t>and,</w:t>
      </w:r>
      <w:r w:rsidR="00145B1F" w:rsidRPr="001D3B21">
        <w:rPr>
          <w:rFonts w:ascii="Arial" w:hAnsi="Arial" w:cs="Arial"/>
          <w:sz w:val="20"/>
          <w:szCs w:val="20"/>
        </w:rPr>
        <w:t xml:space="preserve"> </w:t>
      </w:r>
      <w:r w:rsidR="001541C8" w:rsidRPr="001D3B21">
        <w:rPr>
          <w:rFonts w:ascii="Arial" w:hAnsi="Arial" w:cs="Arial"/>
          <w:sz w:val="20"/>
          <w:szCs w:val="20"/>
        </w:rPr>
        <w:t xml:space="preserve">the Northern Territory, </w:t>
      </w:r>
      <w:r w:rsidR="00EC732E" w:rsidRPr="001D3B21">
        <w:rPr>
          <w:rFonts w:ascii="Arial" w:hAnsi="Arial" w:cs="Arial"/>
          <w:sz w:val="20"/>
          <w:szCs w:val="20"/>
        </w:rPr>
        <w:t>Western Australia</w:t>
      </w:r>
      <w:r w:rsidR="00E572C9" w:rsidRPr="001D3B21">
        <w:rPr>
          <w:rFonts w:ascii="Arial" w:hAnsi="Arial" w:cs="Arial"/>
          <w:sz w:val="20"/>
          <w:szCs w:val="20"/>
        </w:rPr>
        <w:t xml:space="preserve"> and South Australia</w:t>
      </w:r>
      <w:r w:rsidR="00EC732E" w:rsidRPr="001D3B21">
        <w:rPr>
          <w:rFonts w:ascii="Arial" w:hAnsi="Arial" w:cs="Arial"/>
          <w:sz w:val="20"/>
          <w:szCs w:val="20"/>
        </w:rPr>
        <w:t xml:space="preserve"> </w:t>
      </w:r>
      <w:r w:rsidRPr="001D3B21">
        <w:rPr>
          <w:rFonts w:ascii="Arial" w:hAnsi="Arial" w:cs="Arial"/>
          <w:sz w:val="20"/>
          <w:szCs w:val="20"/>
        </w:rPr>
        <w:t>from commencement of the o</w:t>
      </w:r>
      <w:r w:rsidR="00EC732E" w:rsidRPr="001D3B21">
        <w:rPr>
          <w:rFonts w:ascii="Arial" w:hAnsi="Arial" w:cs="Arial"/>
          <w:sz w:val="20"/>
          <w:szCs w:val="20"/>
        </w:rPr>
        <w:t xml:space="preserve">utbreak in each jurisdiction to </w:t>
      </w:r>
      <w:r w:rsidR="0082562E" w:rsidRPr="001D3B21">
        <w:rPr>
          <w:rFonts w:ascii="Arial" w:hAnsi="Arial" w:cs="Arial"/>
          <w:sz w:val="20"/>
          <w:szCs w:val="20"/>
        </w:rPr>
        <w:t>3</w:t>
      </w:r>
      <w:r w:rsidR="00C7209E">
        <w:rPr>
          <w:rFonts w:ascii="Arial" w:hAnsi="Arial" w:cs="Arial"/>
          <w:sz w:val="20"/>
          <w:szCs w:val="20"/>
        </w:rPr>
        <w:t xml:space="preserve">1 </w:t>
      </w:r>
      <w:r w:rsidR="00736F53">
        <w:rPr>
          <w:color w:val="000000" w:themeColor="text1"/>
        </w:rPr>
        <w:t xml:space="preserve">January </w:t>
      </w:r>
      <w:r w:rsidR="00736F53" w:rsidRPr="001D3B21">
        <w:rPr>
          <w:color w:val="000000" w:themeColor="text1"/>
        </w:rPr>
        <w:t>201</w:t>
      </w:r>
      <w:r w:rsidR="00736F53">
        <w:rPr>
          <w:color w:val="000000" w:themeColor="text1"/>
        </w:rPr>
        <w:t>9</w:t>
      </w:r>
      <w:r w:rsidR="00431952" w:rsidRPr="001D3B21">
        <w:rPr>
          <w:rFonts w:ascii="Arial" w:hAnsi="Arial" w:cs="Arial"/>
          <w:sz w:val="20"/>
          <w:szCs w:val="20"/>
          <w:vertAlign w:val="superscript"/>
        </w:rPr>
        <w:t xml:space="preserve">ȶ </w:t>
      </w:r>
      <w:r w:rsidRPr="001D3B21">
        <w:rPr>
          <w:rFonts w:ascii="Arial" w:hAnsi="Arial" w:cs="Arial"/>
          <w:sz w:val="20"/>
          <w:szCs w:val="20"/>
          <w:vertAlign w:val="superscript"/>
        </w:rPr>
        <w:t>ᵞ</w:t>
      </w:r>
      <w:r w:rsidR="00431952" w:rsidRPr="001D3B21">
        <w:rPr>
          <w:rFonts w:ascii="Arial" w:hAnsi="Arial" w:cs="Arial"/>
          <w:sz w:val="20"/>
          <w:szCs w:val="20"/>
          <w:vertAlign w:val="superscript"/>
        </w:rPr>
        <w:t xml:space="preserve"> </w:t>
      </w:r>
    </w:p>
    <w:p w14:paraId="57B04807" w14:textId="77777777" w:rsidR="00415E72" w:rsidRPr="00196E76" w:rsidRDefault="009201EE" w:rsidP="00D44019">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lang w:eastAsia="en-AU"/>
        </w:rPr>
        <w:drawing>
          <wp:inline distT="0" distB="0" distL="0" distR="0" wp14:anchorId="57B04EC2" wp14:editId="57B04EC3">
            <wp:extent cx="6816436" cy="3800104"/>
            <wp:effectExtent l="0" t="0" r="3810" b="0"/>
            <wp:docPr id="2" name="Picture 2"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1 January 2019"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7514" cy="3806280"/>
                    </a:xfrm>
                    <a:prstGeom prst="rect">
                      <a:avLst/>
                    </a:prstGeom>
                    <a:noFill/>
                  </pic:spPr>
                </pic:pic>
              </a:graphicData>
            </a:graphic>
          </wp:inline>
        </w:drawing>
      </w:r>
      <w:r w:rsidR="00415E72" w:rsidRPr="00196E76">
        <w:rPr>
          <w:rFonts w:ascii="Arial" w:hAnsi="Arial" w:cs="Arial"/>
          <w:b/>
          <w:sz w:val="20"/>
          <w:szCs w:val="20"/>
          <w:highlight w:val="yellow"/>
        </w:rPr>
        <w:br w:type="page"/>
      </w:r>
    </w:p>
    <w:p w14:paraId="57B04808" w14:textId="77777777" w:rsidR="00415E72" w:rsidRPr="00196E76" w:rsidRDefault="00415E72" w:rsidP="00094607">
      <w:pPr>
        <w:spacing w:after="0" w:line="240" w:lineRule="auto"/>
        <w:ind w:left="-567"/>
        <w:rPr>
          <w:rFonts w:ascii="Arial" w:hAnsi="Arial" w:cs="Arial"/>
          <w:b/>
          <w:sz w:val="20"/>
          <w:szCs w:val="20"/>
          <w:highlight w:val="yellow"/>
        </w:rPr>
      </w:pPr>
    </w:p>
    <w:p w14:paraId="57B04809" w14:textId="77777777" w:rsidR="00094607" w:rsidRPr="001D3B21" w:rsidRDefault="0037506D" w:rsidP="00D44019">
      <w:pPr>
        <w:spacing w:after="0" w:line="240" w:lineRule="auto"/>
        <w:ind w:left="-709"/>
        <w:rPr>
          <w:rFonts w:ascii="Arial" w:hAnsi="Arial" w:cs="Arial"/>
          <w:sz w:val="20"/>
          <w:szCs w:val="20"/>
        </w:rPr>
      </w:pPr>
      <w:r w:rsidRPr="001D3B21">
        <w:rPr>
          <w:rFonts w:ascii="Arial" w:hAnsi="Arial" w:cs="Arial"/>
          <w:b/>
          <w:sz w:val="20"/>
          <w:szCs w:val="20"/>
        </w:rPr>
        <w:t>Table 1</w:t>
      </w:r>
      <w:r w:rsidRPr="001D3B21">
        <w:rPr>
          <w:rFonts w:ascii="Arial" w:hAnsi="Arial" w:cs="Arial"/>
          <w:sz w:val="20"/>
          <w:szCs w:val="20"/>
        </w:rPr>
        <w:t>.</w:t>
      </w:r>
      <w:r w:rsidRPr="001D3B21">
        <w:rPr>
          <w:rFonts w:ascii="Arial" w:hAnsi="Arial" w:cs="Arial"/>
          <w:b/>
          <w:sz w:val="20"/>
          <w:szCs w:val="20"/>
        </w:rPr>
        <w:t xml:space="preserve"> </w:t>
      </w:r>
      <w:r w:rsidR="004E075B" w:rsidRPr="001D3B21">
        <w:rPr>
          <w:rFonts w:ascii="Arial" w:hAnsi="Arial" w:cs="Arial"/>
          <w:sz w:val="20"/>
          <w:szCs w:val="20"/>
        </w:rPr>
        <w:t xml:space="preserve">Characteristics of </w:t>
      </w:r>
      <w:r w:rsidR="00695EC9" w:rsidRPr="001D3B21">
        <w:rPr>
          <w:rFonts w:ascii="Arial" w:hAnsi="Arial" w:cs="Arial"/>
          <w:sz w:val="20"/>
          <w:szCs w:val="20"/>
        </w:rPr>
        <w:t xml:space="preserve">category 1 </w:t>
      </w:r>
      <w:r w:rsidR="00FD71F0" w:rsidRPr="001D3B21">
        <w:rPr>
          <w:rFonts w:ascii="Arial" w:hAnsi="Arial" w:cs="Arial"/>
          <w:sz w:val="20"/>
          <w:szCs w:val="20"/>
        </w:rPr>
        <w:t>infectious syphilis</w:t>
      </w:r>
      <w:r w:rsidR="00FC5374" w:rsidRPr="001D3B21">
        <w:rPr>
          <w:rFonts w:ascii="Arial" w:hAnsi="Arial" w:cs="Arial"/>
          <w:sz w:val="20"/>
          <w:szCs w:val="20"/>
          <w:vertAlign w:val="superscript"/>
        </w:rPr>
        <w:t>α</w:t>
      </w:r>
      <w:r w:rsidR="00FD71F0" w:rsidRPr="001D3B21">
        <w:rPr>
          <w:rFonts w:ascii="Arial" w:hAnsi="Arial" w:cs="Arial"/>
          <w:sz w:val="20"/>
          <w:szCs w:val="20"/>
        </w:rPr>
        <w:t xml:space="preserve"> </w:t>
      </w:r>
      <w:r w:rsidR="002C510D" w:rsidRPr="001D3B21">
        <w:rPr>
          <w:rFonts w:ascii="Arial" w:hAnsi="Arial" w:cs="Arial"/>
          <w:sz w:val="20"/>
          <w:szCs w:val="20"/>
        </w:rPr>
        <w:t xml:space="preserve">outbreak cases </w:t>
      </w:r>
      <w:r w:rsidR="00FD71F0" w:rsidRPr="001D3B21">
        <w:rPr>
          <w:rFonts w:ascii="Arial" w:hAnsi="Arial" w:cs="Arial"/>
          <w:sz w:val="20"/>
          <w:szCs w:val="20"/>
        </w:rPr>
        <w:t xml:space="preserve">notified </w:t>
      </w:r>
      <w:r w:rsidR="000E032B" w:rsidRPr="001D3B21">
        <w:rPr>
          <w:rFonts w:ascii="Arial" w:hAnsi="Arial" w:cs="Arial"/>
          <w:sz w:val="20"/>
          <w:szCs w:val="20"/>
        </w:rPr>
        <w:t>in</w:t>
      </w:r>
      <w:r w:rsidR="00FC5374" w:rsidRPr="001D3B21">
        <w:rPr>
          <w:rFonts w:ascii="Arial" w:hAnsi="Arial" w:cs="Arial"/>
          <w:sz w:val="20"/>
          <w:szCs w:val="20"/>
        </w:rPr>
        <w:t xml:space="preserve"> Aboriginal and Torres Strait Islander people residing in</w:t>
      </w:r>
      <w:r w:rsidR="000E032B" w:rsidRPr="001D3B21">
        <w:rPr>
          <w:rFonts w:ascii="Arial" w:hAnsi="Arial" w:cs="Arial"/>
          <w:sz w:val="20"/>
          <w:szCs w:val="20"/>
        </w:rPr>
        <w:t xml:space="preserve"> affected regions</w:t>
      </w:r>
      <w:r w:rsidR="00FC5374" w:rsidRPr="001D3B21">
        <w:rPr>
          <w:rFonts w:ascii="Arial" w:hAnsi="Arial" w:cs="Arial"/>
          <w:sz w:val="20"/>
          <w:szCs w:val="20"/>
          <w:vertAlign w:val="superscript"/>
        </w:rPr>
        <w:t>β</w:t>
      </w:r>
      <w:r w:rsidR="000E032B" w:rsidRPr="001D3B21">
        <w:rPr>
          <w:rFonts w:ascii="Arial" w:hAnsi="Arial" w:cs="Arial"/>
          <w:sz w:val="20"/>
          <w:szCs w:val="20"/>
        </w:rPr>
        <w:t xml:space="preserve"> of Queensland, the Northern Territory</w:t>
      </w:r>
      <w:r w:rsidR="00E572C9" w:rsidRPr="001D3B21">
        <w:rPr>
          <w:rFonts w:ascii="Arial" w:hAnsi="Arial" w:cs="Arial"/>
          <w:sz w:val="20"/>
          <w:szCs w:val="20"/>
        </w:rPr>
        <w:t>,</w:t>
      </w:r>
      <w:r w:rsidR="000E032B" w:rsidRPr="001D3B21">
        <w:rPr>
          <w:rFonts w:ascii="Arial" w:hAnsi="Arial" w:cs="Arial"/>
          <w:sz w:val="20"/>
          <w:szCs w:val="20"/>
        </w:rPr>
        <w:t xml:space="preserve"> Western Australia</w:t>
      </w:r>
      <w:r w:rsidR="00E572C9" w:rsidRPr="001D3B21">
        <w:rPr>
          <w:rFonts w:ascii="Arial" w:hAnsi="Arial" w:cs="Arial"/>
          <w:sz w:val="20"/>
          <w:szCs w:val="20"/>
        </w:rPr>
        <w:t xml:space="preserve"> and South Australia</w:t>
      </w:r>
      <w:r w:rsidR="000E032B" w:rsidRPr="001D3B21">
        <w:rPr>
          <w:rFonts w:ascii="Arial" w:hAnsi="Arial" w:cs="Arial"/>
          <w:sz w:val="20"/>
          <w:szCs w:val="20"/>
        </w:rPr>
        <w:t xml:space="preserve">, to </w:t>
      </w:r>
      <w:r w:rsidR="00BA5F4B" w:rsidRPr="001D3B21">
        <w:rPr>
          <w:rFonts w:ascii="Arial" w:hAnsi="Arial" w:cs="Arial"/>
          <w:sz w:val="20"/>
          <w:szCs w:val="20"/>
        </w:rPr>
        <w:br/>
      </w:r>
      <w:r w:rsidR="00F04C3D">
        <w:rPr>
          <w:rFonts w:ascii="Arial" w:hAnsi="Arial" w:cs="Arial"/>
          <w:sz w:val="20"/>
          <w:szCs w:val="16"/>
        </w:rPr>
        <w:t xml:space="preserve">31 </w:t>
      </w:r>
      <w:r w:rsidR="00736F53">
        <w:rPr>
          <w:rFonts w:ascii="Arial" w:hAnsi="Arial" w:cs="Arial"/>
          <w:sz w:val="20"/>
          <w:szCs w:val="16"/>
        </w:rPr>
        <w:t>January 2019</w:t>
      </w:r>
      <w:r w:rsidR="00431952" w:rsidRPr="001D3B21">
        <w:rPr>
          <w:rFonts w:ascii="Arial" w:hAnsi="Arial" w:cs="Arial"/>
          <w:sz w:val="20"/>
          <w:szCs w:val="20"/>
          <w:vertAlign w:val="superscript"/>
        </w:rPr>
        <w:t xml:space="preserve"> ȶ </w:t>
      </w:r>
      <w:r w:rsidR="000E032B" w:rsidRPr="001D3B21">
        <w:rPr>
          <w:rFonts w:ascii="Arial" w:hAnsi="Arial" w:cs="Arial"/>
          <w:sz w:val="20"/>
          <w:szCs w:val="20"/>
          <w:vertAlign w:val="superscript"/>
        </w:rPr>
        <w:t>ᵞ</w:t>
      </w:r>
      <w:r w:rsidR="00431952" w:rsidRPr="001D3B21">
        <w:rPr>
          <w:rFonts w:ascii="Arial" w:hAnsi="Arial" w:cs="Arial"/>
          <w:sz w:val="20"/>
          <w:szCs w:val="20"/>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560"/>
        <w:gridCol w:w="1559"/>
        <w:gridCol w:w="1559"/>
      </w:tblGrid>
      <w:tr w:rsidR="008B7A61" w:rsidRPr="00196E76" w14:paraId="57B04811" w14:textId="77777777" w:rsidTr="00846705">
        <w:trPr>
          <w:tblHeader/>
        </w:trPr>
        <w:tc>
          <w:tcPr>
            <w:tcW w:w="4236" w:type="dxa"/>
            <w:tcBorders>
              <w:bottom w:val="single" w:sz="4" w:space="0" w:color="auto"/>
            </w:tcBorders>
          </w:tcPr>
          <w:p w14:paraId="57B0480A" w14:textId="77777777" w:rsidR="008B7A61" w:rsidRPr="00196E76" w:rsidRDefault="008B7A61" w:rsidP="008B7A61">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14:paraId="57B0480B" w14:textId="77777777" w:rsidR="008B7A61" w:rsidRPr="005311AC" w:rsidRDefault="008B7A61" w:rsidP="008B7A61">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 xml:space="preserve">North Qld </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(four HHSs</w:t>
            </w:r>
            <w:r w:rsidRPr="005311AC">
              <w:rPr>
                <w:rFonts w:ascii="Calibri" w:eastAsia="Times New Roman" w:hAnsi="Calibri" w:cs="Arial"/>
                <w:sz w:val="20"/>
                <w:szCs w:val="20"/>
                <w:vertAlign w:val="superscript"/>
                <w:lang w:eastAsia="en-AU"/>
              </w:rPr>
              <w:t>β</w:t>
            </w:r>
            <w:r w:rsidRPr="005311AC">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80C" w14:textId="77777777" w:rsidR="00D3271A" w:rsidRDefault="008B7A61" w:rsidP="006E465C">
            <w:pPr>
              <w:ind w:left="34" w:hanging="34"/>
              <w:jc w:val="center"/>
              <w:rPr>
                <w:rFonts w:ascii="Calibri" w:eastAsia="Times New Roman" w:hAnsi="Calibri" w:cs="Arial"/>
                <w:sz w:val="20"/>
                <w:szCs w:val="20"/>
                <w:lang w:eastAsia="en-AU"/>
              </w:rPr>
            </w:pPr>
            <w:r w:rsidRPr="005311AC">
              <w:rPr>
                <w:rFonts w:ascii="Calibri" w:eastAsia="Times New Roman" w:hAnsi="Calibri" w:cs="Arial"/>
                <w:b/>
                <w:sz w:val="20"/>
                <w:szCs w:val="20"/>
                <w:lang w:eastAsia="en-AU"/>
              </w:rPr>
              <w:t xml:space="preserve">NT </w:t>
            </w:r>
          </w:p>
          <w:p w14:paraId="57B0480D" w14:textId="77777777" w:rsidR="008B7A61" w:rsidRPr="005311AC" w:rsidRDefault="008B7A61" w:rsidP="006E465C">
            <w:pPr>
              <w:ind w:left="34" w:hanging="34"/>
              <w:jc w:val="center"/>
              <w:rPr>
                <w:rFonts w:ascii="Calibri" w:eastAsia="Times New Roman" w:hAnsi="Calibri" w:cs="Arial"/>
                <w:b/>
                <w:sz w:val="20"/>
                <w:szCs w:val="20"/>
                <w:lang w:eastAsia="en-AU"/>
              </w:rPr>
            </w:pPr>
            <w:r w:rsidRPr="005311AC">
              <w:rPr>
                <w:rFonts w:ascii="Calibri" w:eastAsia="Times New Roman" w:hAnsi="Calibri" w:cs="Arial"/>
                <w:sz w:val="20"/>
                <w:szCs w:val="20"/>
                <w:lang w:eastAsia="en-AU"/>
              </w:rPr>
              <w:t>(</w:t>
            </w:r>
            <w:r w:rsidR="006E465C" w:rsidRPr="005311AC">
              <w:rPr>
                <w:rFonts w:ascii="Calibri" w:eastAsia="Times New Roman" w:hAnsi="Calibri" w:cs="Arial"/>
                <w:sz w:val="20"/>
                <w:szCs w:val="20"/>
                <w:lang w:eastAsia="en-AU"/>
              </w:rPr>
              <w:t>seven</w:t>
            </w:r>
            <w:r w:rsidRPr="005311AC">
              <w:rPr>
                <w:rFonts w:ascii="Calibri" w:eastAsia="Times New Roman" w:hAnsi="Calibri" w:cs="Arial"/>
                <w:sz w:val="20"/>
                <w:szCs w:val="20"/>
                <w:lang w:eastAsia="en-AU"/>
              </w:rPr>
              <w:t xml:space="preserve">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80E" w14:textId="77777777" w:rsidR="008B7A61" w:rsidRPr="005311AC" w:rsidRDefault="008B7A61" w:rsidP="00833E19">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WA</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 xml:space="preserve"> (</w:t>
            </w:r>
            <w:r w:rsidR="00833E19" w:rsidRPr="005311AC">
              <w:rPr>
                <w:rFonts w:ascii="Calibri" w:eastAsia="Times New Roman" w:hAnsi="Calibri" w:cs="Arial"/>
                <w:sz w:val="20"/>
                <w:szCs w:val="20"/>
                <w:lang w:eastAsia="en-AU"/>
              </w:rPr>
              <w:t>two regions</w:t>
            </w:r>
            <w:r w:rsidR="00833E19"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80F" w14:textId="77777777" w:rsidR="008B7A61" w:rsidRPr="005311AC" w:rsidRDefault="008B7A61" w:rsidP="008B7A61">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SA</w:t>
            </w:r>
          </w:p>
          <w:p w14:paraId="57B04810" w14:textId="77777777" w:rsidR="008B7A61" w:rsidRPr="005311AC" w:rsidRDefault="008B7A61" w:rsidP="00695EC9">
            <w:pPr>
              <w:ind w:left="34" w:hanging="34"/>
              <w:jc w:val="center"/>
              <w:rPr>
                <w:rFonts w:ascii="Calibri" w:eastAsia="Times New Roman" w:hAnsi="Calibri" w:cs="Arial"/>
                <w:sz w:val="20"/>
                <w:szCs w:val="20"/>
                <w:lang w:eastAsia="en-AU"/>
              </w:rPr>
            </w:pPr>
            <w:r w:rsidRPr="005311AC">
              <w:rPr>
                <w:rFonts w:ascii="Calibri" w:eastAsia="Times New Roman" w:hAnsi="Calibri" w:cs="Arial"/>
                <w:sz w:val="20"/>
                <w:szCs w:val="20"/>
                <w:lang w:eastAsia="en-AU"/>
              </w:rPr>
              <w:t>(</w:t>
            </w:r>
            <w:r w:rsidR="00707254" w:rsidRPr="005311AC">
              <w:rPr>
                <w:rFonts w:ascii="Calibri" w:eastAsia="Times New Roman" w:hAnsi="Calibri" w:cs="Arial"/>
                <w:sz w:val="20"/>
                <w:szCs w:val="20"/>
                <w:lang w:eastAsia="en-AU"/>
              </w:rPr>
              <w:t>t</w:t>
            </w:r>
            <w:r w:rsidR="00D3271A">
              <w:rPr>
                <w:rFonts w:ascii="Calibri" w:eastAsia="Times New Roman" w:hAnsi="Calibri" w:cs="Arial"/>
                <w:sz w:val="20"/>
                <w:szCs w:val="20"/>
                <w:lang w:eastAsia="en-AU"/>
              </w:rPr>
              <w:t>hree</w:t>
            </w:r>
            <w:r w:rsidR="00695EC9" w:rsidRPr="005311AC">
              <w:rPr>
                <w:rFonts w:ascii="Calibri" w:eastAsia="Times New Roman" w:hAnsi="Calibri" w:cs="Arial"/>
                <w:sz w:val="20"/>
                <w:szCs w:val="20"/>
                <w:lang w:eastAsia="en-AU"/>
              </w:rPr>
              <w:t xml:space="preserve"> </w:t>
            </w:r>
            <w:r w:rsidRPr="005311AC">
              <w:rPr>
                <w:rFonts w:ascii="Calibri" w:eastAsia="Times New Roman" w:hAnsi="Calibri" w:cs="Arial"/>
                <w:sz w:val="20"/>
                <w:szCs w:val="20"/>
                <w:lang w:eastAsia="en-AU"/>
              </w:rPr>
              <w:t>regions</w:t>
            </w:r>
            <w:r w:rsidR="00707254"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r>
      <w:tr w:rsidR="008B7A61" w:rsidRPr="00196E76" w14:paraId="57B04817" w14:textId="77777777" w:rsidTr="00846705">
        <w:tc>
          <w:tcPr>
            <w:tcW w:w="4236" w:type="dxa"/>
            <w:tcBorders>
              <w:right w:val="nil"/>
            </w:tcBorders>
            <w:shd w:val="clear" w:color="auto" w:fill="DBE5F1" w:themeFill="accent1" w:themeFillTint="33"/>
          </w:tcPr>
          <w:p w14:paraId="57B04812" w14:textId="77777777" w:rsidR="008B7A61" w:rsidRPr="00196E76" w:rsidRDefault="008B7A61" w:rsidP="00736F53">
            <w:pPr>
              <w:ind w:left="34" w:hanging="34"/>
              <w:rPr>
                <w:rFonts w:ascii="Calibri" w:eastAsia="Times New Roman" w:hAnsi="Calibri" w:cs="Arial"/>
                <w:b/>
                <w:sz w:val="20"/>
                <w:szCs w:val="20"/>
                <w:highlight w:val="yellow"/>
                <w:lang w:eastAsia="en-AU"/>
              </w:rPr>
            </w:pPr>
            <w:r w:rsidRPr="00BF4C9B">
              <w:rPr>
                <w:rFonts w:ascii="Calibri" w:eastAsia="Times New Roman" w:hAnsi="Calibri" w:cs="Arial"/>
                <w:b/>
                <w:sz w:val="20"/>
                <w:szCs w:val="20"/>
                <w:lang w:eastAsia="en-AU"/>
              </w:rPr>
              <w:t xml:space="preserve">Situation to-date, </w:t>
            </w:r>
            <w:r w:rsidR="00F04C3D">
              <w:rPr>
                <w:rFonts w:ascii="Calibri" w:eastAsia="Times New Roman" w:hAnsi="Calibri" w:cs="Arial"/>
                <w:b/>
                <w:sz w:val="20"/>
                <w:szCs w:val="20"/>
                <w:lang w:eastAsia="en-AU"/>
              </w:rPr>
              <w:t xml:space="preserve">31 </w:t>
            </w:r>
            <w:r w:rsidR="00736F53">
              <w:rPr>
                <w:rFonts w:ascii="Calibri" w:eastAsia="Times New Roman" w:hAnsi="Calibri" w:cs="Arial"/>
                <w:b/>
                <w:sz w:val="20"/>
                <w:szCs w:val="20"/>
                <w:lang w:eastAsia="en-AU"/>
              </w:rPr>
              <w:t>January</w:t>
            </w:r>
            <w:r w:rsidR="00F04C3D">
              <w:rPr>
                <w:rFonts w:ascii="Calibri" w:eastAsia="Times New Roman" w:hAnsi="Calibri" w:cs="Arial"/>
                <w:b/>
                <w:sz w:val="20"/>
                <w:szCs w:val="20"/>
                <w:lang w:eastAsia="en-AU"/>
              </w:rPr>
              <w:t xml:space="preserve"> </w:t>
            </w:r>
            <w:r w:rsidR="00216285" w:rsidRPr="00BF4C9B">
              <w:rPr>
                <w:rFonts w:ascii="Calibri" w:eastAsia="Times New Roman" w:hAnsi="Calibri" w:cs="Arial"/>
                <w:b/>
                <w:sz w:val="20"/>
                <w:szCs w:val="20"/>
                <w:lang w:eastAsia="en-AU"/>
              </w:rPr>
              <w:t>201</w:t>
            </w:r>
            <w:r w:rsidR="00736F53">
              <w:rPr>
                <w:rFonts w:ascii="Calibri" w:eastAsia="Times New Roman" w:hAnsi="Calibri" w:cs="Arial"/>
                <w:b/>
                <w:sz w:val="20"/>
                <w:szCs w:val="20"/>
                <w:lang w:eastAsia="en-AU"/>
              </w:rPr>
              <w:t>9</w:t>
            </w:r>
          </w:p>
        </w:tc>
        <w:tc>
          <w:tcPr>
            <w:tcW w:w="1553" w:type="dxa"/>
            <w:tcBorders>
              <w:left w:val="nil"/>
              <w:bottom w:val="single" w:sz="4" w:space="0" w:color="auto"/>
              <w:right w:val="nil"/>
            </w:tcBorders>
            <w:shd w:val="clear" w:color="auto" w:fill="DBE5F1" w:themeFill="accent1" w:themeFillTint="33"/>
          </w:tcPr>
          <w:p w14:paraId="57B04813" w14:textId="77777777" w:rsidR="008B7A61" w:rsidRPr="00196E76" w:rsidRDefault="008B7A61" w:rsidP="008B7A61">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14:paraId="57B04814" w14:textId="77777777" w:rsidR="008B7A61" w:rsidRPr="00196E76" w:rsidRDefault="008B7A61" w:rsidP="008B7A61">
            <w:pPr>
              <w:ind w:left="34" w:hanging="34"/>
              <w:rPr>
                <w:rFonts w:ascii="Calibri" w:eastAsia="Times New Roman" w:hAnsi="Calibri" w:cs="Arial"/>
                <w:sz w:val="20"/>
                <w:szCs w:val="20"/>
                <w:highlight w:val="yellow"/>
                <w:lang w:eastAsia="en-AU"/>
              </w:rPr>
            </w:pPr>
          </w:p>
        </w:tc>
        <w:tc>
          <w:tcPr>
            <w:tcW w:w="1559" w:type="dxa"/>
            <w:tcBorders>
              <w:left w:val="nil"/>
              <w:bottom w:val="single" w:sz="4" w:space="0" w:color="auto"/>
              <w:right w:val="nil"/>
            </w:tcBorders>
            <w:shd w:val="clear" w:color="auto" w:fill="DBE5F1" w:themeFill="accent1" w:themeFillTint="33"/>
          </w:tcPr>
          <w:p w14:paraId="57B04815" w14:textId="77777777" w:rsidR="008B7A61" w:rsidRPr="00196E76" w:rsidRDefault="008B7A61" w:rsidP="008B7A61">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14:paraId="57B04816" w14:textId="77777777" w:rsidR="008B7A61" w:rsidRPr="00196E76" w:rsidRDefault="008B7A61" w:rsidP="008B7A61">
            <w:pPr>
              <w:ind w:left="34" w:hanging="34"/>
              <w:rPr>
                <w:rFonts w:ascii="Calibri" w:eastAsia="Times New Roman" w:hAnsi="Calibri" w:cs="Arial"/>
                <w:sz w:val="20"/>
                <w:szCs w:val="20"/>
                <w:highlight w:val="yellow"/>
                <w:lang w:eastAsia="en-AU"/>
              </w:rPr>
            </w:pPr>
          </w:p>
        </w:tc>
      </w:tr>
      <w:tr w:rsidR="008B7A61" w:rsidRPr="00230738" w14:paraId="57B0481D" w14:textId="77777777" w:rsidTr="00846705">
        <w:trPr>
          <w:trHeight w:val="365"/>
        </w:trPr>
        <w:tc>
          <w:tcPr>
            <w:tcW w:w="4236" w:type="dxa"/>
            <w:vAlign w:val="center"/>
          </w:tcPr>
          <w:p w14:paraId="57B04818" w14:textId="77777777" w:rsidR="008B7A61" w:rsidRPr="00230738" w:rsidRDefault="008B7A61" w:rsidP="00256DB2">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14:paraId="57B04819" w14:textId="77777777" w:rsidR="008B7A61" w:rsidRPr="00230738" w:rsidRDefault="008B7A61" w:rsidP="00256DB2">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81A" w14:textId="77777777" w:rsidR="008B7A61" w:rsidRPr="00230738" w:rsidRDefault="008B7A61" w:rsidP="00256DB2">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July 2013</w:t>
            </w:r>
          </w:p>
        </w:tc>
        <w:tc>
          <w:tcPr>
            <w:tcW w:w="1559" w:type="dxa"/>
            <w:shd w:val="clear" w:color="auto" w:fill="CCC0D9" w:themeFill="accent4" w:themeFillTint="66"/>
            <w:vAlign w:val="center"/>
          </w:tcPr>
          <w:p w14:paraId="57B0481B" w14:textId="77777777" w:rsidR="008B7A61" w:rsidRPr="00230738" w:rsidRDefault="008B7A61" w:rsidP="00256DB2">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81C" w14:textId="77777777" w:rsidR="008B7A61" w:rsidRPr="00230738" w:rsidRDefault="008B7A61" w:rsidP="00256DB2">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November 2016</w:t>
            </w:r>
          </w:p>
        </w:tc>
      </w:tr>
      <w:tr w:rsidR="008B7A61" w:rsidRPr="00230738" w14:paraId="57B04823" w14:textId="77777777" w:rsidTr="00846705">
        <w:tc>
          <w:tcPr>
            <w:tcW w:w="4236" w:type="dxa"/>
          </w:tcPr>
          <w:p w14:paraId="57B0481E" w14:textId="77777777" w:rsidR="008B7A61" w:rsidRPr="00230738" w:rsidRDefault="008B7A61" w:rsidP="008B7A61">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Total number of cases</w:t>
            </w:r>
            <w:r w:rsidRPr="00230738">
              <w:rPr>
                <w:rFonts w:ascii="Calibri" w:eastAsia="Times New Roman" w:hAnsi="Calibri" w:cs="Arial"/>
                <w:b/>
                <w:sz w:val="20"/>
                <w:szCs w:val="20"/>
                <w:vertAlign w:val="superscript"/>
                <w:lang w:eastAsia="en-AU"/>
              </w:rPr>
              <w:t xml:space="preserve"> </w:t>
            </w:r>
            <w:r w:rsidRPr="00230738">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14:paraId="57B0481F" w14:textId="77777777" w:rsidR="008B7A61" w:rsidRPr="00230738" w:rsidRDefault="00E77CC1" w:rsidP="00350C8C">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1242</w:t>
            </w:r>
          </w:p>
        </w:tc>
        <w:tc>
          <w:tcPr>
            <w:tcW w:w="1560" w:type="dxa"/>
            <w:shd w:val="clear" w:color="auto" w:fill="B6DDE8" w:themeFill="accent5" w:themeFillTint="66"/>
            <w:vAlign w:val="center"/>
          </w:tcPr>
          <w:p w14:paraId="57B04820" w14:textId="77777777" w:rsidR="008B7A61" w:rsidRPr="00230738" w:rsidRDefault="00656924" w:rsidP="00C75415">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959</w:t>
            </w:r>
          </w:p>
        </w:tc>
        <w:tc>
          <w:tcPr>
            <w:tcW w:w="1559" w:type="dxa"/>
            <w:shd w:val="clear" w:color="auto" w:fill="CCC0D9" w:themeFill="accent4" w:themeFillTint="66"/>
            <w:vAlign w:val="center"/>
          </w:tcPr>
          <w:p w14:paraId="57B04821" w14:textId="77777777" w:rsidR="008B7A61" w:rsidRPr="00230738" w:rsidRDefault="00230738" w:rsidP="007C4992">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253</w:t>
            </w:r>
          </w:p>
        </w:tc>
        <w:tc>
          <w:tcPr>
            <w:tcW w:w="1559" w:type="dxa"/>
            <w:shd w:val="clear" w:color="auto" w:fill="FBD4B4" w:themeFill="accent6" w:themeFillTint="66"/>
          </w:tcPr>
          <w:p w14:paraId="57B04822" w14:textId="77777777" w:rsidR="008B7A61" w:rsidRPr="00230738" w:rsidRDefault="00230738" w:rsidP="00785917">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66</w:t>
            </w:r>
          </w:p>
        </w:tc>
      </w:tr>
      <w:tr w:rsidR="007C6C41" w:rsidRPr="00230738" w14:paraId="57B04829" w14:textId="77777777" w:rsidTr="00846705">
        <w:tc>
          <w:tcPr>
            <w:tcW w:w="4236" w:type="dxa"/>
          </w:tcPr>
          <w:p w14:paraId="57B04824" w14:textId="77777777" w:rsidR="007C6C41" w:rsidRPr="00230738" w:rsidRDefault="007C6C41" w:rsidP="00EB11F0">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825" w14:textId="77777777" w:rsidR="007C6C41" w:rsidRPr="00230738" w:rsidRDefault="00E0752F" w:rsidP="00EB11F0">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826" w14:textId="77777777" w:rsidR="007C6C41" w:rsidRPr="00230738" w:rsidRDefault="008D155D" w:rsidP="008D155D">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46% / 54%</w:t>
            </w:r>
          </w:p>
        </w:tc>
        <w:tc>
          <w:tcPr>
            <w:tcW w:w="1559" w:type="dxa"/>
            <w:shd w:val="clear" w:color="auto" w:fill="CCC0D9" w:themeFill="accent4" w:themeFillTint="66"/>
            <w:vAlign w:val="center"/>
          </w:tcPr>
          <w:p w14:paraId="57B04827" w14:textId="77777777" w:rsidR="007C6C41" w:rsidRPr="00230738" w:rsidRDefault="008D155D" w:rsidP="00230738">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4</w:t>
            </w:r>
            <w:r w:rsidR="00230738" w:rsidRPr="00230738">
              <w:rPr>
                <w:rFonts w:ascii="Calibri" w:eastAsia="Times New Roman" w:hAnsi="Calibri" w:cs="Arial"/>
                <w:sz w:val="20"/>
                <w:szCs w:val="20"/>
                <w:lang w:eastAsia="en-AU"/>
              </w:rPr>
              <w:t>3</w:t>
            </w:r>
            <w:r w:rsidR="00833E19" w:rsidRPr="00230738">
              <w:rPr>
                <w:rFonts w:ascii="Calibri" w:eastAsia="Times New Roman" w:hAnsi="Calibri" w:cs="Arial"/>
                <w:sz w:val="20"/>
                <w:szCs w:val="20"/>
                <w:lang w:eastAsia="en-AU"/>
              </w:rPr>
              <w:t xml:space="preserve">% / </w:t>
            </w:r>
            <w:r w:rsidRPr="00230738">
              <w:rPr>
                <w:rFonts w:ascii="Calibri" w:eastAsia="Times New Roman" w:hAnsi="Calibri" w:cs="Arial"/>
                <w:sz w:val="20"/>
                <w:szCs w:val="20"/>
                <w:lang w:eastAsia="en-AU"/>
              </w:rPr>
              <w:t>5</w:t>
            </w:r>
            <w:r w:rsidR="00230738" w:rsidRPr="00230738">
              <w:rPr>
                <w:rFonts w:ascii="Calibri" w:eastAsia="Times New Roman" w:hAnsi="Calibri" w:cs="Arial"/>
                <w:sz w:val="20"/>
                <w:szCs w:val="20"/>
                <w:lang w:eastAsia="en-AU"/>
              </w:rPr>
              <w:t>7</w:t>
            </w:r>
            <w:r w:rsidR="00F12E09" w:rsidRPr="00230738">
              <w:rPr>
                <w:rFonts w:ascii="Calibri" w:eastAsia="Times New Roman" w:hAnsi="Calibri" w:cs="Arial"/>
                <w:sz w:val="20"/>
                <w:szCs w:val="20"/>
                <w:lang w:eastAsia="en-AU"/>
              </w:rPr>
              <w:t>%</w:t>
            </w:r>
          </w:p>
        </w:tc>
        <w:tc>
          <w:tcPr>
            <w:tcW w:w="1559" w:type="dxa"/>
            <w:shd w:val="clear" w:color="auto" w:fill="FBD4B4" w:themeFill="accent6" w:themeFillTint="66"/>
          </w:tcPr>
          <w:p w14:paraId="57B04828" w14:textId="77777777" w:rsidR="007C6C41" w:rsidRPr="00230738" w:rsidRDefault="00230738" w:rsidP="00230738">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52</w:t>
            </w:r>
            <w:r w:rsidR="00203A32" w:rsidRPr="00230738">
              <w:rPr>
                <w:rFonts w:ascii="Calibri" w:eastAsia="Times New Roman" w:hAnsi="Calibri" w:cs="Arial"/>
                <w:sz w:val="20"/>
                <w:szCs w:val="20"/>
                <w:lang w:eastAsia="en-AU"/>
              </w:rPr>
              <w:t>% /</w:t>
            </w:r>
            <w:r w:rsidR="00E14C4E" w:rsidRPr="00230738">
              <w:rPr>
                <w:rFonts w:ascii="Calibri" w:eastAsia="Times New Roman" w:hAnsi="Calibri" w:cs="Arial"/>
                <w:sz w:val="20"/>
                <w:szCs w:val="20"/>
                <w:lang w:eastAsia="en-AU"/>
              </w:rPr>
              <w:t xml:space="preserve"> </w:t>
            </w:r>
            <w:r w:rsidRPr="00230738">
              <w:rPr>
                <w:rFonts w:ascii="Calibri" w:eastAsia="Times New Roman" w:hAnsi="Calibri" w:cs="Arial"/>
                <w:sz w:val="20"/>
                <w:szCs w:val="20"/>
                <w:lang w:eastAsia="en-AU"/>
              </w:rPr>
              <w:t>48</w:t>
            </w:r>
            <w:r w:rsidR="00E14C4E" w:rsidRPr="00230738">
              <w:rPr>
                <w:rFonts w:ascii="Calibri" w:eastAsia="Times New Roman" w:hAnsi="Calibri" w:cs="Arial"/>
                <w:sz w:val="20"/>
                <w:szCs w:val="20"/>
                <w:lang w:eastAsia="en-AU"/>
              </w:rPr>
              <w:t>%</w:t>
            </w:r>
          </w:p>
        </w:tc>
      </w:tr>
      <w:tr w:rsidR="007C6C41" w:rsidRPr="00230738" w14:paraId="57B0482F" w14:textId="77777777" w:rsidTr="00846705">
        <w:tc>
          <w:tcPr>
            <w:tcW w:w="4236" w:type="dxa"/>
          </w:tcPr>
          <w:p w14:paraId="57B0482A" w14:textId="77777777" w:rsidR="007C6C41" w:rsidRPr="00230738" w:rsidRDefault="007C6C41" w:rsidP="008B7A61">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82B" w14:textId="77777777" w:rsidR="007C6C41" w:rsidRPr="00230738" w:rsidRDefault="003675DE" w:rsidP="00907C8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66</w:t>
            </w:r>
            <w:r w:rsidR="00E0752F" w:rsidRPr="00230738">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57B0482C" w14:textId="77777777" w:rsidR="007C6C41" w:rsidRPr="00230738" w:rsidRDefault="00536427" w:rsidP="00C75415">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6</w:t>
            </w:r>
            <w:r w:rsidR="008D155D" w:rsidRPr="00230738">
              <w:rPr>
                <w:rFonts w:ascii="Calibri" w:eastAsia="Times New Roman" w:hAnsi="Calibri" w:cs="Arial"/>
                <w:sz w:val="20"/>
                <w:szCs w:val="20"/>
                <w:lang w:eastAsia="en-AU"/>
              </w:rPr>
              <w:t>3</w:t>
            </w:r>
            <w:r w:rsidR="00D62F60" w:rsidRPr="00230738">
              <w:rPr>
                <w:rFonts w:ascii="Calibri" w:eastAsia="Times New Roman" w:hAnsi="Calibri" w:cs="Arial"/>
                <w:sz w:val="20"/>
                <w:szCs w:val="20"/>
                <w:lang w:eastAsia="en-AU"/>
              </w:rPr>
              <w:t>%</w:t>
            </w:r>
          </w:p>
        </w:tc>
        <w:tc>
          <w:tcPr>
            <w:tcW w:w="1559" w:type="dxa"/>
            <w:shd w:val="clear" w:color="auto" w:fill="CCC0D9" w:themeFill="accent4" w:themeFillTint="66"/>
            <w:vAlign w:val="center"/>
          </w:tcPr>
          <w:p w14:paraId="57B0482D" w14:textId="77777777" w:rsidR="007C6C41" w:rsidRPr="00230738" w:rsidRDefault="00230738" w:rsidP="007C4992">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70</w:t>
            </w:r>
            <w:r w:rsidR="00F12E09" w:rsidRPr="00230738">
              <w:rPr>
                <w:rFonts w:ascii="Calibri" w:eastAsia="Times New Roman" w:hAnsi="Calibri" w:cs="Arial"/>
                <w:sz w:val="20"/>
                <w:szCs w:val="20"/>
                <w:lang w:eastAsia="en-AU"/>
              </w:rPr>
              <w:t>%</w:t>
            </w:r>
          </w:p>
        </w:tc>
        <w:tc>
          <w:tcPr>
            <w:tcW w:w="1559" w:type="dxa"/>
            <w:shd w:val="clear" w:color="auto" w:fill="FBD4B4" w:themeFill="accent6" w:themeFillTint="66"/>
          </w:tcPr>
          <w:p w14:paraId="57B0482E" w14:textId="77777777" w:rsidR="007C6C41" w:rsidRPr="00230738" w:rsidRDefault="006004EF" w:rsidP="00230738">
            <w:pPr>
              <w:tabs>
                <w:tab w:val="left" w:pos="465"/>
                <w:tab w:val="center" w:pos="663"/>
              </w:tabs>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5</w:t>
            </w:r>
            <w:r w:rsidR="00230738" w:rsidRPr="00230738">
              <w:rPr>
                <w:rFonts w:ascii="Calibri" w:eastAsia="Times New Roman" w:hAnsi="Calibri" w:cs="Arial"/>
                <w:sz w:val="20"/>
                <w:szCs w:val="20"/>
                <w:lang w:eastAsia="en-AU"/>
              </w:rPr>
              <w:t>0</w:t>
            </w:r>
            <w:r w:rsidR="00E14C4E" w:rsidRPr="00230738">
              <w:rPr>
                <w:rFonts w:ascii="Calibri" w:eastAsia="Times New Roman" w:hAnsi="Calibri" w:cs="Arial"/>
                <w:sz w:val="20"/>
                <w:szCs w:val="20"/>
                <w:lang w:eastAsia="en-AU"/>
              </w:rPr>
              <w:t>%</w:t>
            </w:r>
          </w:p>
        </w:tc>
      </w:tr>
      <w:tr w:rsidR="007C6C41" w:rsidRPr="00230738" w14:paraId="57B04835" w14:textId="77777777" w:rsidTr="00846705">
        <w:tc>
          <w:tcPr>
            <w:tcW w:w="4236" w:type="dxa"/>
          </w:tcPr>
          <w:p w14:paraId="57B04830" w14:textId="77777777" w:rsidR="007C6C41" w:rsidRPr="00230738" w:rsidRDefault="007C6C41" w:rsidP="008B7A61">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Congenital cases, confirmed (probable)</w:t>
            </w:r>
            <w:r w:rsidRPr="00230738">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14:paraId="57B04831" w14:textId="77777777" w:rsidR="007C6C41" w:rsidRPr="00230738" w:rsidRDefault="00784B4A" w:rsidP="00350C8C">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4 (5</w:t>
            </w:r>
            <w:r w:rsidR="00E0752F" w:rsidRPr="00230738">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57B04832" w14:textId="77777777" w:rsidR="007C6C41" w:rsidRPr="00230738" w:rsidRDefault="002475C0" w:rsidP="008B7A6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2 (3</w:t>
            </w:r>
            <w:r w:rsidR="00D62F60" w:rsidRPr="00230738">
              <w:rPr>
                <w:rFonts w:ascii="Calibri" w:eastAsia="Times New Roman" w:hAnsi="Calibri" w:cs="Arial"/>
                <w:sz w:val="20"/>
                <w:szCs w:val="20"/>
                <w:lang w:eastAsia="en-AU"/>
              </w:rPr>
              <w:t>)</w:t>
            </w:r>
          </w:p>
        </w:tc>
        <w:tc>
          <w:tcPr>
            <w:tcW w:w="1559" w:type="dxa"/>
            <w:shd w:val="clear" w:color="auto" w:fill="CCC0D9" w:themeFill="accent4" w:themeFillTint="66"/>
            <w:vAlign w:val="center"/>
          </w:tcPr>
          <w:p w14:paraId="57B04833" w14:textId="77777777" w:rsidR="007C6C41" w:rsidRPr="00230738" w:rsidRDefault="00F12E09" w:rsidP="008B7A6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0 (0)</w:t>
            </w:r>
          </w:p>
        </w:tc>
        <w:tc>
          <w:tcPr>
            <w:tcW w:w="1559" w:type="dxa"/>
            <w:shd w:val="clear" w:color="auto" w:fill="FBD4B4" w:themeFill="accent6" w:themeFillTint="66"/>
          </w:tcPr>
          <w:p w14:paraId="57B04834" w14:textId="77777777" w:rsidR="007C6C41" w:rsidRPr="00230738" w:rsidRDefault="00E14C4E" w:rsidP="000F5C56">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1 (0)</w:t>
            </w:r>
          </w:p>
        </w:tc>
      </w:tr>
      <w:tr w:rsidR="007C6C41" w:rsidRPr="00230738" w14:paraId="57B0483B" w14:textId="77777777" w:rsidTr="00846705">
        <w:tc>
          <w:tcPr>
            <w:tcW w:w="4236" w:type="dxa"/>
            <w:tcBorders>
              <w:bottom w:val="single" w:sz="4" w:space="0" w:color="auto"/>
            </w:tcBorders>
            <w:shd w:val="clear" w:color="auto" w:fill="auto"/>
          </w:tcPr>
          <w:p w14:paraId="57B04836" w14:textId="77777777" w:rsidR="007C6C41" w:rsidRPr="00230738" w:rsidRDefault="007C6C41" w:rsidP="00256DB2">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14:paraId="57B04837" w14:textId="77777777" w:rsidR="007C6C41" w:rsidRPr="00230738" w:rsidRDefault="00784B4A" w:rsidP="008B7A6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3 (4</w:t>
            </w:r>
            <w:r w:rsidR="00E0752F" w:rsidRPr="00230738">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vAlign w:val="center"/>
          </w:tcPr>
          <w:p w14:paraId="57B04838" w14:textId="77777777" w:rsidR="007C6C41" w:rsidRPr="00230738" w:rsidRDefault="00D62F60" w:rsidP="00EB11F0">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0 (0)</w:t>
            </w:r>
          </w:p>
        </w:tc>
        <w:tc>
          <w:tcPr>
            <w:tcW w:w="1559" w:type="dxa"/>
            <w:tcBorders>
              <w:bottom w:val="single" w:sz="4" w:space="0" w:color="auto"/>
            </w:tcBorders>
            <w:shd w:val="clear" w:color="auto" w:fill="CCC0D9" w:themeFill="accent4" w:themeFillTint="66"/>
            <w:vAlign w:val="center"/>
          </w:tcPr>
          <w:p w14:paraId="57B04839" w14:textId="77777777" w:rsidR="007C6C41" w:rsidRPr="00230738" w:rsidRDefault="00F12E09" w:rsidP="008B7A6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83A" w14:textId="77777777" w:rsidR="007C6C41" w:rsidRPr="00230738" w:rsidRDefault="00E14C4E" w:rsidP="009D0CDE">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0 (0)</w:t>
            </w:r>
          </w:p>
        </w:tc>
      </w:tr>
      <w:tr w:rsidR="00B60B0F" w:rsidRPr="00230738" w14:paraId="57B0483D" w14:textId="77777777" w:rsidTr="00EB11F0">
        <w:tc>
          <w:tcPr>
            <w:tcW w:w="10467" w:type="dxa"/>
            <w:gridSpan w:val="5"/>
            <w:tcBorders>
              <w:bottom w:val="single" w:sz="4" w:space="0" w:color="auto"/>
            </w:tcBorders>
            <w:shd w:val="clear" w:color="auto" w:fill="DBE5F1" w:themeFill="accent1" w:themeFillTint="33"/>
          </w:tcPr>
          <w:p w14:paraId="57B0483C" w14:textId="77777777" w:rsidR="00B60B0F" w:rsidRPr="00230738" w:rsidRDefault="00B60B0F" w:rsidP="00736F53">
            <w:pPr>
              <w:ind w:left="34" w:hanging="34"/>
              <w:rPr>
                <w:rFonts w:ascii="Calibri" w:eastAsia="Times New Roman" w:hAnsi="Calibri" w:cs="Arial"/>
                <w:sz w:val="20"/>
                <w:szCs w:val="20"/>
                <w:lang w:eastAsia="en-AU"/>
              </w:rPr>
            </w:pPr>
            <w:r w:rsidRPr="00230738">
              <w:rPr>
                <w:rFonts w:ascii="Calibri" w:eastAsia="Times New Roman" w:hAnsi="Calibri" w:cs="Arial"/>
                <w:b/>
                <w:sz w:val="20"/>
                <w:szCs w:val="20"/>
                <w:lang w:eastAsia="en-AU"/>
              </w:rPr>
              <w:t xml:space="preserve">Last reporting month, 1 – </w:t>
            </w:r>
            <w:r w:rsidR="00F04C3D" w:rsidRPr="00230738">
              <w:rPr>
                <w:rFonts w:ascii="Calibri" w:eastAsia="Times New Roman" w:hAnsi="Calibri" w:cs="Arial"/>
                <w:b/>
                <w:sz w:val="20"/>
                <w:szCs w:val="20"/>
                <w:lang w:eastAsia="en-AU"/>
              </w:rPr>
              <w:t xml:space="preserve">31 </w:t>
            </w:r>
            <w:r w:rsidR="00736F53" w:rsidRPr="00230738">
              <w:rPr>
                <w:rFonts w:ascii="Calibri" w:eastAsia="Times New Roman" w:hAnsi="Calibri" w:cs="Arial"/>
                <w:b/>
                <w:sz w:val="20"/>
                <w:szCs w:val="20"/>
                <w:lang w:eastAsia="en-AU"/>
              </w:rPr>
              <w:t>January 2019</w:t>
            </w:r>
          </w:p>
        </w:tc>
      </w:tr>
      <w:tr w:rsidR="007C6C41" w:rsidRPr="00230738" w14:paraId="57B04843" w14:textId="77777777" w:rsidTr="00846705">
        <w:tc>
          <w:tcPr>
            <w:tcW w:w="4236" w:type="dxa"/>
          </w:tcPr>
          <w:p w14:paraId="57B0483E" w14:textId="77777777" w:rsidR="007C6C41" w:rsidRPr="00230738" w:rsidRDefault="007C6C41" w:rsidP="008B7A61">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Number of cases</w:t>
            </w:r>
            <w:r w:rsidRPr="00230738">
              <w:rPr>
                <w:rFonts w:ascii="Calibri" w:eastAsia="Times New Roman" w:hAnsi="Calibri" w:cs="Arial"/>
                <w:b/>
                <w:sz w:val="20"/>
                <w:szCs w:val="20"/>
                <w:vertAlign w:val="superscript"/>
                <w:lang w:eastAsia="en-AU"/>
              </w:rPr>
              <w:t xml:space="preserve"> </w:t>
            </w:r>
            <w:r w:rsidRPr="00230738">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14:paraId="57B0483F" w14:textId="77777777" w:rsidR="007C6C41" w:rsidRPr="00230738" w:rsidRDefault="008D155D" w:rsidP="00E77CC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1</w:t>
            </w:r>
            <w:r w:rsidR="00E77CC1" w:rsidRPr="00230738">
              <w:rPr>
                <w:rFonts w:ascii="Calibri" w:eastAsia="Times New Roman" w:hAnsi="Calibri" w:cs="Arial"/>
                <w:sz w:val="20"/>
                <w:szCs w:val="20"/>
                <w:lang w:eastAsia="en-AU"/>
              </w:rPr>
              <w:t>7</w:t>
            </w:r>
          </w:p>
        </w:tc>
        <w:tc>
          <w:tcPr>
            <w:tcW w:w="1560" w:type="dxa"/>
            <w:shd w:val="clear" w:color="auto" w:fill="B6DDE8" w:themeFill="accent5" w:themeFillTint="66"/>
            <w:vAlign w:val="center"/>
          </w:tcPr>
          <w:p w14:paraId="57B04840" w14:textId="77777777" w:rsidR="007C6C41" w:rsidRPr="00230738" w:rsidRDefault="00656924" w:rsidP="008B7A6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23</w:t>
            </w:r>
          </w:p>
        </w:tc>
        <w:tc>
          <w:tcPr>
            <w:tcW w:w="1559" w:type="dxa"/>
            <w:shd w:val="clear" w:color="auto" w:fill="CCC0D9" w:themeFill="accent4" w:themeFillTint="66"/>
            <w:vAlign w:val="center"/>
          </w:tcPr>
          <w:p w14:paraId="57B04841" w14:textId="77777777" w:rsidR="007C6C41" w:rsidRPr="00230738" w:rsidRDefault="00230738" w:rsidP="008B7A6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14</w:t>
            </w:r>
          </w:p>
        </w:tc>
        <w:tc>
          <w:tcPr>
            <w:tcW w:w="1559" w:type="dxa"/>
            <w:shd w:val="clear" w:color="auto" w:fill="FBD4B4" w:themeFill="accent6" w:themeFillTint="66"/>
          </w:tcPr>
          <w:p w14:paraId="57B04842" w14:textId="77777777" w:rsidR="007C6C41" w:rsidRPr="00230738" w:rsidRDefault="00230738" w:rsidP="008B7A6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2</w:t>
            </w:r>
          </w:p>
        </w:tc>
      </w:tr>
      <w:tr w:rsidR="007C6C41" w:rsidRPr="00230738" w14:paraId="57B04849" w14:textId="77777777" w:rsidTr="00846705">
        <w:tc>
          <w:tcPr>
            <w:tcW w:w="4236" w:type="dxa"/>
          </w:tcPr>
          <w:p w14:paraId="57B04844" w14:textId="77777777" w:rsidR="007C6C41" w:rsidRPr="00230738" w:rsidRDefault="007C6C41" w:rsidP="00EB11F0">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845" w14:textId="77777777" w:rsidR="007C6C41" w:rsidRPr="00230738" w:rsidRDefault="00E77CC1" w:rsidP="00E77CC1">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47</w:t>
            </w:r>
            <w:r w:rsidR="004E2C6E" w:rsidRPr="00230738">
              <w:rPr>
                <w:rFonts w:ascii="Calibri" w:eastAsia="Times New Roman" w:hAnsi="Calibri" w:cs="Arial"/>
                <w:sz w:val="20"/>
                <w:szCs w:val="20"/>
                <w:lang w:eastAsia="en-AU"/>
              </w:rPr>
              <w:t xml:space="preserve">% / </w:t>
            </w:r>
            <w:r w:rsidRPr="00230738">
              <w:rPr>
                <w:rFonts w:ascii="Calibri" w:eastAsia="Times New Roman" w:hAnsi="Calibri" w:cs="Arial"/>
                <w:sz w:val="20"/>
                <w:szCs w:val="20"/>
                <w:lang w:eastAsia="en-AU"/>
              </w:rPr>
              <w:t>53</w:t>
            </w:r>
            <w:r w:rsidR="004E2C6E" w:rsidRPr="00230738">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57B04846" w14:textId="77777777" w:rsidR="007C6C41" w:rsidRPr="00230738" w:rsidRDefault="00656924" w:rsidP="00656924">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57</w:t>
            </w:r>
            <w:r w:rsidR="00536427" w:rsidRPr="00230738">
              <w:rPr>
                <w:rFonts w:ascii="Calibri" w:eastAsia="Times New Roman" w:hAnsi="Calibri" w:cs="Arial"/>
                <w:sz w:val="20"/>
                <w:szCs w:val="20"/>
                <w:lang w:eastAsia="en-AU"/>
              </w:rPr>
              <w:t>% /</w:t>
            </w:r>
            <w:r w:rsidRPr="00230738">
              <w:rPr>
                <w:rFonts w:ascii="Calibri" w:eastAsia="Times New Roman" w:hAnsi="Calibri" w:cs="Arial"/>
                <w:sz w:val="20"/>
                <w:szCs w:val="20"/>
                <w:lang w:eastAsia="en-AU"/>
              </w:rPr>
              <w:t>43</w:t>
            </w:r>
            <w:r w:rsidR="00D62F60" w:rsidRPr="00230738">
              <w:rPr>
                <w:rFonts w:ascii="Calibri" w:eastAsia="Times New Roman" w:hAnsi="Calibri" w:cs="Arial"/>
                <w:sz w:val="20"/>
                <w:szCs w:val="20"/>
                <w:lang w:eastAsia="en-AU"/>
              </w:rPr>
              <w:t>%</w:t>
            </w:r>
          </w:p>
        </w:tc>
        <w:tc>
          <w:tcPr>
            <w:tcW w:w="1559" w:type="dxa"/>
            <w:shd w:val="clear" w:color="auto" w:fill="CCC0D9" w:themeFill="accent4" w:themeFillTint="66"/>
            <w:vAlign w:val="center"/>
          </w:tcPr>
          <w:p w14:paraId="57B04847" w14:textId="77777777" w:rsidR="007C6C41" w:rsidRPr="00230738" w:rsidRDefault="00230738" w:rsidP="00230738">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43</w:t>
            </w:r>
            <w:r w:rsidR="00F12E09" w:rsidRPr="00230738">
              <w:rPr>
                <w:rFonts w:ascii="Calibri" w:eastAsia="Times New Roman" w:hAnsi="Calibri" w:cs="Arial"/>
                <w:sz w:val="20"/>
                <w:szCs w:val="20"/>
                <w:lang w:eastAsia="en-AU"/>
              </w:rPr>
              <w:t xml:space="preserve">% / </w:t>
            </w:r>
            <w:r w:rsidRPr="00230738">
              <w:rPr>
                <w:rFonts w:ascii="Calibri" w:eastAsia="Times New Roman" w:hAnsi="Calibri" w:cs="Arial"/>
                <w:sz w:val="20"/>
                <w:szCs w:val="20"/>
                <w:lang w:eastAsia="en-AU"/>
              </w:rPr>
              <w:t>57</w:t>
            </w:r>
            <w:r w:rsidR="00F12E09" w:rsidRPr="00230738">
              <w:rPr>
                <w:rFonts w:ascii="Calibri" w:eastAsia="Times New Roman" w:hAnsi="Calibri" w:cs="Arial"/>
                <w:sz w:val="20"/>
                <w:szCs w:val="20"/>
                <w:lang w:eastAsia="en-AU"/>
              </w:rPr>
              <w:t>%</w:t>
            </w:r>
          </w:p>
        </w:tc>
        <w:tc>
          <w:tcPr>
            <w:tcW w:w="1559" w:type="dxa"/>
            <w:shd w:val="clear" w:color="auto" w:fill="FBD4B4" w:themeFill="accent6" w:themeFillTint="66"/>
          </w:tcPr>
          <w:p w14:paraId="57B04848" w14:textId="77777777" w:rsidR="007C6C41" w:rsidRPr="00230738" w:rsidRDefault="00230738" w:rsidP="00230738">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100</w:t>
            </w:r>
            <w:r w:rsidR="00AF1D86" w:rsidRPr="00230738">
              <w:rPr>
                <w:rFonts w:ascii="Calibri" w:eastAsia="Times New Roman" w:hAnsi="Calibri" w:cs="Arial"/>
                <w:sz w:val="20"/>
                <w:szCs w:val="20"/>
                <w:lang w:eastAsia="en-AU"/>
              </w:rPr>
              <w:t xml:space="preserve">% / </w:t>
            </w:r>
            <w:r w:rsidR="008F36DD" w:rsidRPr="00230738">
              <w:rPr>
                <w:rFonts w:ascii="Calibri" w:eastAsia="Times New Roman" w:hAnsi="Calibri" w:cs="Arial"/>
                <w:sz w:val="20"/>
                <w:szCs w:val="20"/>
                <w:lang w:eastAsia="en-AU"/>
              </w:rPr>
              <w:t>0</w:t>
            </w:r>
            <w:r w:rsidR="00AF1D86" w:rsidRPr="00230738">
              <w:rPr>
                <w:rFonts w:ascii="Calibri" w:eastAsia="Times New Roman" w:hAnsi="Calibri" w:cs="Arial"/>
                <w:sz w:val="20"/>
                <w:szCs w:val="20"/>
                <w:lang w:eastAsia="en-AU"/>
              </w:rPr>
              <w:t>%</w:t>
            </w:r>
          </w:p>
        </w:tc>
      </w:tr>
      <w:tr w:rsidR="007C6C41" w:rsidRPr="00230738" w14:paraId="57B0484F" w14:textId="77777777" w:rsidTr="00846705">
        <w:tc>
          <w:tcPr>
            <w:tcW w:w="4236" w:type="dxa"/>
          </w:tcPr>
          <w:p w14:paraId="57B0484A" w14:textId="77777777" w:rsidR="007C6C41" w:rsidRPr="00230738" w:rsidRDefault="007C6C41" w:rsidP="008B7A61">
            <w:pPr>
              <w:ind w:left="34" w:hanging="34"/>
              <w:rPr>
                <w:rFonts w:ascii="Calibri" w:eastAsia="Times New Roman" w:hAnsi="Calibri" w:cs="Arial"/>
                <w:sz w:val="20"/>
                <w:szCs w:val="20"/>
                <w:lang w:eastAsia="en-AU"/>
              </w:rPr>
            </w:pPr>
            <w:r w:rsidRPr="00230738">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84B" w14:textId="77777777" w:rsidR="007C6C41" w:rsidRPr="00230738" w:rsidRDefault="008D155D" w:rsidP="00E77CC1">
            <w:pPr>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5</w:t>
            </w:r>
            <w:r w:rsidR="00E77CC1" w:rsidRPr="00230738">
              <w:rPr>
                <w:rFonts w:ascii="Calibri" w:eastAsia="Times New Roman" w:hAnsi="Calibri" w:cs="Arial"/>
                <w:sz w:val="20"/>
                <w:szCs w:val="20"/>
                <w:lang w:eastAsia="en-AU"/>
              </w:rPr>
              <w:t>3</w:t>
            </w:r>
            <w:r w:rsidR="004E2C6E" w:rsidRPr="00230738">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57B0484C" w14:textId="77777777" w:rsidR="007C6C41" w:rsidRPr="00230738" w:rsidRDefault="00656924" w:rsidP="0024042B">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48</w:t>
            </w:r>
            <w:r w:rsidR="00D62F60" w:rsidRPr="00230738">
              <w:rPr>
                <w:rFonts w:ascii="Calibri" w:eastAsia="Times New Roman" w:hAnsi="Calibri" w:cs="Arial"/>
                <w:sz w:val="20"/>
                <w:szCs w:val="20"/>
                <w:lang w:eastAsia="en-AU"/>
              </w:rPr>
              <w:t>%</w:t>
            </w:r>
          </w:p>
        </w:tc>
        <w:tc>
          <w:tcPr>
            <w:tcW w:w="1559" w:type="dxa"/>
            <w:shd w:val="clear" w:color="auto" w:fill="CCC0D9" w:themeFill="accent4" w:themeFillTint="66"/>
            <w:vAlign w:val="center"/>
          </w:tcPr>
          <w:p w14:paraId="57B0484D" w14:textId="77777777" w:rsidR="007C6C41" w:rsidRPr="00230738" w:rsidRDefault="008D155D" w:rsidP="00230738">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7</w:t>
            </w:r>
            <w:r w:rsidR="00230738" w:rsidRPr="00230738">
              <w:rPr>
                <w:rFonts w:ascii="Calibri" w:eastAsia="Times New Roman" w:hAnsi="Calibri" w:cs="Arial"/>
                <w:sz w:val="20"/>
                <w:szCs w:val="20"/>
                <w:lang w:eastAsia="en-AU"/>
              </w:rPr>
              <w:t>1</w:t>
            </w:r>
            <w:r w:rsidR="00F12E09" w:rsidRPr="00230738">
              <w:rPr>
                <w:rFonts w:ascii="Calibri" w:eastAsia="Times New Roman" w:hAnsi="Calibri" w:cs="Arial"/>
                <w:sz w:val="20"/>
                <w:szCs w:val="20"/>
                <w:lang w:eastAsia="en-AU"/>
              </w:rPr>
              <w:t>%</w:t>
            </w:r>
          </w:p>
        </w:tc>
        <w:tc>
          <w:tcPr>
            <w:tcW w:w="1559" w:type="dxa"/>
            <w:shd w:val="clear" w:color="auto" w:fill="FBD4B4" w:themeFill="accent6" w:themeFillTint="66"/>
          </w:tcPr>
          <w:p w14:paraId="57B0484E" w14:textId="77777777" w:rsidR="007C6C41" w:rsidRPr="00230738" w:rsidRDefault="008F36DD" w:rsidP="008F36DD">
            <w:pPr>
              <w:ind w:left="34" w:hanging="34"/>
              <w:jc w:val="center"/>
              <w:rPr>
                <w:rFonts w:ascii="Calibri" w:eastAsia="Times New Roman" w:hAnsi="Calibri" w:cs="Arial"/>
                <w:sz w:val="20"/>
                <w:szCs w:val="20"/>
                <w:lang w:eastAsia="en-AU"/>
              </w:rPr>
            </w:pPr>
            <w:r w:rsidRPr="00230738">
              <w:rPr>
                <w:rFonts w:ascii="Calibri" w:eastAsia="Times New Roman" w:hAnsi="Calibri" w:cs="Arial"/>
                <w:sz w:val="20"/>
                <w:szCs w:val="20"/>
                <w:lang w:eastAsia="en-AU"/>
              </w:rPr>
              <w:t>0</w:t>
            </w:r>
            <w:r w:rsidR="00AF1D86" w:rsidRPr="00230738">
              <w:rPr>
                <w:rFonts w:ascii="Calibri" w:eastAsia="Times New Roman" w:hAnsi="Calibri" w:cs="Arial"/>
                <w:sz w:val="20"/>
                <w:szCs w:val="20"/>
                <w:lang w:eastAsia="en-AU"/>
              </w:rPr>
              <w:t>%</w:t>
            </w:r>
          </w:p>
        </w:tc>
      </w:tr>
    </w:tbl>
    <w:p w14:paraId="57B04850" w14:textId="77777777" w:rsidR="00FC5374" w:rsidRPr="00230738" w:rsidRDefault="00FC5374" w:rsidP="00C321FF">
      <w:pPr>
        <w:pStyle w:val="ListParagraph"/>
        <w:spacing w:before="60" w:after="0" w:line="240" w:lineRule="auto"/>
        <w:ind w:left="-567"/>
        <w:contextualSpacing w:val="0"/>
        <w:rPr>
          <w:b/>
          <w:sz w:val="16"/>
          <w:szCs w:val="16"/>
          <w:vertAlign w:val="superscript"/>
        </w:rPr>
      </w:pPr>
    </w:p>
    <w:p w14:paraId="57B04851" w14:textId="77777777" w:rsidR="00FC5374" w:rsidRPr="00230738" w:rsidRDefault="00FC5374" w:rsidP="00D44019">
      <w:pPr>
        <w:pStyle w:val="ListParagraph"/>
        <w:spacing w:before="60" w:after="0" w:line="240" w:lineRule="auto"/>
        <w:ind w:left="-709"/>
        <w:contextualSpacing w:val="0"/>
        <w:rPr>
          <w:rFonts w:ascii="Arial" w:hAnsi="Arial" w:cs="Arial"/>
          <w:sz w:val="20"/>
          <w:szCs w:val="16"/>
        </w:rPr>
      </w:pPr>
      <w:r w:rsidRPr="00230738">
        <w:rPr>
          <w:rFonts w:ascii="Arial" w:hAnsi="Arial" w:cs="Arial"/>
          <w:b/>
          <w:sz w:val="20"/>
          <w:szCs w:val="16"/>
        </w:rPr>
        <w:t>Table 2</w:t>
      </w:r>
      <w:r w:rsidR="00B2152B" w:rsidRPr="00230738">
        <w:rPr>
          <w:rFonts w:ascii="Arial" w:hAnsi="Arial" w:cs="Arial"/>
          <w:b/>
          <w:sz w:val="20"/>
          <w:szCs w:val="16"/>
        </w:rPr>
        <w:t xml:space="preserve">. </w:t>
      </w:r>
      <w:r w:rsidR="002C510D" w:rsidRPr="00230738">
        <w:rPr>
          <w:rFonts w:ascii="Arial" w:hAnsi="Arial" w:cs="Arial"/>
          <w:sz w:val="20"/>
          <w:szCs w:val="16"/>
        </w:rPr>
        <w:t>Number of c</w:t>
      </w:r>
      <w:r w:rsidR="004D1BEB" w:rsidRPr="00230738">
        <w:rPr>
          <w:rFonts w:ascii="Arial" w:hAnsi="Arial" w:cs="Arial"/>
          <w:sz w:val="20"/>
          <w:szCs w:val="16"/>
        </w:rPr>
        <w:t xml:space="preserve">ategory 2 </w:t>
      </w:r>
      <w:r w:rsidR="00B2152B" w:rsidRPr="00230738">
        <w:rPr>
          <w:rFonts w:ascii="Arial" w:hAnsi="Arial" w:cs="Arial"/>
          <w:sz w:val="20"/>
          <w:szCs w:val="16"/>
        </w:rPr>
        <w:t>infectious syphilis</w:t>
      </w:r>
      <w:r w:rsidR="000A7306" w:rsidRPr="00230738">
        <w:rPr>
          <w:rFonts w:ascii="Arial" w:hAnsi="Arial" w:cs="Arial"/>
          <w:sz w:val="20"/>
          <w:szCs w:val="20"/>
          <w:vertAlign w:val="superscript"/>
        </w:rPr>
        <w:t>α</w:t>
      </w:r>
      <w:r w:rsidR="002C510D" w:rsidRPr="00230738">
        <w:rPr>
          <w:rFonts w:ascii="Arial" w:hAnsi="Arial" w:cs="Arial"/>
          <w:sz w:val="20"/>
          <w:szCs w:val="20"/>
        </w:rPr>
        <w:t xml:space="preserve"> cases</w:t>
      </w:r>
      <w:r w:rsidR="00B2152B" w:rsidRPr="00230738">
        <w:rPr>
          <w:rFonts w:ascii="Arial" w:hAnsi="Arial" w:cs="Arial"/>
          <w:sz w:val="20"/>
          <w:szCs w:val="16"/>
        </w:rPr>
        <w:t xml:space="preserve">, to </w:t>
      </w:r>
      <w:r w:rsidR="002453EC" w:rsidRPr="00230738">
        <w:rPr>
          <w:rFonts w:ascii="Arial" w:hAnsi="Arial" w:cs="Arial"/>
          <w:sz w:val="20"/>
          <w:szCs w:val="16"/>
        </w:rPr>
        <w:t>3</w:t>
      </w:r>
      <w:r w:rsidR="00F04C3D" w:rsidRPr="00230738">
        <w:rPr>
          <w:rFonts w:ascii="Arial" w:hAnsi="Arial" w:cs="Arial"/>
          <w:sz w:val="20"/>
          <w:szCs w:val="16"/>
        </w:rPr>
        <w:t>1</w:t>
      </w:r>
      <w:r w:rsidR="002453EC" w:rsidRPr="00230738">
        <w:rPr>
          <w:rFonts w:ascii="Arial" w:hAnsi="Arial" w:cs="Arial"/>
          <w:sz w:val="20"/>
          <w:szCs w:val="16"/>
        </w:rPr>
        <w:t xml:space="preserve"> </w:t>
      </w:r>
      <w:r w:rsidR="00736F53" w:rsidRPr="00230738">
        <w:rPr>
          <w:rFonts w:ascii="Arial" w:hAnsi="Arial" w:cs="Arial"/>
          <w:sz w:val="20"/>
          <w:szCs w:val="20"/>
        </w:rPr>
        <w:t xml:space="preserve">January </w:t>
      </w:r>
      <w:r w:rsidR="00B2152B" w:rsidRPr="00230738">
        <w:rPr>
          <w:rFonts w:ascii="Arial" w:hAnsi="Arial" w:cs="Arial"/>
          <w:sz w:val="20"/>
          <w:szCs w:val="16"/>
        </w:rPr>
        <w:t>201</w:t>
      </w:r>
      <w:r w:rsidR="00736F53" w:rsidRPr="00230738">
        <w:rPr>
          <w:rFonts w:ascii="Arial" w:hAnsi="Arial" w:cs="Arial"/>
          <w:sz w:val="20"/>
          <w:szCs w:val="16"/>
        </w:rPr>
        <w:t>9</w:t>
      </w:r>
      <w:r w:rsidR="00431952" w:rsidRPr="00230738">
        <w:rPr>
          <w:rFonts w:ascii="Arial" w:hAnsi="Arial" w:cs="Arial"/>
          <w:sz w:val="20"/>
          <w:szCs w:val="20"/>
          <w:vertAlign w:val="superscript"/>
        </w:rPr>
        <w:t xml:space="preserve"> ȶ </w:t>
      </w:r>
      <w:r w:rsidR="00B91DC5" w:rsidRPr="00230738">
        <w:rPr>
          <w:rFonts w:ascii="Arial" w:hAnsi="Arial" w:cs="Arial"/>
          <w:sz w:val="20"/>
          <w:szCs w:val="20"/>
          <w:vertAlign w:val="superscript"/>
        </w:rPr>
        <w:t>ᵞ</w:t>
      </w:r>
      <w:r w:rsidR="00B2152B" w:rsidRPr="00230738">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4D1BEB" w:rsidRPr="00230738" w14:paraId="57B04858" w14:textId="77777777" w:rsidTr="00A7347C">
        <w:trPr>
          <w:tblHeader/>
        </w:trPr>
        <w:tc>
          <w:tcPr>
            <w:tcW w:w="4219" w:type="dxa"/>
            <w:tcBorders>
              <w:bottom w:val="single" w:sz="4" w:space="0" w:color="auto"/>
            </w:tcBorders>
          </w:tcPr>
          <w:p w14:paraId="57B04852" w14:textId="77777777" w:rsidR="004D1BEB" w:rsidRPr="00230738" w:rsidRDefault="004D1BEB" w:rsidP="00D216E9">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14:paraId="57B04853" w14:textId="77777777" w:rsidR="004D1BEB" w:rsidRPr="00230738" w:rsidRDefault="004D1BEB" w:rsidP="00D216E9">
            <w:pPr>
              <w:pStyle w:val="ListParagraph"/>
              <w:spacing w:before="60"/>
              <w:ind w:left="0"/>
              <w:contextualSpacing w:val="0"/>
              <w:jc w:val="center"/>
              <w:rPr>
                <w:rFonts w:ascii="Calibri" w:eastAsia="Times New Roman" w:hAnsi="Calibri" w:cs="Arial"/>
                <w:b/>
                <w:sz w:val="20"/>
                <w:szCs w:val="20"/>
                <w:lang w:eastAsia="en-AU"/>
              </w:rPr>
            </w:pPr>
            <w:r w:rsidRPr="00230738">
              <w:rPr>
                <w:rFonts w:ascii="Calibri" w:eastAsia="Times New Roman" w:hAnsi="Calibri" w:cs="Arial"/>
                <w:b/>
                <w:sz w:val="20"/>
                <w:szCs w:val="20"/>
                <w:lang w:eastAsia="en-AU"/>
              </w:rPr>
              <w:t xml:space="preserve">North Qld </w:t>
            </w:r>
            <w:r w:rsidRPr="00230738">
              <w:rPr>
                <w:rFonts w:ascii="Calibri" w:eastAsia="Times New Roman" w:hAnsi="Calibri" w:cs="Arial"/>
                <w:b/>
                <w:sz w:val="20"/>
                <w:szCs w:val="20"/>
                <w:lang w:eastAsia="en-AU"/>
              </w:rPr>
              <w:br/>
            </w:r>
            <w:r w:rsidRPr="00230738">
              <w:rPr>
                <w:rFonts w:ascii="Calibri" w:eastAsia="Times New Roman" w:hAnsi="Calibri" w:cs="Arial"/>
                <w:sz w:val="20"/>
                <w:szCs w:val="20"/>
                <w:lang w:eastAsia="en-AU"/>
              </w:rPr>
              <w:t>(four HHSs</w:t>
            </w:r>
            <w:r w:rsidRPr="00230738">
              <w:rPr>
                <w:rFonts w:ascii="Calibri" w:eastAsia="Times New Roman" w:hAnsi="Calibri" w:cs="Arial"/>
                <w:sz w:val="20"/>
                <w:szCs w:val="20"/>
                <w:vertAlign w:val="superscript"/>
                <w:lang w:eastAsia="en-AU"/>
              </w:rPr>
              <w:t>β</w:t>
            </w:r>
            <w:r w:rsidRPr="00230738">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854" w14:textId="77777777" w:rsidR="004D1BEB" w:rsidRPr="00230738" w:rsidRDefault="004D1BEB" w:rsidP="009D42BF">
            <w:pPr>
              <w:pStyle w:val="ListParagraph"/>
              <w:spacing w:before="60"/>
              <w:ind w:left="0"/>
              <w:contextualSpacing w:val="0"/>
              <w:jc w:val="center"/>
              <w:rPr>
                <w:rFonts w:ascii="Calibri" w:hAnsi="Calibri"/>
                <w:b/>
                <w:sz w:val="20"/>
                <w:szCs w:val="16"/>
              </w:rPr>
            </w:pPr>
            <w:r w:rsidRPr="00230738">
              <w:rPr>
                <w:rFonts w:ascii="Calibri" w:eastAsia="Times New Roman" w:hAnsi="Calibri" w:cs="Arial"/>
                <w:b/>
                <w:sz w:val="20"/>
                <w:szCs w:val="20"/>
                <w:lang w:eastAsia="en-AU"/>
              </w:rPr>
              <w:t xml:space="preserve">NT </w:t>
            </w:r>
            <w:r w:rsidRPr="00230738">
              <w:rPr>
                <w:rFonts w:ascii="Calibri" w:eastAsia="Times New Roman" w:hAnsi="Calibri" w:cs="Arial"/>
                <w:b/>
                <w:sz w:val="20"/>
                <w:szCs w:val="20"/>
                <w:lang w:eastAsia="en-AU"/>
              </w:rPr>
              <w:br/>
            </w:r>
            <w:r w:rsidRPr="00230738">
              <w:rPr>
                <w:rFonts w:ascii="Calibri" w:eastAsia="Times New Roman" w:hAnsi="Calibri" w:cs="Arial"/>
                <w:sz w:val="20"/>
                <w:szCs w:val="20"/>
                <w:lang w:eastAsia="en-AU"/>
              </w:rPr>
              <w:t>(</w:t>
            </w:r>
            <w:r w:rsidR="006E465C" w:rsidRPr="00230738">
              <w:rPr>
                <w:rFonts w:ascii="Calibri" w:eastAsia="Times New Roman" w:hAnsi="Calibri" w:cs="Arial"/>
                <w:sz w:val="20"/>
                <w:szCs w:val="20"/>
                <w:lang w:eastAsia="en-AU"/>
              </w:rPr>
              <w:t>seven</w:t>
            </w:r>
            <w:r w:rsidRPr="00230738">
              <w:rPr>
                <w:rFonts w:ascii="Calibri" w:eastAsia="Times New Roman" w:hAnsi="Calibri" w:cs="Arial"/>
                <w:sz w:val="20"/>
                <w:szCs w:val="20"/>
                <w:lang w:eastAsia="en-AU"/>
              </w:rPr>
              <w:t xml:space="preserve"> regions</w:t>
            </w:r>
            <w:r w:rsidRPr="00230738">
              <w:rPr>
                <w:rFonts w:ascii="Calibri" w:eastAsia="Times New Roman" w:hAnsi="Calibri" w:cs="Arial"/>
                <w:sz w:val="20"/>
                <w:szCs w:val="20"/>
                <w:vertAlign w:val="superscript"/>
                <w:lang w:eastAsia="en-AU"/>
              </w:rPr>
              <w:t xml:space="preserve"> β</w:t>
            </w:r>
            <w:r w:rsidRPr="00230738">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855" w14:textId="77777777" w:rsidR="004D1BEB" w:rsidRPr="00230738" w:rsidRDefault="004D1BEB" w:rsidP="001E3448">
            <w:pPr>
              <w:pStyle w:val="ListParagraph"/>
              <w:spacing w:before="60"/>
              <w:ind w:left="0"/>
              <w:contextualSpacing w:val="0"/>
              <w:jc w:val="center"/>
              <w:rPr>
                <w:rFonts w:ascii="Calibri" w:hAnsi="Calibri"/>
                <w:b/>
                <w:sz w:val="20"/>
                <w:szCs w:val="16"/>
              </w:rPr>
            </w:pPr>
            <w:r w:rsidRPr="00230738">
              <w:rPr>
                <w:rFonts w:ascii="Calibri" w:eastAsia="Times New Roman" w:hAnsi="Calibri" w:cs="Arial"/>
                <w:b/>
                <w:sz w:val="20"/>
                <w:szCs w:val="20"/>
                <w:lang w:eastAsia="en-AU"/>
              </w:rPr>
              <w:t>WA</w:t>
            </w:r>
            <w:r w:rsidRPr="00230738">
              <w:rPr>
                <w:rFonts w:ascii="Calibri" w:eastAsia="Times New Roman" w:hAnsi="Calibri" w:cs="Arial"/>
                <w:b/>
                <w:sz w:val="20"/>
                <w:szCs w:val="20"/>
                <w:lang w:eastAsia="en-AU"/>
              </w:rPr>
              <w:br/>
            </w:r>
            <w:r w:rsidRPr="00230738">
              <w:rPr>
                <w:rFonts w:ascii="Calibri" w:eastAsia="Times New Roman" w:hAnsi="Calibri" w:cs="Arial"/>
                <w:sz w:val="20"/>
                <w:szCs w:val="20"/>
                <w:lang w:eastAsia="en-AU"/>
              </w:rPr>
              <w:t xml:space="preserve"> (</w:t>
            </w:r>
            <w:r w:rsidR="001E3448" w:rsidRPr="00230738">
              <w:rPr>
                <w:rFonts w:ascii="Calibri" w:eastAsia="Times New Roman" w:hAnsi="Calibri" w:cs="Arial"/>
                <w:sz w:val="20"/>
                <w:szCs w:val="20"/>
                <w:lang w:eastAsia="en-AU"/>
              </w:rPr>
              <w:t>two</w:t>
            </w:r>
            <w:r w:rsidRPr="00230738">
              <w:rPr>
                <w:rFonts w:ascii="Calibri" w:eastAsia="Times New Roman" w:hAnsi="Calibri" w:cs="Arial"/>
                <w:sz w:val="20"/>
                <w:szCs w:val="20"/>
                <w:lang w:eastAsia="en-AU"/>
              </w:rPr>
              <w:t xml:space="preserve"> region</w:t>
            </w:r>
            <w:r w:rsidR="001E3448" w:rsidRPr="00230738">
              <w:rPr>
                <w:rFonts w:ascii="Calibri" w:eastAsia="Times New Roman" w:hAnsi="Calibri" w:cs="Arial"/>
                <w:sz w:val="20"/>
                <w:szCs w:val="20"/>
                <w:lang w:eastAsia="en-AU"/>
              </w:rPr>
              <w:t>s</w:t>
            </w:r>
            <w:r w:rsidR="001E3448" w:rsidRPr="00230738">
              <w:rPr>
                <w:rFonts w:ascii="Calibri" w:eastAsia="Times New Roman" w:hAnsi="Calibri" w:cs="Arial"/>
                <w:sz w:val="20"/>
                <w:szCs w:val="20"/>
                <w:vertAlign w:val="superscript"/>
                <w:lang w:eastAsia="en-AU"/>
              </w:rPr>
              <w:t xml:space="preserve"> β</w:t>
            </w:r>
            <w:r w:rsidRPr="00230738">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856" w14:textId="77777777" w:rsidR="004D1BEB" w:rsidRPr="00230738" w:rsidRDefault="004D1BEB" w:rsidP="00EB11F0">
            <w:pPr>
              <w:ind w:left="34" w:hanging="34"/>
              <w:jc w:val="center"/>
              <w:rPr>
                <w:rFonts w:ascii="Calibri" w:eastAsia="Times New Roman" w:hAnsi="Calibri" w:cs="Arial"/>
                <w:b/>
                <w:sz w:val="20"/>
                <w:szCs w:val="20"/>
                <w:lang w:eastAsia="en-AU"/>
              </w:rPr>
            </w:pPr>
            <w:r w:rsidRPr="00230738">
              <w:rPr>
                <w:rFonts w:ascii="Calibri" w:eastAsia="Times New Roman" w:hAnsi="Calibri" w:cs="Arial"/>
                <w:b/>
                <w:sz w:val="20"/>
                <w:szCs w:val="20"/>
                <w:lang w:eastAsia="en-AU"/>
              </w:rPr>
              <w:t>SA</w:t>
            </w:r>
          </w:p>
          <w:p w14:paraId="57B04857" w14:textId="77777777" w:rsidR="004D1BEB" w:rsidRPr="00230738" w:rsidRDefault="004D1BEB" w:rsidP="009D42BF">
            <w:pPr>
              <w:pStyle w:val="ListParagraph"/>
              <w:spacing w:before="60"/>
              <w:ind w:left="0"/>
              <w:contextualSpacing w:val="0"/>
              <w:jc w:val="center"/>
              <w:rPr>
                <w:rFonts w:ascii="Calibri" w:hAnsi="Calibri"/>
                <w:b/>
                <w:sz w:val="20"/>
                <w:szCs w:val="16"/>
              </w:rPr>
            </w:pPr>
            <w:r w:rsidRPr="00230738">
              <w:rPr>
                <w:rFonts w:ascii="Calibri" w:eastAsia="Times New Roman" w:hAnsi="Calibri" w:cs="Arial"/>
                <w:sz w:val="20"/>
                <w:szCs w:val="20"/>
                <w:lang w:eastAsia="en-AU"/>
              </w:rPr>
              <w:t>(t</w:t>
            </w:r>
            <w:r w:rsidR="00D3271A" w:rsidRPr="00230738">
              <w:rPr>
                <w:rFonts w:ascii="Calibri" w:eastAsia="Times New Roman" w:hAnsi="Calibri" w:cs="Arial"/>
                <w:sz w:val="20"/>
                <w:szCs w:val="20"/>
                <w:lang w:eastAsia="en-AU"/>
              </w:rPr>
              <w:t>hree</w:t>
            </w:r>
            <w:r w:rsidRPr="00230738">
              <w:rPr>
                <w:rFonts w:ascii="Calibri" w:eastAsia="Times New Roman" w:hAnsi="Calibri" w:cs="Arial"/>
                <w:sz w:val="20"/>
                <w:szCs w:val="20"/>
                <w:lang w:eastAsia="en-AU"/>
              </w:rPr>
              <w:t xml:space="preserve"> regions</w:t>
            </w:r>
            <w:r w:rsidRPr="00230738">
              <w:rPr>
                <w:rFonts w:ascii="Calibri" w:eastAsia="Times New Roman" w:hAnsi="Calibri" w:cs="Arial"/>
                <w:sz w:val="20"/>
                <w:szCs w:val="20"/>
                <w:vertAlign w:val="superscript"/>
                <w:lang w:eastAsia="en-AU"/>
              </w:rPr>
              <w:t xml:space="preserve"> β</w:t>
            </w:r>
            <w:r w:rsidRPr="00230738">
              <w:rPr>
                <w:rFonts w:ascii="Calibri" w:eastAsia="Times New Roman" w:hAnsi="Calibri" w:cs="Arial"/>
                <w:sz w:val="20"/>
                <w:szCs w:val="20"/>
                <w:lang w:eastAsia="en-AU"/>
              </w:rPr>
              <w:t>)</w:t>
            </w:r>
          </w:p>
        </w:tc>
      </w:tr>
      <w:tr w:rsidR="004D1BEB" w:rsidRPr="00230738" w14:paraId="57B0485A" w14:textId="77777777" w:rsidTr="00A7347C">
        <w:tc>
          <w:tcPr>
            <w:tcW w:w="10456" w:type="dxa"/>
            <w:gridSpan w:val="5"/>
            <w:shd w:val="clear" w:color="auto" w:fill="DBE5F1" w:themeFill="accent1" w:themeFillTint="33"/>
          </w:tcPr>
          <w:p w14:paraId="57B04859" w14:textId="77777777" w:rsidR="004D1BEB" w:rsidRPr="00230738" w:rsidRDefault="004D1BEB" w:rsidP="00736F53">
            <w:pPr>
              <w:pStyle w:val="ListParagraph"/>
              <w:spacing w:before="60"/>
              <w:ind w:left="0"/>
              <w:contextualSpacing w:val="0"/>
              <w:rPr>
                <w:b/>
                <w:sz w:val="16"/>
                <w:szCs w:val="16"/>
              </w:rPr>
            </w:pPr>
            <w:r w:rsidRPr="00230738">
              <w:rPr>
                <w:b/>
                <w:sz w:val="20"/>
                <w:szCs w:val="16"/>
              </w:rPr>
              <w:t xml:space="preserve">Situation to-date, </w:t>
            </w:r>
            <w:r w:rsidR="00F30E65" w:rsidRPr="00230738">
              <w:rPr>
                <w:rFonts w:ascii="Calibri" w:eastAsia="Times New Roman" w:hAnsi="Calibri" w:cs="Arial"/>
                <w:b/>
                <w:sz w:val="20"/>
                <w:szCs w:val="20"/>
                <w:lang w:eastAsia="en-AU"/>
              </w:rPr>
              <w:t>31</w:t>
            </w:r>
            <w:r w:rsidR="002453EC" w:rsidRPr="00230738">
              <w:rPr>
                <w:rFonts w:ascii="Calibri" w:eastAsia="Times New Roman" w:hAnsi="Calibri" w:cs="Arial"/>
                <w:b/>
                <w:sz w:val="20"/>
                <w:szCs w:val="20"/>
                <w:lang w:eastAsia="en-AU"/>
              </w:rPr>
              <w:t xml:space="preserve"> </w:t>
            </w:r>
            <w:r w:rsidR="00736F53" w:rsidRPr="00230738">
              <w:rPr>
                <w:rFonts w:ascii="Calibri" w:eastAsia="Times New Roman" w:hAnsi="Calibri" w:cs="Arial"/>
                <w:b/>
                <w:sz w:val="20"/>
                <w:szCs w:val="20"/>
                <w:lang w:eastAsia="en-AU"/>
              </w:rPr>
              <w:t>January</w:t>
            </w:r>
            <w:r w:rsidR="002453EC" w:rsidRPr="00230738">
              <w:rPr>
                <w:rFonts w:ascii="Calibri" w:eastAsia="Times New Roman" w:hAnsi="Calibri" w:cs="Arial"/>
                <w:b/>
                <w:sz w:val="20"/>
                <w:szCs w:val="20"/>
                <w:lang w:eastAsia="en-AU"/>
              </w:rPr>
              <w:t xml:space="preserve"> 201</w:t>
            </w:r>
            <w:r w:rsidR="00736F53" w:rsidRPr="00230738">
              <w:rPr>
                <w:rFonts w:ascii="Calibri" w:eastAsia="Times New Roman" w:hAnsi="Calibri" w:cs="Arial"/>
                <w:b/>
                <w:sz w:val="20"/>
                <w:szCs w:val="20"/>
                <w:lang w:eastAsia="en-AU"/>
              </w:rPr>
              <w:t>9</w:t>
            </w:r>
          </w:p>
        </w:tc>
      </w:tr>
      <w:tr w:rsidR="004D1BEB" w:rsidRPr="00230738" w14:paraId="57B04860" w14:textId="77777777" w:rsidTr="0052201A">
        <w:tc>
          <w:tcPr>
            <w:tcW w:w="4219" w:type="dxa"/>
          </w:tcPr>
          <w:p w14:paraId="57B0485B" w14:textId="77777777" w:rsidR="004D1BEB" w:rsidRPr="00230738" w:rsidRDefault="004D1BEB" w:rsidP="00C321FF">
            <w:pPr>
              <w:pStyle w:val="ListParagraph"/>
              <w:spacing w:before="60"/>
              <w:ind w:left="0"/>
              <w:contextualSpacing w:val="0"/>
              <w:rPr>
                <w:sz w:val="20"/>
                <w:szCs w:val="16"/>
              </w:rPr>
            </w:pPr>
            <w:r w:rsidRPr="00230738">
              <w:rPr>
                <w:sz w:val="20"/>
                <w:szCs w:val="16"/>
              </w:rPr>
              <w:t>Outbreak commencement month/year</w:t>
            </w:r>
          </w:p>
        </w:tc>
        <w:tc>
          <w:tcPr>
            <w:tcW w:w="1559" w:type="dxa"/>
            <w:shd w:val="clear" w:color="auto" w:fill="B8CCE4" w:themeFill="accent1" w:themeFillTint="66"/>
          </w:tcPr>
          <w:p w14:paraId="57B0485C" w14:textId="77777777" w:rsidR="004D1BEB" w:rsidRPr="00230738" w:rsidRDefault="004D1BEB" w:rsidP="004D1BEB">
            <w:pPr>
              <w:pStyle w:val="ListParagraph"/>
              <w:spacing w:before="60"/>
              <w:ind w:left="0"/>
              <w:contextualSpacing w:val="0"/>
              <w:jc w:val="center"/>
              <w:rPr>
                <w:sz w:val="20"/>
                <w:szCs w:val="16"/>
              </w:rPr>
            </w:pPr>
            <w:r w:rsidRPr="00230738">
              <w:rPr>
                <w:sz w:val="20"/>
                <w:szCs w:val="16"/>
              </w:rPr>
              <w:t>January 2011</w:t>
            </w:r>
          </w:p>
        </w:tc>
        <w:tc>
          <w:tcPr>
            <w:tcW w:w="1560" w:type="dxa"/>
            <w:shd w:val="clear" w:color="auto" w:fill="B6DDE8" w:themeFill="accent5" w:themeFillTint="66"/>
          </w:tcPr>
          <w:p w14:paraId="57B0485D" w14:textId="77777777" w:rsidR="004D1BEB" w:rsidRPr="00230738" w:rsidRDefault="004D1BEB" w:rsidP="004D1BEB">
            <w:pPr>
              <w:pStyle w:val="ListParagraph"/>
              <w:spacing w:before="60"/>
              <w:ind w:left="0"/>
              <w:contextualSpacing w:val="0"/>
              <w:jc w:val="center"/>
              <w:rPr>
                <w:sz w:val="20"/>
                <w:szCs w:val="16"/>
              </w:rPr>
            </w:pPr>
            <w:r w:rsidRPr="00230738">
              <w:rPr>
                <w:sz w:val="20"/>
                <w:szCs w:val="16"/>
              </w:rPr>
              <w:t>July 2013</w:t>
            </w:r>
          </w:p>
        </w:tc>
        <w:tc>
          <w:tcPr>
            <w:tcW w:w="1559" w:type="dxa"/>
            <w:shd w:val="clear" w:color="auto" w:fill="CCC0D9" w:themeFill="accent4" w:themeFillTint="66"/>
          </w:tcPr>
          <w:p w14:paraId="57B0485E" w14:textId="77777777" w:rsidR="004D1BEB" w:rsidRPr="00230738" w:rsidRDefault="004D1BEB" w:rsidP="004D1BEB">
            <w:pPr>
              <w:pStyle w:val="ListParagraph"/>
              <w:spacing w:before="60"/>
              <w:ind w:left="0"/>
              <w:contextualSpacing w:val="0"/>
              <w:jc w:val="center"/>
              <w:rPr>
                <w:sz w:val="20"/>
                <w:szCs w:val="16"/>
              </w:rPr>
            </w:pPr>
            <w:r w:rsidRPr="00230738">
              <w:rPr>
                <w:sz w:val="20"/>
                <w:szCs w:val="16"/>
              </w:rPr>
              <w:t>June 2014</w:t>
            </w:r>
          </w:p>
        </w:tc>
        <w:tc>
          <w:tcPr>
            <w:tcW w:w="1559" w:type="dxa"/>
            <w:shd w:val="clear" w:color="auto" w:fill="FBD4B4" w:themeFill="accent6" w:themeFillTint="66"/>
          </w:tcPr>
          <w:p w14:paraId="57B0485F" w14:textId="77777777" w:rsidR="004D1BEB" w:rsidRPr="00230738" w:rsidRDefault="004D1BEB" w:rsidP="004D1BEB">
            <w:pPr>
              <w:pStyle w:val="ListParagraph"/>
              <w:spacing w:before="60"/>
              <w:ind w:left="0"/>
              <w:contextualSpacing w:val="0"/>
              <w:jc w:val="center"/>
              <w:rPr>
                <w:sz w:val="20"/>
                <w:szCs w:val="16"/>
              </w:rPr>
            </w:pPr>
            <w:r w:rsidRPr="00230738">
              <w:rPr>
                <w:sz w:val="20"/>
                <w:szCs w:val="16"/>
              </w:rPr>
              <w:t>November 2016</w:t>
            </w:r>
          </w:p>
        </w:tc>
      </w:tr>
      <w:tr w:rsidR="004D1BEB" w:rsidRPr="00230738" w14:paraId="57B04866" w14:textId="77777777" w:rsidTr="0099297E">
        <w:tc>
          <w:tcPr>
            <w:tcW w:w="4219" w:type="dxa"/>
          </w:tcPr>
          <w:p w14:paraId="57B04861" w14:textId="77777777" w:rsidR="004D1BEB" w:rsidRPr="00230738" w:rsidRDefault="004D1BEB" w:rsidP="00C321FF">
            <w:pPr>
              <w:pStyle w:val="ListParagraph"/>
              <w:spacing w:before="60"/>
              <w:ind w:left="0"/>
              <w:contextualSpacing w:val="0"/>
              <w:rPr>
                <w:sz w:val="16"/>
                <w:szCs w:val="16"/>
              </w:rPr>
            </w:pPr>
            <w:r w:rsidRPr="00230738">
              <w:rPr>
                <w:sz w:val="20"/>
                <w:szCs w:val="16"/>
              </w:rPr>
              <w:t>Aboriginal and Torres Strait Islander people</w:t>
            </w:r>
            <w:r w:rsidRPr="00230738">
              <w:rPr>
                <w:rFonts w:ascii="Agency FB" w:hAnsi="Agency FB"/>
                <w:sz w:val="20"/>
                <w:szCs w:val="16"/>
                <w:vertAlign w:val="superscript"/>
              </w:rPr>
              <w:t>§</w:t>
            </w:r>
          </w:p>
        </w:tc>
        <w:tc>
          <w:tcPr>
            <w:tcW w:w="1559" w:type="dxa"/>
            <w:shd w:val="clear" w:color="auto" w:fill="B8CCE4" w:themeFill="accent1" w:themeFillTint="66"/>
          </w:tcPr>
          <w:p w14:paraId="57B04862" w14:textId="77777777" w:rsidR="004D1BEB" w:rsidRPr="00230738" w:rsidRDefault="00E77CC1" w:rsidP="004328F9">
            <w:pPr>
              <w:pStyle w:val="ListParagraph"/>
              <w:spacing w:before="60"/>
              <w:ind w:left="0"/>
              <w:contextualSpacing w:val="0"/>
              <w:jc w:val="center"/>
              <w:rPr>
                <w:sz w:val="20"/>
                <w:szCs w:val="16"/>
              </w:rPr>
            </w:pPr>
            <w:r w:rsidRPr="00230738">
              <w:rPr>
                <w:sz w:val="20"/>
                <w:szCs w:val="16"/>
              </w:rPr>
              <w:t>12</w:t>
            </w:r>
          </w:p>
        </w:tc>
        <w:tc>
          <w:tcPr>
            <w:tcW w:w="1560" w:type="dxa"/>
            <w:shd w:val="clear" w:color="auto" w:fill="B6DDE8" w:themeFill="accent5" w:themeFillTint="66"/>
          </w:tcPr>
          <w:p w14:paraId="57B04863" w14:textId="77777777" w:rsidR="004D1BEB" w:rsidRPr="00230738" w:rsidRDefault="00F83A73" w:rsidP="004328F9">
            <w:pPr>
              <w:pStyle w:val="ListParagraph"/>
              <w:spacing w:before="60"/>
              <w:ind w:left="0"/>
              <w:contextualSpacing w:val="0"/>
              <w:jc w:val="center"/>
              <w:rPr>
                <w:sz w:val="20"/>
                <w:szCs w:val="16"/>
              </w:rPr>
            </w:pPr>
            <w:r w:rsidRPr="00230738">
              <w:rPr>
                <w:sz w:val="20"/>
                <w:szCs w:val="16"/>
              </w:rPr>
              <w:t>2</w:t>
            </w:r>
          </w:p>
        </w:tc>
        <w:tc>
          <w:tcPr>
            <w:tcW w:w="1559" w:type="dxa"/>
            <w:shd w:val="clear" w:color="auto" w:fill="CCC0D9" w:themeFill="accent4" w:themeFillTint="66"/>
            <w:vAlign w:val="center"/>
          </w:tcPr>
          <w:p w14:paraId="57B04864" w14:textId="77777777" w:rsidR="004D1BEB" w:rsidRPr="00230738" w:rsidRDefault="00F12E09" w:rsidP="0099297E">
            <w:pPr>
              <w:pStyle w:val="ListParagraph"/>
              <w:spacing w:before="60"/>
              <w:ind w:left="0"/>
              <w:contextualSpacing w:val="0"/>
              <w:jc w:val="center"/>
              <w:rPr>
                <w:sz w:val="20"/>
                <w:szCs w:val="16"/>
              </w:rPr>
            </w:pPr>
            <w:r w:rsidRPr="00230738">
              <w:rPr>
                <w:sz w:val="20"/>
                <w:szCs w:val="16"/>
              </w:rPr>
              <w:t>-</w:t>
            </w:r>
          </w:p>
        </w:tc>
        <w:tc>
          <w:tcPr>
            <w:tcW w:w="1559" w:type="dxa"/>
            <w:shd w:val="clear" w:color="auto" w:fill="FBD4B4" w:themeFill="accent6" w:themeFillTint="66"/>
          </w:tcPr>
          <w:p w14:paraId="57B04865" w14:textId="77777777" w:rsidR="004D1BEB" w:rsidRPr="00230738" w:rsidRDefault="00417C2B" w:rsidP="000F5C56">
            <w:pPr>
              <w:pStyle w:val="ListParagraph"/>
              <w:spacing w:before="60"/>
              <w:ind w:left="0"/>
              <w:contextualSpacing w:val="0"/>
              <w:jc w:val="center"/>
              <w:rPr>
                <w:sz w:val="20"/>
                <w:szCs w:val="16"/>
              </w:rPr>
            </w:pPr>
            <w:r w:rsidRPr="00230738">
              <w:rPr>
                <w:sz w:val="20"/>
                <w:szCs w:val="16"/>
              </w:rPr>
              <w:t>-</w:t>
            </w:r>
          </w:p>
        </w:tc>
      </w:tr>
      <w:tr w:rsidR="004D1BEB" w:rsidRPr="00230738" w14:paraId="57B0486C" w14:textId="77777777" w:rsidTr="00A7347C">
        <w:tc>
          <w:tcPr>
            <w:tcW w:w="4219" w:type="dxa"/>
            <w:tcBorders>
              <w:bottom w:val="single" w:sz="4" w:space="0" w:color="auto"/>
            </w:tcBorders>
          </w:tcPr>
          <w:p w14:paraId="57B04867" w14:textId="77777777" w:rsidR="004D1BEB" w:rsidRPr="00230738" w:rsidRDefault="004D1BEB" w:rsidP="00C321FF">
            <w:pPr>
              <w:pStyle w:val="ListParagraph"/>
              <w:spacing w:before="60"/>
              <w:ind w:left="0"/>
              <w:contextualSpacing w:val="0"/>
              <w:rPr>
                <w:sz w:val="16"/>
                <w:szCs w:val="16"/>
              </w:rPr>
            </w:pPr>
            <w:r w:rsidRPr="00230738">
              <w:rPr>
                <w:sz w:val="20"/>
                <w:szCs w:val="16"/>
              </w:rPr>
              <w:t>Non-Indigenous</w:t>
            </w:r>
            <w:r w:rsidR="002C510D" w:rsidRPr="00230738">
              <w:rPr>
                <w:sz w:val="20"/>
                <w:szCs w:val="16"/>
              </w:rPr>
              <w:t xml:space="preserve"> people</w:t>
            </w:r>
            <w:r w:rsidRPr="00230738">
              <w:rPr>
                <w:sz w:val="20"/>
                <w:szCs w:val="16"/>
                <w:vertAlign w:val="superscript"/>
              </w:rPr>
              <w:t>µ</w:t>
            </w:r>
          </w:p>
        </w:tc>
        <w:tc>
          <w:tcPr>
            <w:tcW w:w="1559" w:type="dxa"/>
            <w:tcBorders>
              <w:bottom w:val="single" w:sz="4" w:space="0" w:color="auto"/>
            </w:tcBorders>
            <w:shd w:val="clear" w:color="auto" w:fill="B8CCE4" w:themeFill="accent1" w:themeFillTint="66"/>
          </w:tcPr>
          <w:p w14:paraId="57B04868" w14:textId="77777777" w:rsidR="004D1BEB" w:rsidRPr="00230738" w:rsidRDefault="00E77CC1" w:rsidP="004328F9">
            <w:pPr>
              <w:pStyle w:val="ListParagraph"/>
              <w:spacing w:before="60"/>
              <w:ind w:left="0"/>
              <w:contextualSpacing w:val="0"/>
              <w:jc w:val="center"/>
              <w:rPr>
                <w:sz w:val="20"/>
                <w:szCs w:val="16"/>
              </w:rPr>
            </w:pPr>
            <w:r w:rsidRPr="00230738">
              <w:rPr>
                <w:sz w:val="20"/>
                <w:szCs w:val="16"/>
              </w:rPr>
              <w:t>17</w:t>
            </w:r>
          </w:p>
        </w:tc>
        <w:tc>
          <w:tcPr>
            <w:tcW w:w="1560" w:type="dxa"/>
            <w:tcBorders>
              <w:bottom w:val="single" w:sz="4" w:space="0" w:color="auto"/>
            </w:tcBorders>
            <w:shd w:val="clear" w:color="auto" w:fill="B6DDE8" w:themeFill="accent5" w:themeFillTint="66"/>
          </w:tcPr>
          <w:p w14:paraId="57B04869" w14:textId="77777777" w:rsidR="004D1BEB" w:rsidRPr="00230738" w:rsidRDefault="00E2278F" w:rsidP="004328F9">
            <w:pPr>
              <w:pStyle w:val="ListParagraph"/>
              <w:spacing w:before="60"/>
              <w:ind w:left="0"/>
              <w:contextualSpacing w:val="0"/>
              <w:jc w:val="center"/>
              <w:rPr>
                <w:sz w:val="20"/>
                <w:szCs w:val="16"/>
              </w:rPr>
            </w:pPr>
            <w:r w:rsidRPr="00230738">
              <w:rPr>
                <w:sz w:val="20"/>
                <w:szCs w:val="16"/>
              </w:rPr>
              <w:t>6</w:t>
            </w:r>
          </w:p>
        </w:tc>
        <w:tc>
          <w:tcPr>
            <w:tcW w:w="1559" w:type="dxa"/>
            <w:tcBorders>
              <w:bottom w:val="single" w:sz="4" w:space="0" w:color="auto"/>
            </w:tcBorders>
            <w:shd w:val="clear" w:color="auto" w:fill="CCC0D9" w:themeFill="accent4" w:themeFillTint="66"/>
            <w:vAlign w:val="center"/>
          </w:tcPr>
          <w:p w14:paraId="57B0486A" w14:textId="77777777" w:rsidR="004D1BEB" w:rsidRPr="00230738" w:rsidRDefault="00F12E09" w:rsidP="0099297E">
            <w:pPr>
              <w:pStyle w:val="ListParagraph"/>
              <w:spacing w:before="60"/>
              <w:ind w:left="0"/>
              <w:contextualSpacing w:val="0"/>
              <w:jc w:val="center"/>
              <w:rPr>
                <w:sz w:val="20"/>
                <w:szCs w:val="16"/>
              </w:rPr>
            </w:pPr>
            <w:r w:rsidRPr="00230738">
              <w:rPr>
                <w:sz w:val="20"/>
                <w:szCs w:val="16"/>
              </w:rPr>
              <w:t>-</w:t>
            </w:r>
          </w:p>
        </w:tc>
        <w:tc>
          <w:tcPr>
            <w:tcW w:w="1559" w:type="dxa"/>
            <w:tcBorders>
              <w:bottom w:val="single" w:sz="4" w:space="0" w:color="auto"/>
            </w:tcBorders>
            <w:shd w:val="clear" w:color="auto" w:fill="FBD4B4" w:themeFill="accent6" w:themeFillTint="66"/>
          </w:tcPr>
          <w:p w14:paraId="57B0486B" w14:textId="77777777" w:rsidR="004D1BEB" w:rsidRPr="00230738" w:rsidRDefault="00665C0D" w:rsidP="000F5C56">
            <w:pPr>
              <w:pStyle w:val="ListParagraph"/>
              <w:spacing w:before="60"/>
              <w:ind w:left="0"/>
              <w:contextualSpacing w:val="0"/>
              <w:jc w:val="center"/>
              <w:rPr>
                <w:sz w:val="20"/>
                <w:szCs w:val="16"/>
              </w:rPr>
            </w:pPr>
            <w:r w:rsidRPr="00230738">
              <w:rPr>
                <w:sz w:val="20"/>
                <w:szCs w:val="16"/>
              </w:rPr>
              <w:t>2</w:t>
            </w:r>
          </w:p>
        </w:tc>
      </w:tr>
      <w:tr w:rsidR="004D1BEB" w:rsidRPr="00230738" w14:paraId="57B0486E" w14:textId="77777777" w:rsidTr="00A7347C">
        <w:tc>
          <w:tcPr>
            <w:tcW w:w="10456" w:type="dxa"/>
            <w:gridSpan w:val="5"/>
            <w:shd w:val="clear" w:color="auto" w:fill="DBE5F1" w:themeFill="accent1" w:themeFillTint="33"/>
            <w:vAlign w:val="center"/>
          </w:tcPr>
          <w:p w14:paraId="57B0486D" w14:textId="77777777" w:rsidR="004D1BEB" w:rsidRPr="00230738" w:rsidRDefault="004D1BEB" w:rsidP="00736F53">
            <w:pPr>
              <w:pStyle w:val="ListParagraph"/>
              <w:spacing w:before="60"/>
              <w:ind w:left="0"/>
              <w:contextualSpacing w:val="0"/>
              <w:rPr>
                <w:b/>
                <w:sz w:val="20"/>
                <w:szCs w:val="16"/>
              </w:rPr>
            </w:pPr>
            <w:r w:rsidRPr="00230738">
              <w:rPr>
                <w:b/>
                <w:sz w:val="20"/>
                <w:szCs w:val="16"/>
              </w:rPr>
              <w:t>Last reporting month, 1 -</w:t>
            </w:r>
            <w:r w:rsidR="00F04C3D" w:rsidRPr="00230738">
              <w:rPr>
                <w:rFonts w:ascii="Calibri" w:eastAsia="Times New Roman" w:hAnsi="Calibri" w:cs="Arial"/>
                <w:b/>
                <w:sz w:val="20"/>
                <w:szCs w:val="20"/>
                <w:lang w:eastAsia="en-AU"/>
              </w:rPr>
              <w:t>31</w:t>
            </w:r>
            <w:r w:rsidR="002453EC" w:rsidRPr="00230738">
              <w:rPr>
                <w:rFonts w:ascii="Calibri" w:eastAsia="Times New Roman" w:hAnsi="Calibri" w:cs="Arial"/>
                <w:b/>
                <w:sz w:val="20"/>
                <w:szCs w:val="20"/>
                <w:lang w:eastAsia="en-AU"/>
              </w:rPr>
              <w:t xml:space="preserve"> </w:t>
            </w:r>
            <w:r w:rsidR="00736F53" w:rsidRPr="00230738">
              <w:rPr>
                <w:rFonts w:ascii="Calibri" w:eastAsia="Times New Roman" w:hAnsi="Calibri" w:cs="Arial"/>
                <w:b/>
                <w:sz w:val="20"/>
                <w:szCs w:val="20"/>
                <w:lang w:eastAsia="en-AU"/>
              </w:rPr>
              <w:t>January</w:t>
            </w:r>
            <w:r w:rsidR="002453EC" w:rsidRPr="00230738">
              <w:rPr>
                <w:rFonts w:ascii="Calibri" w:eastAsia="Times New Roman" w:hAnsi="Calibri" w:cs="Arial"/>
                <w:b/>
                <w:sz w:val="20"/>
                <w:szCs w:val="20"/>
                <w:lang w:eastAsia="en-AU"/>
              </w:rPr>
              <w:t xml:space="preserve"> 201</w:t>
            </w:r>
            <w:r w:rsidR="00736F53" w:rsidRPr="00230738">
              <w:rPr>
                <w:rFonts w:ascii="Calibri" w:eastAsia="Times New Roman" w:hAnsi="Calibri" w:cs="Arial"/>
                <w:b/>
                <w:sz w:val="20"/>
                <w:szCs w:val="20"/>
                <w:lang w:eastAsia="en-AU"/>
              </w:rPr>
              <w:t>9</w:t>
            </w:r>
          </w:p>
        </w:tc>
      </w:tr>
      <w:tr w:rsidR="004D1BEB" w:rsidRPr="00230738" w14:paraId="57B04874" w14:textId="77777777" w:rsidTr="0099297E">
        <w:tc>
          <w:tcPr>
            <w:tcW w:w="4219" w:type="dxa"/>
          </w:tcPr>
          <w:p w14:paraId="57B0486F" w14:textId="77777777" w:rsidR="004D1BEB" w:rsidRPr="00230738" w:rsidRDefault="004D1BEB" w:rsidP="00EB11F0">
            <w:pPr>
              <w:pStyle w:val="ListParagraph"/>
              <w:spacing w:before="60"/>
              <w:ind w:left="0"/>
              <w:contextualSpacing w:val="0"/>
              <w:rPr>
                <w:sz w:val="16"/>
                <w:szCs w:val="16"/>
              </w:rPr>
            </w:pPr>
            <w:r w:rsidRPr="00230738">
              <w:rPr>
                <w:sz w:val="20"/>
                <w:szCs w:val="16"/>
              </w:rPr>
              <w:t>Aboriginal and Torres Strait Islander people</w:t>
            </w:r>
            <w:r w:rsidRPr="00230738">
              <w:rPr>
                <w:rFonts w:ascii="Agency FB" w:hAnsi="Agency FB"/>
                <w:sz w:val="20"/>
                <w:szCs w:val="16"/>
                <w:vertAlign w:val="superscript"/>
              </w:rPr>
              <w:t>§</w:t>
            </w:r>
          </w:p>
        </w:tc>
        <w:tc>
          <w:tcPr>
            <w:tcW w:w="1559" w:type="dxa"/>
            <w:shd w:val="clear" w:color="auto" w:fill="B8CCE4" w:themeFill="accent1" w:themeFillTint="66"/>
          </w:tcPr>
          <w:p w14:paraId="57B04870" w14:textId="77777777" w:rsidR="004D1BEB" w:rsidRPr="00230738" w:rsidRDefault="00E77CC1" w:rsidP="003B4187">
            <w:pPr>
              <w:pStyle w:val="ListParagraph"/>
              <w:spacing w:before="60"/>
              <w:ind w:left="0"/>
              <w:contextualSpacing w:val="0"/>
              <w:jc w:val="center"/>
              <w:rPr>
                <w:sz w:val="20"/>
                <w:szCs w:val="16"/>
              </w:rPr>
            </w:pPr>
            <w:r w:rsidRPr="00230738">
              <w:rPr>
                <w:sz w:val="20"/>
                <w:szCs w:val="16"/>
              </w:rPr>
              <w:t>1</w:t>
            </w:r>
          </w:p>
        </w:tc>
        <w:tc>
          <w:tcPr>
            <w:tcW w:w="1560" w:type="dxa"/>
            <w:shd w:val="clear" w:color="auto" w:fill="B6DDE8" w:themeFill="accent5" w:themeFillTint="66"/>
          </w:tcPr>
          <w:p w14:paraId="57B04871" w14:textId="77777777" w:rsidR="004D1BEB" w:rsidRPr="00230738" w:rsidRDefault="00F83A73" w:rsidP="004328F9">
            <w:pPr>
              <w:pStyle w:val="ListParagraph"/>
              <w:spacing w:before="60"/>
              <w:ind w:left="0"/>
              <w:contextualSpacing w:val="0"/>
              <w:jc w:val="center"/>
              <w:rPr>
                <w:sz w:val="20"/>
                <w:szCs w:val="16"/>
              </w:rPr>
            </w:pPr>
            <w:r w:rsidRPr="00230738">
              <w:rPr>
                <w:sz w:val="20"/>
                <w:szCs w:val="16"/>
              </w:rPr>
              <w:t>-</w:t>
            </w:r>
          </w:p>
        </w:tc>
        <w:tc>
          <w:tcPr>
            <w:tcW w:w="1559" w:type="dxa"/>
            <w:shd w:val="clear" w:color="auto" w:fill="CCC0D9" w:themeFill="accent4" w:themeFillTint="66"/>
            <w:vAlign w:val="center"/>
          </w:tcPr>
          <w:p w14:paraId="57B04872" w14:textId="77777777" w:rsidR="004D1BEB" w:rsidRPr="00230738" w:rsidRDefault="00F12E09" w:rsidP="0099297E">
            <w:pPr>
              <w:pStyle w:val="ListParagraph"/>
              <w:spacing w:before="60"/>
              <w:ind w:left="0"/>
              <w:contextualSpacing w:val="0"/>
              <w:jc w:val="center"/>
              <w:rPr>
                <w:sz w:val="20"/>
                <w:szCs w:val="16"/>
              </w:rPr>
            </w:pPr>
            <w:r w:rsidRPr="00230738">
              <w:rPr>
                <w:sz w:val="20"/>
                <w:szCs w:val="16"/>
              </w:rPr>
              <w:t>-</w:t>
            </w:r>
          </w:p>
        </w:tc>
        <w:tc>
          <w:tcPr>
            <w:tcW w:w="1559" w:type="dxa"/>
            <w:shd w:val="clear" w:color="auto" w:fill="FBD4B4" w:themeFill="accent6" w:themeFillTint="66"/>
          </w:tcPr>
          <w:p w14:paraId="57B04873" w14:textId="77777777" w:rsidR="004D1BEB" w:rsidRPr="00230738" w:rsidRDefault="00417C2B" w:rsidP="000F5C56">
            <w:pPr>
              <w:pStyle w:val="ListParagraph"/>
              <w:spacing w:before="60"/>
              <w:ind w:left="0"/>
              <w:contextualSpacing w:val="0"/>
              <w:jc w:val="center"/>
              <w:rPr>
                <w:sz w:val="20"/>
                <w:szCs w:val="16"/>
              </w:rPr>
            </w:pPr>
            <w:r w:rsidRPr="00230738">
              <w:rPr>
                <w:sz w:val="20"/>
                <w:szCs w:val="16"/>
              </w:rPr>
              <w:t>-</w:t>
            </w:r>
          </w:p>
        </w:tc>
      </w:tr>
      <w:tr w:rsidR="004D1BEB" w:rsidRPr="00196E76" w14:paraId="57B0487A" w14:textId="77777777" w:rsidTr="0099297E">
        <w:tc>
          <w:tcPr>
            <w:tcW w:w="4219" w:type="dxa"/>
          </w:tcPr>
          <w:p w14:paraId="57B04875" w14:textId="77777777" w:rsidR="004D1BEB" w:rsidRPr="00230738" w:rsidRDefault="004D1BEB" w:rsidP="00EB11F0">
            <w:pPr>
              <w:pStyle w:val="ListParagraph"/>
              <w:spacing w:before="60"/>
              <w:ind w:left="0"/>
              <w:contextualSpacing w:val="0"/>
              <w:rPr>
                <w:sz w:val="16"/>
                <w:szCs w:val="16"/>
              </w:rPr>
            </w:pPr>
            <w:r w:rsidRPr="00230738">
              <w:rPr>
                <w:sz w:val="20"/>
                <w:szCs w:val="16"/>
              </w:rPr>
              <w:t>Non-Indigenous</w:t>
            </w:r>
            <w:r w:rsidR="002C510D" w:rsidRPr="00230738">
              <w:rPr>
                <w:sz w:val="20"/>
                <w:szCs w:val="16"/>
              </w:rPr>
              <w:t xml:space="preserve"> people</w:t>
            </w:r>
            <w:r w:rsidRPr="00230738">
              <w:rPr>
                <w:sz w:val="20"/>
                <w:szCs w:val="16"/>
                <w:vertAlign w:val="superscript"/>
              </w:rPr>
              <w:t>µ</w:t>
            </w:r>
          </w:p>
        </w:tc>
        <w:tc>
          <w:tcPr>
            <w:tcW w:w="1559" w:type="dxa"/>
            <w:shd w:val="clear" w:color="auto" w:fill="B8CCE4" w:themeFill="accent1" w:themeFillTint="66"/>
          </w:tcPr>
          <w:p w14:paraId="57B04876" w14:textId="77777777" w:rsidR="004D1BEB" w:rsidRPr="00230738" w:rsidRDefault="00C75415" w:rsidP="003B4187">
            <w:pPr>
              <w:pStyle w:val="ListParagraph"/>
              <w:spacing w:before="60"/>
              <w:ind w:left="0"/>
              <w:contextualSpacing w:val="0"/>
              <w:jc w:val="center"/>
              <w:rPr>
                <w:sz w:val="20"/>
                <w:szCs w:val="16"/>
              </w:rPr>
            </w:pPr>
            <w:r w:rsidRPr="00230738">
              <w:rPr>
                <w:sz w:val="20"/>
                <w:szCs w:val="16"/>
              </w:rPr>
              <w:t>-</w:t>
            </w:r>
          </w:p>
        </w:tc>
        <w:tc>
          <w:tcPr>
            <w:tcW w:w="1560" w:type="dxa"/>
            <w:shd w:val="clear" w:color="auto" w:fill="B6DDE8" w:themeFill="accent5" w:themeFillTint="66"/>
          </w:tcPr>
          <w:p w14:paraId="57B04877" w14:textId="77777777" w:rsidR="004D1BEB" w:rsidRPr="00230738" w:rsidRDefault="00E505A1" w:rsidP="004328F9">
            <w:pPr>
              <w:pStyle w:val="ListParagraph"/>
              <w:spacing w:before="60"/>
              <w:ind w:left="0"/>
              <w:contextualSpacing w:val="0"/>
              <w:jc w:val="center"/>
              <w:rPr>
                <w:sz w:val="20"/>
                <w:szCs w:val="16"/>
              </w:rPr>
            </w:pPr>
            <w:r w:rsidRPr="00230738">
              <w:rPr>
                <w:sz w:val="20"/>
                <w:szCs w:val="16"/>
              </w:rPr>
              <w:t>-</w:t>
            </w:r>
          </w:p>
        </w:tc>
        <w:tc>
          <w:tcPr>
            <w:tcW w:w="1559" w:type="dxa"/>
            <w:shd w:val="clear" w:color="auto" w:fill="CCC0D9" w:themeFill="accent4" w:themeFillTint="66"/>
            <w:vAlign w:val="center"/>
          </w:tcPr>
          <w:p w14:paraId="57B04878" w14:textId="77777777" w:rsidR="004D1BEB" w:rsidRPr="00230738" w:rsidRDefault="00F12E09" w:rsidP="0099297E">
            <w:pPr>
              <w:pStyle w:val="ListParagraph"/>
              <w:spacing w:before="60"/>
              <w:ind w:left="0"/>
              <w:contextualSpacing w:val="0"/>
              <w:jc w:val="center"/>
              <w:rPr>
                <w:b/>
                <w:sz w:val="16"/>
                <w:szCs w:val="16"/>
              </w:rPr>
            </w:pPr>
            <w:r w:rsidRPr="00230738">
              <w:rPr>
                <w:b/>
                <w:sz w:val="16"/>
                <w:szCs w:val="16"/>
              </w:rPr>
              <w:t>-</w:t>
            </w:r>
          </w:p>
        </w:tc>
        <w:tc>
          <w:tcPr>
            <w:tcW w:w="1559" w:type="dxa"/>
            <w:shd w:val="clear" w:color="auto" w:fill="FBD4B4" w:themeFill="accent6" w:themeFillTint="66"/>
          </w:tcPr>
          <w:p w14:paraId="57B04879" w14:textId="77777777" w:rsidR="004D1BEB" w:rsidRPr="00E505A1" w:rsidRDefault="00417C2B" w:rsidP="000F5C56">
            <w:pPr>
              <w:pStyle w:val="ListParagraph"/>
              <w:spacing w:before="60"/>
              <w:ind w:left="0"/>
              <w:contextualSpacing w:val="0"/>
              <w:jc w:val="center"/>
              <w:rPr>
                <w:sz w:val="20"/>
                <w:szCs w:val="16"/>
              </w:rPr>
            </w:pPr>
            <w:r w:rsidRPr="00230738">
              <w:rPr>
                <w:sz w:val="20"/>
                <w:szCs w:val="16"/>
              </w:rPr>
              <w:t>-</w:t>
            </w:r>
          </w:p>
        </w:tc>
      </w:tr>
    </w:tbl>
    <w:p w14:paraId="57B0487B" w14:textId="77777777" w:rsidR="00FC5374" w:rsidRPr="00196E76" w:rsidRDefault="00FC5374" w:rsidP="00C321FF">
      <w:pPr>
        <w:pStyle w:val="ListParagraph"/>
        <w:spacing w:before="60" w:after="0" w:line="240" w:lineRule="auto"/>
        <w:ind w:left="-567"/>
        <w:contextualSpacing w:val="0"/>
        <w:rPr>
          <w:b/>
          <w:sz w:val="16"/>
          <w:szCs w:val="16"/>
          <w:highlight w:val="yellow"/>
        </w:rPr>
      </w:pPr>
    </w:p>
    <w:p w14:paraId="57B0487C" w14:textId="77777777" w:rsidR="001067DE" w:rsidRPr="00497745" w:rsidRDefault="00FC5374" w:rsidP="00D44019">
      <w:pPr>
        <w:pStyle w:val="ListParagraph"/>
        <w:spacing w:before="60" w:after="0" w:line="240" w:lineRule="auto"/>
        <w:ind w:left="-709"/>
        <w:contextualSpacing w:val="0"/>
        <w:jc w:val="both"/>
        <w:rPr>
          <w:b/>
          <w:sz w:val="16"/>
          <w:szCs w:val="16"/>
        </w:rPr>
      </w:pPr>
      <w:r w:rsidRPr="00497745">
        <w:rPr>
          <w:b/>
          <w:sz w:val="16"/>
          <w:szCs w:val="16"/>
        </w:rPr>
        <w:t>Notes:</w:t>
      </w:r>
    </w:p>
    <w:p w14:paraId="57B0487D" w14:textId="77777777" w:rsidR="001067DE" w:rsidRPr="00497745" w:rsidRDefault="00431952" w:rsidP="001251E7">
      <w:pPr>
        <w:pStyle w:val="ListParagraph"/>
        <w:spacing w:after="0" w:line="240" w:lineRule="auto"/>
        <w:ind w:left="-504" w:right="119" w:hanging="63"/>
        <w:contextualSpacing w:val="0"/>
        <w:rPr>
          <w:b/>
          <w:sz w:val="14"/>
          <w:szCs w:val="16"/>
        </w:rPr>
      </w:pPr>
      <w:r w:rsidRPr="00497745">
        <w:rPr>
          <w:rFonts w:ascii="Arial" w:hAnsi="Arial" w:cs="Arial"/>
          <w:sz w:val="16"/>
          <w:szCs w:val="20"/>
          <w:vertAlign w:val="superscript"/>
        </w:rPr>
        <w:t>ȶ</w:t>
      </w:r>
      <w:r w:rsidRPr="00497745">
        <w:rPr>
          <w:rFonts w:ascii="Calibri" w:eastAsia="Times New Roman" w:hAnsi="Calibri" w:cs="Times New Roman"/>
          <w:sz w:val="16"/>
        </w:rPr>
        <w:t xml:space="preserve"> </w:t>
      </w:r>
      <w:r w:rsidR="001067DE" w:rsidRPr="00497745">
        <w:rPr>
          <w:rFonts w:ascii="Calibri" w:eastAsia="Times New Roman" w:hAnsi="Calibri" w:cs="Times New Roman"/>
          <w:sz w:val="16"/>
        </w:rPr>
        <w:t xml:space="preserve">‘Diagnosis date’ was used to define the period of analysis. This date represents either the onset date or where the date of onset was not known, the earliest of   the specimen collection date, the notification date, or the notification receive date. </w:t>
      </w:r>
    </w:p>
    <w:p w14:paraId="57B0487E" w14:textId="77777777" w:rsidR="00C321FF" w:rsidRPr="00497745" w:rsidRDefault="00C321FF" w:rsidP="001251E7">
      <w:pPr>
        <w:pStyle w:val="ListParagraph"/>
        <w:spacing w:after="0" w:line="240" w:lineRule="auto"/>
        <w:ind w:left="-567" w:right="119"/>
        <w:contextualSpacing w:val="0"/>
        <w:rPr>
          <w:sz w:val="16"/>
          <w:szCs w:val="16"/>
        </w:rPr>
      </w:pPr>
      <w:proofErr w:type="gramStart"/>
      <w:r w:rsidRPr="00497745">
        <w:rPr>
          <w:b/>
          <w:sz w:val="16"/>
          <w:szCs w:val="16"/>
          <w:vertAlign w:val="superscript"/>
        </w:rPr>
        <w:t>α</w:t>
      </w:r>
      <w:proofErr w:type="gramEnd"/>
      <w:r w:rsidRPr="00497745">
        <w:rPr>
          <w:sz w:val="16"/>
          <w:szCs w:val="16"/>
        </w:rPr>
        <w:t xml:space="preserve"> Cases defined as per the MJSO syphilis outbreak case definition: </w:t>
      </w:r>
    </w:p>
    <w:p w14:paraId="57B0487F" w14:textId="77777777" w:rsidR="006829B0" w:rsidRPr="00497745" w:rsidRDefault="006829B0" w:rsidP="001251E7">
      <w:pPr>
        <w:pStyle w:val="ListParagraph"/>
        <w:spacing w:after="0" w:line="240" w:lineRule="auto"/>
        <w:ind w:left="-426" w:right="119"/>
        <w:contextualSpacing w:val="0"/>
      </w:pPr>
      <w:r w:rsidRPr="0049774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497745">
        <w:rPr>
          <w:b/>
          <w:sz w:val="16"/>
          <w:szCs w:val="16"/>
        </w:rPr>
        <w:t>AND</w:t>
      </w:r>
      <w:r w:rsidRPr="00497745">
        <w:rPr>
          <w:sz w:val="16"/>
          <w:szCs w:val="16"/>
        </w:rPr>
        <w:t>, is an Aboriginal or Torres Strait Islander person who resides in any of the following outbreak declared regions</w:t>
      </w:r>
      <w:r w:rsidRPr="00497745">
        <w:rPr>
          <w:rFonts w:cs="Arial"/>
          <w:sz w:val="16"/>
          <w:szCs w:val="16"/>
        </w:rPr>
        <w:t xml:space="preserve"> as defined and documented by that jurisdiction</w:t>
      </w:r>
      <w:r w:rsidRPr="00497745">
        <w:rPr>
          <w:rFonts w:ascii="Arial" w:hAnsi="Arial" w:cs="Arial"/>
          <w:sz w:val="16"/>
          <w:szCs w:val="16"/>
        </w:rPr>
        <w:t>,</w:t>
      </w:r>
      <w:r w:rsidRPr="00497745">
        <w:rPr>
          <w:sz w:val="16"/>
          <w:szCs w:val="16"/>
        </w:rPr>
        <w:t xml:space="preserve"> at or after the dates indicated: </w:t>
      </w:r>
      <w:r w:rsidRPr="00497745">
        <w:rPr>
          <w:b/>
          <w:i/>
          <w:sz w:val="16"/>
          <w:szCs w:val="16"/>
        </w:rPr>
        <w:t>Qld</w:t>
      </w:r>
      <w:r w:rsidRPr="00497745">
        <w:rPr>
          <w:sz w:val="16"/>
          <w:szCs w:val="16"/>
        </w:rPr>
        <w:t xml:space="preserve"> - </w:t>
      </w:r>
      <w:r w:rsidR="005F380C" w:rsidRPr="00497745">
        <w:rPr>
          <w:sz w:val="16"/>
          <w:szCs w:val="16"/>
        </w:rPr>
        <w:t>North West Hospital and Health Service area (from 1 January 2011</w:t>
      </w:r>
      <w:r w:rsidR="005F380C">
        <w:rPr>
          <w:sz w:val="16"/>
          <w:szCs w:val="16"/>
        </w:rPr>
        <w:t xml:space="preserve">); </w:t>
      </w:r>
      <w:r w:rsidRPr="00497745">
        <w:rPr>
          <w:color w:val="000000" w:themeColor="text1"/>
          <w:sz w:val="16"/>
          <w:szCs w:val="16"/>
        </w:rPr>
        <w:t xml:space="preserve">Torres and Cape </w:t>
      </w:r>
      <w:r w:rsidRPr="00497745">
        <w:rPr>
          <w:sz w:val="16"/>
          <w:szCs w:val="16"/>
        </w:rPr>
        <w:t>Hospital and Health Service area (from 1 December 2012); Cairns and Hinterland H</w:t>
      </w:r>
      <w:r w:rsidR="001251E7">
        <w:rPr>
          <w:sz w:val="16"/>
          <w:szCs w:val="16"/>
        </w:rPr>
        <w:t>ospital and Health Service area(from</w:t>
      </w:r>
      <w:r w:rsidRPr="00497745">
        <w:rPr>
          <w:sz w:val="16"/>
          <w:szCs w:val="16"/>
        </w:rPr>
        <w:t xml:space="preserve">1 August 2013); Townsville Hospital and Health Service area (from 1 January 2014); </w:t>
      </w:r>
      <w:r w:rsidRPr="00497745">
        <w:rPr>
          <w:b/>
          <w:i/>
          <w:sz w:val="16"/>
          <w:szCs w:val="16"/>
        </w:rPr>
        <w:t>NT</w:t>
      </w:r>
      <w:r w:rsidRPr="00497745">
        <w:rPr>
          <w:sz w:val="16"/>
          <w:szCs w:val="16"/>
        </w:rPr>
        <w:t xml:space="preserve"> - Alice Springs </w:t>
      </w:r>
      <w:r w:rsidR="005F380C">
        <w:rPr>
          <w:sz w:val="16"/>
          <w:szCs w:val="16"/>
        </w:rPr>
        <w:t xml:space="preserve">Rural and Urban </w:t>
      </w:r>
      <w:r w:rsidRPr="00497745">
        <w:rPr>
          <w:sz w:val="16"/>
          <w:szCs w:val="16"/>
        </w:rPr>
        <w:t xml:space="preserve">or Barkly district (from 1 July 2013); Katherine district (from 1 May 2014); East Arnhem district (from 1 November 2015); Darwin Rural and Urban (from 1 January 2017); </w:t>
      </w:r>
      <w:r w:rsidRPr="00497745">
        <w:rPr>
          <w:b/>
          <w:i/>
          <w:sz w:val="16"/>
          <w:szCs w:val="16"/>
        </w:rPr>
        <w:t>WA</w:t>
      </w:r>
      <w:r w:rsidRPr="00497745">
        <w:rPr>
          <w:sz w:val="16"/>
          <w:szCs w:val="16"/>
        </w:rPr>
        <w:t xml:space="preserve"> - Kimberley region (from 1 June 2014)</w:t>
      </w:r>
      <w:r w:rsidR="00AD3617" w:rsidRPr="00497745">
        <w:rPr>
          <w:sz w:val="16"/>
          <w:szCs w:val="16"/>
        </w:rPr>
        <w:t xml:space="preserve"> and Pilbara region (from 1 February 2018);</w:t>
      </w:r>
      <w:r w:rsidRPr="00497745">
        <w:rPr>
          <w:sz w:val="16"/>
          <w:szCs w:val="16"/>
        </w:rPr>
        <w:t xml:space="preserve"> </w:t>
      </w:r>
      <w:r w:rsidRPr="00497745">
        <w:rPr>
          <w:b/>
          <w:i/>
          <w:sz w:val="16"/>
          <w:szCs w:val="16"/>
        </w:rPr>
        <w:t>SA</w:t>
      </w:r>
      <w:r w:rsidRPr="00497745">
        <w:rPr>
          <w:b/>
          <w:sz w:val="16"/>
          <w:szCs w:val="16"/>
        </w:rPr>
        <w:t xml:space="preserve"> </w:t>
      </w:r>
      <w:r w:rsidRPr="00497745">
        <w:rPr>
          <w:sz w:val="16"/>
          <w:szCs w:val="16"/>
        </w:rPr>
        <w:t xml:space="preserve"> - </w:t>
      </w:r>
      <w:r w:rsidR="00E7631A" w:rsidRPr="00497745">
        <w:rPr>
          <w:sz w:val="16"/>
          <w:szCs w:val="16"/>
        </w:rPr>
        <w:t>Far North and Western and</w:t>
      </w:r>
      <w:r w:rsidR="00417EA4" w:rsidRPr="00497745">
        <w:rPr>
          <w:sz w:val="16"/>
          <w:szCs w:val="16"/>
        </w:rPr>
        <w:t xml:space="preserve"> </w:t>
      </w:r>
      <w:r w:rsidRPr="00497745">
        <w:rPr>
          <w:sz w:val="16"/>
          <w:szCs w:val="16"/>
        </w:rPr>
        <w:t>Eyre</w:t>
      </w:r>
      <w:r w:rsidR="00707254" w:rsidRPr="00497745">
        <w:rPr>
          <w:sz w:val="16"/>
          <w:szCs w:val="16"/>
        </w:rPr>
        <w:t xml:space="preserve"> </w:t>
      </w:r>
      <w:r w:rsidRPr="00497745">
        <w:rPr>
          <w:sz w:val="16"/>
          <w:szCs w:val="16"/>
        </w:rPr>
        <w:t>regions (from 15 November 2016)</w:t>
      </w:r>
      <w:r w:rsidR="0066612D">
        <w:rPr>
          <w:sz w:val="16"/>
          <w:szCs w:val="16"/>
        </w:rPr>
        <w:t>; Adelaide (</w:t>
      </w:r>
      <w:r w:rsidR="0066612D" w:rsidRPr="00846705">
        <w:rPr>
          <w:sz w:val="16"/>
          <w:szCs w:val="16"/>
        </w:rPr>
        <w:t xml:space="preserve">from </w:t>
      </w:r>
      <w:r w:rsidR="00846705" w:rsidRPr="00846705">
        <w:rPr>
          <w:sz w:val="16"/>
          <w:szCs w:val="16"/>
        </w:rPr>
        <w:t>1</w:t>
      </w:r>
      <w:r w:rsidR="001251E7">
        <w:rPr>
          <w:sz w:val="16"/>
          <w:szCs w:val="16"/>
        </w:rPr>
        <w:t xml:space="preserve"> </w:t>
      </w:r>
      <w:r w:rsidR="0066612D" w:rsidRPr="00846705">
        <w:rPr>
          <w:sz w:val="16"/>
          <w:szCs w:val="16"/>
        </w:rPr>
        <w:t>February 2018</w:t>
      </w:r>
      <w:r w:rsidR="0066612D">
        <w:rPr>
          <w:sz w:val="16"/>
          <w:szCs w:val="16"/>
        </w:rPr>
        <w:t>)</w:t>
      </w:r>
      <w:r w:rsidRPr="00497745">
        <w:rPr>
          <w:sz w:val="16"/>
          <w:szCs w:val="16"/>
        </w:rPr>
        <w:t xml:space="preserve"> </w:t>
      </w:r>
      <w:r w:rsidR="00145B1F" w:rsidRPr="00497745">
        <w:rPr>
          <w:sz w:val="16"/>
          <w:szCs w:val="16"/>
        </w:rPr>
        <w:t xml:space="preserve">(category 1 </w:t>
      </w:r>
      <w:r w:rsidR="000A7306" w:rsidRPr="00497745">
        <w:rPr>
          <w:sz w:val="16"/>
          <w:szCs w:val="16"/>
        </w:rPr>
        <w:t xml:space="preserve">outbreak </w:t>
      </w:r>
      <w:r w:rsidR="00145B1F" w:rsidRPr="00497745">
        <w:rPr>
          <w:sz w:val="16"/>
          <w:szCs w:val="16"/>
        </w:rPr>
        <w:t xml:space="preserve">cases) </w:t>
      </w:r>
      <w:r w:rsidRPr="00497745">
        <w:rPr>
          <w:b/>
          <w:sz w:val="16"/>
          <w:szCs w:val="16"/>
        </w:rPr>
        <w:t>OR</w:t>
      </w:r>
      <w:r w:rsidRPr="00497745">
        <w:rPr>
          <w:sz w:val="16"/>
          <w:szCs w:val="16"/>
        </w:rPr>
        <w:t>,  is a sexual contact of a confirmed outbreak case</w:t>
      </w:r>
      <w:r w:rsidR="00145B1F" w:rsidRPr="00497745">
        <w:rPr>
          <w:sz w:val="16"/>
          <w:szCs w:val="16"/>
        </w:rPr>
        <w:t xml:space="preserve"> (category 2</w:t>
      </w:r>
      <w:r w:rsidR="000A7306" w:rsidRPr="00497745">
        <w:rPr>
          <w:sz w:val="16"/>
          <w:szCs w:val="16"/>
        </w:rPr>
        <w:t xml:space="preserve"> outbreak </w:t>
      </w:r>
      <w:r w:rsidR="00145B1F" w:rsidRPr="00497745">
        <w:rPr>
          <w:sz w:val="16"/>
          <w:szCs w:val="16"/>
        </w:rPr>
        <w:t>cases)</w:t>
      </w:r>
      <w:r w:rsidRPr="00497745">
        <w:rPr>
          <w:sz w:val="16"/>
          <w:szCs w:val="16"/>
        </w:rPr>
        <w:t xml:space="preserve">. </w:t>
      </w:r>
    </w:p>
    <w:p w14:paraId="57B04880" w14:textId="77777777" w:rsidR="00C321FF" w:rsidRPr="00497745" w:rsidRDefault="00C321FF" w:rsidP="001251E7">
      <w:pPr>
        <w:spacing w:after="0" w:line="240" w:lineRule="auto"/>
        <w:ind w:left="-426" w:right="119" w:hanging="141"/>
        <w:rPr>
          <w:sz w:val="16"/>
          <w:szCs w:val="16"/>
        </w:rPr>
      </w:pPr>
      <w:r w:rsidRPr="00497745">
        <w:rPr>
          <w:b/>
          <w:sz w:val="16"/>
          <w:szCs w:val="16"/>
          <w:vertAlign w:val="superscript"/>
        </w:rPr>
        <w:t>β</w:t>
      </w:r>
      <w:r w:rsidRPr="00497745">
        <w:rPr>
          <w:sz w:val="16"/>
          <w:szCs w:val="16"/>
          <w:vertAlign w:val="superscript"/>
        </w:rPr>
        <w:t xml:space="preserve"> </w:t>
      </w:r>
      <w:r w:rsidRPr="00497745">
        <w:rPr>
          <w:sz w:val="16"/>
          <w:szCs w:val="16"/>
        </w:rPr>
        <w:t>Affected regions include Torres and Cape, Cairns and Hinterland, North West, and Townsville Hospital and Health Services in Queensland; Alice Springs</w:t>
      </w:r>
      <w:r w:rsidR="00F30433" w:rsidRPr="00497745">
        <w:rPr>
          <w:sz w:val="16"/>
          <w:szCs w:val="16"/>
        </w:rPr>
        <w:t xml:space="preserve"> Urban, Alice Springs Rural</w:t>
      </w:r>
      <w:r w:rsidRPr="00497745">
        <w:rPr>
          <w:sz w:val="16"/>
          <w:szCs w:val="16"/>
        </w:rPr>
        <w:t>, Barkly, East Arnhem</w:t>
      </w:r>
      <w:r w:rsidR="008B44D3" w:rsidRPr="00497745">
        <w:rPr>
          <w:sz w:val="16"/>
          <w:szCs w:val="16"/>
        </w:rPr>
        <w:t>,</w:t>
      </w:r>
      <w:r w:rsidRPr="00497745">
        <w:rPr>
          <w:sz w:val="16"/>
          <w:szCs w:val="16"/>
        </w:rPr>
        <w:t xml:space="preserve"> Katherine</w:t>
      </w:r>
      <w:r w:rsidR="008B44D3" w:rsidRPr="00497745">
        <w:rPr>
          <w:sz w:val="16"/>
          <w:szCs w:val="16"/>
        </w:rPr>
        <w:t>, Darwin Urban and Darwin Rural</w:t>
      </w:r>
      <w:r w:rsidRPr="00497745">
        <w:rPr>
          <w:sz w:val="16"/>
          <w:szCs w:val="16"/>
        </w:rPr>
        <w:t xml:space="preserve"> regions in</w:t>
      </w:r>
      <w:r w:rsidR="006829B0" w:rsidRPr="00497745">
        <w:rPr>
          <w:sz w:val="16"/>
          <w:szCs w:val="16"/>
        </w:rPr>
        <w:t xml:space="preserve"> the Northern Territory; </w:t>
      </w:r>
      <w:r w:rsidR="00833E19" w:rsidRPr="00497745">
        <w:rPr>
          <w:sz w:val="16"/>
          <w:szCs w:val="16"/>
        </w:rPr>
        <w:t xml:space="preserve"> </w:t>
      </w:r>
      <w:r w:rsidRPr="00497745">
        <w:rPr>
          <w:sz w:val="16"/>
          <w:szCs w:val="16"/>
        </w:rPr>
        <w:t xml:space="preserve">Kimberley </w:t>
      </w:r>
      <w:r w:rsidR="00AD3617" w:rsidRPr="00497745">
        <w:rPr>
          <w:sz w:val="16"/>
          <w:szCs w:val="16"/>
        </w:rPr>
        <w:t xml:space="preserve">and Pilbara </w:t>
      </w:r>
      <w:r w:rsidR="006829B0" w:rsidRPr="00497745">
        <w:rPr>
          <w:sz w:val="16"/>
          <w:szCs w:val="16"/>
        </w:rPr>
        <w:t>region</w:t>
      </w:r>
      <w:r w:rsidR="00AD3617" w:rsidRPr="00497745">
        <w:rPr>
          <w:sz w:val="16"/>
          <w:szCs w:val="16"/>
        </w:rPr>
        <w:t>s</w:t>
      </w:r>
      <w:r w:rsidR="006829B0" w:rsidRPr="00497745">
        <w:rPr>
          <w:sz w:val="16"/>
          <w:szCs w:val="16"/>
        </w:rPr>
        <w:t xml:space="preserve"> in Western Australia, and; </w:t>
      </w:r>
      <w:r w:rsidR="00707254" w:rsidRPr="00497745">
        <w:rPr>
          <w:sz w:val="16"/>
          <w:szCs w:val="16"/>
        </w:rPr>
        <w:t>Far North</w:t>
      </w:r>
      <w:r w:rsidR="001251E7">
        <w:rPr>
          <w:sz w:val="16"/>
          <w:szCs w:val="16"/>
        </w:rPr>
        <w:t>,</w:t>
      </w:r>
      <w:r w:rsidR="008B44D3" w:rsidRPr="00497745">
        <w:rPr>
          <w:sz w:val="16"/>
          <w:szCs w:val="16"/>
        </w:rPr>
        <w:t xml:space="preserve"> Western and Eyre</w:t>
      </w:r>
      <w:r w:rsidR="005F380C">
        <w:rPr>
          <w:sz w:val="16"/>
          <w:szCs w:val="16"/>
        </w:rPr>
        <w:t xml:space="preserve"> and Adelaide</w:t>
      </w:r>
      <w:r w:rsidR="00427A81" w:rsidRPr="00497745">
        <w:rPr>
          <w:sz w:val="16"/>
          <w:szCs w:val="16"/>
        </w:rPr>
        <w:t xml:space="preserve"> regions in South Australia.</w:t>
      </w:r>
    </w:p>
    <w:p w14:paraId="57B04881" w14:textId="77777777" w:rsidR="009C40E9" w:rsidRPr="00497745" w:rsidRDefault="009C40E9" w:rsidP="001251E7">
      <w:pPr>
        <w:spacing w:after="0" w:line="240" w:lineRule="auto"/>
        <w:ind w:left="-426" w:right="119" w:hanging="141"/>
        <w:rPr>
          <w:sz w:val="16"/>
          <w:szCs w:val="16"/>
        </w:rPr>
      </w:pPr>
      <w:r w:rsidRPr="00497745">
        <w:rPr>
          <w:rFonts w:ascii="Calibri" w:eastAsia="Times New Roman" w:hAnsi="Calibri" w:cs="Arial"/>
          <w:sz w:val="20"/>
          <w:szCs w:val="20"/>
          <w:vertAlign w:val="superscript"/>
          <w:lang w:eastAsia="en-AU"/>
        </w:rPr>
        <w:t>«</w:t>
      </w:r>
      <w:r w:rsidRPr="00497745">
        <w:rPr>
          <w:rFonts w:ascii="Calibri" w:eastAsia="Times New Roman" w:hAnsi="Calibri" w:cs="Arial"/>
          <w:sz w:val="20"/>
          <w:szCs w:val="20"/>
          <w:lang w:eastAsia="en-AU"/>
        </w:rPr>
        <w:t xml:space="preserve"> </w:t>
      </w:r>
      <w:r w:rsidR="007B6CE1" w:rsidRPr="00497745">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882" w14:textId="77777777" w:rsidR="00B91DC5" w:rsidRPr="00497745" w:rsidRDefault="00B91DC5" w:rsidP="001251E7">
      <w:pPr>
        <w:spacing w:after="0" w:line="240" w:lineRule="auto"/>
        <w:ind w:left="-426" w:right="119" w:hanging="141"/>
        <w:rPr>
          <w:sz w:val="16"/>
          <w:szCs w:val="16"/>
        </w:rPr>
      </w:pPr>
      <w:r w:rsidRPr="00497745">
        <w:rPr>
          <w:rFonts w:ascii="Agency FB" w:hAnsi="Agency FB"/>
          <w:sz w:val="20"/>
          <w:szCs w:val="16"/>
          <w:vertAlign w:val="superscript"/>
        </w:rPr>
        <w:t>§</w:t>
      </w:r>
      <w:r w:rsidRPr="00497745">
        <w:rPr>
          <w:rFonts w:ascii="Agency FB" w:hAnsi="Agency FB"/>
          <w:sz w:val="20"/>
          <w:szCs w:val="16"/>
        </w:rPr>
        <w:t xml:space="preserve"> </w:t>
      </w:r>
      <w:r w:rsidRPr="00497745">
        <w:rPr>
          <w:sz w:val="16"/>
          <w:szCs w:val="16"/>
        </w:rPr>
        <w:t xml:space="preserve">Aboriginal and Torres Strait Islander people </w:t>
      </w:r>
      <w:r w:rsidR="002C510D" w:rsidRPr="00497745">
        <w:rPr>
          <w:sz w:val="16"/>
          <w:szCs w:val="16"/>
        </w:rPr>
        <w:t xml:space="preserve">who </w:t>
      </w:r>
      <w:r w:rsidRPr="00497745">
        <w:rPr>
          <w:sz w:val="16"/>
          <w:szCs w:val="16"/>
        </w:rPr>
        <w:t>are sexual contact</w:t>
      </w:r>
      <w:r w:rsidR="002C510D" w:rsidRPr="00497745">
        <w:rPr>
          <w:sz w:val="16"/>
          <w:szCs w:val="16"/>
        </w:rPr>
        <w:t>s</w:t>
      </w:r>
      <w:r w:rsidRPr="00497745">
        <w:rPr>
          <w:sz w:val="16"/>
          <w:szCs w:val="16"/>
        </w:rPr>
        <w:t xml:space="preserve"> of a confirmed outbreak case</w:t>
      </w:r>
      <w:r w:rsidR="000A7306" w:rsidRPr="00497745">
        <w:rPr>
          <w:sz w:val="16"/>
          <w:szCs w:val="16"/>
        </w:rPr>
        <w:t xml:space="preserve"> and reside outside an outbreak declared region at the time of diagnosis</w:t>
      </w:r>
      <w:r w:rsidRPr="00497745">
        <w:rPr>
          <w:sz w:val="16"/>
          <w:szCs w:val="16"/>
        </w:rPr>
        <w:t>.</w:t>
      </w:r>
    </w:p>
    <w:p w14:paraId="57B04883" w14:textId="77777777" w:rsidR="00B91DC5" w:rsidRPr="00497745" w:rsidRDefault="00B91DC5" w:rsidP="001251E7">
      <w:pPr>
        <w:spacing w:after="0" w:line="240" w:lineRule="auto"/>
        <w:ind w:left="-426" w:right="119" w:hanging="141"/>
        <w:rPr>
          <w:sz w:val="16"/>
          <w:szCs w:val="16"/>
        </w:rPr>
      </w:pPr>
      <w:r w:rsidRPr="00497745">
        <w:rPr>
          <w:sz w:val="20"/>
          <w:szCs w:val="16"/>
          <w:vertAlign w:val="superscript"/>
        </w:rPr>
        <w:t>µ</w:t>
      </w:r>
      <w:r w:rsidRPr="00497745">
        <w:rPr>
          <w:sz w:val="20"/>
          <w:szCs w:val="16"/>
        </w:rPr>
        <w:t xml:space="preserve"> </w:t>
      </w:r>
      <w:r w:rsidRPr="00497745">
        <w:rPr>
          <w:sz w:val="16"/>
          <w:szCs w:val="16"/>
        </w:rPr>
        <w:t xml:space="preserve">Non-Indigenous people </w:t>
      </w:r>
      <w:r w:rsidR="002C510D" w:rsidRPr="00497745">
        <w:rPr>
          <w:sz w:val="16"/>
          <w:szCs w:val="16"/>
        </w:rPr>
        <w:t>who</w:t>
      </w:r>
      <w:r w:rsidR="000A7306" w:rsidRPr="00497745">
        <w:rPr>
          <w:sz w:val="16"/>
          <w:szCs w:val="16"/>
        </w:rPr>
        <w:t xml:space="preserve"> are sexual contact</w:t>
      </w:r>
      <w:r w:rsidR="002C510D" w:rsidRPr="00497745">
        <w:rPr>
          <w:sz w:val="16"/>
          <w:szCs w:val="16"/>
        </w:rPr>
        <w:t>s</w:t>
      </w:r>
      <w:r w:rsidR="000A7306" w:rsidRPr="00497745">
        <w:rPr>
          <w:sz w:val="16"/>
          <w:szCs w:val="16"/>
        </w:rPr>
        <w:t xml:space="preserve"> of a confirmed outbreak case and </w:t>
      </w:r>
      <w:r w:rsidRPr="00497745">
        <w:rPr>
          <w:sz w:val="16"/>
          <w:szCs w:val="16"/>
        </w:rPr>
        <w:t>resid</w:t>
      </w:r>
      <w:r w:rsidR="000A7306" w:rsidRPr="00497745">
        <w:rPr>
          <w:sz w:val="16"/>
          <w:szCs w:val="16"/>
        </w:rPr>
        <w:t>e</w:t>
      </w:r>
      <w:r w:rsidRPr="00497745">
        <w:rPr>
          <w:sz w:val="16"/>
          <w:szCs w:val="16"/>
        </w:rPr>
        <w:t xml:space="preserve"> in or </w:t>
      </w:r>
      <w:r w:rsidR="007B6CE1" w:rsidRPr="00497745">
        <w:rPr>
          <w:sz w:val="16"/>
          <w:szCs w:val="16"/>
        </w:rPr>
        <w:t>out of an outbreak declared region</w:t>
      </w:r>
      <w:r w:rsidRPr="00497745">
        <w:rPr>
          <w:sz w:val="16"/>
          <w:szCs w:val="16"/>
        </w:rPr>
        <w:t xml:space="preserve"> at the time of diagnosis</w:t>
      </w:r>
      <w:r w:rsidR="00772420" w:rsidRPr="00497745">
        <w:rPr>
          <w:sz w:val="16"/>
          <w:szCs w:val="16"/>
        </w:rPr>
        <w:t>.</w:t>
      </w:r>
    </w:p>
    <w:p w14:paraId="57B04884" w14:textId="77777777" w:rsidR="008B7A61" w:rsidRDefault="00C321FF" w:rsidP="001251E7">
      <w:pPr>
        <w:pStyle w:val="ListParagraph"/>
        <w:spacing w:after="0" w:line="240" w:lineRule="auto"/>
        <w:ind w:left="-567" w:right="119"/>
        <w:contextualSpacing w:val="0"/>
        <w:rPr>
          <w:sz w:val="16"/>
          <w:szCs w:val="16"/>
        </w:rPr>
      </w:pPr>
      <w:r w:rsidRPr="00497745">
        <w:rPr>
          <w:b/>
          <w:sz w:val="16"/>
          <w:szCs w:val="16"/>
        </w:rPr>
        <w:t>ᵞ</w:t>
      </w:r>
      <w:r w:rsidRPr="00497745">
        <w:rPr>
          <w:sz w:val="16"/>
          <w:szCs w:val="16"/>
        </w:rPr>
        <w:t xml:space="preserve"> </w:t>
      </w:r>
      <w:proofErr w:type="gramStart"/>
      <w:r w:rsidRPr="00497745">
        <w:rPr>
          <w:sz w:val="16"/>
          <w:szCs w:val="16"/>
          <w:u w:val="single"/>
        </w:rPr>
        <w:t>Please</w:t>
      </w:r>
      <w:proofErr w:type="gramEnd"/>
      <w:r w:rsidRPr="00497745">
        <w:rPr>
          <w:sz w:val="16"/>
          <w:szCs w:val="16"/>
          <w:u w:val="single"/>
        </w:rPr>
        <w:t xml:space="preserve"> note that </w:t>
      </w:r>
      <w:r w:rsidRPr="00497745">
        <w:rPr>
          <w:b/>
          <w:sz w:val="16"/>
          <w:szCs w:val="16"/>
          <w:u w:val="single"/>
        </w:rPr>
        <w:t>all data are provisional</w:t>
      </w:r>
      <w:r w:rsidRPr="00497745">
        <w:rPr>
          <w:sz w:val="16"/>
          <w:szCs w:val="16"/>
          <w:u w:val="single"/>
        </w:rPr>
        <w:t xml:space="preserve"> and subject to change due to ongoing case investigation</w:t>
      </w:r>
      <w:r w:rsidRPr="00497745">
        <w:rPr>
          <w:sz w:val="16"/>
          <w:szCs w:val="16"/>
        </w:rPr>
        <w:t>.</w:t>
      </w:r>
    </w:p>
    <w:p w14:paraId="57B04885" w14:textId="77777777" w:rsidR="00580C89" w:rsidRDefault="00580C89">
      <w:pPr>
        <w:rPr>
          <w:rFonts w:ascii="Arial" w:hAnsi="Arial" w:cs="Arial"/>
        </w:rPr>
      </w:pPr>
      <w:r>
        <w:rPr>
          <w:rFonts w:ascii="Arial" w:hAnsi="Arial" w:cs="Arial"/>
        </w:rPr>
        <w:br w:type="page"/>
      </w:r>
    </w:p>
    <w:p w14:paraId="57B04886" w14:textId="77777777" w:rsidR="00AC0A8B" w:rsidRDefault="00AC0A8B" w:rsidP="001251E7">
      <w:pPr>
        <w:pStyle w:val="ListParagraph"/>
        <w:spacing w:after="0" w:line="240" w:lineRule="auto"/>
        <w:ind w:left="-567" w:right="119"/>
        <w:contextualSpacing w:val="0"/>
        <w:rPr>
          <w:rFonts w:ascii="Arial" w:hAnsi="Arial" w:cs="Arial"/>
        </w:rPr>
      </w:pPr>
    </w:p>
    <w:p w14:paraId="57B04887" w14:textId="77777777" w:rsidR="00AC0A8B" w:rsidRPr="001D3B21" w:rsidRDefault="00AC0A8B" w:rsidP="00AC0A8B">
      <w:pPr>
        <w:spacing w:after="0" w:line="240" w:lineRule="auto"/>
        <w:ind w:left="-567" w:right="261"/>
        <w:jc w:val="center"/>
        <w:rPr>
          <w:rFonts w:ascii="Arial" w:hAnsi="Arial" w:cs="Arial"/>
          <w:b/>
          <w:sz w:val="28"/>
          <w:szCs w:val="24"/>
        </w:rPr>
      </w:pPr>
      <w:r w:rsidRPr="001D3B21">
        <w:rPr>
          <w:rFonts w:ascii="Arial" w:hAnsi="Arial" w:cs="Arial"/>
          <w:b/>
          <w:sz w:val="28"/>
          <w:szCs w:val="24"/>
        </w:rPr>
        <w:t xml:space="preserve">MULTIJURISDICTIONAL SYPHILIS OUTBREAK </w:t>
      </w:r>
      <w:r w:rsidRPr="001D3B21">
        <w:rPr>
          <w:rFonts w:ascii="Arial" w:hAnsi="Arial" w:cs="Arial"/>
          <w:b/>
          <w:sz w:val="28"/>
          <w:szCs w:val="24"/>
        </w:rPr>
        <w:br/>
        <w:t xml:space="preserve">SURVEILLANCE REPORT: </w:t>
      </w:r>
      <w:r>
        <w:rPr>
          <w:rFonts w:ascii="Arial" w:hAnsi="Arial" w:cs="Arial"/>
          <w:b/>
          <w:sz w:val="28"/>
          <w:szCs w:val="24"/>
        </w:rPr>
        <w:t>MARCH</w:t>
      </w:r>
      <w:r w:rsidRPr="001D3B21">
        <w:rPr>
          <w:rFonts w:ascii="Arial" w:hAnsi="Arial" w:cs="Arial"/>
          <w:b/>
          <w:sz w:val="28"/>
          <w:szCs w:val="24"/>
        </w:rPr>
        <w:t xml:space="preserve"> 201</w:t>
      </w:r>
      <w:r>
        <w:rPr>
          <w:rFonts w:ascii="Arial" w:hAnsi="Arial" w:cs="Arial"/>
          <w:b/>
          <w:sz w:val="28"/>
          <w:szCs w:val="24"/>
        </w:rPr>
        <w:t>9</w:t>
      </w:r>
    </w:p>
    <w:p w14:paraId="57B04888" w14:textId="77777777" w:rsidR="00AC0A8B" w:rsidRPr="001D3B21" w:rsidRDefault="00AC0A8B" w:rsidP="00AC0A8B">
      <w:pPr>
        <w:spacing w:after="0" w:line="120" w:lineRule="auto"/>
        <w:ind w:left="-567" w:right="-612"/>
        <w:jc w:val="center"/>
        <w:rPr>
          <w:rFonts w:ascii="Arial" w:hAnsi="Arial" w:cs="Arial"/>
          <w:b/>
          <w:sz w:val="24"/>
          <w:szCs w:val="24"/>
        </w:rPr>
      </w:pPr>
    </w:p>
    <w:p w14:paraId="57B04889" w14:textId="77777777" w:rsidR="00AC0A8B" w:rsidRPr="001D3B21" w:rsidRDefault="00AC0A8B" w:rsidP="00AC0A8B">
      <w:pPr>
        <w:spacing w:after="0" w:line="240" w:lineRule="auto"/>
        <w:ind w:left="-567" w:right="119"/>
        <w:jc w:val="center"/>
        <w:rPr>
          <w:rFonts w:ascii="Arial" w:hAnsi="Arial" w:cs="Arial"/>
          <w:b/>
          <w:sz w:val="24"/>
          <w:szCs w:val="24"/>
        </w:rPr>
      </w:pPr>
      <w:r w:rsidRPr="001D3B21">
        <w:rPr>
          <w:rFonts w:ascii="Arial" w:hAnsi="Arial" w:cs="Arial"/>
          <w:b/>
          <w:sz w:val="24"/>
          <w:szCs w:val="24"/>
        </w:rPr>
        <w:t>This surveillance report has been authorised by Health Departments in outbreak affected jurisdictions and the Office of Health Protection.</w:t>
      </w:r>
    </w:p>
    <w:p w14:paraId="57B0488A" w14:textId="77777777" w:rsidR="00AC0A8B" w:rsidRPr="001D3B21" w:rsidRDefault="00AC0A8B" w:rsidP="00AC0A8B">
      <w:pPr>
        <w:spacing w:after="0" w:line="240" w:lineRule="auto"/>
        <w:ind w:right="-613"/>
        <w:rPr>
          <w:rFonts w:ascii="Arial" w:hAnsi="Arial" w:cs="Arial"/>
          <w:sz w:val="20"/>
          <w:szCs w:val="20"/>
        </w:rPr>
      </w:pPr>
    </w:p>
    <w:p w14:paraId="57B0488B" w14:textId="77777777" w:rsidR="00AC0A8B" w:rsidRPr="001D3B21" w:rsidRDefault="00AC0A8B" w:rsidP="00AC0A8B">
      <w:pPr>
        <w:pStyle w:val="PlainText"/>
        <w:ind w:left="-709" w:right="-23"/>
        <w:jc w:val="both"/>
        <w:rPr>
          <w:color w:val="000000" w:themeColor="text1"/>
        </w:rPr>
      </w:pPr>
      <w:r w:rsidRPr="001D3B21">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1D3B21">
        <w:rPr>
          <w:rFonts w:cs="Arial"/>
          <w:color w:val="000000" w:themeColor="text1"/>
          <w:szCs w:val="20"/>
        </w:rPr>
        <w:t xml:space="preserve">rural areas of northern Australia. </w:t>
      </w:r>
      <w:r w:rsidRPr="001D3B21">
        <w:rPr>
          <w:color w:val="000000" w:themeColor="text1"/>
        </w:rPr>
        <w:t xml:space="preserve">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w:t>
      </w:r>
      <w:r w:rsidRPr="0066612D">
        <w:rPr>
          <w:color w:val="000000" w:themeColor="text1"/>
        </w:rPr>
        <w:t>In August 2018, WA declared that the outbreak had spread to the Pilbara region with the first syphilis notification in this region in February 2018</w:t>
      </w:r>
      <w:r w:rsidRPr="001D3B21">
        <w:rPr>
          <w:color w:val="000000" w:themeColor="text1"/>
        </w:rPr>
        <w:t>.</w:t>
      </w:r>
      <w:r>
        <w:rPr>
          <w:color w:val="000000" w:themeColor="text1"/>
        </w:rPr>
        <w:t xml:space="preserve"> In January</w:t>
      </w:r>
      <w:r w:rsidRPr="00846705">
        <w:rPr>
          <w:color w:val="000000" w:themeColor="text1"/>
        </w:rPr>
        <w:t xml:space="preserve"> 2019</w:t>
      </w:r>
      <w:r>
        <w:rPr>
          <w:color w:val="000000" w:themeColor="text1"/>
        </w:rPr>
        <w:t xml:space="preserve">, SA declared the outbreak had spread to Adelaide with the first notification in this region reported in February 2018. </w:t>
      </w:r>
    </w:p>
    <w:p w14:paraId="57B0488C" w14:textId="77777777" w:rsidR="00AC0A8B" w:rsidRPr="001D3B21" w:rsidRDefault="00AC0A8B" w:rsidP="00AC0A8B">
      <w:pPr>
        <w:pStyle w:val="PlainText"/>
        <w:ind w:left="-709" w:right="-23"/>
        <w:rPr>
          <w:color w:val="000000" w:themeColor="text1"/>
        </w:rPr>
      </w:pPr>
    </w:p>
    <w:p w14:paraId="57B0488D" w14:textId="77777777" w:rsidR="00AC0A8B" w:rsidRPr="001D3B21" w:rsidRDefault="00AC0A8B" w:rsidP="00AC0A8B">
      <w:pPr>
        <w:pStyle w:val="PlainText"/>
        <w:ind w:left="-709" w:right="-23"/>
        <w:rPr>
          <w:color w:val="000000" w:themeColor="text1"/>
        </w:rPr>
      </w:pPr>
      <w:r w:rsidRPr="001D3B21">
        <w:rPr>
          <w:color w:val="000000" w:themeColor="text1"/>
        </w:rPr>
        <w:t xml:space="preserve">This surveillance report summarises the outbreak epidemiological data as of </w:t>
      </w:r>
      <w:r>
        <w:rPr>
          <w:color w:val="000000" w:themeColor="text1"/>
        </w:rPr>
        <w:t xml:space="preserve">28 February </w:t>
      </w:r>
      <w:r w:rsidRPr="001D3B21">
        <w:rPr>
          <w:color w:val="000000" w:themeColor="text1"/>
        </w:rPr>
        <w:t>201</w:t>
      </w:r>
      <w:r>
        <w:rPr>
          <w:color w:val="000000" w:themeColor="text1"/>
        </w:rPr>
        <w:t>9</w:t>
      </w:r>
      <w:r w:rsidRPr="001D3B21">
        <w:rPr>
          <w:color w:val="000000" w:themeColor="text1"/>
        </w:rPr>
        <w:t xml:space="preserve"> (current status).</w:t>
      </w:r>
    </w:p>
    <w:p w14:paraId="57B0488E" w14:textId="77777777" w:rsidR="00AC0A8B" w:rsidRPr="001D3B21" w:rsidRDefault="00AC0A8B" w:rsidP="00AC0A8B">
      <w:pPr>
        <w:pStyle w:val="PlainText"/>
        <w:ind w:left="-709" w:right="-23"/>
        <w:rPr>
          <w:color w:val="000000" w:themeColor="text1"/>
        </w:rPr>
      </w:pPr>
    </w:p>
    <w:p w14:paraId="57B0488F" w14:textId="77777777" w:rsidR="00AC0A8B" w:rsidRPr="001D3B21" w:rsidRDefault="00AC0A8B" w:rsidP="00AC0A8B">
      <w:pPr>
        <w:pStyle w:val="PlainText"/>
        <w:ind w:left="-709" w:right="-23"/>
        <w:rPr>
          <w:color w:val="000000" w:themeColor="text1"/>
        </w:rPr>
      </w:pPr>
      <w:r w:rsidRPr="001D3B21">
        <w:rPr>
          <w:b/>
          <w:color w:val="000000" w:themeColor="text1"/>
        </w:rPr>
        <w:t>Please note:</w:t>
      </w:r>
      <w:r w:rsidRPr="001D3B21">
        <w:rPr>
          <w:color w:val="000000" w:themeColor="text1"/>
        </w:rPr>
        <w:t xml:space="preserve"> the MJSO Surveillance Report was formerly known as the MJSO Communique. Historical epidemiological data and MJSO activities are published in earlier MJSO Communiques available at </w:t>
      </w:r>
      <w:r w:rsidRPr="00A41936">
        <w:rPr>
          <w:i/>
          <w:szCs w:val="20"/>
        </w:rPr>
        <w:t>http://www.health.gov.au/internet/main/publishing.nsf/Content/ohp-infectious-syphilis-outbreak.htm</w:t>
      </w:r>
      <w:r>
        <w:rPr>
          <w:i/>
          <w:szCs w:val="20"/>
        </w:rPr>
        <w:t xml:space="preserve"> </w:t>
      </w:r>
    </w:p>
    <w:p w14:paraId="57B04890" w14:textId="77777777" w:rsidR="00AC0A8B" w:rsidRPr="001D3B21" w:rsidRDefault="00AC0A8B" w:rsidP="00AC0A8B">
      <w:pPr>
        <w:pStyle w:val="PlainText"/>
        <w:ind w:left="-709" w:right="-23"/>
      </w:pPr>
    </w:p>
    <w:p w14:paraId="57B04891" w14:textId="77777777" w:rsidR="00AC0A8B" w:rsidRPr="001D3B21" w:rsidRDefault="00AC0A8B" w:rsidP="00AC0A8B">
      <w:pPr>
        <w:spacing w:after="0" w:line="240" w:lineRule="auto"/>
        <w:ind w:left="-709" w:right="-23"/>
        <w:jc w:val="both"/>
        <w:rPr>
          <w:rFonts w:ascii="Arial" w:hAnsi="Arial" w:cs="Arial"/>
          <w:b/>
        </w:rPr>
      </w:pPr>
      <w:r w:rsidRPr="001D3B21">
        <w:rPr>
          <w:rFonts w:ascii="Arial" w:hAnsi="Arial" w:cs="Arial"/>
          <w:b/>
        </w:rPr>
        <w:t>Current status</w:t>
      </w:r>
    </w:p>
    <w:p w14:paraId="57B04892" w14:textId="77777777" w:rsidR="00AC0A8B" w:rsidRPr="001D3B21" w:rsidRDefault="00AC0A8B" w:rsidP="00AC0A8B">
      <w:pPr>
        <w:spacing w:after="0" w:line="240" w:lineRule="auto"/>
        <w:ind w:left="-709" w:right="-23"/>
        <w:jc w:val="both"/>
        <w:rPr>
          <w:rFonts w:ascii="Arial" w:hAnsi="Arial" w:cs="Arial"/>
          <w:sz w:val="20"/>
          <w:szCs w:val="20"/>
        </w:rPr>
      </w:pPr>
      <w:r w:rsidRPr="001D3B21">
        <w:rPr>
          <w:rFonts w:ascii="Arial" w:hAnsi="Arial" w:cs="Arial"/>
          <w:sz w:val="20"/>
          <w:szCs w:val="20"/>
        </w:rPr>
        <w:t xml:space="preserve">Outbreak data to </w:t>
      </w:r>
      <w:r>
        <w:rPr>
          <w:color w:val="000000" w:themeColor="text1"/>
        </w:rPr>
        <w:t xml:space="preserve">28 February </w:t>
      </w:r>
      <w:r w:rsidRPr="001D3B21">
        <w:rPr>
          <w:color w:val="000000" w:themeColor="text1"/>
        </w:rPr>
        <w:t>201</w:t>
      </w:r>
      <w:r>
        <w:rPr>
          <w:color w:val="000000" w:themeColor="text1"/>
        </w:rPr>
        <w:t>9</w:t>
      </w:r>
      <w:r w:rsidRPr="001D3B21">
        <w:rPr>
          <w:rFonts w:ascii="Arial" w:hAnsi="Arial" w:cs="Arial"/>
          <w:sz w:val="20"/>
          <w:szCs w:val="20"/>
          <w:vertAlign w:val="superscript"/>
        </w:rPr>
        <w:t>ȶ</w:t>
      </w:r>
      <w:r w:rsidRPr="001D3B21">
        <w:rPr>
          <w:rFonts w:ascii="Arial" w:hAnsi="Arial" w:cs="Arial"/>
          <w:sz w:val="20"/>
          <w:szCs w:val="20"/>
        </w:rPr>
        <w:t xml:space="preserve"> are summarised in Figure 1, Table 1 and Table 2 below.</w:t>
      </w:r>
    </w:p>
    <w:p w14:paraId="57B04893" w14:textId="77777777" w:rsidR="00AC0A8B" w:rsidRPr="001D3B21" w:rsidRDefault="00AC0A8B" w:rsidP="00AC0A8B">
      <w:pPr>
        <w:spacing w:after="0" w:line="240" w:lineRule="auto"/>
        <w:ind w:left="-709" w:right="-23"/>
        <w:jc w:val="both"/>
        <w:rPr>
          <w:rFonts w:ascii="Arial" w:hAnsi="Arial" w:cs="Arial"/>
          <w:sz w:val="20"/>
          <w:szCs w:val="20"/>
        </w:rPr>
      </w:pPr>
    </w:p>
    <w:p w14:paraId="57B04894" w14:textId="77777777" w:rsidR="00AC0A8B" w:rsidRPr="001D3B21" w:rsidRDefault="00AC0A8B" w:rsidP="00AC0A8B">
      <w:pPr>
        <w:spacing w:after="0" w:line="240" w:lineRule="auto"/>
        <w:ind w:left="-709" w:right="-23"/>
        <w:jc w:val="both"/>
        <w:rPr>
          <w:rFonts w:ascii="Arial" w:hAnsi="Arial" w:cs="Arial"/>
          <w:sz w:val="20"/>
          <w:szCs w:val="20"/>
        </w:rPr>
      </w:pPr>
      <w:r w:rsidRPr="001D3B21">
        <w:rPr>
          <w:rFonts w:ascii="Arial" w:hAnsi="Arial" w:cs="Arial"/>
          <w:sz w:val="20"/>
          <w:szCs w:val="20"/>
        </w:rPr>
        <w:t>Outbreak cases are reported as either category 1 or category 2: category 1 cases include Aboriginal and Torres Strait Islander people residing in an outbreak declared region</w:t>
      </w:r>
      <w:r w:rsidRPr="001D3B21">
        <w:rPr>
          <w:rFonts w:ascii="Arial" w:hAnsi="Arial" w:cs="Arial"/>
          <w:sz w:val="20"/>
          <w:szCs w:val="20"/>
          <w:vertAlign w:val="superscript"/>
        </w:rPr>
        <w:t>β</w:t>
      </w:r>
      <w:r w:rsidRPr="001D3B21">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57B04895" w14:textId="77777777" w:rsidR="00AC0A8B" w:rsidRPr="002C52B9" w:rsidRDefault="00AC0A8B" w:rsidP="00AC0A8B">
      <w:pPr>
        <w:spacing w:after="0" w:line="240" w:lineRule="auto"/>
        <w:ind w:left="-709" w:right="-23"/>
        <w:jc w:val="both"/>
        <w:rPr>
          <w:rFonts w:ascii="Arial" w:hAnsi="Arial" w:cs="Arial"/>
          <w:sz w:val="20"/>
          <w:szCs w:val="20"/>
        </w:rPr>
      </w:pPr>
    </w:p>
    <w:p w14:paraId="57B04896" w14:textId="77777777" w:rsidR="00AC0A8B" w:rsidRPr="005C34A8" w:rsidRDefault="00AC0A8B" w:rsidP="00AC0A8B">
      <w:pPr>
        <w:spacing w:after="0" w:line="240" w:lineRule="auto"/>
        <w:ind w:left="-709" w:right="-23"/>
        <w:jc w:val="both"/>
        <w:rPr>
          <w:rFonts w:ascii="Arial" w:hAnsi="Arial" w:cs="Arial"/>
          <w:sz w:val="20"/>
          <w:szCs w:val="20"/>
          <w:highlight w:val="yellow"/>
        </w:rPr>
      </w:pPr>
      <w:r w:rsidRPr="00FE78C1">
        <w:rPr>
          <w:rFonts w:ascii="Arial" w:hAnsi="Arial" w:cs="Arial"/>
          <w:sz w:val="20"/>
          <w:szCs w:val="20"/>
        </w:rPr>
        <w:t xml:space="preserve">Between 1 – </w:t>
      </w:r>
      <w:r w:rsidRPr="00FE78C1">
        <w:rPr>
          <w:color w:val="000000" w:themeColor="text1"/>
        </w:rPr>
        <w:t>28 February 2019</w:t>
      </w:r>
      <w:r w:rsidRPr="00FE78C1">
        <w:rPr>
          <w:rFonts w:ascii="Arial" w:hAnsi="Arial" w:cs="Arial"/>
          <w:sz w:val="20"/>
          <w:szCs w:val="20"/>
          <w:vertAlign w:val="superscript"/>
        </w:rPr>
        <w:t>ȶ</w:t>
      </w:r>
      <w:r w:rsidRPr="00FE78C1">
        <w:rPr>
          <w:rFonts w:ascii="Arial" w:hAnsi="Arial" w:cs="Arial"/>
          <w:sz w:val="20"/>
          <w:szCs w:val="20"/>
        </w:rPr>
        <w:t xml:space="preserve">, there were 47 outbreak cases (category 1 and 2 cases) reported from the four outbreak affected jurisdictions: 18 in Queensland; 20 in the Northern Territory; 9 in Western Australia and; </w:t>
      </w:r>
      <w:proofErr w:type="gramStart"/>
      <w:r w:rsidRPr="00FE78C1">
        <w:rPr>
          <w:rFonts w:ascii="Arial" w:hAnsi="Arial" w:cs="Arial"/>
          <w:sz w:val="20"/>
          <w:szCs w:val="20"/>
        </w:rPr>
        <w:t>0</w:t>
      </w:r>
      <w:proofErr w:type="gramEnd"/>
      <w:r w:rsidRPr="00FE78C1">
        <w:rPr>
          <w:rFonts w:ascii="Arial" w:hAnsi="Arial" w:cs="Arial"/>
          <w:sz w:val="20"/>
          <w:szCs w:val="20"/>
        </w:rPr>
        <w:t xml:space="preserve"> in South Australia (Figure 1, Table 1 and Table 2).  From the commencement of the outbreak to </w:t>
      </w:r>
      <w:r>
        <w:rPr>
          <w:rFonts w:ascii="Arial" w:hAnsi="Arial" w:cs="Arial"/>
          <w:sz w:val="20"/>
          <w:szCs w:val="20"/>
        </w:rPr>
        <w:t>28 February</w:t>
      </w:r>
      <w:r w:rsidRPr="00FE78C1">
        <w:rPr>
          <w:rFonts w:ascii="Arial" w:hAnsi="Arial" w:cs="Arial"/>
          <w:sz w:val="20"/>
          <w:szCs w:val="20"/>
        </w:rPr>
        <w:t xml:space="preserve"> 2019</w:t>
      </w:r>
      <w:r w:rsidRPr="00FE78C1">
        <w:rPr>
          <w:rFonts w:ascii="Arial" w:hAnsi="Arial" w:cs="Arial"/>
          <w:sz w:val="20"/>
          <w:szCs w:val="20"/>
          <w:vertAlign w:val="superscript"/>
        </w:rPr>
        <w:t xml:space="preserve"> ȶ</w:t>
      </w:r>
      <w:r w:rsidRPr="00FE78C1">
        <w:rPr>
          <w:rFonts w:ascii="Arial" w:hAnsi="Arial" w:cs="Arial"/>
          <w:sz w:val="20"/>
          <w:szCs w:val="20"/>
        </w:rPr>
        <w:t xml:space="preserve">, there were a total of </w:t>
      </w:r>
      <w:r>
        <w:rPr>
          <w:rFonts w:ascii="Arial" w:hAnsi="Arial" w:cs="Arial"/>
          <w:sz w:val="20"/>
          <w:szCs w:val="20"/>
        </w:rPr>
        <w:t>2603</w:t>
      </w:r>
      <w:r w:rsidRPr="00FE78C1">
        <w:rPr>
          <w:rFonts w:ascii="Arial" w:hAnsi="Arial" w:cs="Arial"/>
          <w:sz w:val="20"/>
          <w:szCs w:val="20"/>
        </w:rPr>
        <w:t xml:space="preserve"> outbreak cases (category 1 and 2 cases) reported across the four outbreak affected jurisdictions: 1289 in Queensland (from January 2011); </w:t>
      </w:r>
      <w:r>
        <w:rPr>
          <w:rFonts w:ascii="Arial" w:hAnsi="Arial" w:cs="Arial"/>
          <w:sz w:val="20"/>
          <w:szCs w:val="20"/>
        </w:rPr>
        <w:t>990</w:t>
      </w:r>
      <w:r w:rsidRPr="00FE78C1">
        <w:rPr>
          <w:rFonts w:ascii="Arial" w:hAnsi="Arial" w:cs="Arial"/>
          <w:sz w:val="20"/>
          <w:szCs w:val="20"/>
        </w:rPr>
        <w:t xml:space="preserve"> in the Northern Territory (from July 2013); 257 in Western Australia (from June 2014), and; 67 in South Australia (from November 2016) (Table 1 and 2).</w:t>
      </w:r>
    </w:p>
    <w:p w14:paraId="57B04897" w14:textId="77777777" w:rsidR="00AC0A8B" w:rsidRPr="005C34A8" w:rsidRDefault="00AC0A8B" w:rsidP="00AC0A8B">
      <w:pPr>
        <w:spacing w:after="0" w:line="240" w:lineRule="auto"/>
        <w:ind w:left="-709" w:right="-23"/>
        <w:jc w:val="both"/>
        <w:rPr>
          <w:rFonts w:ascii="Arial" w:hAnsi="Arial" w:cs="Arial"/>
          <w:sz w:val="20"/>
          <w:szCs w:val="20"/>
          <w:highlight w:val="yellow"/>
        </w:rPr>
      </w:pPr>
    </w:p>
    <w:p w14:paraId="57B04898" w14:textId="77777777" w:rsidR="00AC0A8B" w:rsidRPr="001D3B21" w:rsidRDefault="00AC0A8B" w:rsidP="00AC0A8B">
      <w:pPr>
        <w:spacing w:after="0" w:line="240" w:lineRule="auto"/>
        <w:ind w:left="-709" w:right="-23"/>
        <w:jc w:val="both"/>
        <w:rPr>
          <w:rFonts w:ascii="Arial" w:hAnsi="Arial" w:cs="Arial"/>
          <w:sz w:val="20"/>
          <w:szCs w:val="20"/>
          <w:vertAlign w:val="superscript"/>
        </w:rPr>
      </w:pPr>
      <w:r w:rsidRPr="001D3B21">
        <w:rPr>
          <w:rFonts w:ascii="Arial" w:hAnsi="Arial" w:cs="Arial"/>
          <w:b/>
          <w:sz w:val="20"/>
          <w:szCs w:val="20"/>
        </w:rPr>
        <w:t>Figure 1</w:t>
      </w:r>
      <w:r w:rsidRPr="001D3B21">
        <w:rPr>
          <w:rFonts w:ascii="Arial" w:hAnsi="Arial" w:cs="Arial"/>
          <w:sz w:val="20"/>
          <w:szCs w:val="20"/>
        </w:rPr>
        <w:t>. Epidemic curve showing category 1 infectious syphilis</w:t>
      </w:r>
      <w:r w:rsidRPr="001D3B21">
        <w:rPr>
          <w:rFonts w:ascii="Arial" w:hAnsi="Arial" w:cs="Arial"/>
          <w:sz w:val="20"/>
          <w:szCs w:val="20"/>
          <w:vertAlign w:val="superscript"/>
        </w:rPr>
        <w:t xml:space="preserve"> 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from commencement of the outbreak in each jurisdiction to </w:t>
      </w:r>
      <w:r>
        <w:rPr>
          <w:color w:val="000000" w:themeColor="text1"/>
        </w:rPr>
        <w:t xml:space="preserve">28 February </w:t>
      </w:r>
      <w:r w:rsidRPr="001D3B21">
        <w:rPr>
          <w:color w:val="000000" w:themeColor="text1"/>
        </w:rPr>
        <w:t>201</w:t>
      </w:r>
      <w:r>
        <w:rPr>
          <w:color w:val="000000" w:themeColor="text1"/>
        </w:rPr>
        <w:t>9</w:t>
      </w:r>
      <w:r w:rsidRPr="001D3B21">
        <w:rPr>
          <w:rFonts w:ascii="Arial" w:hAnsi="Arial" w:cs="Arial"/>
          <w:sz w:val="20"/>
          <w:szCs w:val="20"/>
          <w:vertAlign w:val="superscript"/>
        </w:rPr>
        <w:t xml:space="preserve">ȶ ᵞ </w:t>
      </w:r>
    </w:p>
    <w:p w14:paraId="57B04899" w14:textId="77777777" w:rsidR="00AC0A8B" w:rsidRPr="00196E76" w:rsidRDefault="00AC0A8B" w:rsidP="00AC0A8B">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lang w:eastAsia="en-AU"/>
        </w:rPr>
        <w:drawing>
          <wp:inline distT="0" distB="0" distL="0" distR="0" wp14:anchorId="57B04EC4" wp14:editId="57B04EC5">
            <wp:extent cx="6733309" cy="3740728"/>
            <wp:effectExtent l="0" t="0" r="0" b="0"/>
            <wp:docPr id="3" name="Picture 3"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28 February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9650" cy="3744251"/>
                    </a:xfrm>
                    <a:prstGeom prst="rect">
                      <a:avLst/>
                    </a:prstGeom>
                    <a:noFill/>
                  </pic:spPr>
                </pic:pic>
              </a:graphicData>
            </a:graphic>
          </wp:inline>
        </w:drawing>
      </w:r>
      <w:r w:rsidRPr="00196E76">
        <w:rPr>
          <w:rFonts w:ascii="Arial" w:hAnsi="Arial" w:cs="Arial"/>
          <w:b/>
          <w:sz w:val="20"/>
          <w:szCs w:val="20"/>
          <w:highlight w:val="yellow"/>
        </w:rPr>
        <w:br w:type="page"/>
      </w:r>
    </w:p>
    <w:p w14:paraId="57B0489A" w14:textId="77777777" w:rsidR="00AC0A8B" w:rsidRPr="00196E76" w:rsidRDefault="00AC0A8B" w:rsidP="00AC0A8B">
      <w:pPr>
        <w:spacing w:after="0" w:line="240" w:lineRule="auto"/>
        <w:ind w:left="-567"/>
        <w:rPr>
          <w:rFonts w:ascii="Arial" w:hAnsi="Arial" w:cs="Arial"/>
          <w:b/>
          <w:sz w:val="20"/>
          <w:szCs w:val="20"/>
          <w:highlight w:val="yellow"/>
        </w:rPr>
      </w:pPr>
    </w:p>
    <w:p w14:paraId="57B0489B" w14:textId="77777777" w:rsidR="00AC0A8B" w:rsidRPr="001D3B21" w:rsidRDefault="00AC0A8B" w:rsidP="00AC0A8B">
      <w:pPr>
        <w:spacing w:after="0" w:line="240" w:lineRule="auto"/>
        <w:ind w:left="-709"/>
        <w:rPr>
          <w:rFonts w:ascii="Arial" w:hAnsi="Arial" w:cs="Arial"/>
          <w:sz w:val="20"/>
          <w:szCs w:val="20"/>
        </w:rPr>
      </w:pPr>
      <w:r w:rsidRPr="001D3B21">
        <w:rPr>
          <w:rFonts w:ascii="Arial" w:hAnsi="Arial" w:cs="Arial"/>
          <w:b/>
          <w:sz w:val="20"/>
          <w:szCs w:val="20"/>
        </w:rPr>
        <w:t>Table 1</w:t>
      </w:r>
      <w:r w:rsidRPr="001D3B21">
        <w:rPr>
          <w:rFonts w:ascii="Arial" w:hAnsi="Arial" w:cs="Arial"/>
          <w:sz w:val="20"/>
          <w:szCs w:val="20"/>
        </w:rPr>
        <w:t>.</w:t>
      </w:r>
      <w:r w:rsidRPr="001D3B21">
        <w:rPr>
          <w:rFonts w:ascii="Arial" w:hAnsi="Arial" w:cs="Arial"/>
          <w:b/>
          <w:sz w:val="20"/>
          <w:szCs w:val="20"/>
        </w:rPr>
        <w:t xml:space="preserve"> </w:t>
      </w:r>
      <w:r w:rsidRPr="001D3B21">
        <w:rPr>
          <w:rFonts w:ascii="Arial" w:hAnsi="Arial" w:cs="Arial"/>
          <w:sz w:val="20"/>
          <w:szCs w:val="20"/>
        </w:rPr>
        <w:t>Characteristics of category 1 infectious syphilis</w:t>
      </w:r>
      <w:r w:rsidRPr="001D3B21">
        <w:rPr>
          <w:rFonts w:ascii="Arial" w:hAnsi="Arial" w:cs="Arial"/>
          <w:sz w:val="20"/>
          <w:szCs w:val="20"/>
          <w:vertAlign w:val="superscript"/>
        </w:rPr>
        <w:t>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to </w:t>
      </w:r>
      <w:r w:rsidRPr="001D3B21">
        <w:rPr>
          <w:rFonts w:ascii="Arial" w:hAnsi="Arial" w:cs="Arial"/>
          <w:sz w:val="20"/>
          <w:szCs w:val="20"/>
        </w:rPr>
        <w:br/>
      </w:r>
      <w:r>
        <w:rPr>
          <w:color w:val="000000" w:themeColor="text1"/>
        </w:rPr>
        <w:t xml:space="preserve">28 February </w:t>
      </w:r>
      <w:r>
        <w:rPr>
          <w:rFonts w:ascii="Arial" w:hAnsi="Arial" w:cs="Arial"/>
          <w:sz w:val="20"/>
          <w:szCs w:val="16"/>
        </w:rPr>
        <w:t>2019</w:t>
      </w:r>
      <w:r w:rsidRPr="001D3B21">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560"/>
        <w:gridCol w:w="1559"/>
        <w:gridCol w:w="1559"/>
      </w:tblGrid>
      <w:tr w:rsidR="00AC0A8B" w:rsidRPr="005C34A8" w14:paraId="57B048A3" w14:textId="77777777" w:rsidTr="00EB11F0">
        <w:trPr>
          <w:tblHeader/>
        </w:trPr>
        <w:tc>
          <w:tcPr>
            <w:tcW w:w="4236" w:type="dxa"/>
            <w:tcBorders>
              <w:bottom w:val="single" w:sz="4" w:space="0" w:color="auto"/>
            </w:tcBorders>
          </w:tcPr>
          <w:p w14:paraId="57B0489C" w14:textId="77777777" w:rsidR="00AC0A8B" w:rsidRPr="003A2A4F" w:rsidRDefault="00AC0A8B" w:rsidP="00EB11F0">
            <w:pPr>
              <w:ind w:left="34" w:hanging="34"/>
              <w:rPr>
                <w:rFonts w:ascii="Calibri" w:eastAsia="Times New Roman" w:hAnsi="Calibri" w:cs="Arial"/>
                <w:sz w:val="20"/>
                <w:szCs w:val="20"/>
                <w:lang w:eastAsia="en-AU"/>
              </w:rPr>
            </w:pPr>
          </w:p>
        </w:tc>
        <w:tc>
          <w:tcPr>
            <w:tcW w:w="1553" w:type="dxa"/>
            <w:tcBorders>
              <w:bottom w:val="single" w:sz="4" w:space="0" w:color="auto"/>
            </w:tcBorders>
            <w:shd w:val="clear" w:color="auto" w:fill="B8CCE4" w:themeFill="accent1" w:themeFillTint="66"/>
          </w:tcPr>
          <w:p w14:paraId="57B0489D" w14:textId="77777777" w:rsidR="00AC0A8B" w:rsidRPr="003A2A4F" w:rsidRDefault="00AC0A8B" w:rsidP="00EB11F0">
            <w:pPr>
              <w:ind w:left="34" w:hanging="34"/>
              <w:jc w:val="center"/>
              <w:rPr>
                <w:rFonts w:ascii="Calibri" w:eastAsia="Times New Roman" w:hAnsi="Calibri" w:cs="Arial"/>
                <w:b/>
                <w:sz w:val="20"/>
                <w:szCs w:val="20"/>
                <w:lang w:eastAsia="en-AU"/>
              </w:rPr>
            </w:pPr>
            <w:r w:rsidRPr="003A2A4F">
              <w:rPr>
                <w:rFonts w:ascii="Calibri" w:eastAsia="Times New Roman" w:hAnsi="Calibri" w:cs="Arial"/>
                <w:b/>
                <w:sz w:val="20"/>
                <w:szCs w:val="20"/>
                <w:lang w:eastAsia="en-AU"/>
              </w:rPr>
              <w:t xml:space="preserve">North Qld </w:t>
            </w:r>
            <w:r w:rsidRPr="003A2A4F">
              <w:rPr>
                <w:rFonts w:ascii="Calibri" w:eastAsia="Times New Roman" w:hAnsi="Calibri" w:cs="Arial"/>
                <w:b/>
                <w:sz w:val="20"/>
                <w:szCs w:val="20"/>
                <w:lang w:eastAsia="en-AU"/>
              </w:rPr>
              <w:br/>
            </w:r>
            <w:r w:rsidRPr="003A2A4F">
              <w:rPr>
                <w:rFonts w:ascii="Calibri" w:eastAsia="Times New Roman" w:hAnsi="Calibri" w:cs="Arial"/>
                <w:sz w:val="20"/>
                <w:szCs w:val="20"/>
                <w:lang w:eastAsia="en-AU"/>
              </w:rPr>
              <w:t>(four HHSs</w:t>
            </w:r>
            <w:r w:rsidRPr="003A2A4F">
              <w:rPr>
                <w:rFonts w:ascii="Calibri" w:eastAsia="Times New Roman" w:hAnsi="Calibri" w:cs="Arial"/>
                <w:sz w:val="20"/>
                <w:szCs w:val="20"/>
                <w:vertAlign w:val="superscript"/>
                <w:lang w:eastAsia="en-AU"/>
              </w:rPr>
              <w:t>β</w:t>
            </w:r>
            <w:r w:rsidRPr="003A2A4F">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89E"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b/>
                <w:sz w:val="20"/>
                <w:szCs w:val="20"/>
                <w:lang w:eastAsia="en-AU"/>
              </w:rPr>
              <w:t xml:space="preserve">NT </w:t>
            </w:r>
          </w:p>
          <w:p w14:paraId="57B0489F" w14:textId="77777777" w:rsidR="00AC0A8B" w:rsidRPr="003A2A4F" w:rsidRDefault="00AC0A8B" w:rsidP="00EB11F0">
            <w:pPr>
              <w:ind w:left="34" w:hanging="34"/>
              <w:jc w:val="center"/>
              <w:rPr>
                <w:rFonts w:ascii="Calibri" w:eastAsia="Times New Roman" w:hAnsi="Calibri" w:cs="Arial"/>
                <w:b/>
                <w:sz w:val="20"/>
                <w:szCs w:val="20"/>
                <w:lang w:eastAsia="en-AU"/>
              </w:rPr>
            </w:pPr>
            <w:r w:rsidRPr="003A2A4F">
              <w:rPr>
                <w:rFonts w:ascii="Calibri" w:eastAsia="Times New Roman" w:hAnsi="Calibri" w:cs="Arial"/>
                <w:sz w:val="20"/>
                <w:szCs w:val="20"/>
                <w:lang w:eastAsia="en-AU"/>
              </w:rPr>
              <w:t>(seven regions</w:t>
            </w:r>
            <w:r w:rsidRPr="003A2A4F">
              <w:rPr>
                <w:rFonts w:ascii="Calibri" w:eastAsia="Times New Roman" w:hAnsi="Calibri" w:cs="Arial"/>
                <w:sz w:val="20"/>
                <w:szCs w:val="20"/>
                <w:vertAlign w:val="superscript"/>
                <w:lang w:eastAsia="en-AU"/>
              </w:rPr>
              <w:t xml:space="preserve"> β</w:t>
            </w:r>
            <w:r w:rsidRPr="003A2A4F">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8A0" w14:textId="77777777" w:rsidR="00AC0A8B" w:rsidRPr="003A2A4F" w:rsidRDefault="00AC0A8B" w:rsidP="00EB11F0">
            <w:pPr>
              <w:ind w:left="34" w:hanging="34"/>
              <w:jc w:val="center"/>
              <w:rPr>
                <w:rFonts w:ascii="Calibri" w:eastAsia="Times New Roman" w:hAnsi="Calibri" w:cs="Arial"/>
                <w:b/>
                <w:sz w:val="20"/>
                <w:szCs w:val="20"/>
                <w:lang w:eastAsia="en-AU"/>
              </w:rPr>
            </w:pPr>
            <w:r w:rsidRPr="003A2A4F">
              <w:rPr>
                <w:rFonts w:ascii="Calibri" w:eastAsia="Times New Roman" w:hAnsi="Calibri" w:cs="Arial"/>
                <w:b/>
                <w:sz w:val="20"/>
                <w:szCs w:val="20"/>
                <w:lang w:eastAsia="en-AU"/>
              </w:rPr>
              <w:t>WA</w:t>
            </w:r>
            <w:r w:rsidRPr="003A2A4F">
              <w:rPr>
                <w:rFonts w:ascii="Calibri" w:eastAsia="Times New Roman" w:hAnsi="Calibri" w:cs="Arial"/>
                <w:b/>
                <w:sz w:val="20"/>
                <w:szCs w:val="20"/>
                <w:lang w:eastAsia="en-AU"/>
              </w:rPr>
              <w:br/>
            </w:r>
            <w:r w:rsidRPr="003A2A4F">
              <w:rPr>
                <w:rFonts w:ascii="Calibri" w:eastAsia="Times New Roman" w:hAnsi="Calibri" w:cs="Arial"/>
                <w:sz w:val="20"/>
                <w:szCs w:val="20"/>
                <w:lang w:eastAsia="en-AU"/>
              </w:rPr>
              <w:t xml:space="preserve"> (two regions</w:t>
            </w:r>
            <w:r w:rsidRPr="003A2A4F">
              <w:rPr>
                <w:rFonts w:ascii="Calibri" w:eastAsia="Times New Roman" w:hAnsi="Calibri" w:cs="Arial"/>
                <w:sz w:val="20"/>
                <w:szCs w:val="20"/>
                <w:vertAlign w:val="superscript"/>
                <w:lang w:eastAsia="en-AU"/>
              </w:rPr>
              <w:t xml:space="preserve"> β</w:t>
            </w:r>
            <w:r w:rsidRPr="003A2A4F">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8A1" w14:textId="77777777" w:rsidR="00AC0A8B" w:rsidRPr="003A2A4F" w:rsidRDefault="00AC0A8B" w:rsidP="00EB11F0">
            <w:pPr>
              <w:ind w:left="34" w:hanging="34"/>
              <w:jc w:val="center"/>
              <w:rPr>
                <w:rFonts w:ascii="Calibri" w:eastAsia="Times New Roman" w:hAnsi="Calibri" w:cs="Arial"/>
                <w:b/>
                <w:sz w:val="20"/>
                <w:szCs w:val="20"/>
                <w:lang w:eastAsia="en-AU"/>
              </w:rPr>
            </w:pPr>
            <w:r w:rsidRPr="003A2A4F">
              <w:rPr>
                <w:rFonts w:ascii="Calibri" w:eastAsia="Times New Roman" w:hAnsi="Calibri" w:cs="Arial"/>
                <w:b/>
                <w:sz w:val="20"/>
                <w:szCs w:val="20"/>
                <w:lang w:eastAsia="en-AU"/>
              </w:rPr>
              <w:t>SA</w:t>
            </w:r>
          </w:p>
          <w:p w14:paraId="57B048A2"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(three regions</w:t>
            </w:r>
            <w:r w:rsidRPr="003A2A4F">
              <w:rPr>
                <w:rFonts w:ascii="Calibri" w:eastAsia="Times New Roman" w:hAnsi="Calibri" w:cs="Arial"/>
                <w:sz w:val="20"/>
                <w:szCs w:val="20"/>
                <w:vertAlign w:val="superscript"/>
                <w:lang w:eastAsia="en-AU"/>
              </w:rPr>
              <w:t xml:space="preserve"> β</w:t>
            </w:r>
            <w:r w:rsidRPr="003A2A4F">
              <w:rPr>
                <w:rFonts w:ascii="Calibri" w:eastAsia="Times New Roman" w:hAnsi="Calibri" w:cs="Arial"/>
                <w:sz w:val="20"/>
                <w:szCs w:val="20"/>
                <w:lang w:eastAsia="en-AU"/>
              </w:rPr>
              <w:t>)</w:t>
            </w:r>
          </w:p>
        </w:tc>
      </w:tr>
      <w:tr w:rsidR="00AC0A8B" w:rsidRPr="005C34A8" w14:paraId="57B048A9" w14:textId="77777777" w:rsidTr="00EB11F0">
        <w:tc>
          <w:tcPr>
            <w:tcW w:w="4236" w:type="dxa"/>
            <w:tcBorders>
              <w:right w:val="nil"/>
            </w:tcBorders>
            <w:shd w:val="clear" w:color="auto" w:fill="DBE5F1" w:themeFill="accent1" w:themeFillTint="33"/>
          </w:tcPr>
          <w:p w14:paraId="57B048A4" w14:textId="77777777" w:rsidR="00AC0A8B" w:rsidRPr="003A2A4F" w:rsidRDefault="00AC0A8B" w:rsidP="00EB11F0">
            <w:pPr>
              <w:ind w:left="34" w:hanging="34"/>
              <w:rPr>
                <w:rFonts w:ascii="Calibri" w:eastAsia="Times New Roman" w:hAnsi="Calibri" w:cs="Arial"/>
                <w:b/>
                <w:sz w:val="20"/>
                <w:szCs w:val="20"/>
                <w:lang w:eastAsia="en-AU"/>
              </w:rPr>
            </w:pPr>
            <w:r w:rsidRPr="003A2A4F">
              <w:rPr>
                <w:rFonts w:ascii="Calibri" w:eastAsia="Times New Roman" w:hAnsi="Calibri" w:cs="Arial"/>
                <w:b/>
                <w:sz w:val="20"/>
                <w:szCs w:val="20"/>
                <w:lang w:eastAsia="en-AU"/>
              </w:rPr>
              <w:t>Situation to-date, 28 February 2019</w:t>
            </w:r>
          </w:p>
        </w:tc>
        <w:tc>
          <w:tcPr>
            <w:tcW w:w="1553" w:type="dxa"/>
            <w:tcBorders>
              <w:left w:val="nil"/>
              <w:bottom w:val="single" w:sz="4" w:space="0" w:color="auto"/>
              <w:right w:val="nil"/>
            </w:tcBorders>
            <w:shd w:val="clear" w:color="auto" w:fill="DBE5F1" w:themeFill="accent1" w:themeFillTint="33"/>
          </w:tcPr>
          <w:p w14:paraId="57B048A5" w14:textId="77777777" w:rsidR="00AC0A8B" w:rsidRPr="003A2A4F" w:rsidRDefault="00AC0A8B"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8A6" w14:textId="77777777" w:rsidR="00AC0A8B" w:rsidRPr="003A2A4F" w:rsidRDefault="00AC0A8B" w:rsidP="00EB11F0">
            <w:pPr>
              <w:ind w:left="34" w:hanging="34"/>
              <w:rPr>
                <w:rFonts w:ascii="Calibri" w:eastAsia="Times New Roman" w:hAnsi="Calibri" w:cs="Arial"/>
                <w:sz w:val="20"/>
                <w:szCs w:val="20"/>
                <w:lang w:eastAsia="en-AU"/>
              </w:rPr>
            </w:pPr>
          </w:p>
        </w:tc>
        <w:tc>
          <w:tcPr>
            <w:tcW w:w="1559" w:type="dxa"/>
            <w:tcBorders>
              <w:left w:val="nil"/>
              <w:bottom w:val="single" w:sz="4" w:space="0" w:color="auto"/>
              <w:right w:val="nil"/>
            </w:tcBorders>
            <w:shd w:val="clear" w:color="auto" w:fill="DBE5F1" w:themeFill="accent1" w:themeFillTint="33"/>
          </w:tcPr>
          <w:p w14:paraId="57B048A7" w14:textId="77777777" w:rsidR="00AC0A8B" w:rsidRPr="003A2A4F" w:rsidRDefault="00AC0A8B" w:rsidP="00EB11F0">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8A8" w14:textId="77777777" w:rsidR="00AC0A8B" w:rsidRPr="003A2A4F" w:rsidRDefault="00AC0A8B" w:rsidP="00EB11F0">
            <w:pPr>
              <w:ind w:left="34" w:hanging="34"/>
              <w:rPr>
                <w:rFonts w:ascii="Calibri" w:eastAsia="Times New Roman" w:hAnsi="Calibri" w:cs="Arial"/>
                <w:sz w:val="20"/>
                <w:szCs w:val="20"/>
                <w:lang w:eastAsia="en-AU"/>
              </w:rPr>
            </w:pPr>
          </w:p>
        </w:tc>
      </w:tr>
      <w:tr w:rsidR="00AC0A8B" w:rsidRPr="005C34A8" w14:paraId="57B048AF" w14:textId="77777777" w:rsidTr="00EB11F0">
        <w:trPr>
          <w:trHeight w:val="365"/>
        </w:trPr>
        <w:tc>
          <w:tcPr>
            <w:tcW w:w="4236" w:type="dxa"/>
            <w:vAlign w:val="center"/>
          </w:tcPr>
          <w:p w14:paraId="57B048AA" w14:textId="77777777" w:rsidR="00AC0A8B" w:rsidRPr="003A2A4F" w:rsidRDefault="00AC0A8B" w:rsidP="00EB11F0">
            <w:pPr>
              <w:ind w:left="34" w:hanging="34"/>
              <w:rPr>
                <w:rFonts w:ascii="Calibri" w:eastAsia="Times New Roman" w:hAnsi="Calibri" w:cs="Arial"/>
                <w:sz w:val="20"/>
                <w:szCs w:val="20"/>
                <w:lang w:eastAsia="en-AU"/>
              </w:rPr>
            </w:pPr>
            <w:r w:rsidRPr="003A2A4F">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14:paraId="57B048AB"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8AC"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July 2013</w:t>
            </w:r>
          </w:p>
        </w:tc>
        <w:tc>
          <w:tcPr>
            <w:tcW w:w="1559" w:type="dxa"/>
            <w:shd w:val="clear" w:color="auto" w:fill="CCC0D9" w:themeFill="accent4" w:themeFillTint="66"/>
            <w:vAlign w:val="center"/>
          </w:tcPr>
          <w:p w14:paraId="57B048AD"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8AE"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November 2016</w:t>
            </w:r>
          </w:p>
        </w:tc>
      </w:tr>
      <w:tr w:rsidR="00AC0A8B" w:rsidRPr="005C34A8" w14:paraId="57B048B5" w14:textId="77777777" w:rsidTr="00EB11F0">
        <w:tc>
          <w:tcPr>
            <w:tcW w:w="4236" w:type="dxa"/>
          </w:tcPr>
          <w:p w14:paraId="57B048B0"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Total number of cases</w:t>
            </w:r>
            <w:r w:rsidRPr="00EF1D57">
              <w:rPr>
                <w:rFonts w:ascii="Calibri" w:eastAsia="Times New Roman" w:hAnsi="Calibri" w:cs="Arial"/>
                <w:b/>
                <w:sz w:val="20"/>
                <w:szCs w:val="20"/>
                <w:vertAlign w:val="superscript"/>
                <w:lang w:eastAsia="en-AU"/>
              </w:rPr>
              <w:t xml:space="preserve"> </w:t>
            </w:r>
            <w:r w:rsidRPr="00EF1D57">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14:paraId="57B048B1"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1260</w:t>
            </w:r>
          </w:p>
        </w:tc>
        <w:tc>
          <w:tcPr>
            <w:tcW w:w="1560" w:type="dxa"/>
            <w:shd w:val="clear" w:color="auto" w:fill="B6DDE8" w:themeFill="accent5" w:themeFillTint="66"/>
            <w:vAlign w:val="center"/>
          </w:tcPr>
          <w:p w14:paraId="57B048B2" w14:textId="77777777" w:rsidR="00AC0A8B" w:rsidRPr="003A2A4F" w:rsidRDefault="00AC0A8B" w:rsidP="00EB11F0">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982</w:t>
            </w:r>
          </w:p>
        </w:tc>
        <w:tc>
          <w:tcPr>
            <w:tcW w:w="1559" w:type="dxa"/>
            <w:shd w:val="clear" w:color="auto" w:fill="CCC0D9" w:themeFill="accent4" w:themeFillTint="66"/>
            <w:vAlign w:val="center"/>
          </w:tcPr>
          <w:p w14:paraId="57B048B3"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257</w:t>
            </w:r>
          </w:p>
        </w:tc>
        <w:tc>
          <w:tcPr>
            <w:tcW w:w="1559" w:type="dxa"/>
            <w:shd w:val="clear" w:color="auto" w:fill="FBD4B4" w:themeFill="accent6" w:themeFillTint="66"/>
          </w:tcPr>
          <w:p w14:paraId="57B048B4"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65</w:t>
            </w:r>
          </w:p>
        </w:tc>
      </w:tr>
      <w:tr w:rsidR="00AC0A8B" w:rsidRPr="005C34A8" w14:paraId="57B048BB" w14:textId="77777777" w:rsidTr="00EB11F0">
        <w:tc>
          <w:tcPr>
            <w:tcW w:w="4236" w:type="dxa"/>
            <w:shd w:val="clear" w:color="auto" w:fill="auto"/>
          </w:tcPr>
          <w:p w14:paraId="57B048B6"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8B7"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8B8"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46% / 54%</w:t>
            </w:r>
          </w:p>
        </w:tc>
        <w:tc>
          <w:tcPr>
            <w:tcW w:w="1559" w:type="dxa"/>
            <w:shd w:val="clear" w:color="auto" w:fill="CCC0D9" w:themeFill="accent4" w:themeFillTint="66"/>
            <w:vAlign w:val="center"/>
          </w:tcPr>
          <w:p w14:paraId="57B048B9"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40% / 60%</w:t>
            </w:r>
          </w:p>
        </w:tc>
        <w:tc>
          <w:tcPr>
            <w:tcW w:w="1559" w:type="dxa"/>
            <w:shd w:val="clear" w:color="auto" w:fill="FBD4B4" w:themeFill="accent6" w:themeFillTint="66"/>
          </w:tcPr>
          <w:p w14:paraId="57B048BA"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52% / 48%</w:t>
            </w:r>
          </w:p>
        </w:tc>
      </w:tr>
      <w:tr w:rsidR="00AC0A8B" w:rsidRPr="005C34A8" w14:paraId="57B048C1" w14:textId="77777777" w:rsidTr="00EB11F0">
        <w:tc>
          <w:tcPr>
            <w:tcW w:w="4236" w:type="dxa"/>
            <w:shd w:val="clear" w:color="auto" w:fill="auto"/>
          </w:tcPr>
          <w:p w14:paraId="57B048BC"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8BD"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66%</w:t>
            </w:r>
          </w:p>
        </w:tc>
        <w:tc>
          <w:tcPr>
            <w:tcW w:w="1560" w:type="dxa"/>
            <w:shd w:val="clear" w:color="auto" w:fill="B6DDE8" w:themeFill="accent5" w:themeFillTint="66"/>
            <w:vAlign w:val="center"/>
          </w:tcPr>
          <w:p w14:paraId="57B048BE"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63%</w:t>
            </w:r>
          </w:p>
        </w:tc>
        <w:tc>
          <w:tcPr>
            <w:tcW w:w="1559" w:type="dxa"/>
            <w:shd w:val="clear" w:color="auto" w:fill="CCC0D9" w:themeFill="accent4" w:themeFillTint="66"/>
            <w:vAlign w:val="center"/>
          </w:tcPr>
          <w:p w14:paraId="57B048BF"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70%</w:t>
            </w:r>
          </w:p>
        </w:tc>
        <w:tc>
          <w:tcPr>
            <w:tcW w:w="1559" w:type="dxa"/>
            <w:shd w:val="clear" w:color="auto" w:fill="FBD4B4" w:themeFill="accent6" w:themeFillTint="66"/>
          </w:tcPr>
          <w:p w14:paraId="57B048C0" w14:textId="77777777" w:rsidR="00AC0A8B" w:rsidRPr="000A378B" w:rsidRDefault="00AC0A8B" w:rsidP="00EB11F0">
            <w:pPr>
              <w:tabs>
                <w:tab w:val="left" w:pos="465"/>
                <w:tab w:val="center" w:pos="663"/>
              </w:tabs>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49%</w:t>
            </w:r>
          </w:p>
        </w:tc>
      </w:tr>
      <w:tr w:rsidR="00AC0A8B" w:rsidRPr="005C34A8" w14:paraId="57B048C7" w14:textId="77777777" w:rsidTr="00EB11F0">
        <w:tc>
          <w:tcPr>
            <w:tcW w:w="4236" w:type="dxa"/>
            <w:shd w:val="clear" w:color="auto" w:fill="auto"/>
          </w:tcPr>
          <w:p w14:paraId="57B048C2"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Congenital cases, confirmed (probable)</w:t>
            </w:r>
            <w:r w:rsidRPr="00EF1D57">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14:paraId="57B048C3"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8C4"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2 (3)</w:t>
            </w:r>
          </w:p>
        </w:tc>
        <w:tc>
          <w:tcPr>
            <w:tcW w:w="1559" w:type="dxa"/>
            <w:shd w:val="clear" w:color="auto" w:fill="CCC0D9" w:themeFill="accent4" w:themeFillTint="66"/>
            <w:vAlign w:val="center"/>
          </w:tcPr>
          <w:p w14:paraId="57B048C5"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0 (0)</w:t>
            </w:r>
          </w:p>
        </w:tc>
        <w:tc>
          <w:tcPr>
            <w:tcW w:w="1559" w:type="dxa"/>
            <w:shd w:val="clear" w:color="auto" w:fill="FBD4B4" w:themeFill="accent6" w:themeFillTint="66"/>
          </w:tcPr>
          <w:p w14:paraId="57B048C6"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1 (0)</w:t>
            </w:r>
          </w:p>
        </w:tc>
      </w:tr>
      <w:tr w:rsidR="00AC0A8B" w:rsidRPr="005C34A8" w14:paraId="57B048CD" w14:textId="77777777" w:rsidTr="00EB11F0">
        <w:tc>
          <w:tcPr>
            <w:tcW w:w="4236" w:type="dxa"/>
            <w:tcBorders>
              <w:bottom w:val="single" w:sz="4" w:space="0" w:color="auto"/>
            </w:tcBorders>
            <w:shd w:val="clear" w:color="auto" w:fill="auto"/>
          </w:tcPr>
          <w:p w14:paraId="57B048C8"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14:paraId="57B048C9"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8CA"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0 (0)</w:t>
            </w:r>
          </w:p>
        </w:tc>
        <w:tc>
          <w:tcPr>
            <w:tcW w:w="1559" w:type="dxa"/>
            <w:tcBorders>
              <w:bottom w:val="single" w:sz="4" w:space="0" w:color="auto"/>
            </w:tcBorders>
            <w:shd w:val="clear" w:color="auto" w:fill="CCC0D9" w:themeFill="accent4" w:themeFillTint="66"/>
            <w:vAlign w:val="center"/>
          </w:tcPr>
          <w:p w14:paraId="57B048CB"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8CC"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0 (0)</w:t>
            </w:r>
          </w:p>
        </w:tc>
      </w:tr>
      <w:tr w:rsidR="00AC0A8B" w:rsidRPr="005C34A8" w14:paraId="57B048CF" w14:textId="77777777" w:rsidTr="00EB11F0">
        <w:tc>
          <w:tcPr>
            <w:tcW w:w="10467" w:type="dxa"/>
            <w:gridSpan w:val="5"/>
            <w:tcBorders>
              <w:bottom w:val="single" w:sz="4" w:space="0" w:color="auto"/>
            </w:tcBorders>
            <w:shd w:val="clear" w:color="auto" w:fill="auto"/>
          </w:tcPr>
          <w:p w14:paraId="57B048CE"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b/>
                <w:sz w:val="20"/>
                <w:szCs w:val="20"/>
                <w:lang w:eastAsia="en-AU"/>
              </w:rPr>
              <w:t>Last reporting month, 1 –28 February 2019</w:t>
            </w:r>
          </w:p>
        </w:tc>
      </w:tr>
      <w:tr w:rsidR="00AC0A8B" w:rsidRPr="005C34A8" w14:paraId="57B048D5" w14:textId="77777777" w:rsidTr="00EB11F0">
        <w:tc>
          <w:tcPr>
            <w:tcW w:w="4236" w:type="dxa"/>
            <w:shd w:val="clear" w:color="auto" w:fill="auto"/>
          </w:tcPr>
          <w:p w14:paraId="57B048D0"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Number of cases</w:t>
            </w:r>
            <w:r w:rsidRPr="00EF1D57">
              <w:rPr>
                <w:rFonts w:ascii="Calibri" w:eastAsia="Times New Roman" w:hAnsi="Calibri" w:cs="Arial"/>
                <w:b/>
                <w:sz w:val="20"/>
                <w:szCs w:val="20"/>
                <w:vertAlign w:val="superscript"/>
                <w:lang w:eastAsia="en-AU"/>
              </w:rPr>
              <w:t xml:space="preserve"> </w:t>
            </w:r>
            <w:r w:rsidRPr="00EF1D57">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14:paraId="57B048D1"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18</w:t>
            </w:r>
          </w:p>
        </w:tc>
        <w:tc>
          <w:tcPr>
            <w:tcW w:w="1560" w:type="dxa"/>
            <w:shd w:val="clear" w:color="auto" w:fill="B6DDE8" w:themeFill="accent5" w:themeFillTint="66"/>
            <w:vAlign w:val="center"/>
          </w:tcPr>
          <w:p w14:paraId="57B048D2"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20</w:t>
            </w:r>
          </w:p>
        </w:tc>
        <w:tc>
          <w:tcPr>
            <w:tcW w:w="1559" w:type="dxa"/>
            <w:shd w:val="clear" w:color="auto" w:fill="CCC0D9" w:themeFill="accent4" w:themeFillTint="66"/>
            <w:vAlign w:val="center"/>
          </w:tcPr>
          <w:p w14:paraId="57B048D3"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9</w:t>
            </w:r>
          </w:p>
        </w:tc>
        <w:tc>
          <w:tcPr>
            <w:tcW w:w="1559" w:type="dxa"/>
            <w:shd w:val="clear" w:color="auto" w:fill="FBD4B4" w:themeFill="accent6" w:themeFillTint="66"/>
          </w:tcPr>
          <w:p w14:paraId="57B048D4"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0</w:t>
            </w:r>
          </w:p>
        </w:tc>
      </w:tr>
      <w:tr w:rsidR="00AC0A8B" w:rsidRPr="005C34A8" w14:paraId="57B048DB" w14:textId="77777777" w:rsidTr="00EB11F0">
        <w:tc>
          <w:tcPr>
            <w:tcW w:w="4236" w:type="dxa"/>
            <w:shd w:val="clear" w:color="auto" w:fill="auto"/>
          </w:tcPr>
          <w:p w14:paraId="57B048D6"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8D7"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39% / 61%</w:t>
            </w:r>
          </w:p>
        </w:tc>
        <w:tc>
          <w:tcPr>
            <w:tcW w:w="1560" w:type="dxa"/>
            <w:shd w:val="clear" w:color="auto" w:fill="B6DDE8" w:themeFill="accent5" w:themeFillTint="66"/>
            <w:vAlign w:val="center"/>
          </w:tcPr>
          <w:p w14:paraId="57B048D8"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60% /40%</w:t>
            </w:r>
          </w:p>
        </w:tc>
        <w:tc>
          <w:tcPr>
            <w:tcW w:w="1559" w:type="dxa"/>
            <w:shd w:val="clear" w:color="auto" w:fill="CCC0D9" w:themeFill="accent4" w:themeFillTint="66"/>
            <w:vAlign w:val="center"/>
          </w:tcPr>
          <w:p w14:paraId="57B048D9"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33% / 67%</w:t>
            </w:r>
          </w:p>
        </w:tc>
        <w:tc>
          <w:tcPr>
            <w:tcW w:w="1559" w:type="dxa"/>
            <w:shd w:val="clear" w:color="auto" w:fill="FBD4B4" w:themeFill="accent6" w:themeFillTint="66"/>
          </w:tcPr>
          <w:p w14:paraId="57B048DA"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0% / 0%</w:t>
            </w:r>
          </w:p>
        </w:tc>
      </w:tr>
      <w:tr w:rsidR="00AC0A8B" w:rsidRPr="005C34A8" w14:paraId="57B048E1" w14:textId="77777777" w:rsidTr="00EB11F0">
        <w:tc>
          <w:tcPr>
            <w:tcW w:w="4236" w:type="dxa"/>
            <w:shd w:val="clear" w:color="auto" w:fill="auto"/>
          </w:tcPr>
          <w:p w14:paraId="57B048DC" w14:textId="77777777" w:rsidR="00AC0A8B" w:rsidRPr="00EF1D57" w:rsidRDefault="00AC0A8B" w:rsidP="00EB11F0">
            <w:pPr>
              <w:ind w:left="34" w:hanging="34"/>
              <w:rPr>
                <w:rFonts w:ascii="Calibri" w:eastAsia="Times New Roman" w:hAnsi="Calibri" w:cs="Arial"/>
                <w:sz w:val="20"/>
                <w:szCs w:val="20"/>
                <w:lang w:eastAsia="en-AU"/>
              </w:rPr>
            </w:pPr>
            <w:r w:rsidRPr="00EF1D57">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8DD" w14:textId="77777777" w:rsidR="00AC0A8B" w:rsidRPr="003A2A4F" w:rsidRDefault="00AC0A8B" w:rsidP="00EB11F0">
            <w:pPr>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67%</w:t>
            </w:r>
          </w:p>
        </w:tc>
        <w:tc>
          <w:tcPr>
            <w:tcW w:w="1560" w:type="dxa"/>
            <w:shd w:val="clear" w:color="auto" w:fill="B6DDE8" w:themeFill="accent5" w:themeFillTint="66"/>
            <w:vAlign w:val="center"/>
          </w:tcPr>
          <w:p w14:paraId="57B048DE" w14:textId="77777777" w:rsidR="00AC0A8B" w:rsidRPr="003A2A4F" w:rsidRDefault="00AC0A8B" w:rsidP="00EB11F0">
            <w:pPr>
              <w:ind w:left="34" w:hanging="34"/>
              <w:jc w:val="center"/>
              <w:rPr>
                <w:rFonts w:ascii="Calibri" w:eastAsia="Times New Roman" w:hAnsi="Calibri" w:cs="Arial"/>
                <w:sz w:val="20"/>
                <w:szCs w:val="20"/>
                <w:lang w:eastAsia="en-AU"/>
              </w:rPr>
            </w:pPr>
            <w:r w:rsidRPr="003A2A4F">
              <w:rPr>
                <w:rFonts w:ascii="Calibri" w:eastAsia="Times New Roman" w:hAnsi="Calibri" w:cs="Arial"/>
                <w:sz w:val="20"/>
                <w:szCs w:val="20"/>
                <w:lang w:eastAsia="en-AU"/>
              </w:rPr>
              <w:t>60%</w:t>
            </w:r>
          </w:p>
        </w:tc>
        <w:tc>
          <w:tcPr>
            <w:tcW w:w="1559" w:type="dxa"/>
            <w:shd w:val="clear" w:color="auto" w:fill="CCC0D9" w:themeFill="accent4" w:themeFillTint="66"/>
            <w:vAlign w:val="center"/>
          </w:tcPr>
          <w:p w14:paraId="57B048DF"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70%</w:t>
            </w:r>
          </w:p>
        </w:tc>
        <w:tc>
          <w:tcPr>
            <w:tcW w:w="1559" w:type="dxa"/>
            <w:shd w:val="clear" w:color="auto" w:fill="FBD4B4" w:themeFill="accent6" w:themeFillTint="66"/>
          </w:tcPr>
          <w:p w14:paraId="57B048E0" w14:textId="77777777" w:rsidR="00AC0A8B" w:rsidRPr="000A378B" w:rsidRDefault="00AC0A8B" w:rsidP="00EB11F0">
            <w:pPr>
              <w:ind w:left="34" w:hanging="34"/>
              <w:jc w:val="center"/>
              <w:rPr>
                <w:rFonts w:ascii="Calibri" w:eastAsia="Times New Roman" w:hAnsi="Calibri" w:cs="Arial"/>
                <w:sz w:val="20"/>
                <w:szCs w:val="20"/>
                <w:lang w:eastAsia="en-AU"/>
              </w:rPr>
            </w:pPr>
            <w:r w:rsidRPr="000A378B">
              <w:rPr>
                <w:rFonts w:ascii="Calibri" w:eastAsia="Times New Roman" w:hAnsi="Calibri" w:cs="Arial"/>
                <w:sz w:val="20"/>
                <w:szCs w:val="20"/>
                <w:lang w:eastAsia="en-AU"/>
              </w:rPr>
              <w:t>0%</w:t>
            </w:r>
          </w:p>
        </w:tc>
      </w:tr>
    </w:tbl>
    <w:p w14:paraId="57B048E2" w14:textId="77777777" w:rsidR="00AC0A8B" w:rsidRPr="005C34A8" w:rsidRDefault="00AC0A8B" w:rsidP="00AC0A8B">
      <w:pPr>
        <w:pStyle w:val="ListParagraph"/>
        <w:spacing w:before="60" w:after="0" w:line="240" w:lineRule="auto"/>
        <w:ind w:left="-567"/>
        <w:contextualSpacing w:val="0"/>
        <w:rPr>
          <w:b/>
          <w:sz w:val="16"/>
          <w:szCs w:val="16"/>
          <w:highlight w:val="yellow"/>
          <w:vertAlign w:val="superscript"/>
        </w:rPr>
      </w:pPr>
    </w:p>
    <w:p w14:paraId="57B048E3" w14:textId="77777777" w:rsidR="00AC0A8B" w:rsidRPr="003A2A4F" w:rsidRDefault="00AC0A8B" w:rsidP="00AC0A8B">
      <w:pPr>
        <w:pStyle w:val="ListParagraph"/>
        <w:spacing w:before="60" w:after="0" w:line="240" w:lineRule="auto"/>
        <w:ind w:left="-709"/>
        <w:contextualSpacing w:val="0"/>
        <w:rPr>
          <w:rFonts w:ascii="Arial" w:hAnsi="Arial" w:cs="Arial"/>
          <w:sz w:val="20"/>
          <w:szCs w:val="16"/>
        </w:rPr>
      </w:pPr>
      <w:r w:rsidRPr="003A2A4F">
        <w:rPr>
          <w:rFonts w:ascii="Arial" w:hAnsi="Arial" w:cs="Arial"/>
          <w:b/>
          <w:sz w:val="20"/>
          <w:szCs w:val="16"/>
        </w:rPr>
        <w:t xml:space="preserve">Table 2. </w:t>
      </w:r>
      <w:r w:rsidRPr="003A2A4F">
        <w:rPr>
          <w:rFonts w:ascii="Arial" w:hAnsi="Arial" w:cs="Arial"/>
          <w:sz w:val="20"/>
          <w:szCs w:val="16"/>
        </w:rPr>
        <w:t>Number of category 2 infectious syphilis</w:t>
      </w:r>
      <w:r w:rsidRPr="003A2A4F">
        <w:rPr>
          <w:rFonts w:ascii="Arial" w:hAnsi="Arial" w:cs="Arial"/>
          <w:sz w:val="20"/>
          <w:szCs w:val="20"/>
          <w:vertAlign w:val="superscript"/>
        </w:rPr>
        <w:t>α</w:t>
      </w:r>
      <w:r w:rsidRPr="003A2A4F">
        <w:rPr>
          <w:rFonts w:ascii="Arial" w:hAnsi="Arial" w:cs="Arial"/>
          <w:sz w:val="20"/>
          <w:szCs w:val="20"/>
        </w:rPr>
        <w:t xml:space="preserve"> cases</w:t>
      </w:r>
      <w:r w:rsidRPr="003A2A4F">
        <w:rPr>
          <w:rFonts w:ascii="Arial" w:hAnsi="Arial" w:cs="Arial"/>
          <w:sz w:val="20"/>
          <w:szCs w:val="16"/>
        </w:rPr>
        <w:t xml:space="preserve">, to </w:t>
      </w:r>
      <w:r w:rsidRPr="003A2A4F">
        <w:rPr>
          <w:color w:val="000000" w:themeColor="text1"/>
        </w:rPr>
        <w:t xml:space="preserve">28 February </w:t>
      </w:r>
      <w:r w:rsidRPr="003A2A4F">
        <w:rPr>
          <w:rFonts w:ascii="Arial" w:hAnsi="Arial" w:cs="Arial"/>
          <w:sz w:val="20"/>
          <w:szCs w:val="16"/>
        </w:rPr>
        <w:t>2019</w:t>
      </w:r>
      <w:r w:rsidRPr="003A2A4F">
        <w:rPr>
          <w:rFonts w:ascii="Arial" w:hAnsi="Arial" w:cs="Arial"/>
          <w:sz w:val="20"/>
          <w:szCs w:val="20"/>
          <w:vertAlign w:val="superscript"/>
        </w:rPr>
        <w:t xml:space="preserve"> ȶ ᵞ</w:t>
      </w:r>
      <w:r w:rsidRPr="003A2A4F">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C0A8B" w:rsidRPr="005C34A8" w14:paraId="57B048EA" w14:textId="77777777" w:rsidTr="00EB11F0">
        <w:trPr>
          <w:tblHeader/>
        </w:trPr>
        <w:tc>
          <w:tcPr>
            <w:tcW w:w="4219" w:type="dxa"/>
            <w:tcBorders>
              <w:bottom w:val="single" w:sz="4" w:space="0" w:color="auto"/>
            </w:tcBorders>
          </w:tcPr>
          <w:p w14:paraId="57B048E4" w14:textId="77777777" w:rsidR="00AC0A8B" w:rsidRPr="005C34A8" w:rsidRDefault="00AC0A8B" w:rsidP="00EB11F0">
            <w:pPr>
              <w:pStyle w:val="ListParagraph"/>
              <w:spacing w:before="60"/>
              <w:ind w:left="0"/>
              <w:contextualSpacing w:val="0"/>
              <w:jc w:val="center"/>
              <w:rPr>
                <w:rFonts w:ascii="Calibri" w:eastAsia="Times New Roman" w:hAnsi="Calibri" w:cs="Arial"/>
                <w:b/>
                <w:sz w:val="20"/>
                <w:szCs w:val="20"/>
                <w:highlight w:val="yellow"/>
                <w:lang w:eastAsia="en-AU"/>
              </w:rPr>
            </w:pPr>
          </w:p>
        </w:tc>
        <w:tc>
          <w:tcPr>
            <w:tcW w:w="1559" w:type="dxa"/>
            <w:tcBorders>
              <w:bottom w:val="single" w:sz="4" w:space="0" w:color="auto"/>
            </w:tcBorders>
            <w:shd w:val="clear" w:color="auto" w:fill="B8CCE4" w:themeFill="accent1" w:themeFillTint="66"/>
          </w:tcPr>
          <w:p w14:paraId="57B048E5" w14:textId="77777777" w:rsidR="00AC0A8B" w:rsidRPr="003A2A4F" w:rsidRDefault="00AC0A8B" w:rsidP="00EB11F0">
            <w:pPr>
              <w:pStyle w:val="ListParagraph"/>
              <w:spacing w:before="60"/>
              <w:ind w:left="0"/>
              <w:contextualSpacing w:val="0"/>
              <w:jc w:val="center"/>
              <w:rPr>
                <w:rFonts w:ascii="Calibri" w:eastAsia="Times New Roman" w:hAnsi="Calibri" w:cs="Arial"/>
                <w:b/>
                <w:sz w:val="20"/>
                <w:szCs w:val="20"/>
                <w:lang w:eastAsia="en-AU"/>
              </w:rPr>
            </w:pPr>
            <w:r w:rsidRPr="003A2A4F">
              <w:rPr>
                <w:rFonts w:ascii="Calibri" w:eastAsia="Times New Roman" w:hAnsi="Calibri" w:cs="Arial"/>
                <w:b/>
                <w:sz w:val="20"/>
                <w:szCs w:val="20"/>
                <w:lang w:eastAsia="en-AU"/>
              </w:rPr>
              <w:t xml:space="preserve">North Qld </w:t>
            </w:r>
            <w:r w:rsidRPr="003A2A4F">
              <w:rPr>
                <w:rFonts w:ascii="Calibri" w:eastAsia="Times New Roman" w:hAnsi="Calibri" w:cs="Arial"/>
                <w:b/>
                <w:sz w:val="20"/>
                <w:szCs w:val="20"/>
                <w:lang w:eastAsia="en-AU"/>
              </w:rPr>
              <w:br/>
            </w:r>
            <w:r w:rsidRPr="003A2A4F">
              <w:rPr>
                <w:rFonts w:ascii="Calibri" w:eastAsia="Times New Roman" w:hAnsi="Calibri" w:cs="Arial"/>
                <w:sz w:val="20"/>
                <w:szCs w:val="20"/>
                <w:lang w:eastAsia="en-AU"/>
              </w:rPr>
              <w:t>(four HHSs</w:t>
            </w:r>
            <w:r w:rsidRPr="003A2A4F">
              <w:rPr>
                <w:rFonts w:ascii="Calibri" w:eastAsia="Times New Roman" w:hAnsi="Calibri" w:cs="Arial"/>
                <w:sz w:val="20"/>
                <w:szCs w:val="20"/>
                <w:vertAlign w:val="superscript"/>
                <w:lang w:eastAsia="en-AU"/>
              </w:rPr>
              <w:t>β</w:t>
            </w:r>
            <w:r w:rsidRPr="003A2A4F">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8E6" w14:textId="77777777" w:rsidR="00AC0A8B" w:rsidRPr="003A2A4F" w:rsidRDefault="00AC0A8B" w:rsidP="00EB11F0">
            <w:pPr>
              <w:pStyle w:val="ListParagraph"/>
              <w:spacing w:before="60"/>
              <w:ind w:left="0"/>
              <w:contextualSpacing w:val="0"/>
              <w:jc w:val="center"/>
              <w:rPr>
                <w:rFonts w:ascii="Calibri" w:hAnsi="Calibri"/>
                <w:b/>
                <w:sz w:val="20"/>
                <w:szCs w:val="16"/>
              </w:rPr>
            </w:pPr>
            <w:r w:rsidRPr="003A2A4F">
              <w:rPr>
                <w:rFonts w:ascii="Calibri" w:eastAsia="Times New Roman" w:hAnsi="Calibri" w:cs="Arial"/>
                <w:b/>
                <w:sz w:val="20"/>
                <w:szCs w:val="20"/>
                <w:lang w:eastAsia="en-AU"/>
              </w:rPr>
              <w:t xml:space="preserve">NT </w:t>
            </w:r>
            <w:r w:rsidRPr="003A2A4F">
              <w:rPr>
                <w:rFonts w:ascii="Calibri" w:eastAsia="Times New Roman" w:hAnsi="Calibri" w:cs="Arial"/>
                <w:b/>
                <w:sz w:val="20"/>
                <w:szCs w:val="20"/>
                <w:lang w:eastAsia="en-AU"/>
              </w:rPr>
              <w:br/>
            </w:r>
            <w:r w:rsidRPr="003A2A4F">
              <w:rPr>
                <w:rFonts w:ascii="Calibri" w:eastAsia="Times New Roman" w:hAnsi="Calibri" w:cs="Arial"/>
                <w:sz w:val="20"/>
                <w:szCs w:val="20"/>
                <w:lang w:eastAsia="en-AU"/>
              </w:rPr>
              <w:t>(seven regions</w:t>
            </w:r>
            <w:r w:rsidRPr="003A2A4F">
              <w:rPr>
                <w:rFonts w:ascii="Calibri" w:eastAsia="Times New Roman" w:hAnsi="Calibri" w:cs="Arial"/>
                <w:sz w:val="20"/>
                <w:szCs w:val="20"/>
                <w:vertAlign w:val="superscript"/>
                <w:lang w:eastAsia="en-AU"/>
              </w:rPr>
              <w:t xml:space="preserve"> β</w:t>
            </w:r>
            <w:r w:rsidRPr="003A2A4F">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8E7" w14:textId="77777777" w:rsidR="00AC0A8B" w:rsidRPr="000A378B" w:rsidRDefault="00AC0A8B" w:rsidP="00EB11F0">
            <w:pPr>
              <w:pStyle w:val="ListParagraph"/>
              <w:spacing w:before="60"/>
              <w:ind w:left="0"/>
              <w:contextualSpacing w:val="0"/>
              <w:jc w:val="center"/>
              <w:rPr>
                <w:rFonts w:ascii="Calibri" w:hAnsi="Calibri"/>
                <w:b/>
                <w:sz w:val="20"/>
                <w:szCs w:val="16"/>
              </w:rPr>
            </w:pPr>
            <w:r w:rsidRPr="000A378B">
              <w:rPr>
                <w:rFonts w:ascii="Calibri" w:eastAsia="Times New Roman" w:hAnsi="Calibri" w:cs="Arial"/>
                <w:b/>
                <w:sz w:val="20"/>
                <w:szCs w:val="20"/>
                <w:lang w:eastAsia="en-AU"/>
              </w:rPr>
              <w:t>WA</w:t>
            </w:r>
            <w:r w:rsidRPr="000A378B">
              <w:rPr>
                <w:rFonts w:ascii="Calibri" w:eastAsia="Times New Roman" w:hAnsi="Calibri" w:cs="Arial"/>
                <w:b/>
                <w:sz w:val="20"/>
                <w:szCs w:val="20"/>
                <w:lang w:eastAsia="en-AU"/>
              </w:rPr>
              <w:br/>
            </w:r>
            <w:r w:rsidRPr="000A378B">
              <w:rPr>
                <w:rFonts w:ascii="Calibri" w:eastAsia="Times New Roman" w:hAnsi="Calibri" w:cs="Arial"/>
                <w:sz w:val="20"/>
                <w:szCs w:val="20"/>
                <w:lang w:eastAsia="en-AU"/>
              </w:rPr>
              <w:t xml:space="preserve"> (two regions</w:t>
            </w:r>
            <w:r w:rsidRPr="000A378B">
              <w:rPr>
                <w:rFonts w:ascii="Calibri" w:eastAsia="Times New Roman" w:hAnsi="Calibri" w:cs="Arial"/>
                <w:sz w:val="20"/>
                <w:szCs w:val="20"/>
                <w:vertAlign w:val="superscript"/>
                <w:lang w:eastAsia="en-AU"/>
              </w:rPr>
              <w:t xml:space="preserve"> β</w:t>
            </w:r>
            <w:r w:rsidRPr="000A378B">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8E8" w14:textId="77777777" w:rsidR="00AC0A8B" w:rsidRPr="000A378B" w:rsidRDefault="00AC0A8B" w:rsidP="00EB11F0">
            <w:pPr>
              <w:ind w:left="34" w:hanging="34"/>
              <w:jc w:val="center"/>
              <w:rPr>
                <w:rFonts w:ascii="Calibri" w:eastAsia="Times New Roman" w:hAnsi="Calibri" w:cs="Arial"/>
                <w:b/>
                <w:sz w:val="20"/>
                <w:szCs w:val="20"/>
                <w:lang w:eastAsia="en-AU"/>
              </w:rPr>
            </w:pPr>
            <w:r w:rsidRPr="000A378B">
              <w:rPr>
                <w:rFonts w:ascii="Calibri" w:eastAsia="Times New Roman" w:hAnsi="Calibri" w:cs="Arial"/>
                <w:b/>
                <w:sz w:val="20"/>
                <w:szCs w:val="20"/>
                <w:lang w:eastAsia="en-AU"/>
              </w:rPr>
              <w:t>SA</w:t>
            </w:r>
          </w:p>
          <w:p w14:paraId="57B048E9" w14:textId="77777777" w:rsidR="00AC0A8B" w:rsidRPr="000A378B" w:rsidRDefault="00AC0A8B" w:rsidP="00EB11F0">
            <w:pPr>
              <w:pStyle w:val="ListParagraph"/>
              <w:spacing w:before="60"/>
              <w:ind w:left="0"/>
              <w:contextualSpacing w:val="0"/>
              <w:jc w:val="center"/>
              <w:rPr>
                <w:rFonts w:ascii="Calibri" w:hAnsi="Calibri"/>
                <w:b/>
                <w:sz w:val="20"/>
                <w:szCs w:val="16"/>
              </w:rPr>
            </w:pPr>
            <w:r w:rsidRPr="000A378B">
              <w:rPr>
                <w:rFonts w:ascii="Calibri" w:eastAsia="Times New Roman" w:hAnsi="Calibri" w:cs="Arial"/>
                <w:sz w:val="20"/>
                <w:szCs w:val="20"/>
                <w:lang w:eastAsia="en-AU"/>
              </w:rPr>
              <w:t>(three regions</w:t>
            </w:r>
            <w:r w:rsidRPr="000A378B">
              <w:rPr>
                <w:rFonts w:ascii="Calibri" w:eastAsia="Times New Roman" w:hAnsi="Calibri" w:cs="Arial"/>
                <w:sz w:val="20"/>
                <w:szCs w:val="20"/>
                <w:vertAlign w:val="superscript"/>
                <w:lang w:eastAsia="en-AU"/>
              </w:rPr>
              <w:t xml:space="preserve"> β</w:t>
            </w:r>
            <w:r w:rsidRPr="000A378B">
              <w:rPr>
                <w:rFonts w:ascii="Calibri" w:eastAsia="Times New Roman" w:hAnsi="Calibri" w:cs="Arial"/>
                <w:sz w:val="20"/>
                <w:szCs w:val="20"/>
                <w:lang w:eastAsia="en-AU"/>
              </w:rPr>
              <w:t>)</w:t>
            </w:r>
          </w:p>
        </w:tc>
      </w:tr>
      <w:tr w:rsidR="00AC0A8B" w:rsidRPr="005C34A8" w14:paraId="57B048EC" w14:textId="77777777" w:rsidTr="00EB11F0">
        <w:tc>
          <w:tcPr>
            <w:tcW w:w="10456" w:type="dxa"/>
            <w:gridSpan w:val="5"/>
            <w:shd w:val="clear" w:color="auto" w:fill="DBE5F1" w:themeFill="accent1" w:themeFillTint="33"/>
          </w:tcPr>
          <w:p w14:paraId="57B048EB" w14:textId="77777777" w:rsidR="00AC0A8B" w:rsidRPr="000A378B" w:rsidRDefault="00AC0A8B" w:rsidP="00EB11F0">
            <w:pPr>
              <w:pStyle w:val="ListParagraph"/>
              <w:spacing w:before="60"/>
              <w:ind w:left="0"/>
              <w:contextualSpacing w:val="0"/>
              <w:rPr>
                <w:b/>
                <w:sz w:val="16"/>
                <w:szCs w:val="16"/>
              </w:rPr>
            </w:pPr>
            <w:r w:rsidRPr="000A378B">
              <w:rPr>
                <w:b/>
                <w:sz w:val="20"/>
                <w:szCs w:val="16"/>
              </w:rPr>
              <w:t xml:space="preserve">Situation to-date, </w:t>
            </w:r>
            <w:r w:rsidRPr="000A378B">
              <w:rPr>
                <w:rFonts w:ascii="Calibri" w:eastAsia="Times New Roman" w:hAnsi="Calibri" w:cs="Arial"/>
                <w:b/>
                <w:sz w:val="20"/>
                <w:szCs w:val="20"/>
                <w:lang w:eastAsia="en-AU"/>
              </w:rPr>
              <w:t>28 February 2019</w:t>
            </w:r>
          </w:p>
        </w:tc>
      </w:tr>
      <w:tr w:rsidR="00AC0A8B" w:rsidRPr="005C34A8" w14:paraId="57B048F2" w14:textId="77777777" w:rsidTr="00EB11F0">
        <w:tc>
          <w:tcPr>
            <w:tcW w:w="4219" w:type="dxa"/>
            <w:shd w:val="clear" w:color="auto" w:fill="auto"/>
          </w:tcPr>
          <w:p w14:paraId="57B048ED" w14:textId="77777777" w:rsidR="00AC0A8B" w:rsidRPr="00E24D41" w:rsidRDefault="00AC0A8B" w:rsidP="00EB11F0">
            <w:pPr>
              <w:pStyle w:val="ListParagraph"/>
              <w:spacing w:before="60"/>
              <w:ind w:left="0"/>
              <w:contextualSpacing w:val="0"/>
              <w:rPr>
                <w:sz w:val="20"/>
                <w:szCs w:val="16"/>
              </w:rPr>
            </w:pPr>
            <w:r w:rsidRPr="00E24D41">
              <w:rPr>
                <w:sz w:val="20"/>
                <w:szCs w:val="16"/>
              </w:rPr>
              <w:t>Outbreak commencement month/year</w:t>
            </w:r>
          </w:p>
        </w:tc>
        <w:tc>
          <w:tcPr>
            <w:tcW w:w="1559" w:type="dxa"/>
            <w:shd w:val="clear" w:color="auto" w:fill="B8CCE4" w:themeFill="accent1" w:themeFillTint="66"/>
          </w:tcPr>
          <w:p w14:paraId="57B048EE"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January 2011</w:t>
            </w:r>
          </w:p>
        </w:tc>
        <w:tc>
          <w:tcPr>
            <w:tcW w:w="1560" w:type="dxa"/>
            <w:shd w:val="clear" w:color="auto" w:fill="B6DDE8" w:themeFill="accent5" w:themeFillTint="66"/>
          </w:tcPr>
          <w:p w14:paraId="57B048EF"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July 2013</w:t>
            </w:r>
          </w:p>
        </w:tc>
        <w:tc>
          <w:tcPr>
            <w:tcW w:w="1559" w:type="dxa"/>
            <w:shd w:val="clear" w:color="auto" w:fill="CCC0D9" w:themeFill="accent4" w:themeFillTint="66"/>
          </w:tcPr>
          <w:p w14:paraId="57B048F0"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June 2014</w:t>
            </w:r>
          </w:p>
        </w:tc>
        <w:tc>
          <w:tcPr>
            <w:tcW w:w="1559" w:type="dxa"/>
            <w:shd w:val="clear" w:color="auto" w:fill="FBD4B4" w:themeFill="accent6" w:themeFillTint="66"/>
          </w:tcPr>
          <w:p w14:paraId="57B048F1"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November 2016</w:t>
            </w:r>
          </w:p>
        </w:tc>
      </w:tr>
      <w:tr w:rsidR="00AC0A8B" w:rsidRPr="005C34A8" w14:paraId="57B048F8" w14:textId="77777777" w:rsidTr="00EB11F0">
        <w:tc>
          <w:tcPr>
            <w:tcW w:w="4219" w:type="dxa"/>
            <w:shd w:val="clear" w:color="auto" w:fill="auto"/>
          </w:tcPr>
          <w:p w14:paraId="57B048F3" w14:textId="77777777" w:rsidR="00AC0A8B" w:rsidRPr="00E24D41" w:rsidRDefault="00AC0A8B" w:rsidP="00EB11F0">
            <w:pPr>
              <w:pStyle w:val="ListParagraph"/>
              <w:spacing w:before="60"/>
              <w:ind w:left="0"/>
              <w:contextualSpacing w:val="0"/>
              <w:rPr>
                <w:sz w:val="16"/>
                <w:szCs w:val="16"/>
              </w:rPr>
            </w:pPr>
            <w:r w:rsidRPr="00E24D41">
              <w:rPr>
                <w:sz w:val="20"/>
                <w:szCs w:val="16"/>
              </w:rPr>
              <w:t>Aboriginal and Torres Strait Islander people</w:t>
            </w:r>
            <w:r w:rsidRPr="00E24D41">
              <w:rPr>
                <w:rFonts w:ascii="Agency FB" w:hAnsi="Agency FB"/>
                <w:sz w:val="20"/>
                <w:szCs w:val="16"/>
                <w:vertAlign w:val="superscript"/>
              </w:rPr>
              <w:t>§</w:t>
            </w:r>
          </w:p>
        </w:tc>
        <w:tc>
          <w:tcPr>
            <w:tcW w:w="1559" w:type="dxa"/>
            <w:shd w:val="clear" w:color="auto" w:fill="B8CCE4" w:themeFill="accent1" w:themeFillTint="66"/>
          </w:tcPr>
          <w:p w14:paraId="57B048F4"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12</w:t>
            </w:r>
          </w:p>
        </w:tc>
        <w:tc>
          <w:tcPr>
            <w:tcW w:w="1560" w:type="dxa"/>
            <w:shd w:val="clear" w:color="auto" w:fill="B6DDE8" w:themeFill="accent5" w:themeFillTint="66"/>
          </w:tcPr>
          <w:p w14:paraId="57B048F5"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2</w:t>
            </w:r>
          </w:p>
        </w:tc>
        <w:tc>
          <w:tcPr>
            <w:tcW w:w="1559" w:type="dxa"/>
            <w:shd w:val="clear" w:color="auto" w:fill="CCC0D9" w:themeFill="accent4" w:themeFillTint="66"/>
            <w:vAlign w:val="center"/>
          </w:tcPr>
          <w:p w14:paraId="57B048F6"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w:t>
            </w:r>
          </w:p>
        </w:tc>
        <w:tc>
          <w:tcPr>
            <w:tcW w:w="1559" w:type="dxa"/>
            <w:shd w:val="clear" w:color="auto" w:fill="FBD4B4" w:themeFill="accent6" w:themeFillTint="66"/>
          </w:tcPr>
          <w:p w14:paraId="57B048F7"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w:t>
            </w:r>
          </w:p>
        </w:tc>
      </w:tr>
      <w:tr w:rsidR="00AC0A8B" w:rsidRPr="005C34A8" w14:paraId="57B048FE" w14:textId="77777777" w:rsidTr="00EB11F0">
        <w:tc>
          <w:tcPr>
            <w:tcW w:w="4219" w:type="dxa"/>
            <w:tcBorders>
              <w:bottom w:val="single" w:sz="4" w:space="0" w:color="auto"/>
            </w:tcBorders>
            <w:shd w:val="clear" w:color="auto" w:fill="auto"/>
          </w:tcPr>
          <w:p w14:paraId="57B048F9" w14:textId="77777777" w:rsidR="00AC0A8B" w:rsidRPr="00E24D41" w:rsidRDefault="00AC0A8B" w:rsidP="00EB11F0">
            <w:pPr>
              <w:pStyle w:val="ListParagraph"/>
              <w:spacing w:before="60"/>
              <w:ind w:left="0"/>
              <w:contextualSpacing w:val="0"/>
              <w:rPr>
                <w:sz w:val="16"/>
                <w:szCs w:val="16"/>
              </w:rPr>
            </w:pPr>
            <w:r w:rsidRPr="00E24D41">
              <w:rPr>
                <w:sz w:val="20"/>
                <w:szCs w:val="16"/>
              </w:rPr>
              <w:t>Non-Indigenous people</w:t>
            </w:r>
            <w:r w:rsidRPr="00E24D41">
              <w:rPr>
                <w:sz w:val="20"/>
                <w:szCs w:val="16"/>
                <w:vertAlign w:val="superscript"/>
              </w:rPr>
              <w:t>µ</w:t>
            </w:r>
          </w:p>
        </w:tc>
        <w:tc>
          <w:tcPr>
            <w:tcW w:w="1559" w:type="dxa"/>
            <w:tcBorders>
              <w:bottom w:val="single" w:sz="4" w:space="0" w:color="auto"/>
            </w:tcBorders>
            <w:shd w:val="clear" w:color="auto" w:fill="B8CCE4" w:themeFill="accent1" w:themeFillTint="66"/>
          </w:tcPr>
          <w:p w14:paraId="57B048FA"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17</w:t>
            </w:r>
          </w:p>
        </w:tc>
        <w:tc>
          <w:tcPr>
            <w:tcW w:w="1560" w:type="dxa"/>
            <w:tcBorders>
              <w:bottom w:val="single" w:sz="4" w:space="0" w:color="auto"/>
            </w:tcBorders>
            <w:shd w:val="clear" w:color="auto" w:fill="B6DDE8" w:themeFill="accent5" w:themeFillTint="66"/>
          </w:tcPr>
          <w:p w14:paraId="57B048FB"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6</w:t>
            </w:r>
          </w:p>
        </w:tc>
        <w:tc>
          <w:tcPr>
            <w:tcW w:w="1559" w:type="dxa"/>
            <w:tcBorders>
              <w:bottom w:val="single" w:sz="4" w:space="0" w:color="auto"/>
            </w:tcBorders>
            <w:shd w:val="clear" w:color="auto" w:fill="CCC0D9" w:themeFill="accent4" w:themeFillTint="66"/>
            <w:vAlign w:val="center"/>
          </w:tcPr>
          <w:p w14:paraId="57B048FC"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w:t>
            </w:r>
          </w:p>
        </w:tc>
        <w:tc>
          <w:tcPr>
            <w:tcW w:w="1559" w:type="dxa"/>
            <w:tcBorders>
              <w:bottom w:val="single" w:sz="4" w:space="0" w:color="auto"/>
            </w:tcBorders>
            <w:shd w:val="clear" w:color="auto" w:fill="FBD4B4" w:themeFill="accent6" w:themeFillTint="66"/>
          </w:tcPr>
          <w:p w14:paraId="57B048FD"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2</w:t>
            </w:r>
          </w:p>
        </w:tc>
      </w:tr>
      <w:tr w:rsidR="00AC0A8B" w:rsidRPr="005C34A8" w14:paraId="57B04900" w14:textId="77777777" w:rsidTr="00EB11F0">
        <w:tc>
          <w:tcPr>
            <w:tcW w:w="10456" w:type="dxa"/>
            <w:gridSpan w:val="5"/>
            <w:shd w:val="clear" w:color="auto" w:fill="auto"/>
            <w:vAlign w:val="center"/>
          </w:tcPr>
          <w:p w14:paraId="57B048FF" w14:textId="77777777" w:rsidR="00AC0A8B" w:rsidRPr="00E24D41" w:rsidRDefault="00AC0A8B" w:rsidP="00EB11F0">
            <w:pPr>
              <w:pStyle w:val="ListParagraph"/>
              <w:spacing w:before="60"/>
              <w:ind w:left="0"/>
              <w:contextualSpacing w:val="0"/>
              <w:rPr>
                <w:b/>
                <w:sz w:val="20"/>
                <w:szCs w:val="16"/>
              </w:rPr>
            </w:pPr>
            <w:r w:rsidRPr="00E24D41">
              <w:rPr>
                <w:b/>
                <w:sz w:val="20"/>
                <w:szCs w:val="16"/>
              </w:rPr>
              <w:t>Last reporting month, 1 -</w:t>
            </w:r>
            <w:r w:rsidRPr="00E24D41">
              <w:rPr>
                <w:rFonts w:ascii="Calibri" w:eastAsia="Times New Roman" w:hAnsi="Calibri" w:cs="Arial"/>
                <w:b/>
                <w:sz w:val="20"/>
                <w:szCs w:val="20"/>
                <w:lang w:eastAsia="en-AU"/>
              </w:rPr>
              <w:t>28 February 2019</w:t>
            </w:r>
          </w:p>
        </w:tc>
      </w:tr>
      <w:tr w:rsidR="00AC0A8B" w:rsidRPr="005C34A8" w14:paraId="57B04906" w14:textId="77777777" w:rsidTr="00EB11F0">
        <w:trPr>
          <w:trHeight w:val="85"/>
        </w:trPr>
        <w:tc>
          <w:tcPr>
            <w:tcW w:w="4219" w:type="dxa"/>
            <w:shd w:val="clear" w:color="auto" w:fill="auto"/>
          </w:tcPr>
          <w:p w14:paraId="57B04901" w14:textId="77777777" w:rsidR="00AC0A8B" w:rsidRPr="00E24D41" w:rsidRDefault="00AC0A8B" w:rsidP="00EB11F0">
            <w:pPr>
              <w:pStyle w:val="ListParagraph"/>
              <w:spacing w:before="60"/>
              <w:ind w:left="0"/>
              <w:contextualSpacing w:val="0"/>
              <w:rPr>
                <w:sz w:val="16"/>
                <w:szCs w:val="16"/>
              </w:rPr>
            </w:pPr>
            <w:r w:rsidRPr="00E24D41">
              <w:rPr>
                <w:sz w:val="20"/>
                <w:szCs w:val="16"/>
              </w:rPr>
              <w:t>Aboriginal and Torres Strait Islander people</w:t>
            </w:r>
            <w:r w:rsidRPr="00E24D41">
              <w:rPr>
                <w:rFonts w:ascii="Agency FB" w:hAnsi="Agency FB"/>
                <w:sz w:val="20"/>
                <w:szCs w:val="16"/>
                <w:vertAlign w:val="superscript"/>
              </w:rPr>
              <w:t>§</w:t>
            </w:r>
          </w:p>
        </w:tc>
        <w:tc>
          <w:tcPr>
            <w:tcW w:w="1559" w:type="dxa"/>
            <w:shd w:val="clear" w:color="auto" w:fill="B8CCE4" w:themeFill="accent1" w:themeFillTint="66"/>
          </w:tcPr>
          <w:p w14:paraId="57B04902"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w:t>
            </w:r>
          </w:p>
        </w:tc>
        <w:tc>
          <w:tcPr>
            <w:tcW w:w="1560" w:type="dxa"/>
            <w:shd w:val="clear" w:color="auto" w:fill="B6DDE8" w:themeFill="accent5" w:themeFillTint="66"/>
          </w:tcPr>
          <w:p w14:paraId="57B04903"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w:t>
            </w:r>
          </w:p>
        </w:tc>
        <w:tc>
          <w:tcPr>
            <w:tcW w:w="1559" w:type="dxa"/>
            <w:shd w:val="clear" w:color="auto" w:fill="CCC0D9" w:themeFill="accent4" w:themeFillTint="66"/>
            <w:vAlign w:val="center"/>
          </w:tcPr>
          <w:p w14:paraId="57B04904"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w:t>
            </w:r>
          </w:p>
        </w:tc>
        <w:tc>
          <w:tcPr>
            <w:tcW w:w="1559" w:type="dxa"/>
            <w:shd w:val="clear" w:color="auto" w:fill="FBD4B4" w:themeFill="accent6" w:themeFillTint="66"/>
          </w:tcPr>
          <w:p w14:paraId="57B04905"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w:t>
            </w:r>
          </w:p>
        </w:tc>
      </w:tr>
      <w:tr w:rsidR="00AC0A8B" w:rsidRPr="00196E76" w14:paraId="57B0490C" w14:textId="77777777" w:rsidTr="00EB11F0">
        <w:tc>
          <w:tcPr>
            <w:tcW w:w="4219" w:type="dxa"/>
            <w:shd w:val="clear" w:color="auto" w:fill="auto"/>
          </w:tcPr>
          <w:p w14:paraId="57B04907" w14:textId="77777777" w:rsidR="00AC0A8B" w:rsidRPr="00E24D41" w:rsidRDefault="00AC0A8B" w:rsidP="00EB11F0">
            <w:pPr>
              <w:pStyle w:val="ListParagraph"/>
              <w:spacing w:before="60"/>
              <w:ind w:left="0"/>
              <w:contextualSpacing w:val="0"/>
              <w:rPr>
                <w:sz w:val="16"/>
                <w:szCs w:val="16"/>
              </w:rPr>
            </w:pPr>
            <w:r w:rsidRPr="00E24D41">
              <w:rPr>
                <w:sz w:val="20"/>
                <w:szCs w:val="16"/>
              </w:rPr>
              <w:t>Non-Indigenous people</w:t>
            </w:r>
            <w:r w:rsidRPr="00E24D41">
              <w:rPr>
                <w:sz w:val="20"/>
                <w:szCs w:val="16"/>
                <w:vertAlign w:val="superscript"/>
              </w:rPr>
              <w:t>µ</w:t>
            </w:r>
          </w:p>
        </w:tc>
        <w:tc>
          <w:tcPr>
            <w:tcW w:w="1559" w:type="dxa"/>
            <w:shd w:val="clear" w:color="auto" w:fill="B8CCE4" w:themeFill="accent1" w:themeFillTint="66"/>
          </w:tcPr>
          <w:p w14:paraId="57B04908"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w:t>
            </w:r>
          </w:p>
        </w:tc>
        <w:tc>
          <w:tcPr>
            <w:tcW w:w="1560" w:type="dxa"/>
            <w:shd w:val="clear" w:color="auto" w:fill="B6DDE8" w:themeFill="accent5" w:themeFillTint="66"/>
          </w:tcPr>
          <w:p w14:paraId="57B04909" w14:textId="77777777" w:rsidR="00AC0A8B" w:rsidRPr="003A2A4F" w:rsidRDefault="00AC0A8B" w:rsidP="00EB11F0">
            <w:pPr>
              <w:pStyle w:val="ListParagraph"/>
              <w:spacing w:before="60"/>
              <w:ind w:left="0"/>
              <w:contextualSpacing w:val="0"/>
              <w:jc w:val="center"/>
              <w:rPr>
                <w:sz w:val="20"/>
                <w:szCs w:val="16"/>
              </w:rPr>
            </w:pPr>
            <w:r w:rsidRPr="003A2A4F">
              <w:rPr>
                <w:sz w:val="20"/>
                <w:szCs w:val="16"/>
              </w:rPr>
              <w:t>-</w:t>
            </w:r>
          </w:p>
        </w:tc>
        <w:tc>
          <w:tcPr>
            <w:tcW w:w="1559" w:type="dxa"/>
            <w:shd w:val="clear" w:color="auto" w:fill="CCC0D9" w:themeFill="accent4" w:themeFillTint="66"/>
            <w:vAlign w:val="center"/>
          </w:tcPr>
          <w:p w14:paraId="57B0490A" w14:textId="77777777" w:rsidR="00AC0A8B" w:rsidRPr="000A378B" w:rsidRDefault="00AC0A8B" w:rsidP="00EB11F0">
            <w:pPr>
              <w:pStyle w:val="ListParagraph"/>
              <w:spacing w:before="60"/>
              <w:ind w:left="0"/>
              <w:contextualSpacing w:val="0"/>
              <w:jc w:val="center"/>
              <w:rPr>
                <w:b/>
                <w:sz w:val="16"/>
                <w:szCs w:val="16"/>
              </w:rPr>
            </w:pPr>
            <w:r w:rsidRPr="000A378B">
              <w:rPr>
                <w:b/>
                <w:sz w:val="16"/>
                <w:szCs w:val="16"/>
              </w:rPr>
              <w:t>-</w:t>
            </w:r>
          </w:p>
        </w:tc>
        <w:tc>
          <w:tcPr>
            <w:tcW w:w="1559" w:type="dxa"/>
            <w:shd w:val="clear" w:color="auto" w:fill="FBD4B4" w:themeFill="accent6" w:themeFillTint="66"/>
          </w:tcPr>
          <w:p w14:paraId="57B0490B" w14:textId="77777777" w:rsidR="00AC0A8B" w:rsidRPr="000A378B" w:rsidRDefault="00AC0A8B" w:rsidP="00EB11F0">
            <w:pPr>
              <w:pStyle w:val="ListParagraph"/>
              <w:spacing w:before="60"/>
              <w:ind w:left="0"/>
              <w:contextualSpacing w:val="0"/>
              <w:jc w:val="center"/>
              <w:rPr>
                <w:sz w:val="20"/>
                <w:szCs w:val="16"/>
              </w:rPr>
            </w:pPr>
            <w:r w:rsidRPr="000A378B">
              <w:rPr>
                <w:sz w:val="20"/>
                <w:szCs w:val="16"/>
              </w:rPr>
              <w:t>-</w:t>
            </w:r>
          </w:p>
        </w:tc>
      </w:tr>
    </w:tbl>
    <w:p w14:paraId="57B0490D" w14:textId="77777777" w:rsidR="00AC0A8B" w:rsidRPr="00196E76" w:rsidRDefault="00AC0A8B" w:rsidP="00AC0A8B">
      <w:pPr>
        <w:pStyle w:val="ListParagraph"/>
        <w:spacing w:before="60" w:after="0" w:line="240" w:lineRule="auto"/>
        <w:ind w:left="-567"/>
        <w:contextualSpacing w:val="0"/>
        <w:rPr>
          <w:b/>
          <w:sz w:val="16"/>
          <w:szCs w:val="16"/>
          <w:highlight w:val="yellow"/>
        </w:rPr>
      </w:pPr>
    </w:p>
    <w:p w14:paraId="57B0490E" w14:textId="77777777" w:rsidR="00AC0A8B" w:rsidRPr="00497745" w:rsidRDefault="00AC0A8B" w:rsidP="00AC0A8B">
      <w:pPr>
        <w:pStyle w:val="ListParagraph"/>
        <w:spacing w:before="60" w:after="0" w:line="240" w:lineRule="auto"/>
        <w:ind w:left="-709"/>
        <w:contextualSpacing w:val="0"/>
        <w:jc w:val="both"/>
        <w:rPr>
          <w:b/>
          <w:sz w:val="16"/>
          <w:szCs w:val="16"/>
        </w:rPr>
      </w:pPr>
      <w:r w:rsidRPr="00497745">
        <w:rPr>
          <w:b/>
          <w:sz w:val="16"/>
          <w:szCs w:val="16"/>
        </w:rPr>
        <w:t>Notes:</w:t>
      </w:r>
    </w:p>
    <w:p w14:paraId="57B0490F" w14:textId="77777777" w:rsidR="00AC0A8B" w:rsidRPr="00497745" w:rsidRDefault="00AC0A8B" w:rsidP="00AC0A8B">
      <w:pPr>
        <w:pStyle w:val="ListParagraph"/>
        <w:spacing w:after="0" w:line="240" w:lineRule="auto"/>
        <w:ind w:left="-504" w:right="119" w:hanging="63"/>
        <w:contextualSpacing w:val="0"/>
        <w:rPr>
          <w:b/>
          <w:sz w:val="14"/>
          <w:szCs w:val="16"/>
        </w:rPr>
      </w:pPr>
      <w:r w:rsidRPr="00497745">
        <w:rPr>
          <w:rFonts w:ascii="Arial" w:hAnsi="Arial" w:cs="Arial"/>
          <w:sz w:val="16"/>
          <w:szCs w:val="20"/>
          <w:vertAlign w:val="superscript"/>
        </w:rPr>
        <w:t>ȶ</w:t>
      </w:r>
      <w:r w:rsidRPr="00497745">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910" w14:textId="77777777" w:rsidR="00AC0A8B" w:rsidRPr="00497745" w:rsidRDefault="00AC0A8B" w:rsidP="00AC0A8B">
      <w:pPr>
        <w:pStyle w:val="ListParagraph"/>
        <w:spacing w:after="0" w:line="240" w:lineRule="auto"/>
        <w:ind w:left="-567" w:right="119"/>
        <w:contextualSpacing w:val="0"/>
        <w:rPr>
          <w:sz w:val="16"/>
          <w:szCs w:val="16"/>
        </w:rPr>
      </w:pPr>
      <w:proofErr w:type="gramStart"/>
      <w:r w:rsidRPr="00497745">
        <w:rPr>
          <w:b/>
          <w:sz w:val="16"/>
          <w:szCs w:val="16"/>
          <w:vertAlign w:val="superscript"/>
        </w:rPr>
        <w:t>α</w:t>
      </w:r>
      <w:proofErr w:type="gramEnd"/>
      <w:r w:rsidRPr="00497745">
        <w:rPr>
          <w:sz w:val="16"/>
          <w:szCs w:val="16"/>
        </w:rPr>
        <w:t xml:space="preserve"> Cases defined as per the MJSO syphilis outbreak case definition: </w:t>
      </w:r>
    </w:p>
    <w:p w14:paraId="57B04911" w14:textId="77777777" w:rsidR="00AC0A8B" w:rsidRPr="00497745" w:rsidRDefault="00AC0A8B" w:rsidP="00AC0A8B">
      <w:pPr>
        <w:pStyle w:val="ListParagraph"/>
        <w:spacing w:after="0" w:line="240" w:lineRule="auto"/>
        <w:ind w:left="-426" w:right="119"/>
        <w:contextualSpacing w:val="0"/>
      </w:pPr>
      <w:r w:rsidRPr="0049774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497745">
        <w:rPr>
          <w:b/>
          <w:sz w:val="16"/>
          <w:szCs w:val="16"/>
        </w:rPr>
        <w:t>AND</w:t>
      </w:r>
      <w:r w:rsidRPr="00497745">
        <w:rPr>
          <w:sz w:val="16"/>
          <w:szCs w:val="16"/>
        </w:rPr>
        <w:t>, is an Aboriginal or Torres Strait Islander person who resides in any of the following outbreak declared regions</w:t>
      </w:r>
      <w:r w:rsidRPr="00497745">
        <w:rPr>
          <w:rFonts w:cs="Arial"/>
          <w:sz w:val="16"/>
          <w:szCs w:val="16"/>
        </w:rPr>
        <w:t xml:space="preserve"> as defined and documented by that jurisdiction</w:t>
      </w:r>
      <w:r w:rsidRPr="00497745">
        <w:rPr>
          <w:rFonts w:ascii="Arial" w:hAnsi="Arial" w:cs="Arial"/>
          <w:sz w:val="16"/>
          <w:szCs w:val="16"/>
        </w:rPr>
        <w:t>,</w:t>
      </w:r>
      <w:r w:rsidRPr="00497745">
        <w:rPr>
          <w:sz w:val="16"/>
          <w:szCs w:val="16"/>
        </w:rPr>
        <w:t xml:space="preserve"> at or after the dates indicated: </w:t>
      </w:r>
      <w:r w:rsidRPr="00497745">
        <w:rPr>
          <w:b/>
          <w:i/>
          <w:sz w:val="16"/>
          <w:szCs w:val="16"/>
        </w:rPr>
        <w:t>Qld</w:t>
      </w:r>
      <w:r w:rsidRPr="00497745">
        <w:rPr>
          <w:sz w:val="16"/>
          <w:szCs w:val="16"/>
        </w:rPr>
        <w:t xml:space="preserve"> - North West Hospital and Health Service area (from 1 January 2011</w:t>
      </w:r>
      <w:r>
        <w:rPr>
          <w:sz w:val="16"/>
          <w:szCs w:val="16"/>
        </w:rPr>
        <w:t xml:space="preserve">); </w:t>
      </w:r>
      <w:r w:rsidRPr="00497745">
        <w:rPr>
          <w:color w:val="000000" w:themeColor="text1"/>
          <w:sz w:val="16"/>
          <w:szCs w:val="16"/>
        </w:rPr>
        <w:t xml:space="preserve">Torres and Cape </w:t>
      </w:r>
      <w:r w:rsidRPr="00497745">
        <w:rPr>
          <w:sz w:val="16"/>
          <w:szCs w:val="16"/>
        </w:rPr>
        <w:t>Hospital and Health Service area (from 1 December 2012); Cairns and Hinterland H</w:t>
      </w:r>
      <w:r>
        <w:rPr>
          <w:sz w:val="16"/>
          <w:szCs w:val="16"/>
        </w:rPr>
        <w:t>ospital and Health Service area(from</w:t>
      </w:r>
      <w:r w:rsidRPr="00497745">
        <w:rPr>
          <w:sz w:val="16"/>
          <w:szCs w:val="16"/>
        </w:rPr>
        <w:t xml:space="preserve">1 August 2013); Townsville Hospital and Health Service area (from 1 January 2014); </w:t>
      </w:r>
      <w:r w:rsidRPr="00497745">
        <w:rPr>
          <w:b/>
          <w:i/>
          <w:sz w:val="16"/>
          <w:szCs w:val="16"/>
        </w:rPr>
        <w:t>NT</w:t>
      </w:r>
      <w:r w:rsidRPr="00497745">
        <w:rPr>
          <w:sz w:val="16"/>
          <w:szCs w:val="16"/>
        </w:rPr>
        <w:t xml:space="preserve"> - Alice Springs </w:t>
      </w:r>
      <w:r>
        <w:rPr>
          <w:sz w:val="16"/>
          <w:szCs w:val="16"/>
        </w:rPr>
        <w:t xml:space="preserve">Rural and Urban </w:t>
      </w:r>
      <w:r w:rsidRPr="00497745">
        <w:rPr>
          <w:sz w:val="16"/>
          <w:szCs w:val="16"/>
        </w:rPr>
        <w:t xml:space="preserve">or Barkly district (from 1 July 2013); Katherine district (from 1 May 2014); East Arnhem district (from 1 November 2015); Darwin Rural and Urban (from 1 January 2017); </w:t>
      </w:r>
      <w:r w:rsidRPr="00497745">
        <w:rPr>
          <w:b/>
          <w:i/>
          <w:sz w:val="16"/>
          <w:szCs w:val="16"/>
        </w:rPr>
        <w:t>WA</w:t>
      </w:r>
      <w:r w:rsidRPr="00497745">
        <w:rPr>
          <w:sz w:val="16"/>
          <w:szCs w:val="16"/>
        </w:rPr>
        <w:t xml:space="preserve"> - Kimberley region (from 1 June 2014) and Pilbara region (from 1 February 2018); </w:t>
      </w:r>
      <w:r w:rsidRPr="00497745">
        <w:rPr>
          <w:b/>
          <w:i/>
          <w:sz w:val="16"/>
          <w:szCs w:val="16"/>
        </w:rPr>
        <w:t>SA</w:t>
      </w:r>
      <w:r w:rsidRPr="00497745">
        <w:rPr>
          <w:b/>
          <w:sz w:val="16"/>
          <w:szCs w:val="16"/>
        </w:rPr>
        <w:t xml:space="preserve"> </w:t>
      </w:r>
      <w:r w:rsidRPr="00497745">
        <w:rPr>
          <w:sz w:val="16"/>
          <w:szCs w:val="16"/>
        </w:rPr>
        <w:t xml:space="preserve"> - Far North and Western and Eyre regions (from 15 November 2016)</w:t>
      </w:r>
      <w:r>
        <w:rPr>
          <w:sz w:val="16"/>
          <w:szCs w:val="16"/>
        </w:rPr>
        <w:t>; Adelaide (</w:t>
      </w:r>
      <w:r w:rsidRPr="00846705">
        <w:rPr>
          <w:sz w:val="16"/>
          <w:szCs w:val="16"/>
        </w:rPr>
        <w:t>from 1</w:t>
      </w:r>
      <w:r>
        <w:rPr>
          <w:sz w:val="16"/>
          <w:szCs w:val="16"/>
        </w:rPr>
        <w:t xml:space="preserve"> </w:t>
      </w:r>
      <w:r w:rsidRPr="00846705">
        <w:rPr>
          <w:sz w:val="16"/>
          <w:szCs w:val="16"/>
        </w:rPr>
        <w:t>February 2018</w:t>
      </w:r>
      <w:r>
        <w:rPr>
          <w:sz w:val="16"/>
          <w:szCs w:val="16"/>
        </w:rPr>
        <w:t>)</w:t>
      </w:r>
      <w:r w:rsidRPr="00497745">
        <w:rPr>
          <w:sz w:val="16"/>
          <w:szCs w:val="16"/>
        </w:rPr>
        <w:t xml:space="preserve"> (category 1 outbreak cases) </w:t>
      </w:r>
      <w:r w:rsidRPr="00497745">
        <w:rPr>
          <w:b/>
          <w:sz w:val="16"/>
          <w:szCs w:val="16"/>
        </w:rPr>
        <w:t>OR</w:t>
      </w:r>
      <w:r w:rsidRPr="00497745">
        <w:rPr>
          <w:sz w:val="16"/>
          <w:szCs w:val="16"/>
        </w:rPr>
        <w:t xml:space="preserve">,  is a sexual contact of a confirmed outbreak case (category 2 outbreak cases). </w:t>
      </w:r>
    </w:p>
    <w:p w14:paraId="57B04912" w14:textId="77777777" w:rsidR="00AC0A8B" w:rsidRPr="00497745" w:rsidRDefault="00AC0A8B" w:rsidP="00AC0A8B">
      <w:pPr>
        <w:spacing w:after="0" w:line="240" w:lineRule="auto"/>
        <w:ind w:left="-426" w:right="119" w:hanging="141"/>
        <w:rPr>
          <w:sz w:val="16"/>
          <w:szCs w:val="16"/>
        </w:rPr>
      </w:pPr>
      <w:r w:rsidRPr="00497745">
        <w:rPr>
          <w:b/>
          <w:sz w:val="16"/>
          <w:szCs w:val="16"/>
          <w:vertAlign w:val="superscript"/>
        </w:rPr>
        <w:t>β</w:t>
      </w:r>
      <w:r w:rsidRPr="00497745">
        <w:rPr>
          <w:sz w:val="16"/>
          <w:szCs w:val="16"/>
          <w:vertAlign w:val="superscript"/>
        </w:rPr>
        <w:t xml:space="preserve"> </w:t>
      </w:r>
      <w:r w:rsidRPr="00497745">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w:t>
      </w:r>
      <w:r>
        <w:rPr>
          <w:sz w:val="16"/>
          <w:szCs w:val="16"/>
        </w:rPr>
        <w:t>,</w:t>
      </w:r>
      <w:r w:rsidRPr="00497745">
        <w:rPr>
          <w:sz w:val="16"/>
          <w:szCs w:val="16"/>
        </w:rPr>
        <w:t xml:space="preserve"> Western and Eyre</w:t>
      </w:r>
      <w:r>
        <w:rPr>
          <w:sz w:val="16"/>
          <w:szCs w:val="16"/>
        </w:rPr>
        <w:t xml:space="preserve"> and Adelaide</w:t>
      </w:r>
      <w:r w:rsidRPr="00497745">
        <w:rPr>
          <w:sz w:val="16"/>
          <w:szCs w:val="16"/>
        </w:rPr>
        <w:t xml:space="preserve"> regions in South Australia.</w:t>
      </w:r>
    </w:p>
    <w:p w14:paraId="57B04913" w14:textId="77777777" w:rsidR="00AC0A8B" w:rsidRPr="00497745" w:rsidRDefault="00AC0A8B" w:rsidP="00AC0A8B">
      <w:pPr>
        <w:spacing w:after="0" w:line="240" w:lineRule="auto"/>
        <w:ind w:left="-426" w:right="119" w:hanging="141"/>
        <w:rPr>
          <w:sz w:val="16"/>
          <w:szCs w:val="16"/>
        </w:rPr>
      </w:pPr>
      <w:r w:rsidRPr="00497745">
        <w:rPr>
          <w:rFonts w:ascii="Calibri" w:eastAsia="Times New Roman" w:hAnsi="Calibri" w:cs="Arial"/>
          <w:sz w:val="20"/>
          <w:szCs w:val="20"/>
          <w:vertAlign w:val="superscript"/>
          <w:lang w:eastAsia="en-AU"/>
        </w:rPr>
        <w:t>«</w:t>
      </w:r>
      <w:r w:rsidRPr="00497745">
        <w:rPr>
          <w:rFonts w:ascii="Calibri" w:eastAsia="Times New Roman" w:hAnsi="Calibri" w:cs="Arial"/>
          <w:sz w:val="20"/>
          <w:szCs w:val="20"/>
          <w:lang w:eastAsia="en-AU"/>
        </w:rPr>
        <w:t xml:space="preserve"> </w:t>
      </w:r>
      <w:r w:rsidRPr="00497745">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914" w14:textId="77777777" w:rsidR="00AC0A8B" w:rsidRPr="00497745" w:rsidRDefault="00AC0A8B" w:rsidP="00AC0A8B">
      <w:pPr>
        <w:spacing w:after="0" w:line="240" w:lineRule="auto"/>
        <w:ind w:left="-426" w:right="119" w:hanging="141"/>
        <w:rPr>
          <w:sz w:val="16"/>
          <w:szCs w:val="16"/>
        </w:rPr>
      </w:pPr>
      <w:r w:rsidRPr="00497745">
        <w:rPr>
          <w:rFonts w:ascii="Agency FB" w:hAnsi="Agency FB"/>
          <w:sz w:val="20"/>
          <w:szCs w:val="16"/>
          <w:vertAlign w:val="superscript"/>
        </w:rPr>
        <w:t>§</w:t>
      </w:r>
      <w:r w:rsidRPr="00497745">
        <w:rPr>
          <w:rFonts w:ascii="Agency FB" w:hAnsi="Agency FB"/>
          <w:sz w:val="20"/>
          <w:szCs w:val="16"/>
        </w:rPr>
        <w:t xml:space="preserve"> </w:t>
      </w:r>
      <w:r w:rsidRPr="00497745">
        <w:rPr>
          <w:sz w:val="16"/>
          <w:szCs w:val="16"/>
        </w:rPr>
        <w:t>Aboriginal and Torres Strait Islander people who are sexual contacts of a confirmed outbreak case and reside outside an outbreak declared region at the time of diagnosis.</w:t>
      </w:r>
    </w:p>
    <w:p w14:paraId="57B04915" w14:textId="77777777" w:rsidR="00AC0A8B" w:rsidRPr="00497745" w:rsidRDefault="00AC0A8B" w:rsidP="00AC0A8B">
      <w:pPr>
        <w:spacing w:after="0" w:line="240" w:lineRule="auto"/>
        <w:ind w:left="-426" w:right="119" w:hanging="141"/>
        <w:rPr>
          <w:sz w:val="16"/>
          <w:szCs w:val="16"/>
        </w:rPr>
      </w:pPr>
      <w:r w:rsidRPr="00497745">
        <w:rPr>
          <w:sz w:val="20"/>
          <w:szCs w:val="16"/>
          <w:vertAlign w:val="superscript"/>
        </w:rPr>
        <w:t>µ</w:t>
      </w:r>
      <w:r w:rsidRPr="00497745">
        <w:rPr>
          <w:sz w:val="20"/>
          <w:szCs w:val="16"/>
        </w:rPr>
        <w:t xml:space="preserve"> </w:t>
      </w:r>
      <w:r w:rsidRPr="00497745">
        <w:rPr>
          <w:sz w:val="16"/>
          <w:szCs w:val="16"/>
        </w:rPr>
        <w:t>Non-Indigenous people who are sexual contacts of a confirmed outbreak case and reside in or out of an outbreak declared region at the time of diagnosis.</w:t>
      </w:r>
    </w:p>
    <w:p w14:paraId="57B04916" w14:textId="77777777" w:rsidR="00AC0A8B" w:rsidRPr="00216285" w:rsidRDefault="00AC0A8B" w:rsidP="00AC0A8B">
      <w:pPr>
        <w:pStyle w:val="ListParagraph"/>
        <w:spacing w:after="0" w:line="240" w:lineRule="auto"/>
        <w:ind w:left="-567" w:right="119"/>
        <w:contextualSpacing w:val="0"/>
        <w:rPr>
          <w:rFonts w:ascii="Arial" w:hAnsi="Arial" w:cs="Arial"/>
          <w:b/>
        </w:rPr>
      </w:pPr>
      <w:r w:rsidRPr="00497745">
        <w:rPr>
          <w:b/>
          <w:sz w:val="16"/>
          <w:szCs w:val="16"/>
        </w:rPr>
        <w:t>ᵞ</w:t>
      </w:r>
      <w:r w:rsidRPr="00497745">
        <w:rPr>
          <w:sz w:val="16"/>
          <w:szCs w:val="16"/>
        </w:rPr>
        <w:t xml:space="preserve"> </w:t>
      </w:r>
      <w:proofErr w:type="gramStart"/>
      <w:r w:rsidRPr="00497745">
        <w:rPr>
          <w:sz w:val="16"/>
          <w:szCs w:val="16"/>
          <w:u w:val="single"/>
        </w:rPr>
        <w:t>Please</w:t>
      </w:r>
      <w:proofErr w:type="gramEnd"/>
      <w:r w:rsidRPr="00497745">
        <w:rPr>
          <w:sz w:val="16"/>
          <w:szCs w:val="16"/>
          <w:u w:val="single"/>
        </w:rPr>
        <w:t xml:space="preserve"> note that </w:t>
      </w:r>
      <w:r w:rsidRPr="00497745">
        <w:rPr>
          <w:b/>
          <w:sz w:val="16"/>
          <w:szCs w:val="16"/>
          <w:u w:val="single"/>
        </w:rPr>
        <w:t>all data are provisional</w:t>
      </w:r>
      <w:r w:rsidRPr="00497745">
        <w:rPr>
          <w:sz w:val="16"/>
          <w:szCs w:val="16"/>
          <w:u w:val="single"/>
        </w:rPr>
        <w:t xml:space="preserve"> and subject to change due to ongoing case investigation</w:t>
      </w:r>
      <w:r w:rsidRPr="00497745">
        <w:rPr>
          <w:sz w:val="16"/>
          <w:szCs w:val="16"/>
        </w:rPr>
        <w:t>.</w:t>
      </w:r>
    </w:p>
    <w:p w14:paraId="57B04917" w14:textId="77777777" w:rsidR="00580C89" w:rsidRDefault="00580C89">
      <w:pPr>
        <w:rPr>
          <w:rFonts w:ascii="Arial" w:hAnsi="Arial" w:cs="Arial"/>
          <w:b/>
          <w:sz w:val="28"/>
          <w:szCs w:val="24"/>
        </w:rPr>
      </w:pPr>
      <w:r>
        <w:rPr>
          <w:rFonts w:ascii="Arial" w:hAnsi="Arial" w:cs="Arial"/>
          <w:b/>
          <w:sz w:val="28"/>
          <w:szCs w:val="24"/>
        </w:rPr>
        <w:br w:type="page"/>
      </w:r>
    </w:p>
    <w:p w14:paraId="57B04918" w14:textId="77777777" w:rsidR="00AC0A8B" w:rsidRPr="00BE34E6" w:rsidRDefault="00AC0A8B" w:rsidP="00AC0A8B">
      <w:pPr>
        <w:spacing w:after="0" w:line="240" w:lineRule="auto"/>
        <w:ind w:left="-567" w:right="261"/>
        <w:jc w:val="center"/>
        <w:rPr>
          <w:rFonts w:ascii="Arial" w:hAnsi="Arial" w:cs="Arial"/>
          <w:b/>
          <w:sz w:val="28"/>
          <w:szCs w:val="24"/>
        </w:rPr>
      </w:pPr>
      <w:r w:rsidRPr="00BE34E6">
        <w:rPr>
          <w:rFonts w:ascii="Arial" w:hAnsi="Arial" w:cs="Arial"/>
          <w:b/>
          <w:sz w:val="28"/>
          <w:szCs w:val="24"/>
        </w:rPr>
        <w:lastRenderedPageBreak/>
        <w:t xml:space="preserve">MULTIJURISDICTIONAL SYPHILIS OUTBREAK </w:t>
      </w:r>
      <w:r w:rsidRPr="00BE34E6">
        <w:rPr>
          <w:rFonts w:ascii="Arial" w:hAnsi="Arial" w:cs="Arial"/>
          <w:b/>
          <w:sz w:val="28"/>
          <w:szCs w:val="24"/>
        </w:rPr>
        <w:br/>
        <w:t>SURVEILLANCE REPORT: APRIL 2019</w:t>
      </w:r>
    </w:p>
    <w:p w14:paraId="57B04919" w14:textId="77777777" w:rsidR="00AC0A8B" w:rsidRPr="00BE34E6" w:rsidRDefault="00AC0A8B" w:rsidP="00AC0A8B">
      <w:pPr>
        <w:spacing w:after="0" w:line="120" w:lineRule="auto"/>
        <w:ind w:left="-567" w:right="-612"/>
        <w:jc w:val="center"/>
        <w:rPr>
          <w:rFonts w:ascii="Arial" w:hAnsi="Arial" w:cs="Arial"/>
          <w:b/>
          <w:sz w:val="24"/>
          <w:szCs w:val="24"/>
        </w:rPr>
      </w:pPr>
    </w:p>
    <w:p w14:paraId="57B0491A" w14:textId="77777777" w:rsidR="00AC0A8B" w:rsidRPr="00BE34E6" w:rsidRDefault="00AC0A8B" w:rsidP="00AC0A8B">
      <w:pPr>
        <w:spacing w:after="0" w:line="240" w:lineRule="auto"/>
        <w:ind w:left="-567" w:right="119"/>
        <w:jc w:val="center"/>
        <w:rPr>
          <w:rFonts w:ascii="Arial" w:hAnsi="Arial" w:cs="Arial"/>
          <w:b/>
          <w:sz w:val="24"/>
          <w:szCs w:val="24"/>
        </w:rPr>
      </w:pPr>
      <w:r w:rsidRPr="00BE34E6">
        <w:rPr>
          <w:rFonts w:ascii="Arial" w:hAnsi="Arial" w:cs="Arial"/>
          <w:b/>
          <w:sz w:val="24"/>
          <w:szCs w:val="24"/>
        </w:rPr>
        <w:t>This surveillance report has been authorised by Health Departments in outbreak affected jurisdictions and the Office of Health Protection.</w:t>
      </w:r>
    </w:p>
    <w:p w14:paraId="57B0491B" w14:textId="77777777" w:rsidR="00AC0A8B" w:rsidRPr="00BE34E6" w:rsidRDefault="00AC0A8B" w:rsidP="00AC0A8B">
      <w:pPr>
        <w:spacing w:after="0" w:line="240" w:lineRule="auto"/>
        <w:ind w:right="-613"/>
        <w:rPr>
          <w:rFonts w:ascii="Arial" w:hAnsi="Arial" w:cs="Arial"/>
          <w:sz w:val="20"/>
          <w:szCs w:val="20"/>
        </w:rPr>
      </w:pPr>
    </w:p>
    <w:p w14:paraId="57B0491C" w14:textId="77777777" w:rsidR="00AC0A8B" w:rsidRPr="00055F10" w:rsidRDefault="00AC0A8B" w:rsidP="00AC0A8B">
      <w:pPr>
        <w:pStyle w:val="PlainText"/>
        <w:ind w:left="-709" w:right="-23"/>
        <w:jc w:val="both"/>
        <w:rPr>
          <w:color w:val="000000" w:themeColor="text1"/>
        </w:rPr>
      </w:pPr>
      <w:r w:rsidRPr="00BE34E6">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BE34E6">
        <w:rPr>
          <w:rFonts w:cs="Arial"/>
          <w:color w:val="000000" w:themeColor="text1"/>
          <w:szCs w:val="20"/>
        </w:rPr>
        <w:t xml:space="preserve">rural areas of northern Australia. </w:t>
      </w:r>
      <w:r w:rsidRPr="00BE34E6">
        <w:rPr>
          <w:color w:val="000000" w:themeColor="text1"/>
        </w:rPr>
        <w:t xml:space="preserve">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w:t>
      </w:r>
      <w:r w:rsidRPr="00055F10">
        <w:rPr>
          <w:color w:val="000000" w:themeColor="text1"/>
        </w:rPr>
        <w:t xml:space="preserve">February 2018. </w:t>
      </w:r>
    </w:p>
    <w:p w14:paraId="57B0491D" w14:textId="77777777" w:rsidR="00AC0A8B" w:rsidRPr="00055F10" w:rsidRDefault="00AC0A8B" w:rsidP="00AC0A8B">
      <w:pPr>
        <w:pStyle w:val="PlainText"/>
        <w:ind w:left="-709" w:right="-23"/>
        <w:rPr>
          <w:color w:val="000000" w:themeColor="text1"/>
        </w:rPr>
      </w:pPr>
    </w:p>
    <w:p w14:paraId="57B0491E" w14:textId="77777777" w:rsidR="00AC0A8B" w:rsidRPr="00055F10" w:rsidRDefault="00AC0A8B" w:rsidP="00AC0A8B">
      <w:pPr>
        <w:pStyle w:val="PlainText"/>
        <w:ind w:left="-709" w:right="-23"/>
        <w:rPr>
          <w:color w:val="000000" w:themeColor="text1"/>
        </w:rPr>
      </w:pPr>
      <w:r w:rsidRPr="00055F10">
        <w:rPr>
          <w:color w:val="000000" w:themeColor="text1"/>
        </w:rPr>
        <w:t>This surveillance report summarises the outbreak epidemiological data as of 31 March 2019 (current status).</w:t>
      </w:r>
    </w:p>
    <w:p w14:paraId="57B0491F" w14:textId="77777777" w:rsidR="00AC0A8B" w:rsidRPr="00055F10" w:rsidRDefault="00AC0A8B" w:rsidP="00AC0A8B">
      <w:pPr>
        <w:pStyle w:val="PlainText"/>
        <w:ind w:left="-709" w:right="-23"/>
        <w:rPr>
          <w:color w:val="000000" w:themeColor="text1"/>
        </w:rPr>
      </w:pPr>
    </w:p>
    <w:p w14:paraId="57B04920" w14:textId="77777777" w:rsidR="00AC0A8B" w:rsidRPr="00055F10" w:rsidRDefault="00AC0A8B" w:rsidP="00AC0A8B">
      <w:pPr>
        <w:pStyle w:val="PlainText"/>
        <w:ind w:left="-709" w:right="-23"/>
        <w:rPr>
          <w:color w:val="000000" w:themeColor="text1"/>
        </w:rPr>
      </w:pPr>
      <w:r w:rsidRPr="00055F10">
        <w:rPr>
          <w:b/>
          <w:color w:val="000000" w:themeColor="text1"/>
        </w:rPr>
        <w:t>Please note:</w:t>
      </w:r>
      <w:r w:rsidRPr="00055F10">
        <w:rPr>
          <w:color w:val="000000" w:themeColor="text1"/>
        </w:rPr>
        <w:t xml:space="preserve"> the MJSO Surveillance Report was formerly known as the MJSO Communique. Historical epidemiological data and MJSO activities are published in earlier MJSO Communiques available at </w:t>
      </w:r>
      <w:r w:rsidRPr="00055F10">
        <w:rPr>
          <w:i/>
          <w:szCs w:val="20"/>
        </w:rPr>
        <w:t xml:space="preserve">http://www.health.gov.au/internet/main/publishing.nsf/Content/ohp-infectious-syphilis-outbreak.htm </w:t>
      </w:r>
    </w:p>
    <w:p w14:paraId="57B04921" w14:textId="77777777" w:rsidR="00AC0A8B" w:rsidRPr="00055F10" w:rsidRDefault="00AC0A8B" w:rsidP="00AC0A8B">
      <w:pPr>
        <w:pStyle w:val="PlainText"/>
        <w:ind w:left="-709" w:right="-23"/>
      </w:pPr>
    </w:p>
    <w:p w14:paraId="57B04922" w14:textId="77777777" w:rsidR="00AC0A8B" w:rsidRPr="00055F10" w:rsidRDefault="00AC0A8B" w:rsidP="00AC0A8B">
      <w:pPr>
        <w:spacing w:after="0" w:line="240" w:lineRule="auto"/>
        <w:ind w:left="-709" w:right="-23"/>
        <w:jc w:val="both"/>
        <w:rPr>
          <w:rFonts w:ascii="Arial" w:hAnsi="Arial" w:cs="Arial"/>
          <w:b/>
        </w:rPr>
      </w:pPr>
      <w:r w:rsidRPr="00055F10">
        <w:rPr>
          <w:rFonts w:ascii="Arial" w:hAnsi="Arial" w:cs="Arial"/>
          <w:b/>
        </w:rPr>
        <w:t>Current status</w:t>
      </w:r>
    </w:p>
    <w:p w14:paraId="57B04923" w14:textId="77777777" w:rsidR="00AC0A8B" w:rsidRPr="00055F10" w:rsidRDefault="00AC0A8B" w:rsidP="00AC0A8B">
      <w:pPr>
        <w:spacing w:after="0" w:line="240" w:lineRule="auto"/>
        <w:ind w:left="-709" w:right="-23"/>
        <w:jc w:val="both"/>
        <w:rPr>
          <w:rFonts w:ascii="Arial" w:hAnsi="Arial" w:cs="Arial"/>
          <w:sz w:val="20"/>
          <w:szCs w:val="20"/>
        </w:rPr>
      </w:pPr>
      <w:r w:rsidRPr="00055F10">
        <w:rPr>
          <w:rFonts w:ascii="Arial" w:hAnsi="Arial" w:cs="Arial"/>
          <w:sz w:val="20"/>
          <w:szCs w:val="20"/>
        </w:rPr>
        <w:t xml:space="preserve">Outbreak data to </w:t>
      </w:r>
      <w:r w:rsidRPr="00055F10">
        <w:rPr>
          <w:color w:val="000000" w:themeColor="text1"/>
        </w:rPr>
        <w:t>31 March 2019</w:t>
      </w:r>
      <w:r w:rsidRPr="00055F10">
        <w:rPr>
          <w:rFonts w:ascii="Arial" w:hAnsi="Arial" w:cs="Arial"/>
          <w:sz w:val="20"/>
          <w:szCs w:val="20"/>
          <w:vertAlign w:val="superscript"/>
        </w:rPr>
        <w:t>ȶ</w:t>
      </w:r>
      <w:r w:rsidRPr="00055F10">
        <w:rPr>
          <w:rFonts w:ascii="Arial" w:hAnsi="Arial" w:cs="Arial"/>
          <w:sz w:val="20"/>
          <w:szCs w:val="20"/>
        </w:rPr>
        <w:t xml:space="preserve"> are summarised in Figure 1, Table 1 and Table 2 below.</w:t>
      </w:r>
    </w:p>
    <w:p w14:paraId="57B04924" w14:textId="77777777" w:rsidR="00AC0A8B" w:rsidRPr="00055F10" w:rsidRDefault="00AC0A8B" w:rsidP="00AC0A8B">
      <w:pPr>
        <w:spacing w:after="0" w:line="240" w:lineRule="auto"/>
        <w:ind w:left="-709" w:right="-23"/>
        <w:jc w:val="both"/>
        <w:rPr>
          <w:rFonts w:ascii="Arial" w:hAnsi="Arial" w:cs="Arial"/>
          <w:sz w:val="20"/>
          <w:szCs w:val="20"/>
        </w:rPr>
      </w:pPr>
    </w:p>
    <w:p w14:paraId="57B04925" w14:textId="77777777" w:rsidR="00AC0A8B" w:rsidRPr="00055F10" w:rsidRDefault="00AC0A8B" w:rsidP="00AC0A8B">
      <w:pPr>
        <w:spacing w:after="0" w:line="240" w:lineRule="auto"/>
        <w:ind w:left="-709" w:right="-23"/>
        <w:jc w:val="both"/>
        <w:rPr>
          <w:rFonts w:ascii="Arial" w:hAnsi="Arial" w:cs="Arial"/>
          <w:sz w:val="20"/>
          <w:szCs w:val="20"/>
        </w:rPr>
      </w:pPr>
      <w:r w:rsidRPr="00055F10">
        <w:rPr>
          <w:rFonts w:ascii="Arial" w:hAnsi="Arial" w:cs="Arial"/>
          <w:sz w:val="20"/>
          <w:szCs w:val="20"/>
        </w:rPr>
        <w:t>Outbreak cases are reported as either category 1 or category 2: category 1 cases include Aboriginal and Torres Strait Islander people residing in an outbreak declared region</w:t>
      </w:r>
      <w:r w:rsidRPr="00055F10">
        <w:rPr>
          <w:rFonts w:ascii="Arial" w:hAnsi="Arial" w:cs="Arial"/>
          <w:sz w:val="20"/>
          <w:szCs w:val="20"/>
          <w:vertAlign w:val="superscript"/>
        </w:rPr>
        <w:t>β</w:t>
      </w:r>
      <w:r w:rsidRPr="00055F10">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57B04926" w14:textId="77777777" w:rsidR="00AC0A8B" w:rsidRPr="00541A21" w:rsidRDefault="00AC0A8B" w:rsidP="00AC0A8B">
      <w:pPr>
        <w:spacing w:after="0" w:line="240" w:lineRule="auto"/>
        <w:ind w:left="-709" w:right="-23"/>
        <w:jc w:val="both"/>
        <w:rPr>
          <w:rFonts w:ascii="Arial" w:hAnsi="Arial" w:cs="Arial"/>
          <w:sz w:val="20"/>
          <w:szCs w:val="20"/>
          <w:highlight w:val="yellow"/>
        </w:rPr>
      </w:pPr>
    </w:p>
    <w:p w14:paraId="57B04927" w14:textId="77777777" w:rsidR="00AC0A8B" w:rsidRPr="00541A21" w:rsidRDefault="00AC0A8B" w:rsidP="00AC0A8B">
      <w:pPr>
        <w:spacing w:after="0" w:line="240" w:lineRule="auto"/>
        <w:ind w:left="-709" w:right="-23"/>
        <w:jc w:val="both"/>
        <w:rPr>
          <w:rFonts w:ascii="Arial" w:hAnsi="Arial" w:cs="Arial"/>
          <w:sz w:val="20"/>
          <w:szCs w:val="20"/>
          <w:highlight w:val="yellow"/>
        </w:rPr>
      </w:pPr>
      <w:r w:rsidRPr="005E47DE">
        <w:rPr>
          <w:rFonts w:ascii="Arial" w:hAnsi="Arial" w:cs="Arial"/>
          <w:sz w:val="20"/>
          <w:szCs w:val="20"/>
        </w:rPr>
        <w:t xml:space="preserve">Between 1 – </w:t>
      </w:r>
      <w:r w:rsidRPr="005E47DE">
        <w:rPr>
          <w:color w:val="000000" w:themeColor="text1"/>
        </w:rPr>
        <w:t>31 March 2019</w:t>
      </w:r>
      <w:r w:rsidRPr="005E47DE">
        <w:rPr>
          <w:rFonts w:ascii="Arial" w:hAnsi="Arial" w:cs="Arial"/>
          <w:sz w:val="20"/>
          <w:szCs w:val="20"/>
          <w:vertAlign w:val="superscript"/>
        </w:rPr>
        <w:t>ȶ</w:t>
      </w:r>
      <w:r w:rsidRPr="005E47DE">
        <w:rPr>
          <w:rFonts w:ascii="Arial" w:hAnsi="Arial" w:cs="Arial"/>
          <w:sz w:val="20"/>
          <w:szCs w:val="20"/>
        </w:rPr>
        <w:t>, there were 62 outbreak cases (</w:t>
      </w:r>
      <w:r w:rsidRPr="001D0790">
        <w:rPr>
          <w:rFonts w:ascii="Arial" w:hAnsi="Arial" w:cs="Arial"/>
          <w:sz w:val="20"/>
          <w:szCs w:val="20"/>
        </w:rPr>
        <w:t xml:space="preserve">category 1 and 2 cases) reported from the four outbreak affected jurisdictions: 21 in Queensland; 24 in the Northern Territory; 17 in Western Australia and; </w:t>
      </w:r>
      <w:proofErr w:type="gramStart"/>
      <w:r w:rsidRPr="001D0790">
        <w:rPr>
          <w:rFonts w:ascii="Arial" w:hAnsi="Arial" w:cs="Arial"/>
          <w:sz w:val="20"/>
          <w:szCs w:val="20"/>
        </w:rPr>
        <w:t>0</w:t>
      </w:r>
      <w:proofErr w:type="gramEnd"/>
      <w:r w:rsidRPr="001D0790">
        <w:rPr>
          <w:rFonts w:ascii="Arial" w:hAnsi="Arial" w:cs="Arial"/>
          <w:sz w:val="20"/>
          <w:szCs w:val="20"/>
        </w:rPr>
        <w:t xml:space="preserve"> in South Australia (Figure 1, Table 1 and Table 2).  From the commencement of the outbreak to </w:t>
      </w:r>
      <w:r w:rsidRPr="001D0790">
        <w:rPr>
          <w:color w:val="000000" w:themeColor="text1"/>
        </w:rPr>
        <w:t xml:space="preserve">31 March </w:t>
      </w:r>
      <w:r w:rsidRPr="001D0790">
        <w:rPr>
          <w:rFonts w:ascii="Arial" w:hAnsi="Arial" w:cs="Arial"/>
          <w:sz w:val="20"/>
          <w:szCs w:val="20"/>
        </w:rPr>
        <w:t>2019</w:t>
      </w:r>
      <w:r w:rsidRPr="001D0790">
        <w:rPr>
          <w:rFonts w:ascii="Arial" w:hAnsi="Arial" w:cs="Arial"/>
          <w:sz w:val="20"/>
          <w:szCs w:val="20"/>
          <w:vertAlign w:val="superscript"/>
        </w:rPr>
        <w:t xml:space="preserve"> ȶ</w:t>
      </w:r>
      <w:r w:rsidRPr="001D0790">
        <w:rPr>
          <w:rFonts w:ascii="Arial" w:hAnsi="Arial" w:cs="Arial"/>
          <w:sz w:val="20"/>
          <w:szCs w:val="20"/>
        </w:rPr>
        <w:t>, there were a total of 2668 outbreak cases (category 1 and 2 cases) reported across the four outbreak affected jurisdictions: 1310 in Queensland (from January 2011); 1015 in the Northern Territory (from July 2013); 276 in Western Australia (from June 2014), and; 67 in South Australia (from November 2016) (Table 1 and 2).</w:t>
      </w:r>
    </w:p>
    <w:p w14:paraId="57B04928" w14:textId="77777777" w:rsidR="00AC0A8B" w:rsidRPr="00541A21" w:rsidRDefault="00AC0A8B" w:rsidP="00AC0A8B">
      <w:pPr>
        <w:spacing w:after="0" w:line="240" w:lineRule="auto"/>
        <w:ind w:left="-709" w:right="-23"/>
        <w:jc w:val="both"/>
        <w:rPr>
          <w:rFonts w:ascii="Arial" w:hAnsi="Arial" w:cs="Arial"/>
          <w:sz w:val="20"/>
          <w:szCs w:val="20"/>
          <w:highlight w:val="yellow"/>
        </w:rPr>
      </w:pPr>
    </w:p>
    <w:p w14:paraId="57B04929" w14:textId="77777777" w:rsidR="00AC0A8B" w:rsidRPr="00055F10" w:rsidRDefault="00AC0A8B" w:rsidP="00AC0A8B">
      <w:pPr>
        <w:spacing w:after="0" w:line="240" w:lineRule="auto"/>
        <w:ind w:left="-709" w:right="-23"/>
        <w:jc w:val="both"/>
        <w:rPr>
          <w:rFonts w:ascii="Arial" w:hAnsi="Arial" w:cs="Arial"/>
          <w:sz w:val="20"/>
          <w:szCs w:val="20"/>
          <w:vertAlign w:val="superscript"/>
        </w:rPr>
      </w:pPr>
      <w:r w:rsidRPr="00055F10">
        <w:rPr>
          <w:rFonts w:ascii="Arial" w:hAnsi="Arial" w:cs="Arial"/>
          <w:b/>
          <w:sz w:val="20"/>
          <w:szCs w:val="20"/>
        </w:rPr>
        <w:t>Figure 1</w:t>
      </w:r>
      <w:r w:rsidRPr="00055F10">
        <w:rPr>
          <w:rFonts w:ascii="Arial" w:hAnsi="Arial" w:cs="Arial"/>
          <w:sz w:val="20"/>
          <w:szCs w:val="20"/>
        </w:rPr>
        <w:t>. Epidemic curve showing category 1 infectious syphilis</w:t>
      </w:r>
      <w:r w:rsidRPr="00055F10">
        <w:rPr>
          <w:rFonts w:ascii="Arial" w:hAnsi="Arial" w:cs="Arial"/>
          <w:sz w:val="20"/>
          <w:szCs w:val="20"/>
          <w:vertAlign w:val="superscript"/>
        </w:rPr>
        <w:t xml:space="preserve"> α</w:t>
      </w:r>
      <w:r w:rsidRPr="00055F10">
        <w:rPr>
          <w:rFonts w:ascii="Arial" w:hAnsi="Arial" w:cs="Arial"/>
          <w:sz w:val="20"/>
          <w:szCs w:val="20"/>
        </w:rPr>
        <w:t xml:space="preserve"> outbreak cases notified in Aboriginal and Torres Strait Islander people residing in affected regions</w:t>
      </w:r>
      <w:r w:rsidRPr="00055F10">
        <w:rPr>
          <w:rFonts w:ascii="Arial" w:hAnsi="Arial" w:cs="Arial"/>
          <w:sz w:val="20"/>
          <w:szCs w:val="20"/>
          <w:vertAlign w:val="superscript"/>
        </w:rPr>
        <w:t>β</w:t>
      </w:r>
      <w:r w:rsidRPr="00055F10">
        <w:rPr>
          <w:rFonts w:ascii="Arial" w:hAnsi="Arial" w:cs="Arial"/>
          <w:sz w:val="20"/>
          <w:szCs w:val="20"/>
        </w:rPr>
        <w:t xml:space="preserve"> of Queensland, the Northern Territory, Western Australia and South Australia from commencement of the outbreak in each jurisdiction to </w:t>
      </w:r>
      <w:r w:rsidRPr="00055F10">
        <w:rPr>
          <w:color w:val="000000" w:themeColor="text1"/>
        </w:rPr>
        <w:t>31 March 2019</w:t>
      </w:r>
      <w:r w:rsidRPr="00055F10">
        <w:rPr>
          <w:rFonts w:ascii="Arial" w:hAnsi="Arial" w:cs="Arial"/>
          <w:sz w:val="20"/>
          <w:szCs w:val="20"/>
          <w:vertAlign w:val="superscript"/>
        </w:rPr>
        <w:t xml:space="preserve">ȶ ᵞ </w:t>
      </w:r>
    </w:p>
    <w:p w14:paraId="57B0492A" w14:textId="77777777" w:rsidR="00AC0A8B" w:rsidRPr="00541A21" w:rsidRDefault="00AC0A8B" w:rsidP="00AC0A8B">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lang w:eastAsia="en-AU"/>
        </w:rPr>
        <w:drawing>
          <wp:inline distT="0" distB="0" distL="0" distR="0" wp14:anchorId="57B04EC6" wp14:editId="57B04EC7">
            <wp:extent cx="6753225" cy="3952607"/>
            <wp:effectExtent l="0" t="0" r="0" b="0"/>
            <wp:docPr id="1" name="Picture 1"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March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5729" cy="3954073"/>
                    </a:xfrm>
                    <a:prstGeom prst="rect">
                      <a:avLst/>
                    </a:prstGeom>
                    <a:noFill/>
                  </pic:spPr>
                </pic:pic>
              </a:graphicData>
            </a:graphic>
          </wp:inline>
        </w:drawing>
      </w:r>
      <w:r w:rsidRPr="00541A21">
        <w:rPr>
          <w:rFonts w:ascii="Arial" w:hAnsi="Arial" w:cs="Arial"/>
          <w:b/>
          <w:sz w:val="20"/>
          <w:szCs w:val="20"/>
          <w:highlight w:val="yellow"/>
        </w:rPr>
        <w:br w:type="page"/>
      </w:r>
    </w:p>
    <w:p w14:paraId="57B0492B" w14:textId="77777777" w:rsidR="00AC0A8B" w:rsidRPr="00055F10" w:rsidRDefault="00AC0A8B" w:rsidP="00AC0A8B">
      <w:pPr>
        <w:spacing w:after="0" w:line="240" w:lineRule="auto"/>
        <w:ind w:left="-567"/>
        <w:rPr>
          <w:rFonts w:ascii="Arial" w:hAnsi="Arial" w:cs="Arial"/>
          <w:b/>
          <w:sz w:val="20"/>
          <w:szCs w:val="20"/>
        </w:rPr>
      </w:pPr>
    </w:p>
    <w:p w14:paraId="57B0492C" w14:textId="77777777" w:rsidR="00AC0A8B" w:rsidRPr="00055F10" w:rsidRDefault="00AC0A8B" w:rsidP="00AC0A8B">
      <w:pPr>
        <w:spacing w:after="0" w:line="240" w:lineRule="auto"/>
        <w:ind w:left="-709"/>
        <w:rPr>
          <w:rFonts w:ascii="Arial" w:hAnsi="Arial" w:cs="Arial"/>
          <w:sz w:val="20"/>
          <w:szCs w:val="20"/>
        </w:rPr>
      </w:pPr>
      <w:r w:rsidRPr="00055F10">
        <w:rPr>
          <w:rFonts w:ascii="Arial" w:hAnsi="Arial" w:cs="Arial"/>
          <w:b/>
          <w:sz w:val="20"/>
          <w:szCs w:val="20"/>
        </w:rPr>
        <w:t>Table 1</w:t>
      </w:r>
      <w:r w:rsidRPr="00055F10">
        <w:rPr>
          <w:rFonts w:ascii="Arial" w:hAnsi="Arial" w:cs="Arial"/>
          <w:sz w:val="20"/>
          <w:szCs w:val="20"/>
        </w:rPr>
        <w:t>.</w:t>
      </w:r>
      <w:r w:rsidRPr="00055F10">
        <w:rPr>
          <w:rFonts w:ascii="Arial" w:hAnsi="Arial" w:cs="Arial"/>
          <w:b/>
          <w:sz w:val="20"/>
          <w:szCs w:val="20"/>
        </w:rPr>
        <w:t xml:space="preserve"> </w:t>
      </w:r>
      <w:r w:rsidRPr="00055F10">
        <w:rPr>
          <w:rFonts w:ascii="Arial" w:hAnsi="Arial" w:cs="Arial"/>
          <w:sz w:val="20"/>
          <w:szCs w:val="20"/>
        </w:rPr>
        <w:t>Characteristics of category 1 infectious syphilis</w:t>
      </w:r>
      <w:r w:rsidRPr="00055F10">
        <w:rPr>
          <w:rFonts w:ascii="Arial" w:hAnsi="Arial" w:cs="Arial"/>
          <w:sz w:val="20"/>
          <w:szCs w:val="20"/>
          <w:vertAlign w:val="superscript"/>
        </w:rPr>
        <w:t>α</w:t>
      </w:r>
      <w:r w:rsidRPr="00055F10">
        <w:rPr>
          <w:rFonts w:ascii="Arial" w:hAnsi="Arial" w:cs="Arial"/>
          <w:sz w:val="20"/>
          <w:szCs w:val="20"/>
        </w:rPr>
        <w:t xml:space="preserve"> outbreak cases notified in Aboriginal and Torres Strait Islander people residing in affected regions</w:t>
      </w:r>
      <w:r w:rsidRPr="00055F10">
        <w:rPr>
          <w:rFonts w:ascii="Arial" w:hAnsi="Arial" w:cs="Arial"/>
          <w:sz w:val="20"/>
          <w:szCs w:val="20"/>
          <w:vertAlign w:val="superscript"/>
        </w:rPr>
        <w:t>β</w:t>
      </w:r>
      <w:r w:rsidRPr="00055F10">
        <w:rPr>
          <w:rFonts w:ascii="Arial" w:hAnsi="Arial" w:cs="Arial"/>
          <w:sz w:val="20"/>
          <w:szCs w:val="20"/>
        </w:rPr>
        <w:t xml:space="preserve"> of Queensland, the Northern Territory, Western Australia and South Australia, to </w:t>
      </w:r>
      <w:r w:rsidRPr="00055F10">
        <w:rPr>
          <w:rFonts w:ascii="Arial" w:hAnsi="Arial" w:cs="Arial"/>
          <w:sz w:val="20"/>
          <w:szCs w:val="20"/>
        </w:rPr>
        <w:br/>
      </w:r>
      <w:r w:rsidRPr="00055F10">
        <w:rPr>
          <w:color w:val="000000" w:themeColor="text1"/>
        </w:rPr>
        <w:t xml:space="preserve">31 March </w:t>
      </w:r>
      <w:r w:rsidRPr="00055F10">
        <w:rPr>
          <w:rFonts w:ascii="Arial" w:hAnsi="Arial" w:cs="Arial"/>
          <w:sz w:val="20"/>
          <w:szCs w:val="16"/>
        </w:rPr>
        <w:t>2019</w:t>
      </w:r>
      <w:r w:rsidRPr="00055F10">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560"/>
        <w:gridCol w:w="1559"/>
        <w:gridCol w:w="1559"/>
      </w:tblGrid>
      <w:tr w:rsidR="00AC0A8B" w:rsidRPr="00541A21" w14:paraId="57B04934" w14:textId="77777777" w:rsidTr="00EB11F0">
        <w:trPr>
          <w:tblHeader/>
        </w:trPr>
        <w:tc>
          <w:tcPr>
            <w:tcW w:w="4236" w:type="dxa"/>
            <w:tcBorders>
              <w:bottom w:val="single" w:sz="4" w:space="0" w:color="auto"/>
            </w:tcBorders>
          </w:tcPr>
          <w:p w14:paraId="57B0492D" w14:textId="77777777" w:rsidR="00AC0A8B" w:rsidRPr="00541A21" w:rsidRDefault="00AC0A8B" w:rsidP="00EB11F0">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14:paraId="57B0492E" w14:textId="77777777" w:rsidR="00AC0A8B" w:rsidRPr="00055F10" w:rsidRDefault="00AC0A8B" w:rsidP="00EB11F0">
            <w:pPr>
              <w:ind w:left="34" w:hanging="34"/>
              <w:jc w:val="center"/>
              <w:rPr>
                <w:rFonts w:ascii="Calibri" w:eastAsia="Times New Roman" w:hAnsi="Calibri" w:cs="Arial"/>
                <w:b/>
                <w:sz w:val="20"/>
                <w:szCs w:val="20"/>
                <w:lang w:eastAsia="en-AU"/>
              </w:rPr>
            </w:pPr>
            <w:r w:rsidRPr="00055F10">
              <w:rPr>
                <w:rFonts w:ascii="Calibri" w:eastAsia="Times New Roman" w:hAnsi="Calibri" w:cs="Arial"/>
                <w:b/>
                <w:sz w:val="20"/>
                <w:szCs w:val="20"/>
                <w:lang w:eastAsia="en-AU"/>
              </w:rPr>
              <w:t xml:space="preserve">North Qld </w:t>
            </w:r>
            <w:r w:rsidRPr="00055F10">
              <w:rPr>
                <w:rFonts w:ascii="Calibri" w:eastAsia="Times New Roman" w:hAnsi="Calibri" w:cs="Arial"/>
                <w:b/>
                <w:sz w:val="20"/>
                <w:szCs w:val="20"/>
                <w:lang w:eastAsia="en-AU"/>
              </w:rPr>
              <w:br/>
            </w:r>
            <w:r w:rsidRPr="00055F10">
              <w:rPr>
                <w:rFonts w:ascii="Calibri" w:eastAsia="Times New Roman" w:hAnsi="Calibri" w:cs="Arial"/>
                <w:sz w:val="20"/>
                <w:szCs w:val="20"/>
                <w:lang w:eastAsia="en-AU"/>
              </w:rPr>
              <w:t>(four HHSs</w:t>
            </w:r>
            <w:r w:rsidRPr="00055F10">
              <w:rPr>
                <w:rFonts w:ascii="Calibri" w:eastAsia="Times New Roman" w:hAnsi="Calibri" w:cs="Arial"/>
                <w:sz w:val="20"/>
                <w:szCs w:val="20"/>
                <w:vertAlign w:val="superscript"/>
                <w:lang w:eastAsia="en-AU"/>
              </w:rPr>
              <w:t>β</w:t>
            </w:r>
            <w:r w:rsidRPr="00055F10">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92F" w14:textId="77777777" w:rsidR="00AC0A8B" w:rsidRPr="00055F10" w:rsidRDefault="00AC0A8B" w:rsidP="00EB11F0">
            <w:pPr>
              <w:ind w:left="34" w:hanging="34"/>
              <w:jc w:val="center"/>
              <w:rPr>
                <w:rFonts w:ascii="Calibri" w:eastAsia="Times New Roman" w:hAnsi="Calibri" w:cs="Arial"/>
                <w:sz w:val="20"/>
                <w:szCs w:val="20"/>
                <w:lang w:eastAsia="en-AU"/>
              </w:rPr>
            </w:pPr>
            <w:r w:rsidRPr="00055F10">
              <w:rPr>
                <w:rFonts w:ascii="Calibri" w:eastAsia="Times New Roman" w:hAnsi="Calibri" w:cs="Arial"/>
                <w:b/>
                <w:sz w:val="20"/>
                <w:szCs w:val="20"/>
                <w:lang w:eastAsia="en-AU"/>
              </w:rPr>
              <w:t xml:space="preserve">NT </w:t>
            </w:r>
          </w:p>
          <w:p w14:paraId="57B04930" w14:textId="77777777" w:rsidR="00AC0A8B" w:rsidRPr="00055F10" w:rsidRDefault="00AC0A8B" w:rsidP="00EB11F0">
            <w:pPr>
              <w:ind w:left="34" w:hanging="34"/>
              <w:jc w:val="center"/>
              <w:rPr>
                <w:rFonts w:ascii="Calibri" w:eastAsia="Times New Roman" w:hAnsi="Calibri" w:cs="Arial"/>
                <w:b/>
                <w:sz w:val="20"/>
                <w:szCs w:val="20"/>
                <w:lang w:eastAsia="en-AU"/>
              </w:rPr>
            </w:pPr>
            <w:r w:rsidRPr="00055F10">
              <w:rPr>
                <w:rFonts w:ascii="Calibri" w:eastAsia="Times New Roman" w:hAnsi="Calibri" w:cs="Arial"/>
                <w:sz w:val="20"/>
                <w:szCs w:val="20"/>
                <w:lang w:eastAsia="en-AU"/>
              </w:rPr>
              <w:t>(seven regions</w:t>
            </w:r>
            <w:r w:rsidRPr="00055F10">
              <w:rPr>
                <w:rFonts w:ascii="Calibri" w:eastAsia="Times New Roman" w:hAnsi="Calibri" w:cs="Arial"/>
                <w:sz w:val="20"/>
                <w:szCs w:val="20"/>
                <w:vertAlign w:val="superscript"/>
                <w:lang w:eastAsia="en-AU"/>
              </w:rPr>
              <w:t xml:space="preserve"> β</w:t>
            </w:r>
            <w:r w:rsidRPr="00055F10">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931" w14:textId="77777777" w:rsidR="00AC0A8B" w:rsidRPr="00055F10" w:rsidRDefault="00AC0A8B" w:rsidP="00EB11F0">
            <w:pPr>
              <w:ind w:left="34" w:hanging="34"/>
              <w:jc w:val="center"/>
              <w:rPr>
                <w:rFonts w:ascii="Calibri" w:eastAsia="Times New Roman" w:hAnsi="Calibri" w:cs="Arial"/>
                <w:b/>
                <w:sz w:val="20"/>
                <w:szCs w:val="20"/>
                <w:lang w:eastAsia="en-AU"/>
              </w:rPr>
            </w:pPr>
            <w:r w:rsidRPr="00055F10">
              <w:rPr>
                <w:rFonts w:ascii="Calibri" w:eastAsia="Times New Roman" w:hAnsi="Calibri" w:cs="Arial"/>
                <w:b/>
                <w:sz w:val="20"/>
                <w:szCs w:val="20"/>
                <w:lang w:eastAsia="en-AU"/>
              </w:rPr>
              <w:t>WA</w:t>
            </w:r>
            <w:r w:rsidRPr="00055F10">
              <w:rPr>
                <w:rFonts w:ascii="Calibri" w:eastAsia="Times New Roman" w:hAnsi="Calibri" w:cs="Arial"/>
                <w:b/>
                <w:sz w:val="20"/>
                <w:szCs w:val="20"/>
                <w:lang w:eastAsia="en-AU"/>
              </w:rPr>
              <w:br/>
            </w:r>
            <w:r w:rsidRPr="00055F10">
              <w:rPr>
                <w:rFonts w:ascii="Calibri" w:eastAsia="Times New Roman" w:hAnsi="Calibri" w:cs="Arial"/>
                <w:sz w:val="20"/>
                <w:szCs w:val="20"/>
                <w:lang w:eastAsia="en-AU"/>
              </w:rPr>
              <w:t xml:space="preserve"> (two regions</w:t>
            </w:r>
            <w:r w:rsidRPr="00055F10">
              <w:rPr>
                <w:rFonts w:ascii="Calibri" w:eastAsia="Times New Roman" w:hAnsi="Calibri" w:cs="Arial"/>
                <w:sz w:val="20"/>
                <w:szCs w:val="20"/>
                <w:vertAlign w:val="superscript"/>
                <w:lang w:eastAsia="en-AU"/>
              </w:rPr>
              <w:t xml:space="preserve"> β</w:t>
            </w:r>
            <w:r w:rsidRPr="00055F10">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932" w14:textId="77777777" w:rsidR="00AC0A8B" w:rsidRPr="00055F10" w:rsidRDefault="00AC0A8B" w:rsidP="00EB11F0">
            <w:pPr>
              <w:ind w:left="34" w:hanging="34"/>
              <w:jc w:val="center"/>
              <w:rPr>
                <w:rFonts w:ascii="Calibri" w:eastAsia="Times New Roman" w:hAnsi="Calibri" w:cs="Arial"/>
                <w:b/>
                <w:sz w:val="20"/>
                <w:szCs w:val="20"/>
                <w:lang w:eastAsia="en-AU"/>
              </w:rPr>
            </w:pPr>
            <w:r w:rsidRPr="00055F10">
              <w:rPr>
                <w:rFonts w:ascii="Calibri" w:eastAsia="Times New Roman" w:hAnsi="Calibri" w:cs="Arial"/>
                <w:b/>
                <w:sz w:val="20"/>
                <w:szCs w:val="20"/>
                <w:lang w:eastAsia="en-AU"/>
              </w:rPr>
              <w:t>SA</w:t>
            </w:r>
          </w:p>
          <w:p w14:paraId="57B04933" w14:textId="77777777" w:rsidR="00AC0A8B" w:rsidRPr="00055F10" w:rsidRDefault="00AC0A8B" w:rsidP="00EB11F0">
            <w:pPr>
              <w:ind w:left="34" w:hanging="34"/>
              <w:jc w:val="center"/>
              <w:rPr>
                <w:rFonts w:ascii="Calibri" w:eastAsia="Times New Roman" w:hAnsi="Calibri" w:cs="Arial"/>
                <w:sz w:val="20"/>
                <w:szCs w:val="20"/>
                <w:lang w:eastAsia="en-AU"/>
              </w:rPr>
            </w:pPr>
            <w:r w:rsidRPr="00055F10">
              <w:rPr>
                <w:rFonts w:ascii="Calibri" w:eastAsia="Times New Roman" w:hAnsi="Calibri" w:cs="Arial"/>
                <w:sz w:val="20"/>
                <w:szCs w:val="20"/>
                <w:lang w:eastAsia="en-AU"/>
              </w:rPr>
              <w:t>(three regions</w:t>
            </w:r>
            <w:r w:rsidRPr="00055F10">
              <w:rPr>
                <w:rFonts w:ascii="Calibri" w:eastAsia="Times New Roman" w:hAnsi="Calibri" w:cs="Arial"/>
                <w:sz w:val="20"/>
                <w:szCs w:val="20"/>
                <w:vertAlign w:val="superscript"/>
                <w:lang w:eastAsia="en-AU"/>
              </w:rPr>
              <w:t xml:space="preserve"> β</w:t>
            </w:r>
            <w:r w:rsidRPr="00055F10">
              <w:rPr>
                <w:rFonts w:ascii="Calibri" w:eastAsia="Times New Roman" w:hAnsi="Calibri" w:cs="Arial"/>
                <w:sz w:val="20"/>
                <w:szCs w:val="20"/>
                <w:lang w:eastAsia="en-AU"/>
              </w:rPr>
              <w:t>)</w:t>
            </w:r>
          </w:p>
        </w:tc>
      </w:tr>
      <w:tr w:rsidR="00AC0A8B" w:rsidRPr="00541A21" w14:paraId="57B0493A" w14:textId="77777777" w:rsidTr="00EB11F0">
        <w:tc>
          <w:tcPr>
            <w:tcW w:w="4236" w:type="dxa"/>
            <w:tcBorders>
              <w:right w:val="nil"/>
            </w:tcBorders>
            <w:shd w:val="clear" w:color="auto" w:fill="DBE5F1" w:themeFill="accent1" w:themeFillTint="33"/>
          </w:tcPr>
          <w:p w14:paraId="57B04935" w14:textId="77777777" w:rsidR="00AC0A8B" w:rsidRPr="00055F10" w:rsidRDefault="00AC0A8B" w:rsidP="00EB11F0">
            <w:pPr>
              <w:ind w:left="34" w:hanging="34"/>
              <w:rPr>
                <w:rFonts w:ascii="Calibri" w:eastAsia="Times New Roman" w:hAnsi="Calibri" w:cs="Arial"/>
                <w:b/>
                <w:sz w:val="20"/>
                <w:szCs w:val="20"/>
                <w:lang w:eastAsia="en-AU"/>
              </w:rPr>
            </w:pPr>
            <w:r w:rsidRPr="00055F10">
              <w:rPr>
                <w:rFonts w:ascii="Calibri" w:eastAsia="Times New Roman" w:hAnsi="Calibri" w:cs="Arial"/>
                <w:b/>
                <w:sz w:val="20"/>
                <w:szCs w:val="20"/>
                <w:lang w:eastAsia="en-AU"/>
              </w:rPr>
              <w:t>Situation to-date, 31 March 2019</w:t>
            </w:r>
          </w:p>
        </w:tc>
        <w:tc>
          <w:tcPr>
            <w:tcW w:w="1553" w:type="dxa"/>
            <w:tcBorders>
              <w:left w:val="nil"/>
              <w:bottom w:val="single" w:sz="4" w:space="0" w:color="auto"/>
              <w:right w:val="nil"/>
            </w:tcBorders>
            <w:shd w:val="clear" w:color="auto" w:fill="DBE5F1" w:themeFill="accent1" w:themeFillTint="33"/>
          </w:tcPr>
          <w:p w14:paraId="57B04936" w14:textId="77777777" w:rsidR="00AC0A8B" w:rsidRPr="00541A21" w:rsidRDefault="00AC0A8B" w:rsidP="00EB11F0">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14:paraId="57B04937" w14:textId="77777777" w:rsidR="00AC0A8B" w:rsidRPr="00541A21" w:rsidRDefault="00AC0A8B" w:rsidP="00EB11F0">
            <w:pPr>
              <w:ind w:left="34" w:hanging="34"/>
              <w:rPr>
                <w:rFonts w:ascii="Calibri" w:eastAsia="Times New Roman" w:hAnsi="Calibri" w:cs="Arial"/>
                <w:sz w:val="20"/>
                <w:szCs w:val="20"/>
                <w:highlight w:val="yellow"/>
                <w:lang w:eastAsia="en-AU"/>
              </w:rPr>
            </w:pPr>
          </w:p>
        </w:tc>
        <w:tc>
          <w:tcPr>
            <w:tcW w:w="1559" w:type="dxa"/>
            <w:tcBorders>
              <w:left w:val="nil"/>
              <w:bottom w:val="single" w:sz="4" w:space="0" w:color="auto"/>
              <w:right w:val="nil"/>
            </w:tcBorders>
            <w:shd w:val="clear" w:color="auto" w:fill="DBE5F1" w:themeFill="accent1" w:themeFillTint="33"/>
          </w:tcPr>
          <w:p w14:paraId="57B04938" w14:textId="77777777" w:rsidR="00AC0A8B" w:rsidRPr="00541A21" w:rsidRDefault="00AC0A8B" w:rsidP="00EB11F0">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14:paraId="57B04939" w14:textId="77777777" w:rsidR="00AC0A8B" w:rsidRPr="00541A21" w:rsidRDefault="00AC0A8B" w:rsidP="00EB11F0">
            <w:pPr>
              <w:ind w:left="34" w:hanging="34"/>
              <w:rPr>
                <w:rFonts w:ascii="Calibri" w:eastAsia="Times New Roman" w:hAnsi="Calibri" w:cs="Arial"/>
                <w:sz w:val="20"/>
                <w:szCs w:val="20"/>
                <w:highlight w:val="yellow"/>
                <w:lang w:eastAsia="en-AU"/>
              </w:rPr>
            </w:pPr>
          </w:p>
        </w:tc>
      </w:tr>
      <w:tr w:rsidR="00AC0A8B" w:rsidRPr="00ED62DD" w14:paraId="57B04940" w14:textId="77777777" w:rsidTr="00EB11F0">
        <w:trPr>
          <w:trHeight w:val="365"/>
        </w:trPr>
        <w:tc>
          <w:tcPr>
            <w:tcW w:w="4236" w:type="dxa"/>
            <w:vAlign w:val="center"/>
          </w:tcPr>
          <w:p w14:paraId="57B0493B"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14:paraId="57B0493C"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93D"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July 2013</w:t>
            </w:r>
          </w:p>
        </w:tc>
        <w:tc>
          <w:tcPr>
            <w:tcW w:w="1559" w:type="dxa"/>
            <w:shd w:val="clear" w:color="auto" w:fill="CCC0D9" w:themeFill="accent4" w:themeFillTint="66"/>
            <w:vAlign w:val="center"/>
          </w:tcPr>
          <w:p w14:paraId="57B0493E"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93F"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November 2016</w:t>
            </w:r>
          </w:p>
        </w:tc>
      </w:tr>
      <w:tr w:rsidR="00AC0A8B" w:rsidRPr="00ED62DD" w14:paraId="57B04946" w14:textId="77777777" w:rsidTr="00EB11F0">
        <w:tc>
          <w:tcPr>
            <w:tcW w:w="4236" w:type="dxa"/>
          </w:tcPr>
          <w:p w14:paraId="57B04941"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Total number of cases</w:t>
            </w:r>
            <w:r w:rsidRPr="00ED62DD">
              <w:rPr>
                <w:rFonts w:ascii="Calibri" w:eastAsia="Times New Roman" w:hAnsi="Calibri" w:cs="Arial"/>
                <w:b/>
                <w:sz w:val="20"/>
                <w:szCs w:val="20"/>
                <w:vertAlign w:val="superscript"/>
                <w:lang w:eastAsia="en-AU"/>
              </w:rPr>
              <w:t xml:space="preserve"> </w:t>
            </w:r>
            <w:r w:rsidRPr="00ED62DD">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14:paraId="57B04942"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1281</w:t>
            </w:r>
          </w:p>
        </w:tc>
        <w:tc>
          <w:tcPr>
            <w:tcW w:w="1560" w:type="dxa"/>
            <w:shd w:val="clear" w:color="auto" w:fill="B6DDE8" w:themeFill="accent5" w:themeFillTint="66"/>
            <w:vAlign w:val="center"/>
          </w:tcPr>
          <w:p w14:paraId="57B04943"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1006</w:t>
            </w:r>
          </w:p>
        </w:tc>
        <w:tc>
          <w:tcPr>
            <w:tcW w:w="1559" w:type="dxa"/>
            <w:shd w:val="clear" w:color="auto" w:fill="CCC0D9" w:themeFill="accent4" w:themeFillTint="66"/>
            <w:vAlign w:val="center"/>
          </w:tcPr>
          <w:p w14:paraId="57B04944"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276</w:t>
            </w:r>
          </w:p>
        </w:tc>
        <w:tc>
          <w:tcPr>
            <w:tcW w:w="1559" w:type="dxa"/>
            <w:shd w:val="clear" w:color="auto" w:fill="FBD4B4" w:themeFill="accent6" w:themeFillTint="66"/>
          </w:tcPr>
          <w:p w14:paraId="57B04945"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65</w:t>
            </w:r>
          </w:p>
        </w:tc>
      </w:tr>
      <w:tr w:rsidR="00AC0A8B" w:rsidRPr="00ED62DD" w14:paraId="57B0494C" w14:textId="77777777" w:rsidTr="00EB11F0">
        <w:tc>
          <w:tcPr>
            <w:tcW w:w="4236" w:type="dxa"/>
            <w:shd w:val="clear" w:color="auto" w:fill="auto"/>
          </w:tcPr>
          <w:p w14:paraId="57B04947"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948"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949"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46% / 54%</w:t>
            </w:r>
          </w:p>
        </w:tc>
        <w:tc>
          <w:tcPr>
            <w:tcW w:w="1559" w:type="dxa"/>
            <w:shd w:val="clear" w:color="auto" w:fill="CCC0D9" w:themeFill="accent4" w:themeFillTint="66"/>
            <w:vAlign w:val="center"/>
          </w:tcPr>
          <w:p w14:paraId="57B0494A"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41% / 59%</w:t>
            </w:r>
          </w:p>
        </w:tc>
        <w:tc>
          <w:tcPr>
            <w:tcW w:w="1559" w:type="dxa"/>
            <w:shd w:val="clear" w:color="auto" w:fill="FBD4B4" w:themeFill="accent6" w:themeFillTint="66"/>
          </w:tcPr>
          <w:p w14:paraId="57B0494B"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52% / 48%</w:t>
            </w:r>
          </w:p>
        </w:tc>
      </w:tr>
      <w:tr w:rsidR="00AC0A8B" w:rsidRPr="00ED62DD" w14:paraId="57B04952" w14:textId="77777777" w:rsidTr="00EB11F0">
        <w:tc>
          <w:tcPr>
            <w:tcW w:w="4236" w:type="dxa"/>
            <w:shd w:val="clear" w:color="auto" w:fill="auto"/>
          </w:tcPr>
          <w:p w14:paraId="57B0494D"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94E"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66%</w:t>
            </w:r>
          </w:p>
        </w:tc>
        <w:tc>
          <w:tcPr>
            <w:tcW w:w="1560" w:type="dxa"/>
            <w:shd w:val="clear" w:color="auto" w:fill="B6DDE8" w:themeFill="accent5" w:themeFillTint="66"/>
            <w:vAlign w:val="center"/>
          </w:tcPr>
          <w:p w14:paraId="57B0494F"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62%</w:t>
            </w:r>
          </w:p>
        </w:tc>
        <w:tc>
          <w:tcPr>
            <w:tcW w:w="1559" w:type="dxa"/>
            <w:shd w:val="clear" w:color="auto" w:fill="CCC0D9" w:themeFill="accent4" w:themeFillTint="66"/>
            <w:vAlign w:val="center"/>
          </w:tcPr>
          <w:p w14:paraId="57B04950"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71%</w:t>
            </w:r>
          </w:p>
        </w:tc>
        <w:tc>
          <w:tcPr>
            <w:tcW w:w="1559" w:type="dxa"/>
            <w:shd w:val="clear" w:color="auto" w:fill="FBD4B4" w:themeFill="accent6" w:themeFillTint="66"/>
          </w:tcPr>
          <w:p w14:paraId="57B04951" w14:textId="77777777" w:rsidR="00AC0A8B" w:rsidRPr="00ED62DD" w:rsidRDefault="00AC0A8B" w:rsidP="00EB11F0">
            <w:pPr>
              <w:tabs>
                <w:tab w:val="left" w:pos="465"/>
                <w:tab w:val="center" w:pos="663"/>
              </w:tabs>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49%</w:t>
            </w:r>
          </w:p>
        </w:tc>
      </w:tr>
      <w:tr w:rsidR="00AC0A8B" w:rsidRPr="00ED62DD" w14:paraId="57B04958" w14:textId="77777777" w:rsidTr="00EB11F0">
        <w:tc>
          <w:tcPr>
            <w:tcW w:w="4236" w:type="dxa"/>
            <w:shd w:val="clear" w:color="auto" w:fill="auto"/>
          </w:tcPr>
          <w:p w14:paraId="57B04953"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Congenital cases, confirmed (probable)</w:t>
            </w:r>
            <w:r w:rsidRPr="00ED62DD">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14:paraId="57B04954"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955"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2 (3)</w:t>
            </w:r>
          </w:p>
        </w:tc>
        <w:tc>
          <w:tcPr>
            <w:tcW w:w="1559" w:type="dxa"/>
            <w:shd w:val="clear" w:color="auto" w:fill="CCC0D9" w:themeFill="accent4" w:themeFillTint="66"/>
            <w:vAlign w:val="center"/>
          </w:tcPr>
          <w:p w14:paraId="57B04956"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0 (0)</w:t>
            </w:r>
          </w:p>
        </w:tc>
        <w:tc>
          <w:tcPr>
            <w:tcW w:w="1559" w:type="dxa"/>
            <w:shd w:val="clear" w:color="auto" w:fill="FBD4B4" w:themeFill="accent6" w:themeFillTint="66"/>
          </w:tcPr>
          <w:p w14:paraId="57B04957"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1 (0)</w:t>
            </w:r>
          </w:p>
        </w:tc>
      </w:tr>
      <w:tr w:rsidR="00AC0A8B" w:rsidRPr="00ED62DD" w14:paraId="57B0495E" w14:textId="77777777" w:rsidTr="00EB11F0">
        <w:tc>
          <w:tcPr>
            <w:tcW w:w="4236" w:type="dxa"/>
            <w:tcBorders>
              <w:bottom w:val="single" w:sz="4" w:space="0" w:color="auto"/>
            </w:tcBorders>
            <w:shd w:val="clear" w:color="auto" w:fill="auto"/>
          </w:tcPr>
          <w:p w14:paraId="57B04959"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14:paraId="57B0495A"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95B"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0 (0)</w:t>
            </w:r>
          </w:p>
        </w:tc>
        <w:tc>
          <w:tcPr>
            <w:tcW w:w="1559" w:type="dxa"/>
            <w:tcBorders>
              <w:bottom w:val="single" w:sz="4" w:space="0" w:color="auto"/>
            </w:tcBorders>
            <w:shd w:val="clear" w:color="auto" w:fill="CCC0D9" w:themeFill="accent4" w:themeFillTint="66"/>
            <w:vAlign w:val="center"/>
          </w:tcPr>
          <w:p w14:paraId="57B0495C"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95D"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0 (0)</w:t>
            </w:r>
          </w:p>
        </w:tc>
      </w:tr>
      <w:tr w:rsidR="00AC0A8B" w:rsidRPr="00ED62DD" w14:paraId="57B04960" w14:textId="77777777" w:rsidTr="00EB11F0">
        <w:tc>
          <w:tcPr>
            <w:tcW w:w="10467" w:type="dxa"/>
            <w:gridSpan w:val="5"/>
            <w:tcBorders>
              <w:bottom w:val="single" w:sz="4" w:space="0" w:color="auto"/>
            </w:tcBorders>
            <w:shd w:val="clear" w:color="auto" w:fill="auto"/>
          </w:tcPr>
          <w:p w14:paraId="57B0495F"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b/>
                <w:sz w:val="20"/>
                <w:szCs w:val="20"/>
                <w:lang w:eastAsia="en-AU"/>
              </w:rPr>
              <w:t>Last reporting month, 1 –31 March 2019</w:t>
            </w:r>
          </w:p>
        </w:tc>
      </w:tr>
      <w:tr w:rsidR="00AC0A8B" w:rsidRPr="00ED62DD" w14:paraId="57B04966" w14:textId="77777777" w:rsidTr="00EB11F0">
        <w:tc>
          <w:tcPr>
            <w:tcW w:w="4236" w:type="dxa"/>
            <w:shd w:val="clear" w:color="auto" w:fill="auto"/>
          </w:tcPr>
          <w:p w14:paraId="57B04961"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Number of cases</w:t>
            </w:r>
            <w:r w:rsidRPr="00ED62DD">
              <w:rPr>
                <w:rFonts w:ascii="Calibri" w:eastAsia="Times New Roman" w:hAnsi="Calibri" w:cs="Arial"/>
                <w:b/>
                <w:sz w:val="20"/>
                <w:szCs w:val="20"/>
                <w:vertAlign w:val="superscript"/>
                <w:lang w:eastAsia="en-AU"/>
              </w:rPr>
              <w:t xml:space="preserve"> </w:t>
            </w:r>
            <w:r w:rsidRPr="00ED62DD">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14:paraId="57B04962"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21</w:t>
            </w:r>
          </w:p>
        </w:tc>
        <w:tc>
          <w:tcPr>
            <w:tcW w:w="1560" w:type="dxa"/>
            <w:shd w:val="clear" w:color="auto" w:fill="B6DDE8" w:themeFill="accent5" w:themeFillTint="66"/>
            <w:vAlign w:val="center"/>
          </w:tcPr>
          <w:p w14:paraId="57B04963"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23</w:t>
            </w:r>
          </w:p>
        </w:tc>
        <w:tc>
          <w:tcPr>
            <w:tcW w:w="1559" w:type="dxa"/>
            <w:shd w:val="clear" w:color="auto" w:fill="CCC0D9" w:themeFill="accent4" w:themeFillTint="66"/>
            <w:vAlign w:val="center"/>
          </w:tcPr>
          <w:p w14:paraId="57B04964"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17</w:t>
            </w:r>
          </w:p>
        </w:tc>
        <w:tc>
          <w:tcPr>
            <w:tcW w:w="1559" w:type="dxa"/>
            <w:shd w:val="clear" w:color="auto" w:fill="FBD4B4" w:themeFill="accent6" w:themeFillTint="66"/>
          </w:tcPr>
          <w:p w14:paraId="57B04965"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0</w:t>
            </w:r>
          </w:p>
        </w:tc>
      </w:tr>
      <w:tr w:rsidR="00AC0A8B" w:rsidRPr="00ED62DD" w14:paraId="57B0496C" w14:textId="77777777" w:rsidTr="00EB11F0">
        <w:tc>
          <w:tcPr>
            <w:tcW w:w="4236" w:type="dxa"/>
            <w:shd w:val="clear" w:color="auto" w:fill="auto"/>
          </w:tcPr>
          <w:p w14:paraId="57B04967"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968"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57% /43%</w:t>
            </w:r>
          </w:p>
        </w:tc>
        <w:tc>
          <w:tcPr>
            <w:tcW w:w="1560" w:type="dxa"/>
            <w:shd w:val="clear" w:color="auto" w:fill="B6DDE8" w:themeFill="accent5" w:themeFillTint="66"/>
            <w:vAlign w:val="center"/>
          </w:tcPr>
          <w:p w14:paraId="57B04969"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43% /57%</w:t>
            </w:r>
          </w:p>
        </w:tc>
        <w:tc>
          <w:tcPr>
            <w:tcW w:w="1559" w:type="dxa"/>
            <w:shd w:val="clear" w:color="auto" w:fill="CCC0D9" w:themeFill="accent4" w:themeFillTint="66"/>
            <w:vAlign w:val="center"/>
          </w:tcPr>
          <w:p w14:paraId="57B0496A"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53% / 47%</w:t>
            </w:r>
          </w:p>
        </w:tc>
        <w:tc>
          <w:tcPr>
            <w:tcW w:w="1559" w:type="dxa"/>
            <w:shd w:val="clear" w:color="auto" w:fill="FBD4B4" w:themeFill="accent6" w:themeFillTint="66"/>
          </w:tcPr>
          <w:p w14:paraId="57B0496B"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0% / 0%</w:t>
            </w:r>
          </w:p>
        </w:tc>
      </w:tr>
      <w:tr w:rsidR="00AC0A8B" w:rsidRPr="00ED62DD" w14:paraId="57B04972" w14:textId="77777777" w:rsidTr="00EB11F0">
        <w:tc>
          <w:tcPr>
            <w:tcW w:w="4236" w:type="dxa"/>
            <w:shd w:val="clear" w:color="auto" w:fill="auto"/>
          </w:tcPr>
          <w:p w14:paraId="57B0496D" w14:textId="77777777" w:rsidR="00AC0A8B" w:rsidRPr="00ED62DD" w:rsidRDefault="00AC0A8B" w:rsidP="00EB11F0">
            <w:pPr>
              <w:ind w:left="34" w:hanging="34"/>
              <w:rPr>
                <w:rFonts w:ascii="Calibri" w:eastAsia="Times New Roman" w:hAnsi="Calibri" w:cs="Arial"/>
                <w:sz w:val="20"/>
                <w:szCs w:val="20"/>
                <w:lang w:eastAsia="en-AU"/>
              </w:rPr>
            </w:pPr>
            <w:r w:rsidRPr="00ED62DD">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96E" w14:textId="77777777" w:rsidR="00AC0A8B" w:rsidRPr="00ED62DD" w:rsidRDefault="00AC0A8B" w:rsidP="00EB11F0">
            <w:pPr>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67%</w:t>
            </w:r>
          </w:p>
        </w:tc>
        <w:tc>
          <w:tcPr>
            <w:tcW w:w="1560" w:type="dxa"/>
            <w:shd w:val="clear" w:color="auto" w:fill="B6DDE8" w:themeFill="accent5" w:themeFillTint="66"/>
            <w:vAlign w:val="center"/>
          </w:tcPr>
          <w:p w14:paraId="57B0496F"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39%</w:t>
            </w:r>
          </w:p>
        </w:tc>
        <w:tc>
          <w:tcPr>
            <w:tcW w:w="1559" w:type="dxa"/>
            <w:shd w:val="clear" w:color="auto" w:fill="CCC0D9" w:themeFill="accent4" w:themeFillTint="66"/>
            <w:vAlign w:val="center"/>
          </w:tcPr>
          <w:p w14:paraId="57B04970"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77%</w:t>
            </w:r>
          </w:p>
        </w:tc>
        <w:tc>
          <w:tcPr>
            <w:tcW w:w="1559" w:type="dxa"/>
            <w:shd w:val="clear" w:color="auto" w:fill="FBD4B4" w:themeFill="accent6" w:themeFillTint="66"/>
          </w:tcPr>
          <w:p w14:paraId="57B04971" w14:textId="77777777" w:rsidR="00AC0A8B" w:rsidRPr="00ED62DD" w:rsidRDefault="00AC0A8B" w:rsidP="00EB11F0">
            <w:pPr>
              <w:ind w:left="34" w:hanging="34"/>
              <w:jc w:val="center"/>
              <w:rPr>
                <w:rFonts w:ascii="Calibri" w:eastAsia="Times New Roman" w:hAnsi="Calibri" w:cs="Arial"/>
                <w:sz w:val="20"/>
                <w:szCs w:val="20"/>
                <w:lang w:eastAsia="en-AU"/>
              </w:rPr>
            </w:pPr>
            <w:r w:rsidRPr="00ED62DD">
              <w:rPr>
                <w:rFonts w:ascii="Calibri" w:eastAsia="Times New Roman" w:hAnsi="Calibri" w:cs="Arial"/>
                <w:sz w:val="20"/>
                <w:szCs w:val="20"/>
                <w:lang w:eastAsia="en-AU"/>
              </w:rPr>
              <w:t>0%</w:t>
            </w:r>
          </w:p>
        </w:tc>
      </w:tr>
    </w:tbl>
    <w:p w14:paraId="57B04973" w14:textId="77777777" w:rsidR="00AC0A8B" w:rsidRPr="00ED62DD" w:rsidRDefault="00AC0A8B" w:rsidP="00AC0A8B">
      <w:pPr>
        <w:pStyle w:val="ListParagraph"/>
        <w:spacing w:before="60" w:after="0" w:line="240" w:lineRule="auto"/>
        <w:ind w:left="-567"/>
        <w:contextualSpacing w:val="0"/>
        <w:rPr>
          <w:b/>
          <w:sz w:val="16"/>
          <w:szCs w:val="16"/>
          <w:vertAlign w:val="superscript"/>
        </w:rPr>
      </w:pPr>
    </w:p>
    <w:p w14:paraId="57B04974" w14:textId="77777777" w:rsidR="00AC0A8B" w:rsidRPr="00ED62DD" w:rsidRDefault="00AC0A8B" w:rsidP="00AC0A8B">
      <w:pPr>
        <w:pStyle w:val="ListParagraph"/>
        <w:spacing w:before="60" w:after="0" w:line="240" w:lineRule="auto"/>
        <w:ind w:left="-709"/>
        <w:contextualSpacing w:val="0"/>
        <w:rPr>
          <w:rFonts w:ascii="Arial" w:hAnsi="Arial" w:cs="Arial"/>
          <w:sz w:val="20"/>
          <w:szCs w:val="16"/>
        </w:rPr>
      </w:pPr>
      <w:r w:rsidRPr="00ED62DD">
        <w:rPr>
          <w:rFonts w:ascii="Arial" w:hAnsi="Arial" w:cs="Arial"/>
          <w:b/>
          <w:sz w:val="20"/>
          <w:szCs w:val="16"/>
        </w:rPr>
        <w:t xml:space="preserve">Table 2. </w:t>
      </w:r>
      <w:r w:rsidRPr="00ED62DD">
        <w:rPr>
          <w:rFonts w:ascii="Arial" w:hAnsi="Arial" w:cs="Arial"/>
          <w:sz w:val="20"/>
          <w:szCs w:val="16"/>
        </w:rPr>
        <w:t>Number of category 2 infectious syphilis</w:t>
      </w:r>
      <w:r w:rsidRPr="00ED62DD">
        <w:rPr>
          <w:rFonts w:ascii="Arial" w:hAnsi="Arial" w:cs="Arial"/>
          <w:sz w:val="20"/>
          <w:szCs w:val="20"/>
          <w:vertAlign w:val="superscript"/>
        </w:rPr>
        <w:t>α</w:t>
      </w:r>
      <w:r w:rsidRPr="00ED62DD">
        <w:rPr>
          <w:rFonts w:ascii="Arial" w:hAnsi="Arial" w:cs="Arial"/>
          <w:sz w:val="20"/>
          <w:szCs w:val="20"/>
        </w:rPr>
        <w:t xml:space="preserve"> cases</w:t>
      </w:r>
      <w:r w:rsidRPr="00ED62DD">
        <w:rPr>
          <w:rFonts w:ascii="Arial" w:hAnsi="Arial" w:cs="Arial"/>
          <w:sz w:val="20"/>
          <w:szCs w:val="16"/>
        </w:rPr>
        <w:t xml:space="preserve">, to </w:t>
      </w:r>
      <w:r w:rsidRPr="00ED62DD">
        <w:rPr>
          <w:color w:val="000000" w:themeColor="text1"/>
        </w:rPr>
        <w:t xml:space="preserve">31 March </w:t>
      </w:r>
      <w:r w:rsidRPr="00ED62DD">
        <w:rPr>
          <w:rFonts w:ascii="Arial" w:hAnsi="Arial" w:cs="Arial"/>
          <w:sz w:val="20"/>
          <w:szCs w:val="16"/>
        </w:rPr>
        <w:t>2019</w:t>
      </w:r>
      <w:r w:rsidRPr="00ED62DD">
        <w:rPr>
          <w:rFonts w:ascii="Arial" w:hAnsi="Arial" w:cs="Arial"/>
          <w:sz w:val="20"/>
          <w:szCs w:val="20"/>
          <w:vertAlign w:val="superscript"/>
        </w:rPr>
        <w:t xml:space="preserve"> ȶ ᵞ</w:t>
      </w:r>
      <w:r w:rsidRPr="00ED62DD">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C0A8B" w:rsidRPr="00ED62DD" w14:paraId="57B0497B" w14:textId="77777777" w:rsidTr="00EB11F0">
        <w:trPr>
          <w:tblHeader/>
        </w:trPr>
        <w:tc>
          <w:tcPr>
            <w:tcW w:w="4219" w:type="dxa"/>
            <w:tcBorders>
              <w:bottom w:val="single" w:sz="4" w:space="0" w:color="auto"/>
            </w:tcBorders>
          </w:tcPr>
          <w:p w14:paraId="57B04975" w14:textId="77777777" w:rsidR="00AC0A8B" w:rsidRPr="00ED62DD" w:rsidRDefault="00AC0A8B" w:rsidP="00EB11F0">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14:paraId="57B04976" w14:textId="77777777" w:rsidR="00AC0A8B" w:rsidRPr="00ED62DD" w:rsidRDefault="00AC0A8B" w:rsidP="00EB11F0">
            <w:pPr>
              <w:pStyle w:val="ListParagraph"/>
              <w:spacing w:before="60"/>
              <w:ind w:left="0"/>
              <w:contextualSpacing w:val="0"/>
              <w:jc w:val="center"/>
              <w:rPr>
                <w:rFonts w:ascii="Calibri" w:eastAsia="Times New Roman" w:hAnsi="Calibri" w:cs="Arial"/>
                <w:b/>
                <w:sz w:val="20"/>
                <w:szCs w:val="20"/>
                <w:lang w:eastAsia="en-AU"/>
              </w:rPr>
            </w:pPr>
            <w:r w:rsidRPr="00ED62DD">
              <w:rPr>
                <w:rFonts w:ascii="Calibri" w:eastAsia="Times New Roman" w:hAnsi="Calibri" w:cs="Arial"/>
                <w:b/>
                <w:sz w:val="20"/>
                <w:szCs w:val="20"/>
                <w:lang w:eastAsia="en-AU"/>
              </w:rPr>
              <w:t xml:space="preserve">North Qld </w:t>
            </w:r>
            <w:r w:rsidRPr="00ED62DD">
              <w:rPr>
                <w:rFonts w:ascii="Calibri" w:eastAsia="Times New Roman" w:hAnsi="Calibri" w:cs="Arial"/>
                <w:b/>
                <w:sz w:val="20"/>
                <w:szCs w:val="20"/>
                <w:lang w:eastAsia="en-AU"/>
              </w:rPr>
              <w:br/>
            </w:r>
            <w:r w:rsidRPr="00ED62DD">
              <w:rPr>
                <w:rFonts w:ascii="Calibri" w:eastAsia="Times New Roman" w:hAnsi="Calibri" w:cs="Arial"/>
                <w:sz w:val="20"/>
                <w:szCs w:val="20"/>
                <w:lang w:eastAsia="en-AU"/>
              </w:rPr>
              <w:t>(four HHSs</w:t>
            </w:r>
            <w:r w:rsidRPr="00ED62DD">
              <w:rPr>
                <w:rFonts w:ascii="Calibri" w:eastAsia="Times New Roman" w:hAnsi="Calibri" w:cs="Arial"/>
                <w:sz w:val="20"/>
                <w:szCs w:val="20"/>
                <w:vertAlign w:val="superscript"/>
                <w:lang w:eastAsia="en-AU"/>
              </w:rPr>
              <w:t>β</w:t>
            </w:r>
            <w:r w:rsidRPr="00ED62DD">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977" w14:textId="77777777" w:rsidR="00AC0A8B" w:rsidRPr="00ED62DD" w:rsidRDefault="00AC0A8B" w:rsidP="00EB11F0">
            <w:pPr>
              <w:pStyle w:val="ListParagraph"/>
              <w:spacing w:before="60"/>
              <w:ind w:left="0"/>
              <w:contextualSpacing w:val="0"/>
              <w:jc w:val="center"/>
              <w:rPr>
                <w:rFonts w:ascii="Calibri" w:hAnsi="Calibri"/>
                <w:b/>
                <w:sz w:val="20"/>
                <w:szCs w:val="16"/>
              </w:rPr>
            </w:pPr>
            <w:r w:rsidRPr="00ED62DD">
              <w:rPr>
                <w:rFonts w:ascii="Calibri" w:eastAsia="Times New Roman" w:hAnsi="Calibri" w:cs="Arial"/>
                <w:b/>
                <w:sz w:val="20"/>
                <w:szCs w:val="20"/>
                <w:lang w:eastAsia="en-AU"/>
              </w:rPr>
              <w:t xml:space="preserve">NT </w:t>
            </w:r>
            <w:r w:rsidRPr="00ED62DD">
              <w:rPr>
                <w:rFonts w:ascii="Calibri" w:eastAsia="Times New Roman" w:hAnsi="Calibri" w:cs="Arial"/>
                <w:b/>
                <w:sz w:val="20"/>
                <w:szCs w:val="20"/>
                <w:lang w:eastAsia="en-AU"/>
              </w:rPr>
              <w:br/>
            </w:r>
            <w:r w:rsidRPr="00ED62DD">
              <w:rPr>
                <w:rFonts w:ascii="Calibri" w:eastAsia="Times New Roman" w:hAnsi="Calibri" w:cs="Arial"/>
                <w:sz w:val="20"/>
                <w:szCs w:val="20"/>
                <w:lang w:eastAsia="en-AU"/>
              </w:rPr>
              <w:t>(seven regions</w:t>
            </w:r>
            <w:r w:rsidRPr="00ED62DD">
              <w:rPr>
                <w:rFonts w:ascii="Calibri" w:eastAsia="Times New Roman" w:hAnsi="Calibri" w:cs="Arial"/>
                <w:sz w:val="20"/>
                <w:szCs w:val="20"/>
                <w:vertAlign w:val="superscript"/>
                <w:lang w:eastAsia="en-AU"/>
              </w:rPr>
              <w:t xml:space="preserve"> β</w:t>
            </w:r>
            <w:r w:rsidRPr="00ED62DD">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978" w14:textId="77777777" w:rsidR="00AC0A8B" w:rsidRPr="00ED62DD" w:rsidRDefault="00AC0A8B" w:rsidP="00EB11F0">
            <w:pPr>
              <w:pStyle w:val="ListParagraph"/>
              <w:spacing w:before="60"/>
              <w:ind w:left="0"/>
              <w:contextualSpacing w:val="0"/>
              <w:jc w:val="center"/>
              <w:rPr>
                <w:rFonts w:ascii="Calibri" w:hAnsi="Calibri"/>
                <w:b/>
                <w:sz w:val="20"/>
                <w:szCs w:val="16"/>
              </w:rPr>
            </w:pPr>
            <w:r w:rsidRPr="00ED62DD">
              <w:rPr>
                <w:rFonts w:ascii="Calibri" w:eastAsia="Times New Roman" w:hAnsi="Calibri" w:cs="Arial"/>
                <w:b/>
                <w:sz w:val="20"/>
                <w:szCs w:val="20"/>
                <w:lang w:eastAsia="en-AU"/>
              </w:rPr>
              <w:t>WA</w:t>
            </w:r>
            <w:r w:rsidRPr="00ED62DD">
              <w:rPr>
                <w:rFonts w:ascii="Calibri" w:eastAsia="Times New Roman" w:hAnsi="Calibri" w:cs="Arial"/>
                <w:b/>
                <w:sz w:val="20"/>
                <w:szCs w:val="20"/>
                <w:lang w:eastAsia="en-AU"/>
              </w:rPr>
              <w:br/>
            </w:r>
            <w:r w:rsidRPr="00ED62DD">
              <w:rPr>
                <w:rFonts w:ascii="Calibri" w:eastAsia="Times New Roman" w:hAnsi="Calibri" w:cs="Arial"/>
                <w:sz w:val="20"/>
                <w:szCs w:val="20"/>
                <w:lang w:eastAsia="en-AU"/>
              </w:rPr>
              <w:t xml:space="preserve"> (two regions</w:t>
            </w:r>
            <w:r w:rsidRPr="00ED62DD">
              <w:rPr>
                <w:rFonts w:ascii="Calibri" w:eastAsia="Times New Roman" w:hAnsi="Calibri" w:cs="Arial"/>
                <w:sz w:val="20"/>
                <w:szCs w:val="20"/>
                <w:vertAlign w:val="superscript"/>
                <w:lang w:eastAsia="en-AU"/>
              </w:rPr>
              <w:t xml:space="preserve"> β</w:t>
            </w:r>
            <w:r w:rsidRPr="00ED62DD">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979" w14:textId="77777777" w:rsidR="00AC0A8B" w:rsidRPr="00ED62DD" w:rsidRDefault="00AC0A8B" w:rsidP="00EB11F0">
            <w:pPr>
              <w:ind w:left="34" w:hanging="34"/>
              <w:jc w:val="center"/>
              <w:rPr>
                <w:rFonts w:ascii="Calibri" w:eastAsia="Times New Roman" w:hAnsi="Calibri" w:cs="Arial"/>
                <w:b/>
                <w:sz w:val="20"/>
                <w:szCs w:val="20"/>
                <w:lang w:eastAsia="en-AU"/>
              </w:rPr>
            </w:pPr>
            <w:r w:rsidRPr="00ED62DD">
              <w:rPr>
                <w:rFonts w:ascii="Calibri" w:eastAsia="Times New Roman" w:hAnsi="Calibri" w:cs="Arial"/>
                <w:b/>
                <w:sz w:val="20"/>
                <w:szCs w:val="20"/>
                <w:lang w:eastAsia="en-AU"/>
              </w:rPr>
              <w:t>SA</w:t>
            </w:r>
          </w:p>
          <w:p w14:paraId="57B0497A" w14:textId="77777777" w:rsidR="00AC0A8B" w:rsidRPr="00ED62DD" w:rsidRDefault="00AC0A8B" w:rsidP="00EB11F0">
            <w:pPr>
              <w:pStyle w:val="ListParagraph"/>
              <w:spacing w:before="60"/>
              <w:ind w:left="0"/>
              <w:contextualSpacing w:val="0"/>
              <w:jc w:val="center"/>
              <w:rPr>
                <w:rFonts w:ascii="Calibri" w:hAnsi="Calibri"/>
                <w:b/>
                <w:sz w:val="20"/>
                <w:szCs w:val="16"/>
              </w:rPr>
            </w:pPr>
            <w:r w:rsidRPr="00ED62DD">
              <w:rPr>
                <w:rFonts w:ascii="Calibri" w:eastAsia="Times New Roman" w:hAnsi="Calibri" w:cs="Arial"/>
                <w:sz w:val="20"/>
                <w:szCs w:val="20"/>
                <w:lang w:eastAsia="en-AU"/>
              </w:rPr>
              <w:t>(three regions</w:t>
            </w:r>
            <w:r w:rsidRPr="00ED62DD">
              <w:rPr>
                <w:rFonts w:ascii="Calibri" w:eastAsia="Times New Roman" w:hAnsi="Calibri" w:cs="Arial"/>
                <w:sz w:val="20"/>
                <w:szCs w:val="20"/>
                <w:vertAlign w:val="superscript"/>
                <w:lang w:eastAsia="en-AU"/>
              </w:rPr>
              <w:t xml:space="preserve"> β</w:t>
            </w:r>
            <w:r w:rsidRPr="00ED62DD">
              <w:rPr>
                <w:rFonts w:ascii="Calibri" w:eastAsia="Times New Roman" w:hAnsi="Calibri" w:cs="Arial"/>
                <w:sz w:val="20"/>
                <w:szCs w:val="20"/>
                <w:lang w:eastAsia="en-AU"/>
              </w:rPr>
              <w:t>)</w:t>
            </w:r>
          </w:p>
        </w:tc>
      </w:tr>
      <w:tr w:rsidR="00AC0A8B" w:rsidRPr="00ED62DD" w14:paraId="57B0497D" w14:textId="77777777" w:rsidTr="00EB11F0">
        <w:tc>
          <w:tcPr>
            <w:tcW w:w="10456" w:type="dxa"/>
            <w:gridSpan w:val="5"/>
            <w:shd w:val="clear" w:color="auto" w:fill="DBE5F1" w:themeFill="accent1" w:themeFillTint="33"/>
          </w:tcPr>
          <w:p w14:paraId="57B0497C" w14:textId="77777777" w:rsidR="00AC0A8B" w:rsidRPr="00ED62DD" w:rsidRDefault="00AC0A8B" w:rsidP="00EB11F0">
            <w:pPr>
              <w:pStyle w:val="ListParagraph"/>
              <w:spacing w:before="60"/>
              <w:ind w:left="0"/>
              <w:contextualSpacing w:val="0"/>
              <w:rPr>
                <w:b/>
                <w:sz w:val="16"/>
                <w:szCs w:val="16"/>
              </w:rPr>
            </w:pPr>
            <w:r w:rsidRPr="00ED62DD">
              <w:rPr>
                <w:b/>
                <w:sz w:val="20"/>
                <w:szCs w:val="16"/>
              </w:rPr>
              <w:t xml:space="preserve">Situation to-date, </w:t>
            </w:r>
            <w:r w:rsidRPr="00ED62DD">
              <w:rPr>
                <w:rFonts w:ascii="Calibri" w:eastAsia="Times New Roman" w:hAnsi="Calibri" w:cs="Arial"/>
                <w:b/>
                <w:sz w:val="20"/>
                <w:szCs w:val="20"/>
                <w:lang w:eastAsia="en-AU"/>
              </w:rPr>
              <w:t>31 March 2019</w:t>
            </w:r>
          </w:p>
        </w:tc>
      </w:tr>
      <w:tr w:rsidR="00AC0A8B" w:rsidRPr="00ED62DD" w14:paraId="57B04983" w14:textId="77777777" w:rsidTr="00EB11F0">
        <w:tc>
          <w:tcPr>
            <w:tcW w:w="4219" w:type="dxa"/>
            <w:shd w:val="clear" w:color="auto" w:fill="auto"/>
          </w:tcPr>
          <w:p w14:paraId="57B0497E" w14:textId="77777777" w:rsidR="00AC0A8B" w:rsidRPr="00ED62DD" w:rsidRDefault="00AC0A8B" w:rsidP="00EB11F0">
            <w:pPr>
              <w:pStyle w:val="ListParagraph"/>
              <w:spacing w:before="60"/>
              <w:ind w:left="0"/>
              <w:contextualSpacing w:val="0"/>
              <w:rPr>
                <w:sz w:val="20"/>
                <w:szCs w:val="16"/>
              </w:rPr>
            </w:pPr>
            <w:r w:rsidRPr="00ED62DD">
              <w:rPr>
                <w:sz w:val="20"/>
                <w:szCs w:val="16"/>
              </w:rPr>
              <w:t>Outbreak commencement month/year</w:t>
            </w:r>
          </w:p>
        </w:tc>
        <w:tc>
          <w:tcPr>
            <w:tcW w:w="1559" w:type="dxa"/>
            <w:shd w:val="clear" w:color="auto" w:fill="B8CCE4" w:themeFill="accent1" w:themeFillTint="66"/>
          </w:tcPr>
          <w:p w14:paraId="57B0497F"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January 2011</w:t>
            </w:r>
          </w:p>
        </w:tc>
        <w:tc>
          <w:tcPr>
            <w:tcW w:w="1560" w:type="dxa"/>
            <w:shd w:val="clear" w:color="auto" w:fill="B6DDE8" w:themeFill="accent5" w:themeFillTint="66"/>
          </w:tcPr>
          <w:p w14:paraId="57B04980"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July 2013</w:t>
            </w:r>
          </w:p>
        </w:tc>
        <w:tc>
          <w:tcPr>
            <w:tcW w:w="1559" w:type="dxa"/>
            <w:shd w:val="clear" w:color="auto" w:fill="CCC0D9" w:themeFill="accent4" w:themeFillTint="66"/>
          </w:tcPr>
          <w:p w14:paraId="57B04981"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June 2014</w:t>
            </w:r>
          </w:p>
        </w:tc>
        <w:tc>
          <w:tcPr>
            <w:tcW w:w="1559" w:type="dxa"/>
            <w:shd w:val="clear" w:color="auto" w:fill="FBD4B4" w:themeFill="accent6" w:themeFillTint="66"/>
          </w:tcPr>
          <w:p w14:paraId="57B04982"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November 2016</w:t>
            </w:r>
          </w:p>
        </w:tc>
      </w:tr>
      <w:tr w:rsidR="00AC0A8B" w:rsidRPr="00ED62DD" w14:paraId="57B04989" w14:textId="77777777" w:rsidTr="00EB11F0">
        <w:tc>
          <w:tcPr>
            <w:tcW w:w="4219" w:type="dxa"/>
            <w:shd w:val="clear" w:color="auto" w:fill="auto"/>
          </w:tcPr>
          <w:p w14:paraId="57B04984" w14:textId="77777777" w:rsidR="00AC0A8B" w:rsidRPr="00ED62DD" w:rsidRDefault="00AC0A8B" w:rsidP="00EB11F0">
            <w:pPr>
              <w:pStyle w:val="ListParagraph"/>
              <w:spacing w:before="60"/>
              <w:ind w:left="0"/>
              <w:contextualSpacing w:val="0"/>
              <w:rPr>
                <w:sz w:val="16"/>
                <w:szCs w:val="16"/>
              </w:rPr>
            </w:pPr>
            <w:r w:rsidRPr="00ED62DD">
              <w:rPr>
                <w:sz w:val="20"/>
                <w:szCs w:val="16"/>
              </w:rPr>
              <w:t>Aboriginal and Torres Strait Islander people</w:t>
            </w:r>
            <w:r w:rsidRPr="00ED62DD">
              <w:rPr>
                <w:rFonts w:ascii="Agency FB" w:hAnsi="Agency FB"/>
                <w:sz w:val="20"/>
                <w:szCs w:val="16"/>
                <w:vertAlign w:val="superscript"/>
              </w:rPr>
              <w:t>§</w:t>
            </w:r>
          </w:p>
        </w:tc>
        <w:tc>
          <w:tcPr>
            <w:tcW w:w="1559" w:type="dxa"/>
            <w:shd w:val="clear" w:color="auto" w:fill="B8CCE4" w:themeFill="accent1" w:themeFillTint="66"/>
          </w:tcPr>
          <w:p w14:paraId="57B04985"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12</w:t>
            </w:r>
          </w:p>
        </w:tc>
        <w:tc>
          <w:tcPr>
            <w:tcW w:w="1560" w:type="dxa"/>
            <w:shd w:val="clear" w:color="auto" w:fill="B6DDE8" w:themeFill="accent5" w:themeFillTint="66"/>
          </w:tcPr>
          <w:p w14:paraId="57B04986"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2</w:t>
            </w:r>
          </w:p>
        </w:tc>
        <w:tc>
          <w:tcPr>
            <w:tcW w:w="1559" w:type="dxa"/>
            <w:shd w:val="clear" w:color="auto" w:fill="CCC0D9" w:themeFill="accent4" w:themeFillTint="66"/>
            <w:vAlign w:val="center"/>
          </w:tcPr>
          <w:p w14:paraId="57B04987"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c>
          <w:tcPr>
            <w:tcW w:w="1559" w:type="dxa"/>
            <w:shd w:val="clear" w:color="auto" w:fill="FBD4B4" w:themeFill="accent6" w:themeFillTint="66"/>
          </w:tcPr>
          <w:p w14:paraId="57B04988"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r>
      <w:tr w:rsidR="00AC0A8B" w:rsidRPr="00ED62DD" w14:paraId="57B0498F" w14:textId="77777777" w:rsidTr="00EB11F0">
        <w:tc>
          <w:tcPr>
            <w:tcW w:w="4219" w:type="dxa"/>
            <w:tcBorders>
              <w:bottom w:val="single" w:sz="4" w:space="0" w:color="auto"/>
            </w:tcBorders>
            <w:shd w:val="clear" w:color="auto" w:fill="auto"/>
          </w:tcPr>
          <w:p w14:paraId="57B0498A" w14:textId="77777777" w:rsidR="00AC0A8B" w:rsidRPr="00ED62DD" w:rsidRDefault="00AC0A8B" w:rsidP="00EB11F0">
            <w:pPr>
              <w:pStyle w:val="ListParagraph"/>
              <w:spacing w:before="60"/>
              <w:ind w:left="0"/>
              <w:contextualSpacing w:val="0"/>
              <w:rPr>
                <w:sz w:val="16"/>
                <w:szCs w:val="16"/>
              </w:rPr>
            </w:pPr>
            <w:r w:rsidRPr="00ED62DD">
              <w:rPr>
                <w:sz w:val="20"/>
                <w:szCs w:val="16"/>
              </w:rPr>
              <w:t>Non-Indigenous people</w:t>
            </w:r>
            <w:r w:rsidRPr="00ED62DD">
              <w:rPr>
                <w:sz w:val="20"/>
                <w:szCs w:val="16"/>
                <w:vertAlign w:val="superscript"/>
              </w:rPr>
              <w:t>µ</w:t>
            </w:r>
          </w:p>
        </w:tc>
        <w:tc>
          <w:tcPr>
            <w:tcW w:w="1559" w:type="dxa"/>
            <w:tcBorders>
              <w:bottom w:val="single" w:sz="4" w:space="0" w:color="auto"/>
            </w:tcBorders>
            <w:shd w:val="clear" w:color="auto" w:fill="B8CCE4" w:themeFill="accent1" w:themeFillTint="66"/>
          </w:tcPr>
          <w:p w14:paraId="57B0498B"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17</w:t>
            </w:r>
          </w:p>
        </w:tc>
        <w:tc>
          <w:tcPr>
            <w:tcW w:w="1560" w:type="dxa"/>
            <w:tcBorders>
              <w:bottom w:val="single" w:sz="4" w:space="0" w:color="auto"/>
            </w:tcBorders>
            <w:shd w:val="clear" w:color="auto" w:fill="B6DDE8" w:themeFill="accent5" w:themeFillTint="66"/>
          </w:tcPr>
          <w:p w14:paraId="57B0498C" w14:textId="77777777" w:rsidR="00AC0A8B" w:rsidRPr="00ED62DD" w:rsidRDefault="00AC0A8B" w:rsidP="00EB11F0">
            <w:pPr>
              <w:pStyle w:val="ListParagraph"/>
              <w:spacing w:before="60"/>
              <w:ind w:left="0"/>
              <w:contextualSpacing w:val="0"/>
              <w:jc w:val="center"/>
              <w:rPr>
                <w:sz w:val="20"/>
                <w:szCs w:val="16"/>
              </w:rPr>
            </w:pPr>
            <w:r>
              <w:rPr>
                <w:sz w:val="20"/>
                <w:szCs w:val="16"/>
              </w:rPr>
              <w:t>7</w:t>
            </w:r>
          </w:p>
        </w:tc>
        <w:tc>
          <w:tcPr>
            <w:tcW w:w="1559" w:type="dxa"/>
            <w:tcBorders>
              <w:bottom w:val="single" w:sz="4" w:space="0" w:color="auto"/>
            </w:tcBorders>
            <w:shd w:val="clear" w:color="auto" w:fill="CCC0D9" w:themeFill="accent4" w:themeFillTint="66"/>
            <w:vAlign w:val="center"/>
          </w:tcPr>
          <w:p w14:paraId="57B0498D"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c>
          <w:tcPr>
            <w:tcW w:w="1559" w:type="dxa"/>
            <w:tcBorders>
              <w:bottom w:val="single" w:sz="4" w:space="0" w:color="auto"/>
            </w:tcBorders>
            <w:shd w:val="clear" w:color="auto" w:fill="FBD4B4" w:themeFill="accent6" w:themeFillTint="66"/>
          </w:tcPr>
          <w:p w14:paraId="57B0498E"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2</w:t>
            </w:r>
          </w:p>
        </w:tc>
      </w:tr>
      <w:tr w:rsidR="00AC0A8B" w:rsidRPr="00ED62DD" w14:paraId="57B04991" w14:textId="77777777" w:rsidTr="00EB11F0">
        <w:tc>
          <w:tcPr>
            <w:tcW w:w="10456" w:type="dxa"/>
            <w:gridSpan w:val="5"/>
            <w:shd w:val="clear" w:color="auto" w:fill="auto"/>
            <w:vAlign w:val="center"/>
          </w:tcPr>
          <w:p w14:paraId="57B04990" w14:textId="77777777" w:rsidR="00AC0A8B" w:rsidRPr="00ED62DD" w:rsidRDefault="00AC0A8B" w:rsidP="00EB11F0">
            <w:pPr>
              <w:pStyle w:val="ListParagraph"/>
              <w:spacing w:before="60"/>
              <w:ind w:left="0"/>
              <w:contextualSpacing w:val="0"/>
              <w:rPr>
                <w:b/>
                <w:sz w:val="20"/>
                <w:szCs w:val="16"/>
              </w:rPr>
            </w:pPr>
            <w:r w:rsidRPr="00ED62DD">
              <w:rPr>
                <w:b/>
                <w:sz w:val="20"/>
                <w:szCs w:val="16"/>
              </w:rPr>
              <w:t>Last reporting month, 1 -</w:t>
            </w:r>
            <w:r w:rsidRPr="00ED62DD">
              <w:rPr>
                <w:rFonts w:ascii="Calibri" w:eastAsia="Times New Roman" w:hAnsi="Calibri" w:cs="Arial"/>
                <w:b/>
                <w:sz w:val="20"/>
                <w:szCs w:val="20"/>
                <w:lang w:eastAsia="en-AU"/>
              </w:rPr>
              <w:t>31 March 2019</w:t>
            </w:r>
          </w:p>
        </w:tc>
      </w:tr>
      <w:tr w:rsidR="00AC0A8B" w:rsidRPr="00ED62DD" w14:paraId="57B04997" w14:textId="77777777" w:rsidTr="00EB11F0">
        <w:trPr>
          <w:trHeight w:val="85"/>
        </w:trPr>
        <w:tc>
          <w:tcPr>
            <w:tcW w:w="4219" w:type="dxa"/>
            <w:shd w:val="clear" w:color="auto" w:fill="auto"/>
          </w:tcPr>
          <w:p w14:paraId="57B04992" w14:textId="77777777" w:rsidR="00AC0A8B" w:rsidRPr="00ED62DD" w:rsidRDefault="00AC0A8B" w:rsidP="00EB11F0">
            <w:pPr>
              <w:pStyle w:val="ListParagraph"/>
              <w:spacing w:before="60"/>
              <w:ind w:left="0"/>
              <w:contextualSpacing w:val="0"/>
              <w:rPr>
                <w:sz w:val="16"/>
                <w:szCs w:val="16"/>
              </w:rPr>
            </w:pPr>
            <w:r w:rsidRPr="00ED62DD">
              <w:rPr>
                <w:sz w:val="20"/>
                <w:szCs w:val="16"/>
              </w:rPr>
              <w:t>Aboriginal and Torres Strait Islander people</w:t>
            </w:r>
            <w:r w:rsidRPr="00ED62DD">
              <w:rPr>
                <w:rFonts w:ascii="Agency FB" w:hAnsi="Agency FB"/>
                <w:sz w:val="20"/>
                <w:szCs w:val="16"/>
                <w:vertAlign w:val="superscript"/>
              </w:rPr>
              <w:t>§</w:t>
            </w:r>
          </w:p>
        </w:tc>
        <w:tc>
          <w:tcPr>
            <w:tcW w:w="1559" w:type="dxa"/>
            <w:shd w:val="clear" w:color="auto" w:fill="B8CCE4" w:themeFill="accent1" w:themeFillTint="66"/>
          </w:tcPr>
          <w:p w14:paraId="57B04993"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c>
          <w:tcPr>
            <w:tcW w:w="1560" w:type="dxa"/>
            <w:shd w:val="clear" w:color="auto" w:fill="B6DDE8" w:themeFill="accent5" w:themeFillTint="66"/>
          </w:tcPr>
          <w:p w14:paraId="57B04994"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c>
          <w:tcPr>
            <w:tcW w:w="1559" w:type="dxa"/>
            <w:shd w:val="clear" w:color="auto" w:fill="CCC0D9" w:themeFill="accent4" w:themeFillTint="66"/>
            <w:vAlign w:val="center"/>
          </w:tcPr>
          <w:p w14:paraId="57B04995"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c>
          <w:tcPr>
            <w:tcW w:w="1559" w:type="dxa"/>
            <w:shd w:val="clear" w:color="auto" w:fill="FBD4B4" w:themeFill="accent6" w:themeFillTint="66"/>
          </w:tcPr>
          <w:p w14:paraId="57B04996"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r>
      <w:tr w:rsidR="00AC0A8B" w:rsidRPr="00541A21" w14:paraId="57B0499D" w14:textId="77777777" w:rsidTr="00EB11F0">
        <w:tc>
          <w:tcPr>
            <w:tcW w:w="4219" w:type="dxa"/>
            <w:shd w:val="clear" w:color="auto" w:fill="auto"/>
          </w:tcPr>
          <w:p w14:paraId="57B04998" w14:textId="77777777" w:rsidR="00AC0A8B" w:rsidRPr="00ED62DD" w:rsidRDefault="00AC0A8B" w:rsidP="00EB11F0">
            <w:pPr>
              <w:pStyle w:val="ListParagraph"/>
              <w:spacing w:before="60"/>
              <w:ind w:left="0"/>
              <w:contextualSpacing w:val="0"/>
              <w:rPr>
                <w:sz w:val="16"/>
                <w:szCs w:val="16"/>
              </w:rPr>
            </w:pPr>
            <w:r w:rsidRPr="00ED62DD">
              <w:rPr>
                <w:sz w:val="20"/>
                <w:szCs w:val="16"/>
              </w:rPr>
              <w:t>Non-Indigenous people</w:t>
            </w:r>
            <w:r w:rsidRPr="00ED62DD">
              <w:rPr>
                <w:sz w:val="20"/>
                <w:szCs w:val="16"/>
                <w:vertAlign w:val="superscript"/>
              </w:rPr>
              <w:t>µ</w:t>
            </w:r>
          </w:p>
        </w:tc>
        <w:tc>
          <w:tcPr>
            <w:tcW w:w="1559" w:type="dxa"/>
            <w:shd w:val="clear" w:color="auto" w:fill="B8CCE4" w:themeFill="accent1" w:themeFillTint="66"/>
          </w:tcPr>
          <w:p w14:paraId="57B04999"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c>
          <w:tcPr>
            <w:tcW w:w="1560" w:type="dxa"/>
            <w:shd w:val="clear" w:color="auto" w:fill="B6DDE8" w:themeFill="accent5" w:themeFillTint="66"/>
          </w:tcPr>
          <w:p w14:paraId="57B0499A"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1</w:t>
            </w:r>
          </w:p>
        </w:tc>
        <w:tc>
          <w:tcPr>
            <w:tcW w:w="1559" w:type="dxa"/>
            <w:shd w:val="clear" w:color="auto" w:fill="CCC0D9" w:themeFill="accent4" w:themeFillTint="66"/>
            <w:vAlign w:val="center"/>
          </w:tcPr>
          <w:p w14:paraId="57B0499B" w14:textId="77777777" w:rsidR="00AC0A8B" w:rsidRPr="00ED62DD" w:rsidRDefault="00AC0A8B" w:rsidP="00EB11F0">
            <w:pPr>
              <w:pStyle w:val="ListParagraph"/>
              <w:spacing w:before="60"/>
              <w:ind w:left="0"/>
              <w:contextualSpacing w:val="0"/>
              <w:jc w:val="center"/>
              <w:rPr>
                <w:b/>
                <w:sz w:val="16"/>
                <w:szCs w:val="16"/>
              </w:rPr>
            </w:pPr>
            <w:r w:rsidRPr="00ED62DD">
              <w:rPr>
                <w:b/>
                <w:sz w:val="16"/>
                <w:szCs w:val="16"/>
              </w:rPr>
              <w:t>-</w:t>
            </w:r>
          </w:p>
        </w:tc>
        <w:tc>
          <w:tcPr>
            <w:tcW w:w="1559" w:type="dxa"/>
            <w:shd w:val="clear" w:color="auto" w:fill="FBD4B4" w:themeFill="accent6" w:themeFillTint="66"/>
          </w:tcPr>
          <w:p w14:paraId="57B0499C" w14:textId="77777777" w:rsidR="00AC0A8B" w:rsidRPr="00ED62DD" w:rsidRDefault="00AC0A8B" w:rsidP="00EB11F0">
            <w:pPr>
              <w:pStyle w:val="ListParagraph"/>
              <w:spacing w:before="60"/>
              <w:ind w:left="0"/>
              <w:contextualSpacing w:val="0"/>
              <w:jc w:val="center"/>
              <w:rPr>
                <w:sz w:val="20"/>
                <w:szCs w:val="16"/>
              </w:rPr>
            </w:pPr>
            <w:r w:rsidRPr="00ED62DD">
              <w:rPr>
                <w:sz w:val="20"/>
                <w:szCs w:val="16"/>
              </w:rPr>
              <w:t>-</w:t>
            </w:r>
          </w:p>
        </w:tc>
      </w:tr>
    </w:tbl>
    <w:p w14:paraId="57B0499E" w14:textId="77777777" w:rsidR="00AC0A8B" w:rsidRPr="00541A21" w:rsidRDefault="00AC0A8B" w:rsidP="00AC0A8B">
      <w:pPr>
        <w:pStyle w:val="ListParagraph"/>
        <w:spacing w:before="60" w:after="0" w:line="240" w:lineRule="auto"/>
        <w:ind w:left="-567"/>
        <w:contextualSpacing w:val="0"/>
        <w:rPr>
          <w:b/>
          <w:sz w:val="16"/>
          <w:szCs w:val="16"/>
          <w:highlight w:val="yellow"/>
        </w:rPr>
      </w:pPr>
    </w:p>
    <w:p w14:paraId="57B0499F" w14:textId="77777777" w:rsidR="00AC0A8B" w:rsidRPr="00ED62DD" w:rsidRDefault="00AC0A8B" w:rsidP="00AC0A8B">
      <w:pPr>
        <w:pStyle w:val="ListParagraph"/>
        <w:spacing w:before="60" w:after="0" w:line="240" w:lineRule="auto"/>
        <w:ind w:left="-709"/>
        <w:contextualSpacing w:val="0"/>
        <w:jc w:val="both"/>
        <w:rPr>
          <w:b/>
          <w:sz w:val="16"/>
          <w:szCs w:val="16"/>
        </w:rPr>
      </w:pPr>
      <w:r w:rsidRPr="00ED62DD">
        <w:rPr>
          <w:b/>
          <w:sz w:val="16"/>
          <w:szCs w:val="16"/>
        </w:rPr>
        <w:t>Notes:</w:t>
      </w:r>
    </w:p>
    <w:p w14:paraId="57B049A0" w14:textId="77777777" w:rsidR="00AC0A8B" w:rsidRPr="00ED62DD" w:rsidRDefault="00AC0A8B" w:rsidP="00AC0A8B">
      <w:pPr>
        <w:pStyle w:val="ListParagraph"/>
        <w:spacing w:after="0" w:line="240" w:lineRule="auto"/>
        <w:ind w:left="-504" w:right="119" w:hanging="63"/>
        <w:contextualSpacing w:val="0"/>
        <w:rPr>
          <w:b/>
          <w:sz w:val="14"/>
          <w:szCs w:val="16"/>
        </w:rPr>
      </w:pPr>
      <w:r w:rsidRPr="00ED62DD">
        <w:rPr>
          <w:rFonts w:ascii="Arial" w:hAnsi="Arial" w:cs="Arial"/>
          <w:sz w:val="16"/>
          <w:szCs w:val="20"/>
          <w:vertAlign w:val="superscript"/>
        </w:rPr>
        <w:t>ȶ</w:t>
      </w:r>
      <w:r w:rsidRPr="00ED62DD">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9A1" w14:textId="77777777" w:rsidR="00AC0A8B" w:rsidRPr="00ED62DD" w:rsidRDefault="00AC0A8B" w:rsidP="00AC0A8B">
      <w:pPr>
        <w:pStyle w:val="ListParagraph"/>
        <w:spacing w:after="0" w:line="240" w:lineRule="auto"/>
        <w:ind w:left="-567" w:right="119"/>
        <w:contextualSpacing w:val="0"/>
        <w:rPr>
          <w:sz w:val="16"/>
          <w:szCs w:val="16"/>
        </w:rPr>
      </w:pPr>
      <w:proofErr w:type="gramStart"/>
      <w:r w:rsidRPr="00ED62DD">
        <w:rPr>
          <w:b/>
          <w:sz w:val="16"/>
          <w:szCs w:val="16"/>
          <w:vertAlign w:val="superscript"/>
        </w:rPr>
        <w:t>α</w:t>
      </w:r>
      <w:proofErr w:type="gramEnd"/>
      <w:r w:rsidRPr="00ED62DD">
        <w:rPr>
          <w:sz w:val="16"/>
          <w:szCs w:val="16"/>
        </w:rPr>
        <w:t xml:space="preserve"> Cases defined as per the MJSO syphilis outbreak case definition: </w:t>
      </w:r>
    </w:p>
    <w:p w14:paraId="57B049A2" w14:textId="77777777" w:rsidR="00AC0A8B" w:rsidRPr="00ED62DD" w:rsidRDefault="00AC0A8B" w:rsidP="00AC0A8B">
      <w:pPr>
        <w:pStyle w:val="ListParagraph"/>
        <w:spacing w:after="0" w:line="240" w:lineRule="auto"/>
        <w:ind w:left="-426" w:right="119"/>
        <w:contextualSpacing w:val="0"/>
      </w:pPr>
      <w:r w:rsidRPr="00ED62DD">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ED62DD">
        <w:rPr>
          <w:b/>
          <w:sz w:val="16"/>
          <w:szCs w:val="16"/>
        </w:rPr>
        <w:t>AND</w:t>
      </w:r>
      <w:r w:rsidRPr="00ED62DD">
        <w:rPr>
          <w:sz w:val="16"/>
          <w:szCs w:val="16"/>
        </w:rPr>
        <w:t>, is an Aboriginal or Torres Strait Islander person who resides in any of the following outbreak declared regions</w:t>
      </w:r>
      <w:r w:rsidRPr="00ED62DD">
        <w:rPr>
          <w:rFonts w:cs="Arial"/>
          <w:sz w:val="16"/>
          <w:szCs w:val="16"/>
        </w:rPr>
        <w:t xml:space="preserve"> as defined and documented by that jurisdiction</w:t>
      </w:r>
      <w:r w:rsidRPr="00ED62DD">
        <w:rPr>
          <w:rFonts w:ascii="Arial" w:hAnsi="Arial" w:cs="Arial"/>
          <w:sz w:val="16"/>
          <w:szCs w:val="16"/>
        </w:rPr>
        <w:t>,</w:t>
      </w:r>
      <w:r w:rsidRPr="00ED62DD">
        <w:rPr>
          <w:sz w:val="16"/>
          <w:szCs w:val="16"/>
        </w:rPr>
        <w:t xml:space="preserve"> at or after the dates indicated: </w:t>
      </w:r>
      <w:r w:rsidRPr="00ED62DD">
        <w:rPr>
          <w:b/>
          <w:i/>
          <w:sz w:val="16"/>
          <w:szCs w:val="16"/>
        </w:rPr>
        <w:t>Qld</w:t>
      </w:r>
      <w:r w:rsidRPr="00ED62DD">
        <w:rPr>
          <w:sz w:val="16"/>
          <w:szCs w:val="16"/>
        </w:rPr>
        <w:t xml:space="preserve"> - North West Hospital and Health Service area (from 1 January 2011); </w:t>
      </w:r>
      <w:r w:rsidRPr="00ED62DD">
        <w:rPr>
          <w:color w:val="000000" w:themeColor="text1"/>
          <w:sz w:val="16"/>
          <w:szCs w:val="16"/>
        </w:rPr>
        <w:t xml:space="preserve">Torres and Cape </w:t>
      </w:r>
      <w:r w:rsidRPr="00ED62DD">
        <w:rPr>
          <w:sz w:val="16"/>
          <w:szCs w:val="16"/>
        </w:rPr>
        <w:t xml:space="preserve">Hospital and Health Service area (from 1 December 2012); Cairns and Hinterland Hospital and Health Service area(from1 August 2013); Townsville Hospital and Health Service area (from 1 January 2014); </w:t>
      </w:r>
      <w:r w:rsidRPr="00ED62DD">
        <w:rPr>
          <w:b/>
          <w:i/>
          <w:sz w:val="16"/>
          <w:szCs w:val="16"/>
        </w:rPr>
        <w:t>NT</w:t>
      </w:r>
      <w:r w:rsidRPr="00ED62DD">
        <w:rPr>
          <w:sz w:val="16"/>
          <w:szCs w:val="16"/>
        </w:rPr>
        <w:t xml:space="preserve"> - Alice Springs Rural and Urban or Barkly district (from 1 July 2013); Katherine district (from 1 May 2014); East Arnhem district (from 1 November 2015); Darwin Rural and Urban (from 1 January 2017); </w:t>
      </w:r>
      <w:r w:rsidRPr="00ED62DD">
        <w:rPr>
          <w:b/>
          <w:i/>
          <w:sz w:val="16"/>
          <w:szCs w:val="16"/>
        </w:rPr>
        <w:t>WA</w:t>
      </w:r>
      <w:r w:rsidRPr="00ED62DD">
        <w:rPr>
          <w:sz w:val="16"/>
          <w:szCs w:val="16"/>
        </w:rPr>
        <w:t xml:space="preserve"> - Kimberley region (from 1 June 2014) and Pilbara region (from 1 February 2018); </w:t>
      </w:r>
      <w:r w:rsidRPr="00ED62DD">
        <w:rPr>
          <w:b/>
          <w:i/>
          <w:sz w:val="16"/>
          <w:szCs w:val="16"/>
        </w:rPr>
        <w:t>SA</w:t>
      </w:r>
      <w:r w:rsidRPr="00ED62DD">
        <w:rPr>
          <w:b/>
          <w:sz w:val="16"/>
          <w:szCs w:val="16"/>
        </w:rPr>
        <w:t xml:space="preserve"> </w:t>
      </w:r>
      <w:r w:rsidRPr="00ED62DD">
        <w:rPr>
          <w:sz w:val="16"/>
          <w:szCs w:val="16"/>
        </w:rPr>
        <w:t xml:space="preserve"> - Far North and Western and Eyre regions (from 15 November 2016); Adelaide (from 1 February 2018) (category 1 outbreak cases) </w:t>
      </w:r>
      <w:r w:rsidRPr="00ED62DD">
        <w:rPr>
          <w:b/>
          <w:sz w:val="16"/>
          <w:szCs w:val="16"/>
        </w:rPr>
        <w:t>OR</w:t>
      </w:r>
      <w:r w:rsidRPr="00ED62DD">
        <w:rPr>
          <w:sz w:val="16"/>
          <w:szCs w:val="16"/>
        </w:rPr>
        <w:t xml:space="preserve">,  is a sexual contact of a confirmed outbreak case (category 2 outbreak cases). </w:t>
      </w:r>
    </w:p>
    <w:p w14:paraId="57B049A3" w14:textId="77777777" w:rsidR="00AC0A8B" w:rsidRPr="00ED62DD" w:rsidRDefault="00AC0A8B" w:rsidP="00AC0A8B">
      <w:pPr>
        <w:spacing w:after="0" w:line="240" w:lineRule="auto"/>
        <w:ind w:left="-426" w:right="119" w:hanging="141"/>
        <w:rPr>
          <w:sz w:val="16"/>
          <w:szCs w:val="16"/>
        </w:rPr>
      </w:pPr>
      <w:r w:rsidRPr="00ED62DD">
        <w:rPr>
          <w:b/>
          <w:sz w:val="16"/>
          <w:szCs w:val="16"/>
          <w:vertAlign w:val="superscript"/>
        </w:rPr>
        <w:t>β</w:t>
      </w:r>
      <w:r w:rsidRPr="00ED62DD">
        <w:rPr>
          <w:sz w:val="16"/>
          <w:szCs w:val="16"/>
          <w:vertAlign w:val="superscript"/>
        </w:rPr>
        <w:t xml:space="preserve"> </w:t>
      </w:r>
      <w:r w:rsidRPr="00ED62DD">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 Western and Eyre and Adelaide regions in South Australia.</w:t>
      </w:r>
    </w:p>
    <w:p w14:paraId="57B049A4" w14:textId="77777777" w:rsidR="00AC0A8B" w:rsidRPr="00ED62DD" w:rsidRDefault="00AC0A8B" w:rsidP="00AC0A8B">
      <w:pPr>
        <w:spacing w:after="0" w:line="240" w:lineRule="auto"/>
        <w:ind w:left="-426" w:right="119" w:hanging="141"/>
        <w:rPr>
          <w:sz w:val="16"/>
          <w:szCs w:val="16"/>
        </w:rPr>
      </w:pPr>
      <w:r w:rsidRPr="00ED62DD">
        <w:rPr>
          <w:rFonts w:ascii="Calibri" w:eastAsia="Times New Roman" w:hAnsi="Calibri" w:cs="Arial"/>
          <w:sz w:val="20"/>
          <w:szCs w:val="20"/>
          <w:vertAlign w:val="superscript"/>
          <w:lang w:eastAsia="en-AU"/>
        </w:rPr>
        <w:t>«</w:t>
      </w:r>
      <w:r w:rsidRPr="00ED62DD">
        <w:rPr>
          <w:rFonts w:ascii="Calibri" w:eastAsia="Times New Roman" w:hAnsi="Calibri" w:cs="Arial"/>
          <w:sz w:val="20"/>
          <w:szCs w:val="20"/>
          <w:lang w:eastAsia="en-AU"/>
        </w:rPr>
        <w:t xml:space="preserve"> </w:t>
      </w:r>
      <w:r w:rsidRPr="00ED62DD">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9A5" w14:textId="77777777" w:rsidR="00AC0A8B" w:rsidRPr="00ED62DD" w:rsidRDefault="00AC0A8B" w:rsidP="00AC0A8B">
      <w:pPr>
        <w:spacing w:after="0" w:line="240" w:lineRule="auto"/>
        <w:ind w:left="-426" w:right="119" w:hanging="141"/>
        <w:rPr>
          <w:sz w:val="16"/>
          <w:szCs w:val="16"/>
        </w:rPr>
      </w:pPr>
      <w:r w:rsidRPr="00ED62DD">
        <w:rPr>
          <w:rFonts w:ascii="Agency FB" w:hAnsi="Agency FB"/>
          <w:sz w:val="20"/>
          <w:szCs w:val="16"/>
          <w:vertAlign w:val="superscript"/>
        </w:rPr>
        <w:t>§</w:t>
      </w:r>
      <w:r w:rsidRPr="00ED62DD">
        <w:rPr>
          <w:rFonts w:ascii="Agency FB" w:hAnsi="Agency FB"/>
          <w:sz w:val="20"/>
          <w:szCs w:val="16"/>
        </w:rPr>
        <w:t xml:space="preserve"> </w:t>
      </w:r>
      <w:r w:rsidRPr="00ED62DD">
        <w:rPr>
          <w:sz w:val="16"/>
          <w:szCs w:val="16"/>
        </w:rPr>
        <w:t>Aboriginal and Torres Strait Islander people who are sexual contacts of a confirmed outbreak case and reside outside an outbreak declared region at the time of diagnosis.</w:t>
      </w:r>
    </w:p>
    <w:p w14:paraId="57B049A6" w14:textId="77777777" w:rsidR="00AC0A8B" w:rsidRPr="00ED62DD" w:rsidRDefault="00AC0A8B" w:rsidP="00AC0A8B">
      <w:pPr>
        <w:spacing w:after="0" w:line="240" w:lineRule="auto"/>
        <w:ind w:left="-426" w:right="119" w:hanging="141"/>
        <w:rPr>
          <w:sz w:val="16"/>
          <w:szCs w:val="16"/>
        </w:rPr>
      </w:pPr>
      <w:r w:rsidRPr="00ED62DD">
        <w:rPr>
          <w:sz w:val="20"/>
          <w:szCs w:val="16"/>
          <w:vertAlign w:val="superscript"/>
        </w:rPr>
        <w:t>µ</w:t>
      </w:r>
      <w:r w:rsidRPr="00ED62DD">
        <w:rPr>
          <w:sz w:val="20"/>
          <w:szCs w:val="16"/>
        </w:rPr>
        <w:t xml:space="preserve"> </w:t>
      </w:r>
      <w:r w:rsidRPr="00ED62DD">
        <w:rPr>
          <w:sz w:val="16"/>
          <w:szCs w:val="16"/>
        </w:rPr>
        <w:t>Non-Indigenous people who are sexual contacts of a confirmed outbreak case and reside in or out of an outbreak declared region at the time of diagnosis.</w:t>
      </w:r>
    </w:p>
    <w:p w14:paraId="57B049A7" w14:textId="77777777" w:rsidR="00AC0A8B" w:rsidRPr="00216285" w:rsidRDefault="00AC0A8B" w:rsidP="00AC0A8B">
      <w:pPr>
        <w:pStyle w:val="ListParagraph"/>
        <w:spacing w:after="0" w:line="240" w:lineRule="auto"/>
        <w:ind w:left="-567" w:right="119"/>
        <w:contextualSpacing w:val="0"/>
        <w:rPr>
          <w:rFonts w:ascii="Arial" w:hAnsi="Arial" w:cs="Arial"/>
          <w:b/>
        </w:rPr>
      </w:pPr>
      <w:r w:rsidRPr="00ED62DD">
        <w:rPr>
          <w:b/>
          <w:sz w:val="16"/>
          <w:szCs w:val="16"/>
        </w:rPr>
        <w:t>ᵞ</w:t>
      </w:r>
      <w:r w:rsidRPr="00ED62DD">
        <w:rPr>
          <w:sz w:val="16"/>
          <w:szCs w:val="16"/>
        </w:rPr>
        <w:t xml:space="preserve"> </w:t>
      </w:r>
      <w:proofErr w:type="gramStart"/>
      <w:r w:rsidRPr="00ED62DD">
        <w:rPr>
          <w:sz w:val="16"/>
          <w:szCs w:val="16"/>
          <w:u w:val="single"/>
        </w:rPr>
        <w:t>Please</w:t>
      </w:r>
      <w:proofErr w:type="gramEnd"/>
      <w:r w:rsidRPr="00ED62DD">
        <w:rPr>
          <w:sz w:val="16"/>
          <w:szCs w:val="16"/>
          <w:u w:val="single"/>
        </w:rPr>
        <w:t xml:space="preserve"> note that </w:t>
      </w:r>
      <w:r w:rsidRPr="00ED62DD">
        <w:rPr>
          <w:b/>
          <w:sz w:val="16"/>
          <w:szCs w:val="16"/>
          <w:u w:val="single"/>
        </w:rPr>
        <w:t>all data are provisional</w:t>
      </w:r>
      <w:r w:rsidRPr="00ED62DD">
        <w:rPr>
          <w:sz w:val="16"/>
          <w:szCs w:val="16"/>
          <w:u w:val="single"/>
        </w:rPr>
        <w:t xml:space="preserve"> and subject to change due to ongoing case investigation</w:t>
      </w:r>
      <w:r w:rsidRPr="00ED62DD">
        <w:rPr>
          <w:sz w:val="16"/>
          <w:szCs w:val="16"/>
        </w:rPr>
        <w:t>.</w:t>
      </w:r>
    </w:p>
    <w:p w14:paraId="57B049A8" w14:textId="77777777" w:rsidR="00580C89" w:rsidRDefault="00580C89">
      <w:pPr>
        <w:rPr>
          <w:rFonts w:ascii="Arial" w:hAnsi="Arial" w:cs="Arial"/>
          <w:b/>
          <w:sz w:val="28"/>
          <w:szCs w:val="24"/>
        </w:rPr>
      </w:pPr>
      <w:r>
        <w:rPr>
          <w:rFonts w:ascii="Arial" w:hAnsi="Arial" w:cs="Arial"/>
          <w:b/>
          <w:sz w:val="28"/>
          <w:szCs w:val="24"/>
        </w:rPr>
        <w:br w:type="page"/>
      </w:r>
    </w:p>
    <w:p w14:paraId="57B049A9" w14:textId="77777777" w:rsidR="00AC0A8B" w:rsidRPr="005A0607" w:rsidRDefault="00AC0A8B" w:rsidP="00AC0A8B">
      <w:pPr>
        <w:spacing w:after="0" w:line="240" w:lineRule="auto"/>
        <w:ind w:left="-567" w:right="261"/>
        <w:jc w:val="center"/>
        <w:rPr>
          <w:rFonts w:ascii="Arial" w:hAnsi="Arial" w:cs="Arial"/>
          <w:b/>
          <w:sz w:val="28"/>
          <w:szCs w:val="24"/>
        </w:rPr>
      </w:pPr>
      <w:r w:rsidRPr="005A0607">
        <w:rPr>
          <w:rFonts w:ascii="Arial" w:hAnsi="Arial" w:cs="Arial"/>
          <w:b/>
          <w:sz w:val="28"/>
          <w:szCs w:val="24"/>
        </w:rPr>
        <w:lastRenderedPageBreak/>
        <w:t xml:space="preserve">MULTIJURISDICTIONAL SYPHILIS OUTBREAK </w:t>
      </w:r>
      <w:r w:rsidRPr="005A0607">
        <w:rPr>
          <w:rFonts w:ascii="Arial" w:hAnsi="Arial" w:cs="Arial"/>
          <w:b/>
          <w:sz w:val="28"/>
          <w:szCs w:val="24"/>
        </w:rPr>
        <w:br/>
        <w:t>SURVEILLANCE REPORT: MAY 2019</w:t>
      </w:r>
    </w:p>
    <w:p w14:paraId="57B049AA" w14:textId="77777777" w:rsidR="00AC0A8B" w:rsidRPr="005A0607" w:rsidRDefault="00AC0A8B" w:rsidP="00AC0A8B">
      <w:pPr>
        <w:spacing w:after="0" w:line="120" w:lineRule="auto"/>
        <w:ind w:left="-567" w:right="-612"/>
        <w:jc w:val="center"/>
        <w:rPr>
          <w:rFonts w:ascii="Arial" w:hAnsi="Arial" w:cs="Arial"/>
          <w:b/>
          <w:sz w:val="24"/>
          <w:szCs w:val="24"/>
        </w:rPr>
      </w:pPr>
    </w:p>
    <w:p w14:paraId="57B049AB" w14:textId="77777777" w:rsidR="00AC0A8B" w:rsidRPr="005A0607" w:rsidRDefault="00AC0A8B" w:rsidP="00AC0A8B">
      <w:pPr>
        <w:spacing w:after="0" w:line="240" w:lineRule="auto"/>
        <w:ind w:left="-567" w:right="119"/>
        <w:jc w:val="center"/>
        <w:rPr>
          <w:rFonts w:ascii="Arial" w:hAnsi="Arial" w:cs="Arial"/>
          <w:b/>
          <w:sz w:val="24"/>
          <w:szCs w:val="24"/>
        </w:rPr>
      </w:pPr>
      <w:r w:rsidRPr="005A0607">
        <w:rPr>
          <w:rFonts w:ascii="Arial" w:hAnsi="Arial" w:cs="Arial"/>
          <w:b/>
          <w:sz w:val="24"/>
          <w:szCs w:val="24"/>
        </w:rPr>
        <w:t>This surveillance report has been authorised by Health Departments in outbreak affected jurisdictions and the Office of Health Protection.</w:t>
      </w:r>
    </w:p>
    <w:p w14:paraId="57B049AC" w14:textId="77777777" w:rsidR="00AC0A8B" w:rsidRPr="005A0607" w:rsidRDefault="00AC0A8B" w:rsidP="00AC0A8B">
      <w:pPr>
        <w:spacing w:after="0" w:line="240" w:lineRule="auto"/>
        <w:ind w:right="-613"/>
        <w:rPr>
          <w:rFonts w:ascii="Arial" w:hAnsi="Arial" w:cs="Arial"/>
          <w:sz w:val="20"/>
          <w:szCs w:val="20"/>
        </w:rPr>
      </w:pPr>
    </w:p>
    <w:p w14:paraId="57B049AD" w14:textId="77777777" w:rsidR="00AC0A8B" w:rsidRPr="005A0607" w:rsidRDefault="00AC0A8B" w:rsidP="00AC0A8B">
      <w:pPr>
        <w:pStyle w:val="PlainText"/>
        <w:ind w:left="-709" w:right="-23"/>
        <w:jc w:val="both"/>
        <w:rPr>
          <w:color w:val="000000" w:themeColor="text1"/>
        </w:rPr>
      </w:pPr>
      <w:r w:rsidRPr="005A0607">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5A0607">
        <w:rPr>
          <w:rFonts w:cs="Arial"/>
          <w:color w:val="000000" w:themeColor="text1"/>
          <w:szCs w:val="20"/>
        </w:rPr>
        <w:t xml:space="preserve">rural areas of northern Australia. </w:t>
      </w:r>
      <w:r w:rsidRPr="005A0607">
        <w:rPr>
          <w:color w:val="000000" w:themeColor="text1"/>
        </w:rPr>
        <w:t xml:space="preserve">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w:t>
      </w:r>
    </w:p>
    <w:p w14:paraId="57B049AE" w14:textId="77777777" w:rsidR="00AC0A8B" w:rsidRPr="00351EFE" w:rsidRDefault="00AC0A8B" w:rsidP="00AC0A8B">
      <w:pPr>
        <w:pStyle w:val="PlainText"/>
        <w:ind w:left="-709" w:right="-23"/>
        <w:rPr>
          <w:color w:val="000000" w:themeColor="text1"/>
          <w:highlight w:val="yellow"/>
        </w:rPr>
      </w:pPr>
    </w:p>
    <w:p w14:paraId="57B049AF" w14:textId="77777777" w:rsidR="00AC0A8B" w:rsidRPr="00C00E75" w:rsidRDefault="00AC0A8B" w:rsidP="00AC0A8B">
      <w:pPr>
        <w:pStyle w:val="PlainText"/>
        <w:ind w:left="-709" w:right="-23"/>
        <w:rPr>
          <w:color w:val="000000" w:themeColor="text1"/>
        </w:rPr>
      </w:pPr>
      <w:r w:rsidRPr="00C00E75">
        <w:rPr>
          <w:color w:val="000000" w:themeColor="text1"/>
        </w:rPr>
        <w:t>This surveillance report summarises the outbreak epidemiological data as of 30 April 2019 (current status).</w:t>
      </w:r>
    </w:p>
    <w:p w14:paraId="57B049B0" w14:textId="77777777" w:rsidR="00AC0A8B" w:rsidRPr="00C00E75" w:rsidRDefault="00AC0A8B" w:rsidP="00AC0A8B">
      <w:pPr>
        <w:pStyle w:val="PlainText"/>
        <w:ind w:left="-709" w:right="-23"/>
        <w:rPr>
          <w:color w:val="000000" w:themeColor="text1"/>
        </w:rPr>
      </w:pPr>
    </w:p>
    <w:p w14:paraId="57B049B1" w14:textId="77777777" w:rsidR="00AC0A8B" w:rsidRPr="00C00E75" w:rsidRDefault="00AC0A8B" w:rsidP="00AC0A8B">
      <w:pPr>
        <w:pStyle w:val="PlainText"/>
        <w:ind w:left="-709" w:right="-23"/>
        <w:rPr>
          <w:color w:val="000000" w:themeColor="text1"/>
        </w:rPr>
      </w:pPr>
      <w:r w:rsidRPr="00C00E75">
        <w:rPr>
          <w:b/>
          <w:color w:val="000000" w:themeColor="text1"/>
        </w:rPr>
        <w:t>Please note:</w:t>
      </w:r>
      <w:r w:rsidRPr="00C00E75">
        <w:rPr>
          <w:color w:val="000000" w:themeColor="text1"/>
        </w:rPr>
        <w:t xml:space="preserve"> the MJSO Surveillance Report was formerly known as the MJSO Communique. Historical epidemiological data and MJSO activities are published in earlier MJSO Communiques available at </w:t>
      </w:r>
      <w:r w:rsidRPr="00C00E75">
        <w:rPr>
          <w:i/>
          <w:szCs w:val="20"/>
        </w:rPr>
        <w:t xml:space="preserve">http://www.health.gov.au/internet/main/publishing.nsf/Content/ohp-infectious-syphilis-outbreak.htm </w:t>
      </w:r>
    </w:p>
    <w:p w14:paraId="57B049B2" w14:textId="77777777" w:rsidR="00AC0A8B" w:rsidRPr="00C00E75" w:rsidRDefault="00AC0A8B" w:rsidP="00AC0A8B">
      <w:pPr>
        <w:pStyle w:val="PlainText"/>
        <w:ind w:left="-709" w:right="-23"/>
      </w:pPr>
    </w:p>
    <w:p w14:paraId="57B049B3" w14:textId="77777777" w:rsidR="00AC0A8B" w:rsidRPr="00C00E75" w:rsidRDefault="00AC0A8B" w:rsidP="00AC0A8B">
      <w:pPr>
        <w:spacing w:after="0" w:line="240" w:lineRule="auto"/>
        <w:ind w:left="-709" w:right="-23"/>
        <w:jc w:val="both"/>
        <w:rPr>
          <w:rFonts w:ascii="Arial" w:hAnsi="Arial" w:cs="Arial"/>
          <w:b/>
        </w:rPr>
      </w:pPr>
      <w:r w:rsidRPr="00C00E75">
        <w:rPr>
          <w:rFonts w:ascii="Arial" w:hAnsi="Arial" w:cs="Arial"/>
          <w:b/>
        </w:rPr>
        <w:t>Current status</w:t>
      </w:r>
    </w:p>
    <w:p w14:paraId="57B049B4" w14:textId="77777777" w:rsidR="00AC0A8B" w:rsidRPr="002812B5" w:rsidRDefault="00AC0A8B" w:rsidP="00AC0A8B">
      <w:pPr>
        <w:spacing w:after="0" w:line="240" w:lineRule="auto"/>
        <w:ind w:left="-709" w:right="-23"/>
        <w:jc w:val="both"/>
        <w:rPr>
          <w:rFonts w:ascii="Arial" w:hAnsi="Arial" w:cs="Arial"/>
          <w:sz w:val="20"/>
          <w:szCs w:val="20"/>
        </w:rPr>
      </w:pPr>
      <w:r w:rsidRPr="002812B5">
        <w:rPr>
          <w:rFonts w:ascii="Arial" w:hAnsi="Arial" w:cs="Arial"/>
          <w:sz w:val="20"/>
          <w:szCs w:val="20"/>
        </w:rPr>
        <w:t xml:space="preserve">Outbreak data to </w:t>
      </w:r>
      <w:r w:rsidRPr="002812B5">
        <w:rPr>
          <w:rFonts w:ascii="Arial" w:hAnsi="Arial" w:cs="Arial"/>
          <w:color w:val="000000" w:themeColor="text1"/>
          <w:sz w:val="20"/>
          <w:szCs w:val="20"/>
        </w:rPr>
        <w:t>30 April 2019</w:t>
      </w:r>
      <w:r w:rsidRPr="002812B5">
        <w:rPr>
          <w:rFonts w:ascii="Arial" w:hAnsi="Arial" w:cs="Arial"/>
          <w:sz w:val="20"/>
          <w:szCs w:val="20"/>
          <w:vertAlign w:val="superscript"/>
        </w:rPr>
        <w:t>ȶ</w:t>
      </w:r>
      <w:r w:rsidRPr="002812B5">
        <w:rPr>
          <w:rFonts w:ascii="Arial" w:hAnsi="Arial" w:cs="Arial"/>
          <w:sz w:val="20"/>
          <w:szCs w:val="20"/>
        </w:rPr>
        <w:t xml:space="preserve"> are summarised in Figure 1, Table 1 and Table 2 below.</w:t>
      </w:r>
    </w:p>
    <w:p w14:paraId="57B049B5" w14:textId="77777777" w:rsidR="00AC0A8B" w:rsidRPr="002812B5" w:rsidRDefault="00AC0A8B" w:rsidP="00AC0A8B">
      <w:pPr>
        <w:spacing w:after="0" w:line="240" w:lineRule="auto"/>
        <w:ind w:left="-709" w:right="-23"/>
        <w:jc w:val="both"/>
        <w:rPr>
          <w:rFonts w:ascii="Arial" w:hAnsi="Arial" w:cs="Arial"/>
          <w:sz w:val="20"/>
          <w:szCs w:val="20"/>
        </w:rPr>
      </w:pPr>
    </w:p>
    <w:p w14:paraId="57B049B6" w14:textId="77777777" w:rsidR="00AC0A8B" w:rsidRPr="002812B5" w:rsidRDefault="00AC0A8B" w:rsidP="00AC0A8B">
      <w:pPr>
        <w:spacing w:after="0" w:line="240" w:lineRule="auto"/>
        <w:ind w:left="-709" w:right="-23"/>
        <w:jc w:val="both"/>
        <w:rPr>
          <w:rFonts w:ascii="Arial" w:hAnsi="Arial" w:cs="Arial"/>
          <w:sz w:val="20"/>
          <w:szCs w:val="20"/>
        </w:rPr>
      </w:pPr>
      <w:r w:rsidRPr="002812B5">
        <w:rPr>
          <w:rFonts w:ascii="Arial" w:hAnsi="Arial" w:cs="Arial"/>
          <w:sz w:val="20"/>
          <w:szCs w:val="20"/>
        </w:rPr>
        <w:t>Outbreak cases are reported as either category 1 or category 2: category 1 cases include Aboriginal and Torres Strait Islander people residing in an outbreak declared region</w:t>
      </w:r>
      <w:r w:rsidRPr="002812B5">
        <w:rPr>
          <w:rFonts w:ascii="Arial" w:hAnsi="Arial" w:cs="Arial"/>
          <w:sz w:val="20"/>
          <w:szCs w:val="20"/>
          <w:vertAlign w:val="superscript"/>
        </w:rPr>
        <w:t>β</w:t>
      </w:r>
      <w:r w:rsidRPr="002812B5">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57B049B7" w14:textId="77777777" w:rsidR="00AC0A8B" w:rsidRPr="002812B5" w:rsidRDefault="00AC0A8B" w:rsidP="00AC0A8B">
      <w:pPr>
        <w:spacing w:after="0" w:line="240" w:lineRule="auto"/>
        <w:ind w:left="-709" w:right="-23"/>
        <w:jc w:val="both"/>
        <w:rPr>
          <w:rFonts w:ascii="Arial" w:hAnsi="Arial" w:cs="Arial"/>
          <w:sz w:val="20"/>
          <w:szCs w:val="20"/>
        </w:rPr>
      </w:pPr>
    </w:p>
    <w:p w14:paraId="57B049B8" w14:textId="77777777" w:rsidR="00AC0A8B" w:rsidRPr="002812B5" w:rsidRDefault="00AC0A8B" w:rsidP="00AC0A8B">
      <w:pPr>
        <w:spacing w:after="0" w:line="240" w:lineRule="auto"/>
        <w:ind w:left="-709" w:right="-23"/>
        <w:jc w:val="both"/>
        <w:rPr>
          <w:rFonts w:ascii="Arial" w:hAnsi="Arial" w:cs="Arial"/>
          <w:sz w:val="20"/>
          <w:szCs w:val="20"/>
        </w:rPr>
      </w:pPr>
      <w:r w:rsidRPr="004B5834">
        <w:rPr>
          <w:rFonts w:ascii="Arial" w:hAnsi="Arial" w:cs="Arial"/>
          <w:sz w:val="20"/>
          <w:szCs w:val="20"/>
        </w:rPr>
        <w:t xml:space="preserve">Between 1 – </w:t>
      </w:r>
      <w:r w:rsidRPr="004B5834">
        <w:rPr>
          <w:rFonts w:ascii="Arial" w:hAnsi="Arial" w:cs="Arial"/>
          <w:color w:val="000000" w:themeColor="text1"/>
          <w:sz w:val="20"/>
          <w:szCs w:val="20"/>
        </w:rPr>
        <w:t>30 April 2019</w:t>
      </w:r>
      <w:r w:rsidRPr="004B5834">
        <w:rPr>
          <w:rFonts w:ascii="Arial" w:hAnsi="Arial" w:cs="Arial"/>
          <w:sz w:val="20"/>
          <w:szCs w:val="20"/>
          <w:vertAlign w:val="superscript"/>
        </w:rPr>
        <w:t>ȶ</w:t>
      </w:r>
      <w:r w:rsidRPr="004B5834">
        <w:rPr>
          <w:rFonts w:ascii="Arial" w:hAnsi="Arial" w:cs="Arial"/>
          <w:sz w:val="20"/>
          <w:szCs w:val="20"/>
        </w:rPr>
        <w:t xml:space="preserve">, there were 46 outbreak cases (category 1 and 2 cases) reported from the four outbreak affected jurisdictions: 13 in Queensland; 19 in the Northern Territory; 12 in Western Australia and; </w:t>
      </w:r>
      <w:proofErr w:type="gramStart"/>
      <w:r w:rsidRPr="004B5834">
        <w:rPr>
          <w:rFonts w:ascii="Arial" w:hAnsi="Arial" w:cs="Arial"/>
          <w:sz w:val="20"/>
          <w:szCs w:val="20"/>
        </w:rPr>
        <w:t>2</w:t>
      </w:r>
      <w:proofErr w:type="gramEnd"/>
      <w:r w:rsidRPr="004B5834">
        <w:rPr>
          <w:rFonts w:ascii="Arial" w:hAnsi="Arial" w:cs="Arial"/>
          <w:sz w:val="20"/>
          <w:szCs w:val="20"/>
        </w:rPr>
        <w:t xml:space="preserve"> in South Australia (Figure 1, Table 1 and Table 2).  Fro</w:t>
      </w:r>
      <w:r w:rsidRPr="002812B5">
        <w:rPr>
          <w:rFonts w:ascii="Arial" w:hAnsi="Arial" w:cs="Arial"/>
          <w:sz w:val="20"/>
          <w:szCs w:val="20"/>
        </w:rPr>
        <w:t xml:space="preserve">m the commencement of the outbreak to </w:t>
      </w:r>
      <w:r w:rsidRPr="002812B5">
        <w:rPr>
          <w:rFonts w:ascii="Arial" w:hAnsi="Arial" w:cs="Arial"/>
          <w:color w:val="000000" w:themeColor="text1"/>
          <w:sz w:val="20"/>
          <w:szCs w:val="20"/>
        </w:rPr>
        <w:t xml:space="preserve">30 April </w:t>
      </w:r>
      <w:r w:rsidRPr="002812B5">
        <w:rPr>
          <w:rFonts w:ascii="Arial" w:hAnsi="Arial" w:cs="Arial"/>
          <w:sz w:val="20"/>
          <w:szCs w:val="20"/>
        </w:rPr>
        <w:t>2019</w:t>
      </w:r>
      <w:r w:rsidRPr="002812B5">
        <w:rPr>
          <w:rFonts w:ascii="Arial" w:hAnsi="Arial" w:cs="Arial"/>
          <w:sz w:val="20"/>
          <w:szCs w:val="20"/>
          <w:vertAlign w:val="superscript"/>
        </w:rPr>
        <w:t xml:space="preserve"> ȶ</w:t>
      </w:r>
      <w:r w:rsidRPr="002812B5">
        <w:rPr>
          <w:rFonts w:ascii="Arial" w:hAnsi="Arial" w:cs="Arial"/>
          <w:sz w:val="20"/>
          <w:szCs w:val="20"/>
        </w:rPr>
        <w:t>, there were a total of 2715 outbreak cases (category 1 and 2 cases) reported across the four outbreak affected jurisdictions: 1324 in Queensland (from January 2011); 1034 in the Northern Territory (from July 2013); 288 in Western Australia (from June 2014), and; 69 in South Australia (from November 2016) (Table 1 and 2).</w:t>
      </w:r>
    </w:p>
    <w:p w14:paraId="57B049B9" w14:textId="77777777" w:rsidR="00AC0A8B" w:rsidRPr="002812B5" w:rsidRDefault="00AC0A8B" w:rsidP="00AC0A8B">
      <w:pPr>
        <w:spacing w:after="0" w:line="240" w:lineRule="auto"/>
        <w:ind w:left="-709" w:right="-23"/>
        <w:jc w:val="both"/>
        <w:rPr>
          <w:rFonts w:ascii="Arial" w:hAnsi="Arial" w:cs="Arial"/>
          <w:sz w:val="20"/>
          <w:szCs w:val="20"/>
          <w:highlight w:val="yellow"/>
        </w:rPr>
      </w:pPr>
    </w:p>
    <w:p w14:paraId="57B049BA" w14:textId="77777777" w:rsidR="00AC0A8B" w:rsidRPr="002812B5" w:rsidRDefault="00AC0A8B" w:rsidP="00AC0A8B">
      <w:pPr>
        <w:spacing w:after="0" w:line="240" w:lineRule="auto"/>
        <w:ind w:left="-709" w:right="-23"/>
        <w:jc w:val="both"/>
        <w:rPr>
          <w:rFonts w:ascii="Arial" w:hAnsi="Arial" w:cs="Arial"/>
          <w:sz w:val="20"/>
          <w:szCs w:val="20"/>
          <w:vertAlign w:val="superscript"/>
        </w:rPr>
      </w:pPr>
      <w:r w:rsidRPr="002812B5">
        <w:rPr>
          <w:rFonts w:ascii="Arial" w:hAnsi="Arial" w:cs="Arial"/>
          <w:b/>
          <w:sz w:val="20"/>
          <w:szCs w:val="20"/>
        </w:rPr>
        <w:t>Figure 1</w:t>
      </w:r>
      <w:r w:rsidRPr="002812B5">
        <w:rPr>
          <w:rFonts w:ascii="Arial" w:hAnsi="Arial" w:cs="Arial"/>
          <w:sz w:val="20"/>
          <w:szCs w:val="20"/>
        </w:rPr>
        <w:t>. Epidemic curve showing category 1 infectious syphilis</w:t>
      </w:r>
      <w:r w:rsidRPr="002812B5">
        <w:rPr>
          <w:rFonts w:ascii="Arial" w:hAnsi="Arial" w:cs="Arial"/>
          <w:sz w:val="20"/>
          <w:szCs w:val="20"/>
          <w:vertAlign w:val="superscript"/>
        </w:rPr>
        <w:t xml:space="preserve"> α</w:t>
      </w:r>
      <w:r w:rsidRPr="002812B5">
        <w:rPr>
          <w:rFonts w:ascii="Arial" w:hAnsi="Arial" w:cs="Arial"/>
          <w:sz w:val="20"/>
          <w:szCs w:val="20"/>
        </w:rPr>
        <w:t xml:space="preserve"> outbreak cases notified in Aboriginal and Torres Strait Islander people residing in affected regions</w:t>
      </w:r>
      <w:r w:rsidRPr="002812B5">
        <w:rPr>
          <w:rFonts w:ascii="Arial" w:hAnsi="Arial" w:cs="Arial"/>
          <w:sz w:val="20"/>
          <w:szCs w:val="20"/>
          <w:vertAlign w:val="superscript"/>
        </w:rPr>
        <w:t>β</w:t>
      </w:r>
      <w:r w:rsidRPr="002812B5">
        <w:rPr>
          <w:rFonts w:ascii="Arial" w:hAnsi="Arial" w:cs="Arial"/>
          <w:sz w:val="20"/>
          <w:szCs w:val="20"/>
        </w:rPr>
        <w:t xml:space="preserve"> of Queensland, the Northern Territory, Western Australia and South Australia from commencement of the outbreak in each jurisdiction to </w:t>
      </w:r>
      <w:r w:rsidRPr="002812B5">
        <w:rPr>
          <w:rFonts w:ascii="Arial" w:hAnsi="Arial" w:cs="Arial"/>
          <w:color w:val="000000" w:themeColor="text1"/>
          <w:sz w:val="20"/>
          <w:szCs w:val="20"/>
        </w:rPr>
        <w:t>30 April 2019</w:t>
      </w:r>
      <w:r w:rsidRPr="002812B5">
        <w:rPr>
          <w:rFonts w:ascii="Arial" w:hAnsi="Arial" w:cs="Arial"/>
          <w:sz w:val="20"/>
          <w:szCs w:val="20"/>
          <w:vertAlign w:val="superscript"/>
        </w:rPr>
        <w:t xml:space="preserve">ȶ ᵞ </w:t>
      </w:r>
    </w:p>
    <w:p w14:paraId="57B049BB" w14:textId="77777777" w:rsidR="00AC0A8B" w:rsidRPr="00351EFE" w:rsidRDefault="00AC0A8B" w:rsidP="00AC0A8B">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lang w:eastAsia="en-AU"/>
        </w:rPr>
        <w:drawing>
          <wp:inline distT="0" distB="0" distL="0" distR="0" wp14:anchorId="57B04EC8" wp14:editId="57B04EC9">
            <wp:extent cx="6791325" cy="3951783"/>
            <wp:effectExtent l="0" t="0" r="0" b="0"/>
            <wp:docPr id="4" name="Picture 4"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0 April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8108" cy="3961549"/>
                    </a:xfrm>
                    <a:prstGeom prst="rect">
                      <a:avLst/>
                    </a:prstGeom>
                    <a:noFill/>
                  </pic:spPr>
                </pic:pic>
              </a:graphicData>
            </a:graphic>
          </wp:inline>
        </w:drawing>
      </w:r>
      <w:r w:rsidRPr="00351EFE">
        <w:rPr>
          <w:rFonts w:ascii="Arial" w:hAnsi="Arial" w:cs="Arial"/>
          <w:b/>
          <w:sz w:val="20"/>
          <w:szCs w:val="20"/>
          <w:highlight w:val="yellow"/>
        </w:rPr>
        <w:br w:type="page"/>
      </w:r>
    </w:p>
    <w:p w14:paraId="57B049BC" w14:textId="77777777" w:rsidR="00AC0A8B" w:rsidRPr="00351EFE" w:rsidRDefault="00AC0A8B" w:rsidP="00AC0A8B">
      <w:pPr>
        <w:spacing w:after="0" w:line="240" w:lineRule="auto"/>
        <w:ind w:left="-567"/>
        <w:rPr>
          <w:rFonts w:ascii="Arial" w:hAnsi="Arial" w:cs="Arial"/>
          <w:b/>
          <w:sz w:val="20"/>
          <w:szCs w:val="20"/>
          <w:highlight w:val="yellow"/>
        </w:rPr>
      </w:pPr>
    </w:p>
    <w:p w14:paraId="57B049BD" w14:textId="77777777" w:rsidR="00AC0A8B" w:rsidRPr="00C00E75" w:rsidRDefault="00AC0A8B" w:rsidP="00AC0A8B">
      <w:pPr>
        <w:spacing w:after="0" w:line="240" w:lineRule="auto"/>
        <w:ind w:left="-709"/>
        <w:rPr>
          <w:rFonts w:ascii="Arial" w:hAnsi="Arial" w:cs="Arial"/>
          <w:sz w:val="20"/>
          <w:szCs w:val="20"/>
        </w:rPr>
      </w:pPr>
      <w:r w:rsidRPr="00C00E75">
        <w:rPr>
          <w:rFonts w:ascii="Arial" w:hAnsi="Arial" w:cs="Arial"/>
          <w:b/>
          <w:sz w:val="20"/>
          <w:szCs w:val="20"/>
        </w:rPr>
        <w:t>Table 1</w:t>
      </w:r>
      <w:r w:rsidRPr="00C00E75">
        <w:rPr>
          <w:rFonts w:ascii="Arial" w:hAnsi="Arial" w:cs="Arial"/>
          <w:sz w:val="20"/>
          <w:szCs w:val="20"/>
        </w:rPr>
        <w:t>.</w:t>
      </w:r>
      <w:r w:rsidRPr="00C00E75">
        <w:rPr>
          <w:rFonts w:ascii="Arial" w:hAnsi="Arial" w:cs="Arial"/>
          <w:b/>
          <w:sz w:val="20"/>
          <w:szCs w:val="20"/>
        </w:rPr>
        <w:t xml:space="preserve"> </w:t>
      </w:r>
      <w:r w:rsidRPr="00C00E75">
        <w:rPr>
          <w:rFonts w:ascii="Arial" w:hAnsi="Arial" w:cs="Arial"/>
          <w:sz w:val="20"/>
          <w:szCs w:val="20"/>
        </w:rPr>
        <w:t>Characteristics of category 1 infectious syphilis</w:t>
      </w:r>
      <w:r w:rsidRPr="00C00E75">
        <w:rPr>
          <w:rFonts w:ascii="Arial" w:hAnsi="Arial" w:cs="Arial"/>
          <w:sz w:val="20"/>
          <w:szCs w:val="20"/>
          <w:vertAlign w:val="superscript"/>
        </w:rPr>
        <w:t>α</w:t>
      </w:r>
      <w:r w:rsidRPr="00C00E75">
        <w:rPr>
          <w:rFonts w:ascii="Arial" w:hAnsi="Arial" w:cs="Arial"/>
          <w:sz w:val="20"/>
          <w:szCs w:val="20"/>
        </w:rPr>
        <w:t xml:space="preserve"> outbreak cases notified in Aboriginal and Torres Strait Islander people residing in affected regions</w:t>
      </w:r>
      <w:r w:rsidRPr="00C00E75">
        <w:rPr>
          <w:rFonts w:ascii="Arial" w:hAnsi="Arial" w:cs="Arial"/>
          <w:sz w:val="20"/>
          <w:szCs w:val="20"/>
          <w:vertAlign w:val="superscript"/>
        </w:rPr>
        <w:t>β</w:t>
      </w:r>
      <w:r w:rsidRPr="00C00E75">
        <w:rPr>
          <w:rFonts w:ascii="Arial" w:hAnsi="Arial" w:cs="Arial"/>
          <w:sz w:val="20"/>
          <w:szCs w:val="20"/>
        </w:rPr>
        <w:t xml:space="preserve"> of Queensland, the Northern Territory, Western Australia and South Australia, to </w:t>
      </w:r>
      <w:r w:rsidRPr="00C00E75">
        <w:rPr>
          <w:rFonts w:ascii="Arial" w:hAnsi="Arial" w:cs="Arial"/>
          <w:sz w:val="20"/>
          <w:szCs w:val="20"/>
        </w:rPr>
        <w:br/>
      </w:r>
      <w:r w:rsidRPr="00C00E75">
        <w:rPr>
          <w:color w:val="000000" w:themeColor="text1"/>
        </w:rPr>
        <w:t xml:space="preserve">30 April </w:t>
      </w:r>
      <w:r w:rsidRPr="00C00E75">
        <w:rPr>
          <w:rFonts w:ascii="Arial" w:hAnsi="Arial" w:cs="Arial"/>
          <w:sz w:val="20"/>
          <w:szCs w:val="16"/>
        </w:rPr>
        <w:t>2019</w:t>
      </w:r>
      <w:r w:rsidRPr="00C00E75">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560"/>
        <w:gridCol w:w="1559"/>
        <w:gridCol w:w="1559"/>
      </w:tblGrid>
      <w:tr w:rsidR="00AC0A8B" w:rsidRPr="00351EFE" w14:paraId="57B049C5" w14:textId="77777777" w:rsidTr="00EB11F0">
        <w:trPr>
          <w:tblHeader/>
        </w:trPr>
        <w:tc>
          <w:tcPr>
            <w:tcW w:w="4236" w:type="dxa"/>
            <w:tcBorders>
              <w:bottom w:val="single" w:sz="4" w:space="0" w:color="auto"/>
            </w:tcBorders>
          </w:tcPr>
          <w:p w14:paraId="57B049BE" w14:textId="77777777" w:rsidR="00AC0A8B" w:rsidRPr="00351EFE" w:rsidRDefault="00AC0A8B" w:rsidP="00EB11F0">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14:paraId="57B049BF" w14:textId="77777777" w:rsidR="00AC0A8B" w:rsidRPr="00C00E75" w:rsidRDefault="00AC0A8B" w:rsidP="00EB11F0">
            <w:pPr>
              <w:ind w:left="34" w:hanging="34"/>
              <w:jc w:val="center"/>
              <w:rPr>
                <w:rFonts w:ascii="Calibri" w:eastAsia="Times New Roman" w:hAnsi="Calibri" w:cs="Arial"/>
                <w:b/>
                <w:sz w:val="20"/>
                <w:szCs w:val="20"/>
                <w:lang w:eastAsia="en-AU"/>
              </w:rPr>
            </w:pPr>
            <w:r w:rsidRPr="00C00E75">
              <w:rPr>
                <w:rFonts w:ascii="Calibri" w:eastAsia="Times New Roman" w:hAnsi="Calibri" w:cs="Arial"/>
                <w:b/>
                <w:sz w:val="20"/>
                <w:szCs w:val="20"/>
                <w:lang w:eastAsia="en-AU"/>
              </w:rPr>
              <w:t xml:space="preserve">North Qld </w:t>
            </w:r>
            <w:r w:rsidRPr="00C00E75">
              <w:rPr>
                <w:rFonts w:ascii="Calibri" w:eastAsia="Times New Roman" w:hAnsi="Calibri" w:cs="Arial"/>
                <w:b/>
                <w:sz w:val="20"/>
                <w:szCs w:val="20"/>
                <w:lang w:eastAsia="en-AU"/>
              </w:rPr>
              <w:br/>
            </w:r>
            <w:r w:rsidRPr="00C00E75">
              <w:rPr>
                <w:rFonts w:ascii="Calibri" w:eastAsia="Times New Roman" w:hAnsi="Calibri" w:cs="Arial"/>
                <w:sz w:val="20"/>
                <w:szCs w:val="20"/>
                <w:lang w:eastAsia="en-AU"/>
              </w:rPr>
              <w:t>(four HHSs</w:t>
            </w:r>
            <w:r w:rsidRPr="00C00E75">
              <w:rPr>
                <w:rFonts w:ascii="Calibri" w:eastAsia="Times New Roman" w:hAnsi="Calibri" w:cs="Arial"/>
                <w:sz w:val="20"/>
                <w:szCs w:val="20"/>
                <w:vertAlign w:val="superscript"/>
                <w:lang w:eastAsia="en-AU"/>
              </w:rPr>
              <w:t>β</w:t>
            </w:r>
            <w:r w:rsidRPr="00C00E75">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9C0" w14:textId="77777777" w:rsidR="00AC0A8B" w:rsidRPr="00E2498E" w:rsidRDefault="00AC0A8B" w:rsidP="00EB11F0">
            <w:pPr>
              <w:ind w:left="34" w:hanging="34"/>
              <w:jc w:val="center"/>
              <w:rPr>
                <w:rFonts w:ascii="Calibri" w:eastAsia="Times New Roman" w:hAnsi="Calibri" w:cs="Arial"/>
                <w:sz w:val="20"/>
                <w:szCs w:val="20"/>
                <w:lang w:eastAsia="en-AU"/>
              </w:rPr>
            </w:pPr>
            <w:r w:rsidRPr="00E2498E">
              <w:rPr>
                <w:rFonts w:ascii="Calibri" w:eastAsia="Times New Roman" w:hAnsi="Calibri" w:cs="Arial"/>
                <w:b/>
                <w:sz w:val="20"/>
                <w:szCs w:val="20"/>
                <w:lang w:eastAsia="en-AU"/>
              </w:rPr>
              <w:t xml:space="preserve">NT </w:t>
            </w:r>
          </w:p>
          <w:p w14:paraId="57B049C1" w14:textId="77777777" w:rsidR="00AC0A8B" w:rsidRPr="00E2498E" w:rsidRDefault="00AC0A8B" w:rsidP="00EB11F0">
            <w:pPr>
              <w:ind w:left="34" w:hanging="34"/>
              <w:jc w:val="center"/>
              <w:rPr>
                <w:rFonts w:ascii="Calibri" w:eastAsia="Times New Roman" w:hAnsi="Calibri" w:cs="Arial"/>
                <w:b/>
                <w:sz w:val="20"/>
                <w:szCs w:val="20"/>
                <w:lang w:eastAsia="en-AU"/>
              </w:rPr>
            </w:pPr>
            <w:r w:rsidRPr="00E2498E">
              <w:rPr>
                <w:rFonts w:ascii="Calibri" w:eastAsia="Times New Roman" w:hAnsi="Calibri" w:cs="Arial"/>
                <w:sz w:val="20"/>
                <w:szCs w:val="20"/>
                <w:lang w:eastAsia="en-AU"/>
              </w:rPr>
              <w:t>(seven regions</w:t>
            </w:r>
            <w:r w:rsidRPr="00E2498E">
              <w:rPr>
                <w:rFonts w:ascii="Calibri" w:eastAsia="Times New Roman" w:hAnsi="Calibri" w:cs="Arial"/>
                <w:sz w:val="20"/>
                <w:szCs w:val="20"/>
                <w:vertAlign w:val="superscript"/>
                <w:lang w:eastAsia="en-AU"/>
              </w:rPr>
              <w:t xml:space="preserve"> β</w:t>
            </w:r>
            <w:r w:rsidRPr="00E2498E">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9C2" w14:textId="77777777" w:rsidR="00AC0A8B" w:rsidRPr="00862C25" w:rsidRDefault="00AC0A8B" w:rsidP="00EB11F0">
            <w:pPr>
              <w:ind w:left="34" w:hanging="34"/>
              <w:jc w:val="center"/>
              <w:rPr>
                <w:rFonts w:ascii="Calibri" w:eastAsia="Times New Roman" w:hAnsi="Calibri" w:cs="Arial"/>
                <w:b/>
                <w:sz w:val="20"/>
                <w:szCs w:val="20"/>
                <w:lang w:eastAsia="en-AU"/>
              </w:rPr>
            </w:pPr>
            <w:r w:rsidRPr="00862C25">
              <w:rPr>
                <w:rFonts w:ascii="Calibri" w:eastAsia="Times New Roman" w:hAnsi="Calibri" w:cs="Arial"/>
                <w:b/>
                <w:sz w:val="20"/>
                <w:szCs w:val="20"/>
                <w:lang w:eastAsia="en-AU"/>
              </w:rPr>
              <w:t>WA</w:t>
            </w:r>
            <w:r w:rsidRPr="00862C25">
              <w:rPr>
                <w:rFonts w:ascii="Calibri" w:eastAsia="Times New Roman" w:hAnsi="Calibri" w:cs="Arial"/>
                <w:b/>
                <w:sz w:val="20"/>
                <w:szCs w:val="20"/>
                <w:lang w:eastAsia="en-AU"/>
              </w:rPr>
              <w:br/>
            </w:r>
            <w:r w:rsidRPr="00862C25">
              <w:rPr>
                <w:rFonts w:ascii="Calibri" w:eastAsia="Times New Roman" w:hAnsi="Calibri" w:cs="Arial"/>
                <w:sz w:val="20"/>
                <w:szCs w:val="20"/>
                <w:lang w:eastAsia="en-AU"/>
              </w:rPr>
              <w:t xml:space="preserve"> (two regions</w:t>
            </w:r>
            <w:r w:rsidRPr="00862C25">
              <w:rPr>
                <w:rFonts w:ascii="Calibri" w:eastAsia="Times New Roman" w:hAnsi="Calibri" w:cs="Arial"/>
                <w:sz w:val="20"/>
                <w:szCs w:val="20"/>
                <w:vertAlign w:val="superscript"/>
                <w:lang w:eastAsia="en-AU"/>
              </w:rPr>
              <w:t xml:space="preserve"> β</w:t>
            </w:r>
            <w:r w:rsidRPr="00862C25">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9C3" w14:textId="77777777" w:rsidR="00AC0A8B" w:rsidRPr="00862C25" w:rsidRDefault="00AC0A8B" w:rsidP="00EB11F0">
            <w:pPr>
              <w:ind w:left="34" w:hanging="34"/>
              <w:jc w:val="center"/>
              <w:rPr>
                <w:rFonts w:ascii="Calibri" w:eastAsia="Times New Roman" w:hAnsi="Calibri" w:cs="Arial"/>
                <w:b/>
                <w:sz w:val="20"/>
                <w:szCs w:val="20"/>
                <w:lang w:eastAsia="en-AU"/>
              </w:rPr>
            </w:pPr>
            <w:r w:rsidRPr="00862C25">
              <w:rPr>
                <w:rFonts w:ascii="Calibri" w:eastAsia="Times New Roman" w:hAnsi="Calibri" w:cs="Arial"/>
                <w:b/>
                <w:sz w:val="20"/>
                <w:szCs w:val="20"/>
                <w:lang w:eastAsia="en-AU"/>
              </w:rPr>
              <w:t>SA</w:t>
            </w:r>
          </w:p>
          <w:p w14:paraId="57B049C4"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(three regions</w:t>
            </w:r>
            <w:r w:rsidRPr="00862C25">
              <w:rPr>
                <w:rFonts w:ascii="Calibri" w:eastAsia="Times New Roman" w:hAnsi="Calibri" w:cs="Arial"/>
                <w:sz w:val="20"/>
                <w:szCs w:val="20"/>
                <w:vertAlign w:val="superscript"/>
                <w:lang w:eastAsia="en-AU"/>
              </w:rPr>
              <w:t xml:space="preserve"> β</w:t>
            </w:r>
            <w:r w:rsidRPr="00862C25">
              <w:rPr>
                <w:rFonts w:ascii="Calibri" w:eastAsia="Times New Roman" w:hAnsi="Calibri" w:cs="Arial"/>
                <w:sz w:val="20"/>
                <w:szCs w:val="20"/>
                <w:lang w:eastAsia="en-AU"/>
              </w:rPr>
              <w:t>)</w:t>
            </w:r>
          </w:p>
        </w:tc>
      </w:tr>
      <w:tr w:rsidR="00AC0A8B" w:rsidRPr="00351EFE" w14:paraId="57B049CB" w14:textId="77777777" w:rsidTr="00EB11F0">
        <w:tc>
          <w:tcPr>
            <w:tcW w:w="4236" w:type="dxa"/>
            <w:tcBorders>
              <w:right w:val="nil"/>
            </w:tcBorders>
            <w:shd w:val="clear" w:color="auto" w:fill="DBE5F1" w:themeFill="accent1" w:themeFillTint="33"/>
          </w:tcPr>
          <w:p w14:paraId="57B049C6" w14:textId="77777777" w:rsidR="00AC0A8B" w:rsidRPr="00351EFE" w:rsidRDefault="00AC0A8B" w:rsidP="00EB11F0">
            <w:pPr>
              <w:ind w:left="34" w:hanging="34"/>
              <w:rPr>
                <w:rFonts w:ascii="Calibri" w:eastAsia="Times New Roman" w:hAnsi="Calibri" w:cs="Arial"/>
                <w:b/>
                <w:sz w:val="20"/>
                <w:szCs w:val="20"/>
                <w:highlight w:val="yellow"/>
                <w:lang w:eastAsia="en-AU"/>
              </w:rPr>
            </w:pPr>
            <w:r w:rsidRPr="00C00E75">
              <w:rPr>
                <w:rFonts w:ascii="Calibri" w:eastAsia="Times New Roman" w:hAnsi="Calibri" w:cs="Arial"/>
                <w:b/>
                <w:sz w:val="20"/>
                <w:szCs w:val="20"/>
                <w:lang w:eastAsia="en-AU"/>
              </w:rPr>
              <w:t>Situation to-date, 30 April 2019</w:t>
            </w:r>
          </w:p>
        </w:tc>
        <w:tc>
          <w:tcPr>
            <w:tcW w:w="1553" w:type="dxa"/>
            <w:tcBorders>
              <w:left w:val="nil"/>
              <w:bottom w:val="single" w:sz="4" w:space="0" w:color="auto"/>
              <w:right w:val="nil"/>
            </w:tcBorders>
            <w:shd w:val="clear" w:color="auto" w:fill="DBE5F1" w:themeFill="accent1" w:themeFillTint="33"/>
          </w:tcPr>
          <w:p w14:paraId="57B049C7" w14:textId="77777777" w:rsidR="00AC0A8B" w:rsidRPr="00C00E75" w:rsidRDefault="00AC0A8B"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9C8" w14:textId="77777777" w:rsidR="00AC0A8B" w:rsidRPr="00E2498E" w:rsidRDefault="00AC0A8B" w:rsidP="00EB11F0">
            <w:pPr>
              <w:ind w:left="34" w:hanging="34"/>
              <w:rPr>
                <w:rFonts w:ascii="Calibri" w:eastAsia="Times New Roman" w:hAnsi="Calibri" w:cs="Arial"/>
                <w:sz w:val="20"/>
                <w:szCs w:val="20"/>
                <w:lang w:eastAsia="en-AU"/>
              </w:rPr>
            </w:pPr>
          </w:p>
        </w:tc>
        <w:tc>
          <w:tcPr>
            <w:tcW w:w="1559" w:type="dxa"/>
            <w:tcBorders>
              <w:left w:val="nil"/>
              <w:bottom w:val="single" w:sz="4" w:space="0" w:color="auto"/>
              <w:right w:val="nil"/>
            </w:tcBorders>
            <w:shd w:val="clear" w:color="auto" w:fill="DBE5F1" w:themeFill="accent1" w:themeFillTint="33"/>
          </w:tcPr>
          <w:p w14:paraId="57B049C9" w14:textId="77777777" w:rsidR="00AC0A8B" w:rsidRPr="00862C25" w:rsidRDefault="00AC0A8B" w:rsidP="00EB11F0">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9CA" w14:textId="77777777" w:rsidR="00AC0A8B" w:rsidRPr="00862C25" w:rsidRDefault="00AC0A8B" w:rsidP="00EB11F0">
            <w:pPr>
              <w:ind w:left="34" w:hanging="34"/>
              <w:rPr>
                <w:rFonts w:ascii="Calibri" w:eastAsia="Times New Roman" w:hAnsi="Calibri" w:cs="Arial"/>
                <w:sz w:val="20"/>
                <w:szCs w:val="20"/>
                <w:lang w:eastAsia="en-AU"/>
              </w:rPr>
            </w:pPr>
          </w:p>
        </w:tc>
      </w:tr>
      <w:tr w:rsidR="00AC0A8B" w:rsidRPr="00862C25" w14:paraId="57B049D1" w14:textId="77777777" w:rsidTr="00EB11F0">
        <w:trPr>
          <w:trHeight w:val="365"/>
        </w:trPr>
        <w:tc>
          <w:tcPr>
            <w:tcW w:w="4236" w:type="dxa"/>
            <w:vAlign w:val="center"/>
          </w:tcPr>
          <w:p w14:paraId="57B049CC"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14:paraId="57B049CD"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9CE"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July 2013</w:t>
            </w:r>
          </w:p>
        </w:tc>
        <w:tc>
          <w:tcPr>
            <w:tcW w:w="1559" w:type="dxa"/>
            <w:shd w:val="clear" w:color="auto" w:fill="CCC0D9" w:themeFill="accent4" w:themeFillTint="66"/>
            <w:vAlign w:val="center"/>
          </w:tcPr>
          <w:p w14:paraId="57B049CF"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9D0"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November 2016</w:t>
            </w:r>
          </w:p>
        </w:tc>
      </w:tr>
      <w:tr w:rsidR="00AC0A8B" w:rsidRPr="00862C25" w14:paraId="57B049D7" w14:textId="77777777" w:rsidTr="00EB11F0">
        <w:tc>
          <w:tcPr>
            <w:tcW w:w="4236" w:type="dxa"/>
          </w:tcPr>
          <w:p w14:paraId="57B049D2"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Total number of cases</w:t>
            </w:r>
            <w:r w:rsidRPr="00862C25">
              <w:rPr>
                <w:rFonts w:ascii="Calibri" w:eastAsia="Times New Roman" w:hAnsi="Calibri" w:cs="Arial"/>
                <w:b/>
                <w:sz w:val="20"/>
                <w:szCs w:val="20"/>
                <w:vertAlign w:val="superscript"/>
                <w:lang w:eastAsia="en-AU"/>
              </w:rPr>
              <w:t xml:space="preserve"> </w:t>
            </w:r>
            <w:r w:rsidRPr="00862C25">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14:paraId="57B049D3"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1294</w:t>
            </w:r>
          </w:p>
        </w:tc>
        <w:tc>
          <w:tcPr>
            <w:tcW w:w="1560" w:type="dxa"/>
            <w:shd w:val="clear" w:color="auto" w:fill="B6DDE8" w:themeFill="accent5" w:themeFillTint="66"/>
            <w:vAlign w:val="center"/>
          </w:tcPr>
          <w:p w14:paraId="57B049D4"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1024</w:t>
            </w:r>
          </w:p>
        </w:tc>
        <w:tc>
          <w:tcPr>
            <w:tcW w:w="1559" w:type="dxa"/>
            <w:shd w:val="clear" w:color="auto" w:fill="CCC0D9" w:themeFill="accent4" w:themeFillTint="66"/>
            <w:vAlign w:val="center"/>
          </w:tcPr>
          <w:p w14:paraId="57B049D5"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288</w:t>
            </w:r>
          </w:p>
        </w:tc>
        <w:tc>
          <w:tcPr>
            <w:tcW w:w="1559" w:type="dxa"/>
            <w:shd w:val="clear" w:color="auto" w:fill="FBD4B4" w:themeFill="accent6" w:themeFillTint="66"/>
          </w:tcPr>
          <w:p w14:paraId="57B049D6"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67</w:t>
            </w:r>
          </w:p>
        </w:tc>
      </w:tr>
      <w:tr w:rsidR="00AC0A8B" w:rsidRPr="00862C25" w14:paraId="57B049DD" w14:textId="77777777" w:rsidTr="00EB11F0">
        <w:tc>
          <w:tcPr>
            <w:tcW w:w="4236" w:type="dxa"/>
            <w:shd w:val="clear" w:color="auto" w:fill="auto"/>
          </w:tcPr>
          <w:p w14:paraId="57B049D8"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9D9"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9DA"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46% / 54%</w:t>
            </w:r>
          </w:p>
        </w:tc>
        <w:tc>
          <w:tcPr>
            <w:tcW w:w="1559" w:type="dxa"/>
            <w:shd w:val="clear" w:color="auto" w:fill="CCC0D9" w:themeFill="accent4" w:themeFillTint="66"/>
            <w:vAlign w:val="center"/>
          </w:tcPr>
          <w:p w14:paraId="57B049DB"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41% / 59%</w:t>
            </w:r>
          </w:p>
        </w:tc>
        <w:tc>
          <w:tcPr>
            <w:tcW w:w="1559" w:type="dxa"/>
            <w:shd w:val="clear" w:color="auto" w:fill="FBD4B4" w:themeFill="accent6" w:themeFillTint="66"/>
          </w:tcPr>
          <w:p w14:paraId="57B049DC"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54% / 46%</w:t>
            </w:r>
          </w:p>
        </w:tc>
      </w:tr>
      <w:tr w:rsidR="00AC0A8B" w:rsidRPr="00862C25" w14:paraId="57B049E3" w14:textId="77777777" w:rsidTr="00EB11F0">
        <w:tc>
          <w:tcPr>
            <w:tcW w:w="4236" w:type="dxa"/>
            <w:shd w:val="clear" w:color="auto" w:fill="auto"/>
          </w:tcPr>
          <w:p w14:paraId="57B049DE"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9DF"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66%</w:t>
            </w:r>
          </w:p>
        </w:tc>
        <w:tc>
          <w:tcPr>
            <w:tcW w:w="1560" w:type="dxa"/>
            <w:shd w:val="clear" w:color="auto" w:fill="B6DDE8" w:themeFill="accent5" w:themeFillTint="66"/>
            <w:vAlign w:val="center"/>
          </w:tcPr>
          <w:p w14:paraId="57B049E0"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62%</w:t>
            </w:r>
          </w:p>
        </w:tc>
        <w:tc>
          <w:tcPr>
            <w:tcW w:w="1559" w:type="dxa"/>
            <w:shd w:val="clear" w:color="auto" w:fill="CCC0D9" w:themeFill="accent4" w:themeFillTint="66"/>
            <w:vAlign w:val="center"/>
          </w:tcPr>
          <w:p w14:paraId="57B049E1"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72%</w:t>
            </w:r>
          </w:p>
        </w:tc>
        <w:tc>
          <w:tcPr>
            <w:tcW w:w="1559" w:type="dxa"/>
            <w:shd w:val="clear" w:color="auto" w:fill="FBD4B4" w:themeFill="accent6" w:themeFillTint="66"/>
          </w:tcPr>
          <w:p w14:paraId="57B049E2" w14:textId="77777777" w:rsidR="00AC0A8B" w:rsidRPr="00862C25" w:rsidRDefault="00AC0A8B" w:rsidP="00EB11F0">
            <w:pPr>
              <w:tabs>
                <w:tab w:val="left" w:pos="465"/>
                <w:tab w:val="center" w:pos="663"/>
              </w:tabs>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48%</w:t>
            </w:r>
          </w:p>
        </w:tc>
      </w:tr>
      <w:tr w:rsidR="00AC0A8B" w:rsidRPr="00862C25" w14:paraId="57B049E9" w14:textId="77777777" w:rsidTr="00EB11F0">
        <w:tc>
          <w:tcPr>
            <w:tcW w:w="4236" w:type="dxa"/>
            <w:shd w:val="clear" w:color="auto" w:fill="auto"/>
          </w:tcPr>
          <w:p w14:paraId="57B049E4"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Congenital cases, confirmed (probable)</w:t>
            </w:r>
            <w:r w:rsidRPr="00862C25">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14:paraId="57B049E5"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9E6"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2 (3)</w:t>
            </w:r>
          </w:p>
        </w:tc>
        <w:tc>
          <w:tcPr>
            <w:tcW w:w="1559" w:type="dxa"/>
            <w:shd w:val="clear" w:color="auto" w:fill="CCC0D9" w:themeFill="accent4" w:themeFillTint="66"/>
            <w:vAlign w:val="center"/>
          </w:tcPr>
          <w:p w14:paraId="57B049E7" w14:textId="77777777" w:rsidR="00AC0A8B" w:rsidRPr="00862C25" w:rsidRDefault="00AC0A8B" w:rsidP="00EB11F0">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w:t>
            </w:r>
            <w:r w:rsidRPr="00862C25">
              <w:rPr>
                <w:rFonts w:ascii="Calibri" w:eastAsia="Times New Roman" w:hAnsi="Calibri" w:cs="Arial"/>
                <w:sz w:val="20"/>
                <w:szCs w:val="20"/>
                <w:lang w:eastAsia="en-AU"/>
              </w:rPr>
              <w:t xml:space="preserve"> (0)</w:t>
            </w:r>
          </w:p>
        </w:tc>
        <w:tc>
          <w:tcPr>
            <w:tcW w:w="1559" w:type="dxa"/>
            <w:shd w:val="clear" w:color="auto" w:fill="FBD4B4" w:themeFill="accent6" w:themeFillTint="66"/>
          </w:tcPr>
          <w:p w14:paraId="57B049E8"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 (0)</w:t>
            </w:r>
          </w:p>
        </w:tc>
      </w:tr>
      <w:tr w:rsidR="00AC0A8B" w:rsidRPr="00862C25" w14:paraId="57B049EF" w14:textId="77777777" w:rsidTr="00EB11F0">
        <w:tc>
          <w:tcPr>
            <w:tcW w:w="4236" w:type="dxa"/>
            <w:tcBorders>
              <w:bottom w:val="single" w:sz="4" w:space="0" w:color="auto"/>
            </w:tcBorders>
            <w:shd w:val="clear" w:color="auto" w:fill="auto"/>
          </w:tcPr>
          <w:p w14:paraId="57B049EA"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14:paraId="57B049EB"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9EC"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0 (0)</w:t>
            </w:r>
          </w:p>
        </w:tc>
        <w:tc>
          <w:tcPr>
            <w:tcW w:w="1559" w:type="dxa"/>
            <w:tcBorders>
              <w:bottom w:val="single" w:sz="4" w:space="0" w:color="auto"/>
            </w:tcBorders>
            <w:shd w:val="clear" w:color="auto" w:fill="CCC0D9" w:themeFill="accent4" w:themeFillTint="66"/>
            <w:vAlign w:val="center"/>
          </w:tcPr>
          <w:p w14:paraId="57B049ED"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9EE"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0 (0)</w:t>
            </w:r>
          </w:p>
        </w:tc>
      </w:tr>
      <w:tr w:rsidR="00AC0A8B" w:rsidRPr="00862C25" w14:paraId="57B049F1" w14:textId="77777777" w:rsidTr="00EB11F0">
        <w:tc>
          <w:tcPr>
            <w:tcW w:w="10467" w:type="dxa"/>
            <w:gridSpan w:val="5"/>
            <w:tcBorders>
              <w:bottom w:val="single" w:sz="4" w:space="0" w:color="auto"/>
            </w:tcBorders>
            <w:shd w:val="clear" w:color="auto" w:fill="auto"/>
          </w:tcPr>
          <w:p w14:paraId="57B049F0"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b/>
                <w:sz w:val="20"/>
                <w:szCs w:val="20"/>
                <w:lang w:eastAsia="en-AU"/>
              </w:rPr>
              <w:t>Last reporting month, 1 –30 April 2019</w:t>
            </w:r>
          </w:p>
        </w:tc>
      </w:tr>
      <w:tr w:rsidR="00AC0A8B" w:rsidRPr="00862C25" w14:paraId="57B049F7" w14:textId="77777777" w:rsidTr="00EB11F0">
        <w:tc>
          <w:tcPr>
            <w:tcW w:w="4236" w:type="dxa"/>
            <w:shd w:val="clear" w:color="auto" w:fill="auto"/>
          </w:tcPr>
          <w:p w14:paraId="57B049F2"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Number of cases</w:t>
            </w:r>
            <w:r w:rsidRPr="00862C25">
              <w:rPr>
                <w:rFonts w:ascii="Calibri" w:eastAsia="Times New Roman" w:hAnsi="Calibri" w:cs="Arial"/>
                <w:b/>
                <w:sz w:val="20"/>
                <w:szCs w:val="20"/>
                <w:vertAlign w:val="superscript"/>
                <w:lang w:eastAsia="en-AU"/>
              </w:rPr>
              <w:t xml:space="preserve"> </w:t>
            </w:r>
            <w:r w:rsidRPr="00862C25">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14:paraId="57B049F3"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12</w:t>
            </w:r>
          </w:p>
        </w:tc>
        <w:tc>
          <w:tcPr>
            <w:tcW w:w="1560" w:type="dxa"/>
            <w:shd w:val="clear" w:color="auto" w:fill="B6DDE8" w:themeFill="accent5" w:themeFillTint="66"/>
            <w:vAlign w:val="center"/>
          </w:tcPr>
          <w:p w14:paraId="57B049F4"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18</w:t>
            </w:r>
          </w:p>
        </w:tc>
        <w:tc>
          <w:tcPr>
            <w:tcW w:w="1559" w:type="dxa"/>
            <w:shd w:val="clear" w:color="auto" w:fill="CCC0D9" w:themeFill="accent4" w:themeFillTint="66"/>
            <w:vAlign w:val="center"/>
          </w:tcPr>
          <w:p w14:paraId="57B049F5"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12</w:t>
            </w:r>
          </w:p>
        </w:tc>
        <w:tc>
          <w:tcPr>
            <w:tcW w:w="1559" w:type="dxa"/>
            <w:shd w:val="clear" w:color="auto" w:fill="FBD4B4" w:themeFill="accent6" w:themeFillTint="66"/>
          </w:tcPr>
          <w:p w14:paraId="57B049F6"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2</w:t>
            </w:r>
          </w:p>
        </w:tc>
      </w:tr>
      <w:tr w:rsidR="00AC0A8B" w:rsidRPr="00862C25" w14:paraId="57B049FD" w14:textId="77777777" w:rsidTr="00EB11F0">
        <w:tc>
          <w:tcPr>
            <w:tcW w:w="4236" w:type="dxa"/>
            <w:shd w:val="clear" w:color="auto" w:fill="auto"/>
          </w:tcPr>
          <w:p w14:paraId="57B049F8"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14:paraId="57B049F9"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75% /25%</w:t>
            </w:r>
          </w:p>
        </w:tc>
        <w:tc>
          <w:tcPr>
            <w:tcW w:w="1560" w:type="dxa"/>
            <w:shd w:val="clear" w:color="auto" w:fill="B6DDE8" w:themeFill="accent5" w:themeFillTint="66"/>
            <w:vAlign w:val="center"/>
          </w:tcPr>
          <w:p w14:paraId="57B049FA"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28% /72%</w:t>
            </w:r>
          </w:p>
        </w:tc>
        <w:tc>
          <w:tcPr>
            <w:tcW w:w="1559" w:type="dxa"/>
            <w:shd w:val="clear" w:color="auto" w:fill="CCC0D9" w:themeFill="accent4" w:themeFillTint="66"/>
            <w:vAlign w:val="center"/>
          </w:tcPr>
          <w:p w14:paraId="57B049FB"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33% / 67%</w:t>
            </w:r>
          </w:p>
        </w:tc>
        <w:tc>
          <w:tcPr>
            <w:tcW w:w="1559" w:type="dxa"/>
            <w:shd w:val="clear" w:color="auto" w:fill="FBD4B4" w:themeFill="accent6" w:themeFillTint="66"/>
          </w:tcPr>
          <w:p w14:paraId="57B049FC"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100% / 0%</w:t>
            </w:r>
          </w:p>
        </w:tc>
      </w:tr>
      <w:tr w:rsidR="00AC0A8B" w:rsidRPr="00862C25" w14:paraId="57B04A03" w14:textId="77777777" w:rsidTr="00EB11F0">
        <w:tc>
          <w:tcPr>
            <w:tcW w:w="4236" w:type="dxa"/>
            <w:shd w:val="clear" w:color="auto" w:fill="auto"/>
          </w:tcPr>
          <w:p w14:paraId="57B049FE" w14:textId="77777777" w:rsidR="00AC0A8B" w:rsidRPr="00862C25" w:rsidRDefault="00AC0A8B" w:rsidP="00EB11F0">
            <w:pPr>
              <w:ind w:left="34" w:hanging="34"/>
              <w:rPr>
                <w:rFonts w:ascii="Calibri" w:eastAsia="Times New Roman" w:hAnsi="Calibri" w:cs="Arial"/>
                <w:sz w:val="20"/>
                <w:szCs w:val="20"/>
                <w:lang w:eastAsia="en-AU"/>
              </w:rPr>
            </w:pPr>
            <w:r w:rsidRPr="00862C25">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14:paraId="57B049FF" w14:textId="77777777" w:rsidR="00AC0A8B" w:rsidRPr="00862C25" w:rsidRDefault="00AC0A8B" w:rsidP="00EB11F0">
            <w:pPr>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58%</w:t>
            </w:r>
          </w:p>
        </w:tc>
        <w:tc>
          <w:tcPr>
            <w:tcW w:w="1560" w:type="dxa"/>
            <w:shd w:val="clear" w:color="auto" w:fill="B6DDE8" w:themeFill="accent5" w:themeFillTint="66"/>
            <w:vAlign w:val="center"/>
          </w:tcPr>
          <w:p w14:paraId="57B04A00"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56%</w:t>
            </w:r>
          </w:p>
        </w:tc>
        <w:tc>
          <w:tcPr>
            <w:tcW w:w="1559" w:type="dxa"/>
            <w:shd w:val="clear" w:color="auto" w:fill="CCC0D9" w:themeFill="accent4" w:themeFillTint="66"/>
            <w:vAlign w:val="center"/>
          </w:tcPr>
          <w:p w14:paraId="57B04A01"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100%</w:t>
            </w:r>
          </w:p>
        </w:tc>
        <w:tc>
          <w:tcPr>
            <w:tcW w:w="1559" w:type="dxa"/>
            <w:shd w:val="clear" w:color="auto" w:fill="FBD4B4" w:themeFill="accent6" w:themeFillTint="66"/>
          </w:tcPr>
          <w:p w14:paraId="57B04A02" w14:textId="77777777" w:rsidR="00AC0A8B" w:rsidRPr="00862C25" w:rsidRDefault="00AC0A8B" w:rsidP="00EB11F0">
            <w:pPr>
              <w:ind w:left="34" w:hanging="34"/>
              <w:jc w:val="center"/>
              <w:rPr>
                <w:rFonts w:ascii="Calibri" w:eastAsia="Times New Roman" w:hAnsi="Calibri" w:cs="Arial"/>
                <w:sz w:val="20"/>
                <w:szCs w:val="20"/>
                <w:lang w:eastAsia="en-AU"/>
              </w:rPr>
            </w:pPr>
            <w:r w:rsidRPr="00862C25">
              <w:rPr>
                <w:rFonts w:ascii="Calibri" w:eastAsia="Times New Roman" w:hAnsi="Calibri" w:cs="Arial"/>
                <w:sz w:val="20"/>
                <w:szCs w:val="20"/>
                <w:lang w:eastAsia="en-AU"/>
              </w:rPr>
              <w:t>0%</w:t>
            </w:r>
          </w:p>
        </w:tc>
      </w:tr>
    </w:tbl>
    <w:p w14:paraId="57B04A04" w14:textId="77777777" w:rsidR="00AC0A8B" w:rsidRPr="00862C25" w:rsidRDefault="00AC0A8B" w:rsidP="00AC0A8B">
      <w:pPr>
        <w:pStyle w:val="ListParagraph"/>
        <w:spacing w:before="60" w:after="0" w:line="240" w:lineRule="auto"/>
        <w:ind w:left="-567"/>
        <w:contextualSpacing w:val="0"/>
        <w:rPr>
          <w:b/>
          <w:sz w:val="16"/>
          <w:szCs w:val="16"/>
          <w:vertAlign w:val="superscript"/>
        </w:rPr>
      </w:pPr>
    </w:p>
    <w:p w14:paraId="57B04A05" w14:textId="77777777" w:rsidR="00AC0A8B" w:rsidRPr="00862C25" w:rsidRDefault="00AC0A8B" w:rsidP="00AC0A8B">
      <w:pPr>
        <w:pStyle w:val="ListParagraph"/>
        <w:spacing w:before="60" w:after="0" w:line="240" w:lineRule="auto"/>
        <w:ind w:left="-709"/>
        <w:contextualSpacing w:val="0"/>
        <w:rPr>
          <w:rFonts w:ascii="Arial" w:hAnsi="Arial" w:cs="Arial"/>
          <w:sz w:val="20"/>
          <w:szCs w:val="16"/>
        </w:rPr>
      </w:pPr>
      <w:r w:rsidRPr="00862C25">
        <w:rPr>
          <w:rFonts w:ascii="Arial" w:hAnsi="Arial" w:cs="Arial"/>
          <w:b/>
          <w:sz w:val="20"/>
          <w:szCs w:val="16"/>
        </w:rPr>
        <w:t xml:space="preserve">Table 2. </w:t>
      </w:r>
      <w:r w:rsidRPr="00862C25">
        <w:rPr>
          <w:rFonts w:ascii="Arial" w:hAnsi="Arial" w:cs="Arial"/>
          <w:sz w:val="20"/>
          <w:szCs w:val="16"/>
        </w:rPr>
        <w:t>Number of category 2 infectious syphilis</w:t>
      </w:r>
      <w:r w:rsidRPr="00862C25">
        <w:rPr>
          <w:rFonts w:ascii="Arial" w:hAnsi="Arial" w:cs="Arial"/>
          <w:sz w:val="20"/>
          <w:szCs w:val="20"/>
          <w:vertAlign w:val="superscript"/>
        </w:rPr>
        <w:t>α</w:t>
      </w:r>
      <w:r w:rsidRPr="00862C25">
        <w:rPr>
          <w:rFonts w:ascii="Arial" w:hAnsi="Arial" w:cs="Arial"/>
          <w:sz w:val="20"/>
          <w:szCs w:val="20"/>
        </w:rPr>
        <w:t xml:space="preserve"> cases</w:t>
      </w:r>
      <w:r w:rsidRPr="00862C25">
        <w:rPr>
          <w:rFonts w:ascii="Arial" w:hAnsi="Arial" w:cs="Arial"/>
          <w:sz w:val="20"/>
          <w:szCs w:val="16"/>
        </w:rPr>
        <w:t xml:space="preserve">, to </w:t>
      </w:r>
      <w:r w:rsidRPr="00862C25">
        <w:rPr>
          <w:color w:val="000000" w:themeColor="text1"/>
        </w:rPr>
        <w:t xml:space="preserve">30 April </w:t>
      </w:r>
      <w:r w:rsidRPr="00862C25">
        <w:rPr>
          <w:rFonts w:ascii="Arial" w:hAnsi="Arial" w:cs="Arial"/>
          <w:sz w:val="20"/>
          <w:szCs w:val="16"/>
        </w:rPr>
        <w:t>2019</w:t>
      </w:r>
      <w:r w:rsidRPr="00862C25">
        <w:rPr>
          <w:rFonts w:ascii="Arial" w:hAnsi="Arial" w:cs="Arial"/>
          <w:sz w:val="20"/>
          <w:szCs w:val="20"/>
          <w:vertAlign w:val="superscript"/>
        </w:rPr>
        <w:t xml:space="preserve"> ȶ ᵞ</w:t>
      </w:r>
      <w:r w:rsidRPr="00862C25">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C0A8B" w:rsidRPr="00862C25" w14:paraId="57B04A0C" w14:textId="77777777" w:rsidTr="00EB11F0">
        <w:trPr>
          <w:tblHeader/>
        </w:trPr>
        <w:tc>
          <w:tcPr>
            <w:tcW w:w="4219" w:type="dxa"/>
            <w:tcBorders>
              <w:bottom w:val="single" w:sz="4" w:space="0" w:color="auto"/>
            </w:tcBorders>
          </w:tcPr>
          <w:p w14:paraId="57B04A06" w14:textId="77777777" w:rsidR="00AC0A8B" w:rsidRPr="00862C25" w:rsidRDefault="00AC0A8B" w:rsidP="00EB11F0">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14:paraId="57B04A07" w14:textId="77777777" w:rsidR="00AC0A8B" w:rsidRPr="00862C25" w:rsidRDefault="00AC0A8B" w:rsidP="00EB11F0">
            <w:pPr>
              <w:pStyle w:val="ListParagraph"/>
              <w:spacing w:before="60"/>
              <w:ind w:left="0"/>
              <w:contextualSpacing w:val="0"/>
              <w:jc w:val="center"/>
              <w:rPr>
                <w:rFonts w:ascii="Calibri" w:eastAsia="Times New Roman" w:hAnsi="Calibri" w:cs="Arial"/>
                <w:b/>
                <w:sz w:val="20"/>
                <w:szCs w:val="20"/>
                <w:lang w:eastAsia="en-AU"/>
              </w:rPr>
            </w:pPr>
            <w:r w:rsidRPr="00862C25">
              <w:rPr>
                <w:rFonts w:ascii="Calibri" w:eastAsia="Times New Roman" w:hAnsi="Calibri" w:cs="Arial"/>
                <w:b/>
                <w:sz w:val="20"/>
                <w:szCs w:val="20"/>
                <w:lang w:eastAsia="en-AU"/>
              </w:rPr>
              <w:t xml:space="preserve">North Qld </w:t>
            </w:r>
            <w:r w:rsidRPr="00862C25">
              <w:rPr>
                <w:rFonts w:ascii="Calibri" w:eastAsia="Times New Roman" w:hAnsi="Calibri" w:cs="Arial"/>
                <w:b/>
                <w:sz w:val="20"/>
                <w:szCs w:val="20"/>
                <w:lang w:eastAsia="en-AU"/>
              </w:rPr>
              <w:br/>
            </w:r>
            <w:r w:rsidRPr="00862C25">
              <w:rPr>
                <w:rFonts w:ascii="Calibri" w:eastAsia="Times New Roman" w:hAnsi="Calibri" w:cs="Arial"/>
                <w:sz w:val="20"/>
                <w:szCs w:val="20"/>
                <w:lang w:eastAsia="en-AU"/>
              </w:rPr>
              <w:t>(four HHSs</w:t>
            </w:r>
            <w:r w:rsidRPr="00862C25">
              <w:rPr>
                <w:rFonts w:ascii="Calibri" w:eastAsia="Times New Roman" w:hAnsi="Calibri" w:cs="Arial"/>
                <w:sz w:val="20"/>
                <w:szCs w:val="20"/>
                <w:vertAlign w:val="superscript"/>
                <w:lang w:eastAsia="en-AU"/>
              </w:rPr>
              <w:t>β</w:t>
            </w:r>
            <w:r w:rsidRPr="00862C25">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A08" w14:textId="77777777" w:rsidR="00AC0A8B" w:rsidRPr="00862C25" w:rsidRDefault="00AC0A8B" w:rsidP="00EB11F0">
            <w:pPr>
              <w:pStyle w:val="ListParagraph"/>
              <w:spacing w:before="60"/>
              <w:ind w:left="0"/>
              <w:contextualSpacing w:val="0"/>
              <w:jc w:val="center"/>
              <w:rPr>
                <w:rFonts w:ascii="Calibri" w:hAnsi="Calibri"/>
                <w:b/>
                <w:sz w:val="20"/>
                <w:szCs w:val="16"/>
              </w:rPr>
            </w:pPr>
            <w:r w:rsidRPr="00862C25">
              <w:rPr>
                <w:rFonts w:ascii="Calibri" w:eastAsia="Times New Roman" w:hAnsi="Calibri" w:cs="Arial"/>
                <w:b/>
                <w:sz w:val="20"/>
                <w:szCs w:val="20"/>
                <w:lang w:eastAsia="en-AU"/>
              </w:rPr>
              <w:t xml:space="preserve">NT </w:t>
            </w:r>
            <w:r w:rsidRPr="00862C25">
              <w:rPr>
                <w:rFonts w:ascii="Calibri" w:eastAsia="Times New Roman" w:hAnsi="Calibri" w:cs="Arial"/>
                <w:b/>
                <w:sz w:val="20"/>
                <w:szCs w:val="20"/>
                <w:lang w:eastAsia="en-AU"/>
              </w:rPr>
              <w:br/>
            </w:r>
            <w:r w:rsidRPr="00862C25">
              <w:rPr>
                <w:rFonts w:ascii="Calibri" w:eastAsia="Times New Roman" w:hAnsi="Calibri" w:cs="Arial"/>
                <w:sz w:val="20"/>
                <w:szCs w:val="20"/>
                <w:lang w:eastAsia="en-AU"/>
              </w:rPr>
              <w:t>(seven regions</w:t>
            </w:r>
            <w:r w:rsidRPr="00862C25">
              <w:rPr>
                <w:rFonts w:ascii="Calibri" w:eastAsia="Times New Roman" w:hAnsi="Calibri" w:cs="Arial"/>
                <w:sz w:val="20"/>
                <w:szCs w:val="20"/>
                <w:vertAlign w:val="superscript"/>
                <w:lang w:eastAsia="en-AU"/>
              </w:rPr>
              <w:t xml:space="preserve"> β</w:t>
            </w:r>
            <w:r w:rsidRPr="00862C25">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14:paraId="57B04A09" w14:textId="77777777" w:rsidR="00AC0A8B" w:rsidRPr="00862C25" w:rsidRDefault="00AC0A8B" w:rsidP="00EB11F0">
            <w:pPr>
              <w:pStyle w:val="ListParagraph"/>
              <w:spacing w:before="60"/>
              <w:ind w:left="0"/>
              <w:contextualSpacing w:val="0"/>
              <w:jc w:val="center"/>
              <w:rPr>
                <w:rFonts w:ascii="Calibri" w:hAnsi="Calibri"/>
                <w:b/>
                <w:sz w:val="20"/>
                <w:szCs w:val="16"/>
              </w:rPr>
            </w:pPr>
            <w:r w:rsidRPr="00862C25">
              <w:rPr>
                <w:rFonts w:ascii="Calibri" w:eastAsia="Times New Roman" w:hAnsi="Calibri" w:cs="Arial"/>
                <w:b/>
                <w:sz w:val="20"/>
                <w:szCs w:val="20"/>
                <w:lang w:eastAsia="en-AU"/>
              </w:rPr>
              <w:t>WA</w:t>
            </w:r>
            <w:r w:rsidRPr="00862C25">
              <w:rPr>
                <w:rFonts w:ascii="Calibri" w:eastAsia="Times New Roman" w:hAnsi="Calibri" w:cs="Arial"/>
                <w:b/>
                <w:sz w:val="20"/>
                <w:szCs w:val="20"/>
                <w:lang w:eastAsia="en-AU"/>
              </w:rPr>
              <w:br/>
            </w:r>
            <w:r w:rsidRPr="00862C25">
              <w:rPr>
                <w:rFonts w:ascii="Calibri" w:eastAsia="Times New Roman" w:hAnsi="Calibri" w:cs="Arial"/>
                <w:sz w:val="20"/>
                <w:szCs w:val="20"/>
                <w:lang w:eastAsia="en-AU"/>
              </w:rPr>
              <w:t xml:space="preserve"> (two regions</w:t>
            </w:r>
            <w:r w:rsidRPr="00862C25">
              <w:rPr>
                <w:rFonts w:ascii="Calibri" w:eastAsia="Times New Roman" w:hAnsi="Calibri" w:cs="Arial"/>
                <w:sz w:val="20"/>
                <w:szCs w:val="20"/>
                <w:vertAlign w:val="superscript"/>
                <w:lang w:eastAsia="en-AU"/>
              </w:rPr>
              <w:t xml:space="preserve"> β</w:t>
            </w:r>
            <w:r w:rsidRPr="00862C25">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A0A" w14:textId="77777777" w:rsidR="00AC0A8B" w:rsidRPr="00862C25" w:rsidRDefault="00AC0A8B" w:rsidP="00EB11F0">
            <w:pPr>
              <w:ind w:left="34" w:hanging="34"/>
              <w:jc w:val="center"/>
              <w:rPr>
                <w:rFonts w:ascii="Calibri" w:eastAsia="Times New Roman" w:hAnsi="Calibri" w:cs="Arial"/>
                <w:b/>
                <w:sz w:val="20"/>
                <w:szCs w:val="20"/>
                <w:lang w:eastAsia="en-AU"/>
              </w:rPr>
            </w:pPr>
            <w:r w:rsidRPr="00862C25">
              <w:rPr>
                <w:rFonts w:ascii="Calibri" w:eastAsia="Times New Roman" w:hAnsi="Calibri" w:cs="Arial"/>
                <w:b/>
                <w:sz w:val="20"/>
                <w:szCs w:val="20"/>
                <w:lang w:eastAsia="en-AU"/>
              </w:rPr>
              <w:t>SA</w:t>
            </w:r>
          </w:p>
          <w:p w14:paraId="57B04A0B" w14:textId="77777777" w:rsidR="00AC0A8B" w:rsidRPr="00862C25" w:rsidRDefault="00AC0A8B" w:rsidP="00EB11F0">
            <w:pPr>
              <w:pStyle w:val="ListParagraph"/>
              <w:spacing w:before="60"/>
              <w:ind w:left="0"/>
              <w:contextualSpacing w:val="0"/>
              <w:jc w:val="center"/>
              <w:rPr>
                <w:rFonts w:ascii="Calibri" w:hAnsi="Calibri"/>
                <w:b/>
                <w:sz w:val="20"/>
                <w:szCs w:val="16"/>
              </w:rPr>
            </w:pPr>
            <w:r w:rsidRPr="00862C25">
              <w:rPr>
                <w:rFonts w:ascii="Calibri" w:eastAsia="Times New Roman" w:hAnsi="Calibri" w:cs="Arial"/>
                <w:sz w:val="20"/>
                <w:szCs w:val="20"/>
                <w:lang w:eastAsia="en-AU"/>
              </w:rPr>
              <w:t>(three regions</w:t>
            </w:r>
            <w:r w:rsidRPr="00862C25">
              <w:rPr>
                <w:rFonts w:ascii="Calibri" w:eastAsia="Times New Roman" w:hAnsi="Calibri" w:cs="Arial"/>
                <w:sz w:val="20"/>
                <w:szCs w:val="20"/>
                <w:vertAlign w:val="superscript"/>
                <w:lang w:eastAsia="en-AU"/>
              </w:rPr>
              <w:t xml:space="preserve"> β</w:t>
            </w:r>
            <w:r w:rsidRPr="00862C25">
              <w:rPr>
                <w:rFonts w:ascii="Calibri" w:eastAsia="Times New Roman" w:hAnsi="Calibri" w:cs="Arial"/>
                <w:sz w:val="20"/>
                <w:szCs w:val="20"/>
                <w:lang w:eastAsia="en-AU"/>
              </w:rPr>
              <w:t>)</w:t>
            </w:r>
          </w:p>
        </w:tc>
      </w:tr>
      <w:tr w:rsidR="00AC0A8B" w:rsidRPr="00862C25" w14:paraId="57B04A0E" w14:textId="77777777" w:rsidTr="00EB11F0">
        <w:tc>
          <w:tcPr>
            <w:tcW w:w="10456" w:type="dxa"/>
            <w:gridSpan w:val="5"/>
            <w:shd w:val="clear" w:color="auto" w:fill="DBE5F1" w:themeFill="accent1" w:themeFillTint="33"/>
          </w:tcPr>
          <w:p w14:paraId="57B04A0D" w14:textId="77777777" w:rsidR="00AC0A8B" w:rsidRPr="00862C25" w:rsidRDefault="00AC0A8B" w:rsidP="00EB11F0">
            <w:pPr>
              <w:pStyle w:val="ListParagraph"/>
              <w:spacing w:before="60"/>
              <w:ind w:left="0"/>
              <w:contextualSpacing w:val="0"/>
              <w:rPr>
                <w:b/>
                <w:sz w:val="16"/>
                <w:szCs w:val="16"/>
              </w:rPr>
            </w:pPr>
            <w:r w:rsidRPr="00862C25">
              <w:rPr>
                <w:b/>
                <w:sz w:val="20"/>
                <w:szCs w:val="16"/>
              </w:rPr>
              <w:t xml:space="preserve">Situation to-date, </w:t>
            </w:r>
            <w:r w:rsidRPr="00862C25">
              <w:rPr>
                <w:rFonts w:ascii="Calibri" w:eastAsia="Times New Roman" w:hAnsi="Calibri" w:cs="Arial"/>
                <w:b/>
                <w:sz w:val="20"/>
                <w:szCs w:val="20"/>
                <w:lang w:eastAsia="en-AU"/>
              </w:rPr>
              <w:t>30 April 2019</w:t>
            </w:r>
          </w:p>
        </w:tc>
      </w:tr>
      <w:tr w:rsidR="00AC0A8B" w:rsidRPr="00862C25" w14:paraId="57B04A14" w14:textId="77777777" w:rsidTr="00EB11F0">
        <w:tc>
          <w:tcPr>
            <w:tcW w:w="4219" w:type="dxa"/>
            <w:shd w:val="clear" w:color="auto" w:fill="auto"/>
          </w:tcPr>
          <w:p w14:paraId="57B04A0F" w14:textId="77777777" w:rsidR="00AC0A8B" w:rsidRPr="00862C25" w:rsidRDefault="00AC0A8B" w:rsidP="00EB11F0">
            <w:pPr>
              <w:pStyle w:val="ListParagraph"/>
              <w:spacing w:before="60"/>
              <w:ind w:left="0"/>
              <w:contextualSpacing w:val="0"/>
              <w:rPr>
                <w:sz w:val="20"/>
                <w:szCs w:val="16"/>
              </w:rPr>
            </w:pPr>
            <w:r w:rsidRPr="00862C25">
              <w:rPr>
                <w:sz w:val="20"/>
                <w:szCs w:val="16"/>
              </w:rPr>
              <w:t>Outbreak commencement month/year</w:t>
            </w:r>
          </w:p>
        </w:tc>
        <w:tc>
          <w:tcPr>
            <w:tcW w:w="1559" w:type="dxa"/>
            <w:shd w:val="clear" w:color="auto" w:fill="B8CCE4" w:themeFill="accent1" w:themeFillTint="66"/>
          </w:tcPr>
          <w:p w14:paraId="57B04A10"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January 2011</w:t>
            </w:r>
          </w:p>
        </w:tc>
        <w:tc>
          <w:tcPr>
            <w:tcW w:w="1560" w:type="dxa"/>
            <w:shd w:val="clear" w:color="auto" w:fill="B6DDE8" w:themeFill="accent5" w:themeFillTint="66"/>
          </w:tcPr>
          <w:p w14:paraId="57B04A11"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July 2013</w:t>
            </w:r>
          </w:p>
        </w:tc>
        <w:tc>
          <w:tcPr>
            <w:tcW w:w="1559" w:type="dxa"/>
            <w:shd w:val="clear" w:color="auto" w:fill="CCC0D9" w:themeFill="accent4" w:themeFillTint="66"/>
          </w:tcPr>
          <w:p w14:paraId="57B04A12"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June 2014</w:t>
            </w:r>
          </w:p>
        </w:tc>
        <w:tc>
          <w:tcPr>
            <w:tcW w:w="1559" w:type="dxa"/>
            <w:shd w:val="clear" w:color="auto" w:fill="FBD4B4" w:themeFill="accent6" w:themeFillTint="66"/>
          </w:tcPr>
          <w:p w14:paraId="57B04A13"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November 2016</w:t>
            </w:r>
          </w:p>
        </w:tc>
      </w:tr>
      <w:tr w:rsidR="00AC0A8B" w:rsidRPr="00862C25" w14:paraId="57B04A1A" w14:textId="77777777" w:rsidTr="00EB11F0">
        <w:tc>
          <w:tcPr>
            <w:tcW w:w="4219" w:type="dxa"/>
            <w:shd w:val="clear" w:color="auto" w:fill="auto"/>
          </w:tcPr>
          <w:p w14:paraId="57B04A15" w14:textId="77777777" w:rsidR="00AC0A8B" w:rsidRPr="00862C25" w:rsidRDefault="00AC0A8B" w:rsidP="00EB11F0">
            <w:pPr>
              <w:pStyle w:val="ListParagraph"/>
              <w:spacing w:before="60"/>
              <w:ind w:left="0"/>
              <w:contextualSpacing w:val="0"/>
              <w:rPr>
                <w:sz w:val="16"/>
                <w:szCs w:val="16"/>
              </w:rPr>
            </w:pPr>
            <w:r w:rsidRPr="00862C25">
              <w:rPr>
                <w:sz w:val="20"/>
                <w:szCs w:val="16"/>
              </w:rPr>
              <w:t>Aboriginal and Torres Strait Islander people</w:t>
            </w:r>
            <w:r w:rsidRPr="00862C25">
              <w:rPr>
                <w:rFonts w:ascii="Agency FB" w:hAnsi="Agency FB"/>
                <w:sz w:val="20"/>
                <w:szCs w:val="16"/>
                <w:vertAlign w:val="superscript"/>
              </w:rPr>
              <w:t>§</w:t>
            </w:r>
          </w:p>
        </w:tc>
        <w:tc>
          <w:tcPr>
            <w:tcW w:w="1559" w:type="dxa"/>
            <w:shd w:val="clear" w:color="auto" w:fill="B8CCE4" w:themeFill="accent1" w:themeFillTint="66"/>
          </w:tcPr>
          <w:p w14:paraId="57B04A16"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12</w:t>
            </w:r>
          </w:p>
        </w:tc>
        <w:tc>
          <w:tcPr>
            <w:tcW w:w="1560" w:type="dxa"/>
            <w:shd w:val="clear" w:color="auto" w:fill="B6DDE8" w:themeFill="accent5" w:themeFillTint="66"/>
          </w:tcPr>
          <w:p w14:paraId="57B04A17"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2</w:t>
            </w:r>
          </w:p>
        </w:tc>
        <w:tc>
          <w:tcPr>
            <w:tcW w:w="1559" w:type="dxa"/>
            <w:shd w:val="clear" w:color="auto" w:fill="CCC0D9" w:themeFill="accent4" w:themeFillTint="66"/>
            <w:vAlign w:val="center"/>
          </w:tcPr>
          <w:p w14:paraId="57B04A18"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c>
          <w:tcPr>
            <w:tcW w:w="1559" w:type="dxa"/>
            <w:shd w:val="clear" w:color="auto" w:fill="FBD4B4" w:themeFill="accent6" w:themeFillTint="66"/>
          </w:tcPr>
          <w:p w14:paraId="57B04A19"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r>
      <w:tr w:rsidR="00AC0A8B" w:rsidRPr="00862C25" w14:paraId="57B04A20" w14:textId="77777777" w:rsidTr="00EB11F0">
        <w:tc>
          <w:tcPr>
            <w:tcW w:w="4219" w:type="dxa"/>
            <w:tcBorders>
              <w:bottom w:val="single" w:sz="4" w:space="0" w:color="auto"/>
            </w:tcBorders>
            <w:shd w:val="clear" w:color="auto" w:fill="auto"/>
          </w:tcPr>
          <w:p w14:paraId="57B04A1B" w14:textId="77777777" w:rsidR="00AC0A8B" w:rsidRPr="00862C25" w:rsidRDefault="00AC0A8B" w:rsidP="00EB11F0">
            <w:pPr>
              <w:pStyle w:val="ListParagraph"/>
              <w:spacing w:before="60"/>
              <w:ind w:left="0"/>
              <w:contextualSpacing w:val="0"/>
              <w:rPr>
                <w:sz w:val="16"/>
                <w:szCs w:val="16"/>
              </w:rPr>
            </w:pPr>
            <w:r w:rsidRPr="00862C25">
              <w:rPr>
                <w:sz w:val="20"/>
                <w:szCs w:val="16"/>
              </w:rPr>
              <w:t>Non-Indigenous people</w:t>
            </w:r>
            <w:r w:rsidRPr="00862C25">
              <w:rPr>
                <w:sz w:val="20"/>
                <w:szCs w:val="16"/>
                <w:vertAlign w:val="superscript"/>
              </w:rPr>
              <w:t>µ</w:t>
            </w:r>
          </w:p>
        </w:tc>
        <w:tc>
          <w:tcPr>
            <w:tcW w:w="1559" w:type="dxa"/>
            <w:tcBorders>
              <w:bottom w:val="single" w:sz="4" w:space="0" w:color="auto"/>
            </w:tcBorders>
            <w:shd w:val="clear" w:color="auto" w:fill="B8CCE4" w:themeFill="accent1" w:themeFillTint="66"/>
          </w:tcPr>
          <w:p w14:paraId="57B04A1C"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18</w:t>
            </w:r>
          </w:p>
        </w:tc>
        <w:tc>
          <w:tcPr>
            <w:tcW w:w="1560" w:type="dxa"/>
            <w:tcBorders>
              <w:bottom w:val="single" w:sz="4" w:space="0" w:color="auto"/>
            </w:tcBorders>
            <w:shd w:val="clear" w:color="auto" w:fill="B6DDE8" w:themeFill="accent5" w:themeFillTint="66"/>
          </w:tcPr>
          <w:p w14:paraId="57B04A1D"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8</w:t>
            </w:r>
          </w:p>
        </w:tc>
        <w:tc>
          <w:tcPr>
            <w:tcW w:w="1559" w:type="dxa"/>
            <w:tcBorders>
              <w:bottom w:val="single" w:sz="4" w:space="0" w:color="auto"/>
            </w:tcBorders>
            <w:shd w:val="clear" w:color="auto" w:fill="CCC0D9" w:themeFill="accent4" w:themeFillTint="66"/>
            <w:vAlign w:val="center"/>
          </w:tcPr>
          <w:p w14:paraId="57B04A1E"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c>
          <w:tcPr>
            <w:tcW w:w="1559" w:type="dxa"/>
            <w:tcBorders>
              <w:bottom w:val="single" w:sz="4" w:space="0" w:color="auto"/>
            </w:tcBorders>
            <w:shd w:val="clear" w:color="auto" w:fill="FBD4B4" w:themeFill="accent6" w:themeFillTint="66"/>
          </w:tcPr>
          <w:p w14:paraId="57B04A1F"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2</w:t>
            </w:r>
          </w:p>
        </w:tc>
      </w:tr>
      <w:tr w:rsidR="00AC0A8B" w:rsidRPr="00862C25" w14:paraId="57B04A22" w14:textId="77777777" w:rsidTr="00EB11F0">
        <w:tc>
          <w:tcPr>
            <w:tcW w:w="10456" w:type="dxa"/>
            <w:gridSpan w:val="5"/>
            <w:shd w:val="clear" w:color="auto" w:fill="auto"/>
            <w:vAlign w:val="center"/>
          </w:tcPr>
          <w:p w14:paraId="57B04A21" w14:textId="77777777" w:rsidR="00AC0A8B" w:rsidRPr="00862C25" w:rsidRDefault="00AC0A8B" w:rsidP="00EB11F0">
            <w:pPr>
              <w:pStyle w:val="ListParagraph"/>
              <w:spacing w:before="60"/>
              <w:ind w:left="0"/>
              <w:contextualSpacing w:val="0"/>
              <w:rPr>
                <w:b/>
                <w:sz w:val="20"/>
                <w:szCs w:val="16"/>
              </w:rPr>
            </w:pPr>
            <w:r w:rsidRPr="00862C25">
              <w:rPr>
                <w:b/>
                <w:sz w:val="20"/>
                <w:szCs w:val="16"/>
              </w:rPr>
              <w:t>Last reporting month, 1 -</w:t>
            </w:r>
            <w:r w:rsidRPr="00862C25">
              <w:rPr>
                <w:rFonts w:ascii="Calibri" w:eastAsia="Times New Roman" w:hAnsi="Calibri" w:cs="Arial"/>
                <w:b/>
                <w:sz w:val="20"/>
                <w:szCs w:val="20"/>
                <w:lang w:eastAsia="en-AU"/>
              </w:rPr>
              <w:t>30 April 2019</w:t>
            </w:r>
          </w:p>
        </w:tc>
      </w:tr>
      <w:tr w:rsidR="00AC0A8B" w:rsidRPr="00862C25" w14:paraId="57B04A28" w14:textId="77777777" w:rsidTr="00EB11F0">
        <w:trPr>
          <w:trHeight w:val="85"/>
        </w:trPr>
        <w:tc>
          <w:tcPr>
            <w:tcW w:w="4219" w:type="dxa"/>
            <w:shd w:val="clear" w:color="auto" w:fill="auto"/>
          </w:tcPr>
          <w:p w14:paraId="57B04A23" w14:textId="77777777" w:rsidR="00AC0A8B" w:rsidRPr="00862C25" w:rsidRDefault="00AC0A8B" w:rsidP="00EB11F0">
            <w:pPr>
              <w:pStyle w:val="ListParagraph"/>
              <w:spacing w:before="60"/>
              <w:ind w:left="0"/>
              <w:contextualSpacing w:val="0"/>
              <w:rPr>
                <w:sz w:val="16"/>
                <w:szCs w:val="16"/>
              </w:rPr>
            </w:pPr>
            <w:r w:rsidRPr="00862C25">
              <w:rPr>
                <w:sz w:val="20"/>
                <w:szCs w:val="16"/>
              </w:rPr>
              <w:t>Aboriginal and Torres Strait Islander people</w:t>
            </w:r>
            <w:r w:rsidRPr="00862C25">
              <w:rPr>
                <w:rFonts w:ascii="Agency FB" w:hAnsi="Agency FB"/>
                <w:sz w:val="20"/>
                <w:szCs w:val="16"/>
                <w:vertAlign w:val="superscript"/>
              </w:rPr>
              <w:t>§</w:t>
            </w:r>
          </w:p>
        </w:tc>
        <w:tc>
          <w:tcPr>
            <w:tcW w:w="1559" w:type="dxa"/>
            <w:shd w:val="clear" w:color="auto" w:fill="B8CCE4" w:themeFill="accent1" w:themeFillTint="66"/>
          </w:tcPr>
          <w:p w14:paraId="57B04A24"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c>
          <w:tcPr>
            <w:tcW w:w="1560" w:type="dxa"/>
            <w:shd w:val="clear" w:color="auto" w:fill="B6DDE8" w:themeFill="accent5" w:themeFillTint="66"/>
          </w:tcPr>
          <w:p w14:paraId="57B04A25"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c>
          <w:tcPr>
            <w:tcW w:w="1559" w:type="dxa"/>
            <w:shd w:val="clear" w:color="auto" w:fill="CCC0D9" w:themeFill="accent4" w:themeFillTint="66"/>
            <w:vAlign w:val="center"/>
          </w:tcPr>
          <w:p w14:paraId="57B04A26"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c>
          <w:tcPr>
            <w:tcW w:w="1559" w:type="dxa"/>
            <w:shd w:val="clear" w:color="auto" w:fill="FBD4B4" w:themeFill="accent6" w:themeFillTint="66"/>
          </w:tcPr>
          <w:p w14:paraId="57B04A27"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r>
      <w:tr w:rsidR="00AC0A8B" w:rsidRPr="00351EFE" w14:paraId="57B04A2E" w14:textId="77777777" w:rsidTr="00EB11F0">
        <w:tc>
          <w:tcPr>
            <w:tcW w:w="4219" w:type="dxa"/>
            <w:shd w:val="clear" w:color="auto" w:fill="auto"/>
          </w:tcPr>
          <w:p w14:paraId="57B04A29" w14:textId="77777777" w:rsidR="00AC0A8B" w:rsidRPr="00862C25" w:rsidRDefault="00AC0A8B" w:rsidP="00EB11F0">
            <w:pPr>
              <w:pStyle w:val="ListParagraph"/>
              <w:spacing w:before="60"/>
              <w:ind w:left="0"/>
              <w:contextualSpacing w:val="0"/>
              <w:rPr>
                <w:sz w:val="16"/>
                <w:szCs w:val="16"/>
              </w:rPr>
            </w:pPr>
            <w:r w:rsidRPr="00862C25">
              <w:rPr>
                <w:sz w:val="20"/>
                <w:szCs w:val="16"/>
              </w:rPr>
              <w:t>Non-Indigenous people</w:t>
            </w:r>
            <w:r w:rsidRPr="00862C25">
              <w:rPr>
                <w:sz w:val="20"/>
                <w:szCs w:val="16"/>
                <w:vertAlign w:val="superscript"/>
              </w:rPr>
              <w:t>µ</w:t>
            </w:r>
          </w:p>
        </w:tc>
        <w:tc>
          <w:tcPr>
            <w:tcW w:w="1559" w:type="dxa"/>
            <w:shd w:val="clear" w:color="auto" w:fill="B8CCE4" w:themeFill="accent1" w:themeFillTint="66"/>
          </w:tcPr>
          <w:p w14:paraId="57B04A2A"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1</w:t>
            </w:r>
          </w:p>
        </w:tc>
        <w:tc>
          <w:tcPr>
            <w:tcW w:w="1560" w:type="dxa"/>
            <w:shd w:val="clear" w:color="auto" w:fill="B6DDE8" w:themeFill="accent5" w:themeFillTint="66"/>
          </w:tcPr>
          <w:p w14:paraId="57B04A2B"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1</w:t>
            </w:r>
          </w:p>
        </w:tc>
        <w:tc>
          <w:tcPr>
            <w:tcW w:w="1559" w:type="dxa"/>
            <w:shd w:val="clear" w:color="auto" w:fill="CCC0D9" w:themeFill="accent4" w:themeFillTint="66"/>
            <w:vAlign w:val="center"/>
          </w:tcPr>
          <w:p w14:paraId="57B04A2C" w14:textId="77777777" w:rsidR="00AC0A8B" w:rsidRPr="00862C25" w:rsidRDefault="00AC0A8B" w:rsidP="00EB11F0">
            <w:pPr>
              <w:pStyle w:val="ListParagraph"/>
              <w:spacing w:before="60"/>
              <w:ind w:left="0"/>
              <w:contextualSpacing w:val="0"/>
              <w:jc w:val="center"/>
              <w:rPr>
                <w:b/>
                <w:sz w:val="16"/>
                <w:szCs w:val="16"/>
              </w:rPr>
            </w:pPr>
            <w:r w:rsidRPr="00862C25">
              <w:rPr>
                <w:b/>
                <w:sz w:val="16"/>
                <w:szCs w:val="16"/>
              </w:rPr>
              <w:t>-</w:t>
            </w:r>
          </w:p>
        </w:tc>
        <w:tc>
          <w:tcPr>
            <w:tcW w:w="1559" w:type="dxa"/>
            <w:shd w:val="clear" w:color="auto" w:fill="FBD4B4" w:themeFill="accent6" w:themeFillTint="66"/>
          </w:tcPr>
          <w:p w14:paraId="57B04A2D" w14:textId="77777777" w:rsidR="00AC0A8B" w:rsidRPr="00862C25" w:rsidRDefault="00AC0A8B" w:rsidP="00EB11F0">
            <w:pPr>
              <w:pStyle w:val="ListParagraph"/>
              <w:spacing w:before="60"/>
              <w:ind w:left="0"/>
              <w:contextualSpacing w:val="0"/>
              <w:jc w:val="center"/>
              <w:rPr>
                <w:sz w:val="20"/>
                <w:szCs w:val="16"/>
              </w:rPr>
            </w:pPr>
            <w:r w:rsidRPr="00862C25">
              <w:rPr>
                <w:sz w:val="20"/>
                <w:szCs w:val="16"/>
              </w:rPr>
              <w:t>-</w:t>
            </w:r>
          </w:p>
        </w:tc>
      </w:tr>
    </w:tbl>
    <w:p w14:paraId="57B04A2F" w14:textId="77777777" w:rsidR="00AC0A8B" w:rsidRPr="00351EFE" w:rsidRDefault="00AC0A8B" w:rsidP="00AC0A8B">
      <w:pPr>
        <w:pStyle w:val="ListParagraph"/>
        <w:spacing w:before="60" w:after="0" w:line="240" w:lineRule="auto"/>
        <w:ind w:left="-567"/>
        <w:contextualSpacing w:val="0"/>
        <w:rPr>
          <w:b/>
          <w:sz w:val="16"/>
          <w:szCs w:val="16"/>
          <w:highlight w:val="yellow"/>
        </w:rPr>
      </w:pPr>
    </w:p>
    <w:p w14:paraId="57B04A30" w14:textId="77777777" w:rsidR="00AC0A8B" w:rsidRPr="00C00E75" w:rsidRDefault="00AC0A8B" w:rsidP="00AC0A8B">
      <w:pPr>
        <w:pStyle w:val="ListParagraph"/>
        <w:spacing w:before="60" w:after="0" w:line="240" w:lineRule="auto"/>
        <w:ind w:left="-709"/>
        <w:contextualSpacing w:val="0"/>
        <w:jc w:val="both"/>
        <w:rPr>
          <w:b/>
          <w:sz w:val="16"/>
          <w:szCs w:val="16"/>
        </w:rPr>
      </w:pPr>
      <w:r w:rsidRPr="00C00E75">
        <w:rPr>
          <w:b/>
          <w:sz w:val="16"/>
          <w:szCs w:val="16"/>
        </w:rPr>
        <w:t>Notes:</w:t>
      </w:r>
    </w:p>
    <w:p w14:paraId="57B04A31" w14:textId="77777777" w:rsidR="00AC0A8B" w:rsidRPr="00C00E75" w:rsidRDefault="00AC0A8B" w:rsidP="00AC0A8B">
      <w:pPr>
        <w:pStyle w:val="ListParagraph"/>
        <w:spacing w:after="0" w:line="240" w:lineRule="auto"/>
        <w:ind w:left="-504" w:right="119" w:hanging="63"/>
        <w:contextualSpacing w:val="0"/>
        <w:rPr>
          <w:b/>
          <w:sz w:val="14"/>
          <w:szCs w:val="16"/>
        </w:rPr>
      </w:pPr>
      <w:r w:rsidRPr="00C00E75">
        <w:rPr>
          <w:rFonts w:ascii="Arial" w:hAnsi="Arial" w:cs="Arial"/>
          <w:sz w:val="16"/>
          <w:szCs w:val="20"/>
          <w:vertAlign w:val="superscript"/>
        </w:rPr>
        <w:t>ȶ</w:t>
      </w:r>
      <w:r w:rsidRPr="00C00E75">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A32" w14:textId="77777777" w:rsidR="00AC0A8B" w:rsidRPr="00C00E75" w:rsidRDefault="00AC0A8B" w:rsidP="00AC0A8B">
      <w:pPr>
        <w:pStyle w:val="ListParagraph"/>
        <w:spacing w:after="0" w:line="240" w:lineRule="auto"/>
        <w:ind w:left="-567" w:right="119"/>
        <w:contextualSpacing w:val="0"/>
        <w:rPr>
          <w:sz w:val="16"/>
          <w:szCs w:val="16"/>
        </w:rPr>
      </w:pPr>
      <w:proofErr w:type="gramStart"/>
      <w:r w:rsidRPr="00C00E75">
        <w:rPr>
          <w:b/>
          <w:sz w:val="16"/>
          <w:szCs w:val="16"/>
          <w:vertAlign w:val="superscript"/>
        </w:rPr>
        <w:t>α</w:t>
      </w:r>
      <w:proofErr w:type="gramEnd"/>
      <w:r w:rsidRPr="00C00E75">
        <w:rPr>
          <w:sz w:val="16"/>
          <w:szCs w:val="16"/>
        </w:rPr>
        <w:t xml:space="preserve"> Cases defined as per the MJSO syphilis outbreak case definition: </w:t>
      </w:r>
    </w:p>
    <w:p w14:paraId="57B04A33" w14:textId="77777777" w:rsidR="00AC0A8B" w:rsidRPr="00C00E75" w:rsidRDefault="00AC0A8B" w:rsidP="00AC0A8B">
      <w:pPr>
        <w:pStyle w:val="ListParagraph"/>
        <w:spacing w:after="0" w:line="240" w:lineRule="auto"/>
        <w:ind w:left="-426" w:right="119"/>
        <w:contextualSpacing w:val="0"/>
      </w:pPr>
      <w:r w:rsidRPr="00C00E7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C00E75">
        <w:rPr>
          <w:b/>
          <w:sz w:val="16"/>
          <w:szCs w:val="16"/>
        </w:rPr>
        <w:t>AND</w:t>
      </w:r>
      <w:r w:rsidRPr="00C00E75">
        <w:rPr>
          <w:sz w:val="16"/>
          <w:szCs w:val="16"/>
        </w:rPr>
        <w:t>, is an Aboriginal or Torres Strait Islander person who resides in any of the following outbreak declared regions</w:t>
      </w:r>
      <w:r w:rsidRPr="00C00E75">
        <w:rPr>
          <w:rFonts w:cs="Arial"/>
          <w:sz w:val="16"/>
          <w:szCs w:val="16"/>
        </w:rPr>
        <w:t xml:space="preserve"> as defined and documented by that jurisdiction</w:t>
      </w:r>
      <w:r w:rsidRPr="00C00E75">
        <w:rPr>
          <w:rFonts w:ascii="Arial" w:hAnsi="Arial" w:cs="Arial"/>
          <w:sz w:val="16"/>
          <w:szCs w:val="16"/>
        </w:rPr>
        <w:t>,</w:t>
      </w:r>
      <w:r w:rsidRPr="00C00E75">
        <w:rPr>
          <w:sz w:val="16"/>
          <w:szCs w:val="16"/>
        </w:rPr>
        <w:t xml:space="preserve"> at or after the dates indicated: </w:t>
      </w:r>
      <w:r w:rsidRPr="00C00E75">
        <w:rPr>
          <w:b/>
          <w:i/>
          <w:sz w:val="16"/>
          <w:szCs w:val="16"/>
        </w:rPr>
        <w:t>Qld</w:t>
      </w:r>
      <w:r w:rsidRPr="00C00E75">
        <w:rPr>
          <w:sz w:val="16"/>
          <w:szCs w:val="16"/>
        </w:rPr>
        <w:t xml:space="preserve"> - North West Hospital and Health Service area (from 1 January 2011); </w:t>
      </w:r>
      <w:r w:rsidRPr="00C00E75">
        <w:rPr>
          <w:color w:val="000000" w:themeColor="text1"/>
          <w:sz w:val="16"/>
          <w:szCs w:val="16"/>
        </w:rPr>
        <w:t xml:space="preserve">Torres and Cape </w:t>
      </w:r>
      <w:r w:rsidRPr="00C00E75">
        <w:rPr>
          <w:sz w:val="16"/>
          <w:szCs w:val="16"/>
        </w:rPr>
        <w:t xml:space="preserve">Hospital and Health Service area (from 1 December 2012); Cairns and Hinterland Hospital and Health Service area(from1 August 2013); Townsville Hospital and Health Service area (from 1 January 2014); </w:t>
      </w:r>
      <w:r w:rsidRPr="00C00E75">
        <w:rPr>
          <w:b/>
          <w:i/>
          <w:sz w:val="16"/>
          <w:szCs w:val="16"/>
        </w:rPr>
        <w:t>NT</w:t>
      </w:r>
      <w:r w:rsidRPr="00C00E75">
        <w:rPr>
          <w:sz w:val="16"/>
          <w:szCs w:val="16"/>
        </w:rPr>
        <w:t xml:space="preserve"> - Alice Springs Rural and Urban or Barkly district (from 1 July 2013); Katherine district (from 1 May 2014); East Arnhem district (from 1 November 2015); Darwin Rural and Urban (from 1 January 2017); </w:t>
      </w:r>
      <w:r w:rsidRPr="00C00E75">
        <w:rPr>
          <w:b/>
          <w:i/>
          <w:sz w:val="16"/>
          <w:szCs w:val="16"/>
        </w:rPr>
        <w:t>WA</w:t>
      </w:r>
      <w:r w:rsidRPr="00C00E75">
        <w:rPr>
          <w:sz w:val="16"/>
          <w:szCs w:val="16"/>
        </w:rPr>
        <w:t xml:space="preserve"> - Kimberley region (from 1 June 2014) and Pilbara region (from 1 February 2018); </w:t>
      </w:r>
      <w:r w:rsidRPr="00C00E75">
        <w:rPr>
          <w:b/>
          <w:i/>
          <w:sz w:val="16"/>
          <w:szCs w:val="16"/>
        </w:rPr>
        <w:t>SA</w:t>
      </w:r>
      <w:r w:rsidRPr="00C00E75">
        <w:rPr>
          <w:b/>
          <w:sz w:val="16"/>
          <w:szCs w:val="16"/>
        </w:rPr>
        <w:t xml:space="preserve"> </w:t>
      </w:r>
      <w:r w:rsidRPr="00C00E75">
        <w:rPr>
          <w:sz w:val="16"/>
          <w:szCs w:val="16"/>
        </w:rPr>
        <w:t xml:space="preserve"> - Far North and Western and Eyre regions (from 15 November 2016); Adelaide (from 1 February 2018) (category 1 outbreak cases) </w:t>
      </w:r>
      <w:r w:rsidRPr="00C00E75">
        <w:rPr>
          <w:b/>
          <w:sz w:val="16"/>
          <w:szCs w:val="16"/>
        </w:rPr>
        <w:t>OR</w:t>
      </w:r>
      <w:r w:rsidRPr="00C00E75">
        <w:rPr>
          <w:sz w:val="16"/>
          <w:szCs w:val="16"/>
        </w:rPr>
        <w:t xml:space="preserve">,  is a sexual contact of a confirmed outbreak case (category 2 outbreak cases). </w:t>
      </w:r>
    </w:p>
    <w:p w14:paraId="57B04A34" w14:textId="77777777" w:rsidR="00AC0A8B" w:rsidRPr="00C00E75" w:rsidRDefault="00AC0A8B" w:rsidP="00AC0A8B">
      <w:pPr>
        <w:spacing w:after="0" w:line="240" w:lineRule="auto"/>
        <w:ind w:left="-426" w:right="119" w:hanging="141"/>
        <w:rPr>
          <w:sz w:val="16"/>
          <w:szCs w:val="16"/>
        </w:rPr>
      </w:pPr>
      <w:r w:rsidRPr="00C00E75">
        <w:rPr>
          <w:b/>
          <w:sz w:val="16"/>
          <w:szCs w:val="16"/>
          <w:vertAlign w:val="superscript"/>
        </w:rPr>
        <w:t>β</w:t>
      </w:r>
      <w:r w:rsidRPr="00C00E75">
        <w:rPr>
          <w:sz w:val="16"/>
          <w:szCs w:val="16"/>
          <w:vertAlign w:val="superscript"/>
        </w:rPr>
        <w:t xml:space="preserve"> </w:t>
      </w:r>
      <w:r w:rsidRPr="00C00E75">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 Western and Eyre and Adelaide regions in South Australia.</w:t>
      </w:r>
    </w:p>
    <w:p w14:paraId="57B04A35" w14:textId="77777777" w:rsidR="00AC0A8B" w:rsidRPr="00C00E75" w:rsidRDefault="00AC0A8B" w:rsidP="00AC0A8B">
      <w:pPr>
        <w:spacing w:after="0" w:line="240" w:lineRule="auto"/>
        <w:ind w:left="-426" w:right="119" w:hanging="141"/>
        <w:rPr>
          <w:sz w:val="16"/>
          <w:szCs w:val="16"/>
        </w:rPr>
      </w:pPr>
      <w:r w:rsidRPr="00C00E75">
        <w:rPr>
          <w:rFonts w:ascii="Calibri" w:eastAsia="Times New Roman" w:hAnsi="Calibri" w:cs="Arial"/>
          <w:sz w:val="20"/>
          <w:szCs w:val="20"/>
          <w:vertAlign w:val="superscript"/>
          <w:lang w:eastAsia="en-AU"/>
        </w:rPr>
        <w:t>«</w:t>
      </w:r>
      <w:r w:rsidRPr="00C00E75">
        <w:rPr>
          <w:rFonts w:ascii="Calibri" w:eastAsia="Times New Roman" w:hAnsi="Calibri" w:cs="Arial"/>
          <w:sz w:val="20"/>
          <w:szCs w:val="20"/>
          <w:lang w:eastAsia="en-AU"/>
        </w:rPr>
        <w:t xml:space="preserve"> </w:t>
      </w:r>
      <w:r w:rsidRPr="00C00E75">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A36" w14:textId="77777777" w:rsidR="00AC0A8B" w:rsidRPr="00C00E75" w:rsidRDefault="00AC0A8B" w:rsidP="00AC0A8B">
      <w:pPr>
        <w:spacing w:after="0" w:line="240" w:lineRule="auto"/>
        <w:ind w:left="-426" w:right="119" w:hanging="141"/>
        <w:rPr>
          <w:sz w:val="16"/>
          <w:szCs w:val="16"/>
        </w:rPr>
      </w:pPr>
      <w:r w:rsidRPr="00C00E75">
        <w:rPr>
          <w:rFonts w:ascii="Agency FB" w:hAnsi="Agency FB"/>
          <w:sz w:val="20"/>
          <w:szCs w:val="16"/>
          <w:vertAlign w:val="superscript"/>
        </w:rPr>
        <w:t>§</w:t>
      </w:r>
      <w:r w:rsidRPr="00C00E75">
        <w:rPr>
          <w:rFonts w:ascii="Agency FB" w:hAnsi="Agency FB"/>
          <w:sz w:val="20"/>
          <w:szCs w:val="16"/>
        </w:rPr>
        <w:t xml:space="preserve"> </w:t>
      </w:r>
      <w:r w:rsidRPr="00C00E75">
        <w:rPr>
          <w:sz w:val="16"/>
          <w:szCs w:val="16"/>
        </w:rPr>
        <w:t>Aboriginal and Torres Strait Islander people who are sexual contacts of a confirmed outbreak case and reside outside an outbreak declared region at the time of diagnosis.</w:t>
      </w:r>
    </w:p>
    <w:p w14:paraId="57B04A37" w14:textId="77777777" w:rsidR="00AC0A8B" w:rsidRPr="00C00E75" w:rsidRDefault="00AC0A8B" w:rsidP="00AC0A8B">
      <w:pPr>
        <w:spacing w:after="0" w:line="240" w:lineRule="auto"/>
        <w:ind w:left="-426" w:right="119" w:hanging="141"/>
        <w:rPr>
          <w:sz w:val="16"/>
          <w:szCs w:val="16"/>
        </w:rPr>
      </w:pPr>
      <w:r w:rsidRPr="00C00E75">
        <w:rPr>
          <w:sz w:val="20"/>
          <w:szCs w:val="16"/>
          <w:vertAlign w:val="superscript"/>
        </w:rPr>
        <w:t>µ</w:t>
      </w:r>
      <w:r w:rsidRPr="00C00E75">
        <w:rPr>
          <w:sz w:val="20"/>
          <w:szCs w:val="16"/>
        </w:rPr>
        <w:t xml:space="preserve"> </w:t>
      </w:r>
      <w:r w:rsidRPr="00C00E75">
        <w:rPr>
          <w:sz w:val="16"/>
          <w:szCs w:val="16"/>
        </w:rPr>
        <w:t>Non-Indigenous people who are sexual contacts of a confirmed outbreak case and reside in or out of an outbreak declared region at the time of diagnosis.</w:t>
      </w:r>
    </w:p>
    <w:p w14:paraId="57B04A38" w14:textId="77777777" w:rsidR="00AC0A8B" w:rsidRPr="00216285" w:rsidRDefault="00AC0A8B" w:rsidP="00AC0A8B">
      <w:pPr>
        <w:pStyle w:val="ListParagraph"/>
        <w:spacing w:after="0" w:line="240" w:lineRule="auto"/>
        <w:ind w:left="-567" w:right="119"/>
        <w:contextualSpacing w:val="0"/>
        <w:rPr>
          <w:rFonts w:ascii="Arial" w:hAnsi="Arial" w:cs="Arial"/>
          <w:b/>
        </w:rPr>
      </w:pPr>
      <w:r w:rsidRPr="00C00E75">
        <w:rPr>
          <w:b/>
          <w:sz w:val="16"/>
          <w:szCs w:val="16"/>
        </w:rPr>
        <w:t>ᵞ</w:t>
      </w:r>
      <w:r w:rsidRPr="00C00E75">
        <w:rPr>
          <w:sz w:val="16"/>
          <w:szCs w:val="16"/>
        </w:rPr>
        <w:t xml:space="preserve"> </w:t>
      </w:r>
      <w:proofErr w:type="gramStart"/>
      <w:r w:rsidRPr="00C00E75">
        <w:rPr>
          <w:sz w:val="16"/>
          <w:szCs w:val="16"/>
          <w:u w:val="single"/>
        </w:rPr>
        <w:t>Please</w:t>
      </w:r>
      <w:proofErr w:type="gramEnd"/>
      <w:r w:rsidRPr="00C00E75">
        <w:rPr>
          <w:sz w:val="16"/>
          <w:szCs w:val="16"/>
          <w:u w:val="single"/>
        </w:rPr>
        <w:t xml:space="preserve"> note that </w:t>
      </w:r>
      <w:r w:rsidRPr="00C00E75">
        <w:rPr>
          <w:b/>
          <w:sz w:val="16"/>
          <w:szCs w:val="16"/>
          <w:u w:val="single"/>
        </w:rPr>
        <w:t>all data are provisional</w:t>
      </w:r>
      <w:r w:rsidRPr="00C00E75">
        <w:rPr>
          <w:sz w:val="16"/>
          <w:szCs w:val="16"/>
          <w:u w:val="single"/>
        </w:rPr>
        <w:t xml:space="preserve"> and subject to change due to ongoing case investigation</w:t>
      </w:r>
      <w:r w:rsidRPr="00C00E75">
        <w:rPr>
          <w:sz w:val="16"/>
          <w:szCs w:val="16"/>
        </w:rPr>
        <w:t>.</w:t>
      </w:r>
    </w:p>
    <w:p w14:paraId="57B04A39" w14:textId="77777777" w:rsidR="00AC0A8B" w:rsidRDefault="00AC0A8B" w:rsidP="001251E7">
      <w:pPr>
        <w:pStyle w:val="ListParagraph"/>
        <w:spacing w:after="0" w:line="240" w:lineRule="auto"/>
        <w:ind w:left="-567" w:right="119"/>
        <w:contextualSpacing w:val="0"/>
        <w:rPr>
          <w:rFonts w:ascii="Arial" w:hAnsi="Arial" w:cs="Arial"/>
          <w:b/>
        </w:rPr>
      </w:pPr>
    </w:p>
    <w:p w14:paraId="57B04A3A" w14:textId="77777777" w:rsidR="00580C89" w:rsidRDefault="00580C89">
      <w:pPr>
        <w:rPr>
          <w:rFonts w:ascii="Arial" w:hAnsi="Arial" w:cs="Arial"/>
          <w:b/>
          <w:sz w:val="28"/>
          <w:szCs w:val="24"/>
        </w:rPr>
      </w:pPr>
      <w:r>
        <w:rPr>
          <w:rFonts w:ascii="Arial" w:hAnsi="Arial" w:cs="Arial"/>
          <w:b/>
          <w:sz w:val="28"/>
          <w:szCs w:val="24"/>
        </w:rPr>
        <w:br w:type="page"/>
      </w:r>
    </w:p>
    <w:p w14:paraId="57B04A3B" w14:textId="77777777" w:rsidR="00AC0A8B" w:rsidRPr="005F253F" w:rsidRDefault="00AC0A8B" w:rsidP="00AC0A8B">
      <w:pPr>
        <w:spacing w:after="0" w:line="240" w:lineRule="auto"/>
        <w:ind w:left="-567" w:right="261"/>
        <w:jc w:val="center"/>
        <w:rPr>
          <w:rFonts w:ascii="Arial" w:hAnsi="Arial" w:cs="Arial"/>
          <w:b/>
          <w:sz w:val="28"/>
          <w:szCs w:val="24"/>
        </w:rPr>
      </w:pPr>
      <w:r w:rsidRPr="005F253F">
        <w:rPr>
          <w:rFonts w:ascii="Arial" w:hAnsi="Arial" w:cs="Arial"/>
          <w:b/>
          <w:sz w:val="28"/>
          <w:szCs w:val="24"/>
        </w:rPr>
        <w:lastRenderedPageBreak/>
        <w:t xml:space="preserve">MULTIJURISDICTIONAL SYPHILIS OUTBREAK </w:t>
      </w:r>
      <w:r w:rsidRPr="005F253F">
        <w:rPr>
          <w:rFonts w:ascii="Arial" w:hAnsi="Arial" w:cs="Arial"/>
          <w:b/>
          <w:sz w:val="28"/>
          <w:szCs w:val="24"/>
        </w:rPr>
        <w:br/>
        <w:t>SURVEILLANCE REPORT: JUNE 2019</w:t>
      </w:r>
    </w:p>
    <w:p w14:paraId="57B04A3C" w14:textId="77777777" w:rsidR="00AC0A8B" w:rsidRPr="005F253F" w:rsidRDefault="00AC0A8B" w:rsidP="00AC0A8B">
      <w:pPr>
        <w:spacing w:after="0" w:line="120" w:lineRule="auto"/>
        <w:ind w:left="-567" w:right="-612"/>
        <w:jc w:val="center"/>
        <w:rPr>
          <w:rFonts w:ascii="Arial" w:hAnsi="Arial" w:cs="Arial"/>
          <w:b/>
          <w:sz w:val="24"/>
          <w:szCs w:val="24"/>
        </w:rPr>
      </w:pPr>
    </w:p>
    <w:p w14:paraId="57B04A3D" w14:textId="77777777" w:rsidR="00AC0A8B" w:rsidRPr="005F253F" w:rsidRDefault="00AC0A8B" w:rsidP="00AC0A8B">
      <w:pPr>
        <w:spacing w:after="0" w:line="240" w:lineRule="auto"/>
        <w:ind w:left="-567" w:right="119"/>
        <w:jc w:val="center"/>
        <w:rPr>
          <w:rFonts w:ascii="Arial" w:hAnsi="Arial" w:cs="Arial"/>
          <w:b/>
          <w:sz w:val="24"/>
          <w:szCs w:val="24"/>
        </w:rPr>
      </w:pPr>
      <w:r w:rsidRPr="005F253F">
        <w:rPr>
          <w:rFonts w:ascii="Arial" w:hAnsi="Arial" w:cs="Arial"/>
          <w:b/>
          <w:sz w:val="24"/>
          <w:szCs w:val="24"/>
        </w:rPr>
        <w:t>This surveillance report has been authorised by Health Departments in outbreak affected jurisdictions and the Office of Health Protection.</w:t>
      </w:r>
    </w:p>
    <w:p w14:paraId="57B04A3E" w14:textId="77777777" w:rsidR="00AC0A8B" w:rsidRPr="005F253F" w:rsidRDefault="00AC0A8B" w:rsidP="00AC0A8B">
      <w:pPr>
        <w:spacing w:after="0" w:line="240" w:lineRule="auto"/>
        <w:ind w:right="-613"/>
        <w:rPr>
          <w:rFonts w:ascii="Arial" w:hAnsi="Arial" w:cs="Arial"/>
          <w:sz w:val="20"/>
          <w:szCs w:val="20"/>
        </w:rPr>
      </w:pPr>
    </w:p>
    <w:p w14:paraId="57B04A3F" w14:textId="77777777" w:rsidR="00AC0A8B" w:rsidRPr="005F253F" w:rsidRDefault="00AC0A8B" w:rsidP="00AC0A8B">
      <w:pPr>
        <w:pStyle w:val="PlainText"/>
        <w:ind w:left="-709" w:right="-23"/>
        <w:jc w:val="both"/>
        <w:rPr>
          <w:color w:val="000000" w:themeColor="text1"/>
        </w:rPr>
      </w:pPr>
      <w:r w:rsidRPr="005F253F">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5F253F">
        <w:rPr>
          <w:rFonts w:cs="Arial"/>
          <w:color w:val="000000" w:themeColor="text1"/>
          <w:szCs w:val="20"/>
        </w:rPr>
        <w:t xml:space="preserve">rural areas of northern Australia. </w:t>
      </w:r>
      <w:r w:rsidRPr="005F253F">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w:t>
      </w:r>
      <w:r w:rsidRPr="00D71D72">
        <w:rPr>
          <w:color w:val="000000" w:themeColor="text1"/>
        </w:rPr>
        <w:t>n January 2019, SA declared the outbreak had spread to Adelaide with the first notification in this region reported in February 2018. In May 2019, WA declared the outbreak had spread to the Goldfields region with the first notification in this region reported in January 2019.</w:t>
      </w:r>
      <w:r>
        <w:rPr>
          <w:color w:val="000000" w:themeColor="text1"/>
        </w:rPr>
        <w:t xml:space="preserve"> </w:t>
      </w:r>
    </w:p>
    <w:p w14:paraId="57B04A40" w14:textId="77777777" w:rsidR="00AC0A8B" w:rsidRPr="009754E7" w:rsidRDefault="00AC0A8B" w:rsidP="00AC0A8B">
      <w:pPr>
        <w:pStyle w:val="PlainText"/>
        <w:ind w:left="-709" w:right="-23"/>
        <w:rPr>
          <w:color w:val="000000" w:themeColor="text1"/>
          <w:highlight w:val="yellow"/>
        </w:rPr>
      </w:pPr>
    </w:p>
    <w:p w14:paraId="57B04A41" w14:textId="77777777" w:rsidR="00AC0A8B" w:rsidRPr="005F253F" w:rsidRDefault="00AC0A8B" w:rsidP="00AC0A8B">
      <w:pPr>
        <w:pStyle w:val="PlainText"/>
        <w:ind w:left="-709" w:right="-23"/>
        <w:rPr>
          <w:color w:val="000000" w:themeColor="text1"/>
        </w:rPr>
      </w:pPr>
      <w:r w:rsidRPr="005F253F">
        <w:rPr>
          <w:color w:val="000000" w:themeColor="text1"/>
        </w:rPr>
        <w:t>This surveillance report summarises the outbreak epidemiological data as of 31 May 2019 (current status).</w:t>
      </w:r>
    </w:p>
    <w:p w14:paraId="57B04A42" w14:textId="77777777" w:rsidR="00AC0A8B" w:rsidRPr="005F253F" w:rsidRDefault="00AC0A8B" w:rsidP="00AC0A8B">
      <w:pPr>
        <w:pStyle w:val="PlainText"/>
        <w:ind w:left="-709" w:right="-23"/>
        <w:rPr>
          <w:color w:val="000000" w:themeColor="text1"/>
        </w:rPr>
      </w:pPr>
    </w:p>
    <w:p w14:paraId="57B04A43" w14:textId="77777777" w:rsidR="00AC0A8B" w:rsidRPr="005F253F" w:rsidRDefault="00AC0A8B" w:rsidP="00AC0A8B">
      <w:pPr>
        <w:pStyle w:val="PlainText"/>
        <w:ind w:left="-709" w:right="-23"/>
        <w:rPr>
          <w:color w:val="000000" w:themeColor="text1"/>
        </w:rPr>
      </w:pPr>
      <w:r w:rsidRPr="005F253F">
        <w:rPr>
          <w:b/>
          <w:color w:val="000000" w:themeColor="text1"/>
        </w:rPr>
        <w:t>Please note:</w:t>
      </w:r>
      <w:r w:rsidRPr="005F253F">
        <w:rPr>
          <w:color w:val="000000" w:themeColor="text1"/>
        </w:rPr>
        <w:t xml:space="preserve"> the MJSO Surveillance Report was formerly known as the MJSO Communique. Historical epidemiological data and MJSO activities are published in earlier MJSO Communiques available at </w:t>
      </w:r>
      <w:r w:rsidRPr="005F253F">
        <w:rPr>
          <w:i/>
          <w:szCs w:val="20"/>
        </w:rPr>
        <w:t xml:space="preserve">http://www.health.gov.au/internet/main/publishing.nsf/Content/ohp-infectious-syphilis-outbreak.htm </w:t>
      </w:r>
    </w:p>
    <w:p w14:paraId="57B04A44" w14:textId="77777777" w:rsidR="00AC0A8B" w:rsidRPr="005F253F" w:rsidRDefault="00AC0A8B" w:rsidP="00AC0A8B">
      <w:pPr>
        <w:pStyle w:val="PlainText"/>
        <w:ind w:left="-709" w:right="-23"/>
      </w:pPr>
    </w:p>
    <w:p w14:paraId="57B04A45" w14:textId="77777777" w:rsidR="00AC0A8B" w:rsidRPr="005F253F" w:rsidRDefault="00AC0A8B" w:rsidP="00AC0A8B">
      <w:pPr>
        <w:spacing w:after="0" w:line="240" w:lineRule="auto"/>
        <w:ind w:left="-709" w:right="-23"/>
        <w:jc w:val="both"/>
        <w:rPr>
          <w:rFonts w:ascii="Arial" w:hAnsi="Arial" w:cs="Arial"/>
          <w:b/>
        </w:rPr>
      </w:pPr>
      <w:r w:rsidRPr="005F253F">
        <w:rPr>
          <w:rFonts w:ascii="Arial" w:hAnsi="Arial" w:cs="Arial"/>
          <w:b/>
        </w:rPr>
        <w:t>Current status</w:t>
      </w:r>
    </w:p>
    <w:p w14:paraId="57B04A46" w14:textId="77777777" w:rsidR="00AC0A8B" w:rsidRPr="005F253F" w:rsidRDefault="00AC0A8B" w:rsidP="00AC0A8B">
      <w:pPr>
        <w:spacing w:after="0" w:line="240" w:lineRule="auto"/>
        <w:ind w:left="-709" w:right="-23"/>
        <w:jc w:val="both"/>
        <w:rPr>
          <w:rFonts w:ascii="Arial" w:hAnsi="Arial" w:cs="Arial"/>
          <w:sz w:val="20"/>
          <w:szCs w:val="20"/>
        </w:rPr>
      </w:pPr>
      <w:r w:rsidRPr="005F253F">
        <w:rPr>
          <w:rFonts w:ascii="Arial" w:hAnsi="Arial" w:cs="Arial"/>
          <w:sz w:val="20"/>
          <w:szCs w:val="20"/>
        </w:rPr>
        <w:t xml:space="preserve">Outbreak data to </w:t>
      </w:r>
      <w:r w:rsidRPr="005F253F">
        <w:rPr>
          <w:rFonts w:ascii="Arial" w:hAnsi="Arial" w:cs="Arial"/>
          <w:color w:val="000000" w:themeColor="text1"/>
          <w:sz w:val="20"/>
          <w:szCs w:val="20"/>
        </w:rPr>
        <w:t>31 May 2019</w:t>
      </w:r>
      <w:r w:rsidRPr="005F253F">
        <w:rPr>
          <w:rFonts w:ascii="Arial" w:hAnsi="Arial" w:cs="Arial"/>
          <w:sz w:val="20"/>
          <w:szCs w:val="20"/>
          <w:vertAlign w:val="superscript"/>
        </w:rPr>
        <w:t>ȶ</w:t>
      </w:r>
      <w:r w:rsidRPr="005F253F">
        <w:rPr>
          <w:rFonts w:ascii="Arial" w:hAnsi="Arial" w:cs="Arial"/>
          <w:sz w:val="20"/>
          <w:szCs w:val="20"/>
        </w:rPr>
        <w:t xml:space="preserve"> are summarised in Figure 1, Table 1 and Table 2 below.</w:t>
      </w:r>
    </w:p>
    <w:p w14:paraId="57B04A47" w14:textId="77777777" w:rsidR="00AC0A8B" w:rsidRPr="005F253F" w:rsidRDefault="00AC0A8B" w:rsidP="00AC0A8B">
      <w:pPr>
        <w:spacing w:after="0" w:line="240" w:lineRule="auto"/>
        <w:ind w:left="-709" w:right="-23"/>
        <w:jc w:val="both"/>
        <w:rPr>
          <w:rFonts w:ascii="Arial" w:hAnsi="Arial" w:cs="Arial"/>
          <w:sz w:val="20"/>
          <w:szCs w:val="20"/>
        </w:rPr>
      </w:pPr>
    </w:p>
    <w:p w14:paraId="57B04A48" w14:textId="77777777" w:rsidR="00AC0A8B" w:rsidRPr="005F253F" w:rsidRDefault="00AC0A8B" w:rsidP="00AC0A8B">
      <w:pPr>
        <w:spacing w:after="0" w:line="240" w:lineRule="auto"/>
        <w:ind w:left="-709" w:right="-23"/>
        <w:jc w:val="both"/>
        <w:rPr>
          <w:rFonts w:ascii="Arial" w:hAnsi="Arial" w:cs="Arial"/>
          <w:sz w:val="20"/>
          <w:szCs w:val="20"/>
        </w:rPr>
      </w:pPr>
      <w:r w:rsidRPr="005F253F">
        <w:rPr>
          <w:rFonts w:ascii="Arial" w:hAnsi="Arial" w:cs="Arial"/>
          <w:sz w:val="20"/>
          <w:szCs w:val="20"/>
        </w:rPr>
        <w:t>Outbreak cases are reported as either category 1 or category 2: category 1 cases include Aboriginal and Torres Strait Islander people residing in an outbreak declared region</w:t>
      </w:r>
      <w:r w:rsidRPr="005F253F">
        <w:rPr>
          <w:rFonts w:ascii="Arial" w:hAnsi="Arial" w:cs="Arial"/>
          <w:sz w:val="20"/>
          <w:szCs w:val="20"/>
          <w:vertAlign w:val="superscript"/>
        </w:rPr>
        <w:t>β</w:t>
      </w:r>
      <w:r w:rsidRPr="005F253F">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57B04A49" w14:textId="77777777" w:rsidR="00AC0A8B" w:rsidRPr="00D71D72" w:rsidRDefault="00AC0A8B" w:rsidP="00AC0A8B">
      <w:pPr>
        <w:spacing w:after="0" w:line="240" w:lineRule="auto"/>
        <w:ind w:left="-709" w:right="-23"/>
        <w:jc w:val="both"/>
        <w:rPr>
          <w:rFonts w:ascii="Arial" w:hAnsi="Arial" w:cs="Arial"/>
          <w:sz w:val="20"/>
          <w:szCs w:val="20"/>
          <w:highlight w:val="green"/>
        </w:rPr>
      </w:pPr>
    </w:p>
    <w:p w14:paraId="57B04A4A" w14:textId="77777777" w:rsidR="00AC0A8B" w:rsidRPr="00D71D72" w:rsidRDefault="00AC0A8B" w:rsidP="00AC0A8B">
      <w:pPr>
        <w:spacing w:after="0" w:line="240" w:lineRule="auto"/>
        <w:ind w:left="-709" w:right="-23"/>
        <w:jc w:val="both"/>
        <w:rPr>
          <w:rFonts w:ascii="Arial" w:hAnsi="Arial" w:cs="Arial"/>
          <w:sz w:val="20"/>
          <w:szCs w:val="20"/>
        </w:rPr>
      </w:pPr>
      <w:r w:rsidRPr="00695729">
        <w:rPr>
          <w:rFonts w:ascii="Arial" w:hAnsi="Arial" w:cs="Arial"/>
          <w:sz w:val="20"/>
          <w:szCs w:val="20"/>
        </w:rPr>
        <w:t xml:space="preserve">Between 1 – </w:t>
      </w:r>
      <w:r w:rsidRPr="00695729">
        <w:rPr>
          <w:rFonts w:ascii="Arial" w:hAnsi="Arial" w:cs="Arial"/>
          <w:color w:val="000000" w:themeColor="text1"/>
          <w:sz w:val="20"/>
          <w:szCs w:val="20"/>
        </w:rPr>
        <w:t>31 May 2019</w:t>
      </w:r>
      <w:r w:rsidRPr="00695729">
        <w:rPr>
          <w:rFonts w:ascii="Arial" w:hAnsi="Arial" w:cs="Arial"/>
          <w:sz w:val="20"/>
          <w:szCs w:val="20"/>
          <w:vertAlign w:val="superscript"/>
        </w:rPr>
        <w:t>ȶ</w:t>
      </w:r>
      <w:r w:rsidRPr="00695729">
        <w:rPr>
          <w:rFonts w:ascii="Arial" w:hAnsi="Arial" w:cs="Arial"/>
          <w:sz w:val="20"/>
          <w:szCs w:val="20"/>
        </w:rPr>
        <w:t xml:space="preserve">, there were 60 outbreak cases (category 1 and 2 cases) reported from the four outbreak affected jurisdictions: 13 in Queensland; 21 in the Northern Territory; 22 in Western Australia and; </w:t>
      </w:r>
      <w:proofErr w:type="gramStart"/>
      <w:r w:rsidRPr="00695729">
        <w:rPr>
          <w:rFonts w:ascii="Arial" w:hAnsi="Arial" w:cs="Arial"/>
          <w:sz w:val="20"/>
          <w:szCs w:val="20"/>
        </w:rPr>
        <w:t>4</w:t>
      </w:r>
      <w:proofErr w:type="gramEnd"/>
      <w:r w:rsidRPr="00695729">
        <w:rPr>
          <w:rFonts w:ascii="Arial" w:hAnsi="Arial" w:cs="Arial"/>
          <w:sz w:val="20"/>
          <w:szCs w:val="20"/>
        </w:rPr>
        <w:t xml:space="preserve"> in South Australia (Figure 1, Table 1 and Table 2).  From the commencement of the outbreak to </w:t>
      </w:r>
      <w:r w:rsidRPr="00695729">
        <w:rPr>
          <w:rFonts w:ascii="Arial" w:hAnsi="Arial" w:cs="Arial"/>
          <w:color w:val="000000" w:themeColor="text1"/>
          <w:sz w:val="20"/>
          <w:szCs w:val="20"/>
        </w:rPr>
        <w:t xml:space="preserve">31 May </w:t>
      </w:r>
      <w:r w:rsidRPr="00695729">
        <w:rPr>
          <w:rFonts w:ascii="Arial" w:hAnsi="Arial" w:cs="Arial"/>
          <w:sz w:val="20"/>
          <w:szCs w:val="20"/>
        </w:rPr>
        <w:t>2019</w:t>
      </w:r>
      <w:r w:rsidRPr="00695729">
        <w:rPr>
          <w:rFonts w:ascii="Arial" w:hAnsi="Arial" w:cs="Arial"/>
          <w:sz w:val="20"/>
          <w:szCs w:val="20"/>
          <w:vertAlign w:val="superscript"/>
        </w:rPr>
        <w:t xml:space="preserve"> ȶ</w:t>
      </w:r>
      <w:r w:rsidRPr="00695729">
        <w:rPr>
          <w:rFonts w:ascii="Arial" w:hAnsi="Arial" w:cs="Arial"/>
          <w:sz w:val="20"/>
          <w:szCs w:val="20"/>
        </w:rPr>
        <w:t>, there were a total of 2786 outbreak cases (category 1 and 2 cases) reported across the four outbreak affected jurisdictions: 1337 in Queensland (from January 2011); 1056 in the Northern Territory (from July 2013); 320 in Western Australia (from June 2014), and; 73 in South Australia (from November 2016) (Table 1 and 2).</w:t>
      </w:r>
    </w:p>
    <w:p w14:paraId="57B04A4B" w14:textId="77777777" w:rsidR="00AC0A8B" w:rsidRPr="009754E7" w:rsidRDefault="00AC0A8B" w:rsidP="00AC0A8B">
      <w:pPr>
        <w:spacing w:after="0" w:line="240" w:lineRule="auto"/>
        <w:ind w:left="-709" w:right="-23"/>
        <w:jc w:val="both"/>
        <w:rPr>
          <w:rFonts w:ascii="Arial" w:hAnsi="Arial" w:cs="Arial"/>
          <w:sz w:val="20"/>
          <w:szCs w:val="20"/>
          <w:highlight w:val="yellow"/>
        </w:rPr>
      </w:pPr>
    </w:p>
    <w:p w14:paraId="57B04A4C" w14:textId="77777777" w:rsidR="00AC0A8B" w:rsidRPr="00EE6284" w:rsidRDefault="00AC0A8B" w:rsidP="00AC0A8B">
      <w:pPr>
        <w:spacing w:after="0" w:line="240" w:lineRule="auto"/>
        <w:ind w:left="-709" w:right="-23"/>
        <w:jc w:val="both"/>
        <w:rPr>
          <w:rFonts w:ascii="Arial" w:hAnsi="Arial" w:cs="Arial"/>
          <w:sz w:val="20"/>
          <w:szCs w:val="20"/>
          <w:vertAlign w:val="superscript"/>
        </w:rPr>
      </w:pPr>
      <w:r w:rsidRPr="005F253F">
        <w:rPr>
          <w:rFonts w:ascii="Arial" w:hAnsi="Arial" w:cs="Arial"/>
          <w:b/>
          <w:sz w:val="20"/>
          <w:szCs w:val="20"/>
        </w:rPr>
        <w:t>Figure 1</w:t>
      </w:r>
      <w:r w:rsidRPr="005F253F">
        <w:rPr>
          <w:rFonts w:ascii="Arial" w:hAnsi="Arial" w:cs="Arial"/>
          <w:sz w:val="20"/>
          <w:szCs w:val="20"/>
        </w:rPr>
        <w:t>. Epidemic curve showing category 1 infectious syphilis</w:t>
      </w:r>
      <w:r w:rsidRPr="005F253F">
        <w:rPr>
          <w:rFonts w:ascii="Arial" w:hAnsi="Arial" w:cs="Arial"/>
          <w:sz w:val="20"/>
          <w:szCs w:val="20"/>
          <w:vertAlign w:val="superscript"/>
        </w:rPr>
        <w:t xml:space="preserve"> α</w:t>
      </w:r>
      <w:r w:rsidRPr="005F253F">
        <w:rPr>
          <w:rFonts w:ascii="Arial" w:hAnsi="Arial" w:cs="Arial"/>
          <w:sz w:val="20"/>
          <w:szCs w:val="20"/>
        </w:rPr>
        <w:t xml:space="preserve"> outbreak cases notified in Aboriginal and Torres Strait Islander people residing in affected regions</w:t>
      </w:r>
      <w:r w:rsidRPr="005F253F">
        <w:rPr>
          <w:rFonts w:ascii="Arial" w:hAnsi="Arial" w:cs="Arial"/>
          <w:sz w:val="20"/>
          <w:szCs w:val="20"/>
          <w:vertAlign w:val="superscript"/>
        </w:rPr>
        <w:t>β</w:t>
      </w:r>
      <w:r w:rsidRPr="005F253F">
        <w:rPr>
          <w:rFonts w:ascii="Arial" w:hAnsi="Arial" w:cs="Arial"/>
          <w:sz w:val="20"/>
          <w:szCs w:val="20"/>
        </w:rPr>
        <w:t xml:space="preserve"> of Queensland, the Northern Territory, Western Australia and South Australia from </w:t>
      </w:r>
      <w:r w:rsidRPr="00EE6284">
        <w:rPr>
          <w:rFonts w:ascii="Arial" w:hAnsi="Arial" w:cs="Arial"/>
          <w:sz w:val="20"/>
          <w:szCs w:val="20"/>
        </w:rPr>
        <w:t xml:space="preserve">commencement of the outbreak in each jurisdiction to </w:t>
      </w:r>
      <w:r w:rsidRPr="00EE6284">
        <w:rPr>
          <w:rFonts w:ascii="Arial" w:hAnsi="Arial" w:cs="Arial"/>
          <w:color w:val="000000" w:themeColor="text1"/>
          <w:sz w:val="20"/>
          <w:szCs w:val="20"/>
        </w:rPr>
        <w:t>31 May 2019</w:t>
      </w:r>
      <w:r w:rsidRPr="00EE6284">
        <w:rPr>
          <w:rFonts w:ascii="Arial" w:hAnsi="Arial" w:cs="Arial"/>
          <w:sz w:val="20"/>
          <w:szCs w:val="20"/>
          <w:vertAlign w:val="superscript"/>
        </w:rPr>
        <w:t xml:space="preserve">ȶ ᵞ </w:t>
      </w:r>
    </w:p>
    <w:p w14:paraId="57B04A4D" w14:textId="77777777" w:rsidR="00AC0A8B" w:rsidRPr="00EE6284" w:rsidRDefault="00AC0A8B" w:rsidP="00AC0A8B">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57B04ECA" wp14:editId="57B04ECB">
            <wp:extent cx="6772727" cy="4136066"/>
            <wp:effectExtent l="0" t="0" r="0" b="0"/>
            <wp:docPr id="5" name="Picture 5" descr=" 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May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4661" cy="4149461"/>
                    </a:xfrm>
                    <a:prstGeom prst="rect">
                      <a:avLst/>
                    </a:prstGeom>
                    <a:noFill/>
                  </pic:spPr>
                </pic:pic>
              </a:graphicData>
            </a:graphic>
          </wp:inline>
        </w:drawing>
      </w:r>
      <w:r w:rsidRPr="00EE6284">
        <w:rPr>
          <w:rFonts w:ascii="Arial" w:hAnsi="Arial" w:cs="Arial"/>
          <w:b/>
          <w:sz w:val="20"/>
          <w:szCs w:val="20"/>
        </w:rPr>
        <w:br w:type="page"/>
      </w:r>
    </w:p>
    <w:p w14:paraId="57B04A4E" w14:textId="77777777" w:rsidR="00AC0A8B" w:rsidRPr="009754E7" w:rsidRDefault="00AC0A8B" w:rsidP="00AC0A8B">
      <w:pPr>
        <w:spacing w:after="0" w:line="240" w:lineRule="auto"/>
        <w:ind w:left="-567"/>
        <w:rPr>
          <w:rFonts w:ascii="Arial" w:hAnsi="Arial" w:cs="Arial"/>
          <w:b/>
          <w:sz w:val="20"/>
          <w:szCs w:val="20"/>
          <w:highlight w:val="yellow"/>
        </w:rPr>
      </w:pPr>
    </w:p>
    <w:p w14:paraId="57B04A4F" w14:textId="77777777" w:rsidR="00AC0A8B" w:rsidRPr="005F253F" w:rsidRDefault="00AC0A8B" w:rsidP="00AC0A8B">
      <w:pPr>
        <w:spacing w:after="0" w:line="240" w:lineRule="auto"/>
        <w:ind w:left="-709"/>
        <w:rPr>
          <w:rFonts w:ascii="Arial" w:hAnsi="Arial" w:cs="Arial"/>
          <w:sz w:val="20"/>
          <w:szCs w:val="20"/>
        </w:rPr>
      </w:pPr>
      <w:r w:rsidRPr="005F253F">
        <w:rPr>
          <w:rFonts w:ascii="Arial" w:hAnsi="Arial" w:cs="Arial"/>
          <w:b/>
          <w:sz w:val="20"/>
          <w:szCs w:val="20"/>
        </w:rPr>
        <w:t>Table 1</w:t>
      </w:r>
      <w:r w:rsidRPr="005F253F">
        <w:rPr>
          <w:rFonts w:ascii="Arial" w:hAnsi="Arial" w:cs="Arial"/>
          <w:sz w:val="20"/>
          <w:szCs w:val="20"/>
        </w:rPr>
        <w:t>.</w:t>
      </w:r>
      <w:r w:rsidRPr="005F253F">
        <w:rPr>
          <w:rFonts w:ascii="Arial" w:hAnsi="Arial" w:cs="Arial"/>
          <w:b/>
          <w:sz w:val="20"/>
          <w:szCs w:val="20"/>
        </w:rPr>
        <w:t xml:space="preserve"> </w:t>
      </w:r>
      <w:r w:rsidRPr="005F253F">
        <w:rPr>
          <w:rFonts w:ascii="Arial" w:hAnsi="Arial" w:cs="Arial"/>
          <w:sz w:val="20"/>
          <w:szCs w:val="20"/>
        </w:rPr>
        <w:t>Characteristics of category 1 infectious syphilis</w:t>
      </w:r>
      <w:r w:rsidRPr="005F253F">
        <w:rPr>
          <w:rFonts w:ascii="Arial" w:hAnsi="Arial" w:cs="Arial"/>
          <w:sz w:val="20"/>
          <w:szCs w:val="20"/>
          <w:vertAlign w:val="superscript"/>
        </w:rPr>
        <w:t>α</w:t>
      </w:r>
      <w:r w:rsidRPr="005F253F">
        <w:rPr>
          <w:rFonts w:ascii="Arial" w:hAnsi="Arial" w:cs="Arial"/>
          <w:sz w:val="20"/>
          <w:szCs w:val="20"/>
        </w:rPr>
        <w:t xml:space="preserve"> outbreak cases notified in Aboriginal and Torres Strait Islander people residing in affected regions</w:t>
      </w:r>
      <w:r w:rsidRPr="005F253F">
        <w:rPr>
          <w:rFonts w:ascii="Arial" w:hAnsi="Arial" w:cs="Arial"/>
          <w:sz w:val="20"/>
          <w:szCs w:val="20"/>
          <w:vertAlign w:val="superscript"/>
        </w:rPr>
        <w:t>β</w:t>
      </w:r>
      <w:r w:rsidRPr="005F253F">
        <w:rPr>
          <w:rFonts w:ascii="Arial" w:hAnsi="Arial" w:cs="Arial"/>
          <w:sz w:val="20"/>
          <w:szCs w:val="20"/>
        </w:rPr>
        <w:t xml:space="preserve"> of Queensland, the Northern Territory, Western Australia and South Australia, to </w:t>
      </w:r>
      <w:r>
        <w:rPr>
          <w:rFonts w:ascii="Arial" w:hAnsi="Arial" w:cs="Arial"/>
          <w:sz w:val="20"/>
          <w:szCs w:val="20"/>
        </w:rPr>
        <w:br/>
      </w:r>
      <w:r w:rsidRPr="005F253F">
        <w:rPr>
          <w:rFonts w:ascii="Arial" w:hAnsi="Arial" w:cs="Arial"/>
          <w:sz w:val="20"/>
          <w:szCs w:val="20"/>
        </w:rPr>
        <w:t>31 May 2019</w:t>
      </w:r>
      <w:r w:rsidRPr="005F253F">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AC0A8B" w:rsidRPr="009754E7" w14:paraId="57B04A57" w14:textId="77777777" w:rsidTr="00EB11F0">
        <w:trPr>
          <w:tblHeader/>
        </w:trPr>
        <w:tc>
          <w:tcPr>
            <w:tcW w:w="3975" w:type="dxa"/>
            <w:tcBorders>
              <w:bottom w:val="single" w:sz="4" w:space="0" w:color="auto"/>
            </w:tcBorders>
          </w:tcPr>
          <w:p w14:paraId="57B04A50" w14:textId="77777777" w:rsidR="00AC0A8B" w:rsidRPr="009754E7" w:rsidRDefault="00AC0A8B" w:rsidP="00EB11F0">
            <w:pPr>
              <w:ind w:left="34" w:hanging="34"/>
              <w:rPr>
                <w:rFonts w:ascii="Calibri" w:eastAsia="Times New Roman" w:hAnsi="Calibri" w:cs="Arial"/>
                <w:sz w:val="20"/>
                <w:szCs w:val="20"/>
                <w:highlight w:val="yellow"/>
                <w:lang w:eastAsia="en-AU"/>
              </w:rPr>
            </w:pPr>
          </w:p>
        </w:tc>
        <w:tc>
          <w:tcPr>
            <w:tcW w:w="1701" w:type="dxa"/>
            <w:tcBorders>
              <w:bottom w:val="single" w:sz="4" w:space="0" w:color="auto"/>
            </w:tcBorders>
            <w:shd w:val="clear" w:color="auto" w:fill="B8CCE4" w:themeFill="accent1" w:themeFillTint="66"/>
          </w:tcPr>
          <w:p w14:paraId="57B04A51" w14:textId="77777777" w:rsidR="00AC0A8B" w:rsidRPr="00C863C9" w:rsidRDefault="00AC0A8B" w:rsidP="00EB11F0">
            <w:pPr>
              <w:ind w:left="34" w:hanging="34"/>
              <w:jc w:val="center"/>
              <w:rPr>
                <w:rFonts w:ascii="Calibri" w:eastAsia="Times New Roman" w:hAnsi="Calibri" w:cs="Arial"/>
                <w:b/>
                <w:sz w:val="20"/>
                <w:szCs w:val="20"/>
                <w:lang w:eastAsia="en-AU"/>
              </w:rPr>
            </w:pPr>
            <w:r w:rsidRPr="00C863C9">
              <w:rPr>
                <w:rFonts w:ascii="Calibri" w:eastAsia="Times New Roman" w:hAnsi="Calibri" w:cs="Arial"/>
                <w:b/>
                <w:sz w:val="20"/>
                <w:szCs w:val="20"/>
                <w:lang w:eastAsia="en-AU"/>
              </w:rPr>
              <w:t xml:space="preserve">North Qld </w:t>
            </w:r>
            <w:r w:rsidRPr="00C863C9">
              <w:rPr>
                <w:rFonts w:ascii="Calibri" w:eastAsia="Times New Roman" w:hAnsi="Calibri" w:cs="Arial"/>
                <w:b/>
                <w:sz w:val="20"/>
                <w:szCs w:val="20"/>
                <w:lang w:eastAsia="en-AU"/>
              </w:rPr>
              <w:br/>
            </w:r>
            <w:r w:rsidRPr="00C863C9">
              <w:rPr>
                <w:rFonts w:ascii="Calibri" w:eastAsia="Times New Roman" w:hAnsi="Calibri" w:cs="Arial"/>
                <w:sz w:val="20"/>
                <w:szCs w:val="20"/>
                <w:lang w:eastAsia="en-AU"/>
              </w:rPr>
              <w:t>(four HHSs</w:t>
            </w:r>
            <w:r w:rsidRPr="00C863C9">
              <w:rPr>
                <w:rFonts w:ascii="Calibri" w:eastAsia="Times New Roman" w:hAnsi="Calibri" w:cs="Arial"/>
                <w:sz w:val="20"/>
                <w:szCs w:val="20"/>
                <w:vertAlign w:val="superscript"/>
                <w:lang w:eastAsia="en-AU"/>
              </w:rPr>
              <w:t>β</w:t>
            </w:r>
            <w:r w:rsidRPr="00C863C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A52" w14:textId="77777777" w:rsidR="00AC0A8B" w:rsidRPr="00C863C9" w:rsidRDefault="00AC0A8B" w:rsidP="00EB11F0">
            <w:pPr>
              <w:ind w:left="34" w:hanging="34"/>
              <w:jc w:val="center"/>
              <w:rPr>
                <w:rFonts w:ascii="Calibri" w:eastAsia="Times New Roman" w:hAnsi="Calibri" w:cs="Arial"/>
                <w:sz w:val="20"/>
                <w:szCs w:val="20"/>
                <w:lang w:eastAsia="en-AU"/>
              </w:rPr>
            </w:pPr>
            <w:r w:rsidRPr="00C863C9">
              <w:rPr>
                <w:rFonts w:ascii="Calibri" w:eastAsia="Times New Roman" w:hAnsi="Calibri" w:cs="Arial"/>
                <w:b/>
                <w:sz w:val="20"/>
                <w:szCs w:val="20"/>
                <w:lang w:eastAsia="en-AU"/>
              </w:rPr>
              <w:t xml:space="preserve">NT </w:t>
            </w:r>
          </w:p>
          <w:p w14:paraId="57B04A53" w14:textId="77777777" w:rsidR="00AC0A8B" w:rsidRPr="00C863C9" w:rsidRDefault="00AC0A8B" w:rsidP="00EB11F0">
            <w:pPr>
              <w:ind w:left="34" w:hanging="34"/>
              <w:jc w:val="center"/>
              <w:rPr>
                <w:rFonts w:ascii="Calibri" w:eastAsia="Times New Roman" w:hAnsi="Calibri" w:cs="Arial"/>
                <w:b/>
                <w:sz w:val="20"/>
                <w:szCs w:val="20"/>
                <w:lang w:eastAsia="en-AU"/>
              </w:rPr>
            </w:pPr>
            <w:r w:rsidRPr="00C863C9">
              <w:rPr>
                <w:rFonts w:ascii="Calibri" w:eastAsia="Times New Roman" w:hAnsi="Calibri" w:cs="Arial"/>
                <w:sz w:val="20"/>
                <w:szCs w:val="20"/>
                <w:lang w:eastAsia="en-AU"/>
              </w:rPr>
              <w:t>(seven regions</w:t>
            </w:r>
            <w:r w:rsidRPr="00C863C9">
              <w:rPr>
                <w:rFonts w:ascii="Calibri" w:eastAsia="Times New Roman" w:hAnsi="Calibri" w:cs="Arial"/>
                <w:sz w:val="20"/>
                <w:szCs w:val="20"/>
                <w:vertAlign w:val="superscript"/>
                <w:lang w:eastAsia="en-AU"/>
              </w:rPr>
              <w:t xml:space="preserve"> β</w:t>
            </w:r>
            <w:r w:rsidRPr="00C863C9">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A54" w14:textId="77777777" w:rsidR="00AC0A8B" w:rsidRPr="009754E7" w:rsidRDefault="00AC0A8B" w:rsidP="00EB11F0">
            <w:pPr>
              <w:ind w:left="34" w:hanging="34"/>
              <w:jc w:val="center"/>
              <w:rPr>
                <w:rFonts w:ascii="Calibri" w:eastAsia="Times New Roman" w:hAnsi="Calibri" w:cs="Arial"/>
                <w:b/>
                <w:sz w:val="20"/>
                <w:szCs w:val="20"/>
                <w:highlight w:val="yellow"/>
                <w:lang w:eastAsia="en-AU"/>
              </w:rPr>
            </w:pPr>
            <w:r w:rsidRPr="00695729">
              <w:rPr>
                <w:rFonts w:ascii="Calibri" w:eastAsia="Times New Roman" w:hAnsi="Calibri" w:cs="Arial"/>
                <w:b/>
                <w:sz w:val="20"/>
                <w:szCs w:val="20"/>
                <w:lang w:eastAsia="en-AU"/>
              </w:rPr>
              <w:t>WA</w:t>
            </w:r>
            <w:r w:rsidRPr="00695729">
              <w:rPr>
                <w:rFonts w:ascii="Calibri" w:eastAsia="Times New Roman" w:hAnsi="Calibri" w:cs="Arial"/>
                <w:b/>
                <w:sz w:val="20"/>
                <w:szCs w:val="20"/>
                <w:lang w:eastAsia="en-AU"/>
              </w:rPr>
              <w:br/>
            </w:r>
            <w:r w:rsidRPr="00695729">
              <w:rPr>
                <w:rFonts w:ascii="Calibri" w:eastAsia="Times New Roman" w:hAnsi="Calibri" w:cs="Arial"/>
                <w:sz w:val="20"/>
                <w:szCs w:val="20"/>
                <w:lang w:eastAsia="en-AU"/>
              </w:rPr>
              <w:t xml:space="preserve"> (three regions</w:t>
            </w:r>
            <w:r w:rsidRPr="00695729">
              <w:rPr>
                <w:rFonts w:ascii="Calibri" w:eastAsia="Times New Roman" w:hAnsi="Calibri" w:cs="Arial"/>
                <w:sz w:val="20"/>
                <w:szCs w:val="20"/>
                <w:vertAlign w:val="superscript"/>
                <w:lang w:eastAsia="en-AU"/>
              </w:rPr>
              <w:t xml:space="preserve"> β</w:t>
            </w:r>
            <w:r w:rsidRPr="00695729">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A55" w14:textId="77777777" w:rsidR="00AC0A8B" w:rsidRPr="00C13F63" w:rsidRDefault="00AC0A8B" w:rsidP="00EB11F0">
            <w:pPr>
              <w:ind w:left="34" w:hanging="34"/>
              <w:jc w:val="center"/>
              <w:rPr>
                <w:rFonts w:ascii="Calibri" w:eastAsia="Times New Roman" w:hAnsi="Calibri" w:cs="Arial"/>
                <w:b/>
                <w:sz w:val="20"/>
                <w:szCs w:val="20"/>
                <w:lang w:eastAsia="en-AU"/>
              </w:rPr>
            </w:pPr>
            <w:r w:rsidRPr="00C13F63">
              <w:rPr>
                <w:rFonts w:ascii="Calibri" w:eastAsia="Times New Roman" w:hAnsi="Calibri" w:cs="Arial"/>
                <w:b/>
                <w:sz w:val="20"/>
                <w:szCs w:val="20"/>
                <w:lang w:eastAsia="en-AU"/>
              </w:rPr>
              <w:t>SA</w:t>
            </w:r>
          </w:p>
          <w:p w14:paraId="57B04A56" w14:textId="77777777" w:rsidR="00AC0A8B" w:rsidRPr="00C13F63" w:rsidRDefault="00AC0A8B" w:rsidP="00EB11F0">
            <w:pPr>
              <w:ind w:left="34" w:hanging="34"/>
              <w:jc w:val="center"/>
              <w:rPr>
                <w:rFonts w:ascii="Calibri" w:eastAsia="Times New Roman" w:hAnsi="Calibri" w:cs="Arial"/>
                <w:sz w:val="20"/>
                <w:szCs w:val="20"/>
                <w:lang w:eastAsia="en-AU"/>
              </w:rPr>
            </w:pPr>
            <w:r w:rsidRPr="00C13F63">
              <w:rPr>
                <w:rFonts w:ascii="Calibri" w:eastAsia="Times New Roman" w:hAnsi="Calibri" w:cs="Arial"/>
                <w:sz w:val="20"/>
                <w:szCs w:val="20"/>
                <w:lang w:eastAsia="en-AU"/>
              </w:rPr>
              <w:t>(three regions</w:t>
            </w:r>
            <w:r w:rsidRPr="00C13F63">
              <w:rPr>
                <w:rFonts w:ascii="Calibri" w:eastAsia="Times New Roman" w:hAnsi="Calibri" w:cs="Arial"/>
                <w:sz w:val="20"/>
                <w:szCs w:val="20"/>
                <w:vertAlign w:val="superscript"/>
                <w:lang w:eastAsia="en-AU"/>
              </w:rPr>
              <w:t xml:space="preserve"> β</w:t>
            </w:r>
            <w:r w:rsidRPr="00C13F63">
              <w:rPr>
                <w:rFonts w:ascii="Calibri" w:eastAsia="Times New Roman" w:hAnsi="Calibri" w:cs="Arial"/>
                <w:sz w:val="20"/>
                <w:szCs w:val="20"/>
                <w:lang w:eastAsia="en-AU"/>
              </w:rPr>
              <w:t>)</w:t>
            </w:r>
          </w:p>
        </w:tc>
      </w:tr>
      <w:tr w:rsidR="00AC0A8B" w:rsidRPr="009754E7" w14:paraId="57B04A5D" w14:textId="77777777" w:rsidTr="00EB11F0">
        <w:tc>
          <w:tcPr>
            <w:tcW w:w="3975" w:type="dxa"/>
            <w:tcBorders>
              <w:right w:val="nil"/>
            </w:tcBorders>
            <w:shd w:val="clear" w:color="auto" w:fill="DBE5F1" w:themeFill="accent1" w:themeFillTint="33"/>
          </w:tcPr>
          <w:p w14:paraId="57B04A58" w14:textId="77777777" w:rsidR="00AC0A8B" w:rsidRPr="009754E7" w:rsidRDefault="00AC0A8B" w:rsidP="00EB11F0">
            <w:pPr>
              <w:ind w:left="34" w:hanging="34"/>
              <w:rPr>
                <w:rFonts w:ascii="Calibri" w:eastAsia="Times New Roman" w:hAnsi="Calibri" w:cs="Arial"/>
                <w:b/>
                <w:sz w:val="20"/>
                <w:szCs w:val="20"/>
                <w:highlight w:val="yellow"/>
                <w:lang w:eastAsia="en-AU"/>
              </w:rPr>
            </w:pPr>
            <w:r w:rsidRPr="005F253F">
              <w:rPr>
                <w:rFonts w:ascii="Calibri" w:eastAsia="Times New Roman" w:hAnsi="Calibri" w:cs="Arial"/>
                <w:b/>
                <w:sz w:val="20"/>
                <w:szCs w:val="20"/>
                <w:lang w:eastAsia="en-AU"/>
              </w:rPr>
              <w:t>Situation to-date, 31 May 2019</w:t>
            </w:r>
          </w:p>
        </w:tc>
        <w:tc>
          <w:tcPr>
            <w:tcW w:w="1701" w:type="dxa"/>
            <w:tcBorders>
              <w:left w:val="nil"/>
              <w:bottom w:val="single" w:sz="4" w:space="0" w:color="auto"/>
              <w:right w:val="nil"/>
            </w:tcBorders>
            <w:shd w:val="clear" w:color="auto" w:fill="DBE5F1" w:themeFill="accent1" w:themeFillTint="33"/>
          </w:tcPr>
          <w:p w14:paraId="57B04A59" w14:textId="77777777" w:rsidR="00AC0A8B" w:rsidRPr="009754E7" w:rsidRDefault="00AC0A8B" w:rsidP="00EB11F0">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14:paraId="57B04A5A" w14:textId="77777777" w:rsidR="00AC0A8B" w:rsidRPr="00B8598A" w:rsidRDefault="00AC0A8B" w:rsidP="00EB11F0">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A5B" w14:textId="77777777" w:rsidR="00AC0A8B" w:rsidRPr="009754E7" w:rsidRDefault="00AC0A8B" w:rsidP="00EB11F0">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14:paraId="57B04A5C" w14:textId="77777777" w:rsidR="00AC0A8B" w:rsidRPr="00C13F63" w:rsidRDefault="00AC0A8B" w:rsidP="00EB11F0">
            <w:pPr>
              <w:ind w:left="34" w:hanging="34"/>
              <w:rPr>
                <w:rFonts w:ascii="Calibri" w:eastAsia="Times New Roman" w:hAnsi="Calibri" w:cs="Arial"/>
                <w:sz w:val="20"/>
                <w:szCs w:val="20"/>
                <w:lang w:eastAsia="en-AU"/>
              </w:rPr>
            </w:pPr>
          </w:p>
        </w:tc>
      </w:tr>
      <w:tr w:rsidR="00AC0A8B" w:rsidRPr="009754E7" w14:paraId="57B04A63" w14:textId="77777777" w:rsidTr="00EB11F0">
        <w:trPr>
          <w:trHeight w:val="365"/>
        </w:trPr>
        <w:tc>
          <w:tcPr>
            <w:tcW w:w="3975" w:type="dxa"/>
            <w:vAlign w:val="center"/>
          </w:tcPr>
          <w:p w14:paraId="57B04A5E" w14:textId="77777777" w:rsidR="00AC0A8B" w:rsidRPr="00C13F63" w:rsidRDefault="00AC0A8B" w:rsidP="00EB11F0">
            <w:pPr>
              <w:ind w:left="34" w:hanging="34"/>
              <w:rPr>
                <w:rFonts w:ascii="Calibri" w:eastAsia="Times New Roman" w:hAnsi="Calibri" w:cs="Arial"/>
                <w:sz w:val="20"/>
                <w:szCs w:val="20"/>
                <w:lang w:eastAsia="en-AU"/>
              </w:rPr>
            </w:pPr>
            <w:r w:rsidRPr="00C13F63">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A5F" w14:textId="77777777" w:rsidR="00AC0A8B" w:rsidRPr="00C863C9" w:rsidRDefault="00AC0A8B" w:rsidP="00EB11F0">
            <w:pPr>
              <w:ind w:left="34" w:hanging="34"/>
              <w:jc w:val="center"/>
              <w:rPr>
                <w:rFonts w:ascii="Calibri" w:eastAsia="Times New Roman" w:hAnsi="Calibri" w:cs="Arial"/>
                <w:sz w:val="20"/>
                <w:szCs w:val="20"/>
                <w:lang w:eastAsia="en-AU"/>
              </w:rPr>
            </w:pPr>
            <w:r w:rsidRPr="00C863C9">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A60" w14:textId="77777777" w:rsidR="00AC0A8B" w:rsidRPr="00B8598A" w:rsidRDefault="00AC0A8B" w:rsidP="00EB11F0">
            <w:pPr>
              <w:ind w:left="34" w:hanging="34"/>
              <w:jc w:val="center"/>
              <w:rPr>
                <w:rFonts w:ascii="Calibri" w:eastAsia="Times New Roman" w:hAnsi="Calibri" w:cs="Arial"/>
                <w:sz w:val="20"/>
                <w:szCs w:val="20"/>
                <w:lang w:eastAsia="en-AU"/>
              </w:rPr>
            </w:pPr>
            <w:r w:rsidRPr="00B8598A">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A61" w14:textId="77777777" w:rsidR="00AC0A8B" w:rsidRPr="00C13F63" w:rsidRDefault="00AC0A8B" w:rsidP="00EB11F0">
            <w:pPr>
              <w:ind w:left="34" w:hanging="34"/>
              <w:jc w:val="center"/>
              <w:rPr>
                <w:rFonts w:ascii="Calibri" w:eastAsia="Times New Roman" w:hAnsi="Calibri" w:cs="Arial"/>
                <w:sz w:val="20"/>
                <w:szCs w:val="20"/>
                <w:lang w:eastAsia="en-AU"/>
              </w:rPr>
            </w:pPr>
            <w:r w:rsidRPr="00C13F63">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A62" w14:textId="77777777" w:rsidR="00AC0A8B" w:rsidRPr="00C13F63" w:rsidRDefault="00AC0A8B" w:rsidP="00EB11F0">
            <w:pPr>
              <w:ind w:left="34" w:hanging="34"/>
              <w:jc w:val="center"/>
              <w:rPr>
                <w:rFonts w:ascii="Calibri" w:eastAsia="Times New Roman" w:hAnsi="Calibri" w:cs="Arial"/>
                <w:sz w:val="20"/>
                <w:szCs w:val="20"/>
                <w:lang w:eastAsia="en-AU"/>
              </w:rPr>
            </w:pPr>
            <w:r w:rsidRPr="00C13F63">
              <w:rPr>
                <w:rFonts w:ascii="Calibri" w:eastAsia="Times New Roman" w:hAnsi="Calibri" w:cs="Arial"/>
                <w:sz w:val="20"/>
                <w:szCs w:val="20"/>
                <w:lang w:eastAsia="en-AU"/>
              </w:rPr>
              <w:t>November 2016</w:t>
            </w:r>
          </w:p>
        </w:tc>
      </w:tr>
      <w:tr w:rsidR="00AC0A8B" w:rsidRPr="00695729" w14:paraId="57B04A69" w14:textId="77777777" w:rsidTr="00EB11F0">
        <w:tc>
          <w:tcPr>
            <w:tcW w:w="3975" w:type="dxa"/>
          </w:tcPr>
          <w:p w14:paraId="57B04A64"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Total number of cases</w:t>
            </w:r>
            <w:r w:rsidRPr="00695729">
              <w:rPr>
                <w:rFonts w:ascii="Calibri" w:eastAsia="Times New Roman" w:hAnsi="Calibri" w:cs="Arial"/>
                <w:b/>
                <w:sz w:val="20"/>
                <w:szCs w:val="20"/>
                <w:vertAlign w:val="superscript"/>
                <w:lang w:eastAsia="en-AU"/>
              </w:rPr>
              <w:t xml:space="preserve"> </w:t>
            </w:r>
            <w:r w:rsidRPr="00695729">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A65" w14:textId="77777777" w:rsidR="00AC0A8B" w:rsidRPr="00695729" w:rsidRDefault="00AC0A8B" w:rsidP="00EB11F0">
            <w:pPr>
              <w:ind w:left="34" w:hanging="34"/>
              <w:jc w:val="center"/>
              <w:rPr>
                <w:rFonts w:ascii="Calibri" w:eastAsia="Times New Roman" w:hAnsi="Calibri" w:cs="Arial"/>
                <w:sz w:val="20"/>
                <w:szCs w:val="20"/>
                <w:lang w:eastAsia="en-AU"/>
              </w:rPr>
            </w:pPr>
            <w:r w:rsidRPr="00695729">
              <w:rPr>
                <w:rFonts w:ascii="Calibri" w:eastAsia="Times New Roman" w:hAnsi="Calibri" w:cs="Arial"/>
                <w:sz w:val="20"/>
                <w:szCs w:val="20"/>
                <w:lang w:eastAsia="en-AU"/>
              </w:rPr>
              <w:t>1306</w:t>
            </w:r>
          </w:p>
        </w:tc>
        <w:tc>
          <w:tcPr>
            <w:tcW w:w="1560" w:type="dxa"/>
            <w:shd w:val="clear" w:color="auto" w:fill="B6DDE8" w:themeFill="accent5" w:themeFillTint="66"/>
            <w:vAlign w:val="center"/>
          </w:tcPr>
          <w:p w14:paraId="57B04A66" w14:textId="77777777" w:rsidR="00AC0A8B" w:rsidRPr="00695729" w:rsidRDefault="00AC0A8B" w:rsidP="00EB11F0">
            <w:pPr>
              <w:ind w:left="34" w:hanging="34"/>
              <w:jc w:val="center"/>
              <w:rPr>
                <w:rFonts w:ascii="Calibri" w:eastAsia="Times New Roman" w:hAnsi="Calibri" w:cs="Arial"/>
                <w:sz w:val="20"/>
                <w:szCs w:val="20"/>
                <w:lang w:eastAsia="en-AU"/>
              </w:rPr>
            </w:pPr>
            <w:r w:rsidRPr="00695729">
              <w:rPr>
                <w:rFonts w:ascii="Calibri" w:eastAsia="Times New Roman" w:hAnsi="Calibri" w:cs="Arial"/>
                <w:sz w:val="20"/>
                <w:szCs w:val="20"/>
                <w:lang w:eastAsia="en-AU"/>
              </w:rPr>
              <w:t>1046</w:t>
            </w:r>
          </w:p>
        </w:tc>
        <w:tc>
          <w:tcPr>
            <w:tcW w:w="1672" w:type="dxa"/>
            <w:shd w:val="clear" w:color="auto" w:fill="CCC0D9" w:themeFill="accent4" w:themeFillTint="66"/>
            <w:vAlign w:val="center"/>
          </w:tcPr>
          <w:p w14:paraId="57B04A67" w14:textId="77777777" w:rsidR="00AC0A8B" w:rsidRPr="00695729" w:rsidRDefault="00AC0A8B" w:rsidP="00EB11F0">
            <w:pPr>
              <w:ind w:left="34" w:hanging="34"/>
              <w:jc w:val="center"/>
              <w:rPr>
                <w:rFonts w:ascii="Calibri" w:eastAsia="Times New Roman" w:hAnsi="Calibri" w:cs="Arial"/>
                <w:sz w:val="20"/>
                <w:szCs w:val="20"/>
                <w:highlight w:val="green"/>
                <w:lang w:eastAsia="en-AU"/>
              </w:rPr>
            </w:pPr>
            <w:r w:rsidRPr="009960BE">
              <w:rPr>
                <w:rFonts w:ascii="Calibri" w:eastAsia="Times New Roman" w:hAnsi="Calibri" w:cs="Arial"/>
                <w:sz w:val="20"/>
                <w:szCs w:val="20"/>
                <w:lang w:eastAsia="en-AU"/>
              </w:rPr>
              <w:t>320</w:t>
            </w:r>
          </w:p>
        </w:tc>
        <w:tc>
          <w:tcPr>
            <w:tcW w:w="1559" w:type="dxa"/>
            <w:shd w:val="clear" w:color="auto" w:fill="FBD4B4" w:themeFill="accent6" w:themeFillTint="66"/>
          </w:tcPr>
          <w:p w14:paraId="57B04A68" w14:textId="77777777" w:rsidR="00AC0A8B" w:rsidRPr="00695729" w:rsidRDefault="00AC0A8B" w:rsidP="00EB11F0">
            <w:pPr>
              <w:ind w:left="34" w:hanging="34"/>
              <w:jc w:val="center"/>
              <w:rPr>
                <w:rFonts w:ascii="Calibri" w:eastAsia="Times New Roman" w:hAnsi="Calibri" w:cs="Arial"/>
                <w:sz w:val="20"/>
                <w:szCs w:val="20"/>
                <w:highlight w:val="green"/>
                <w:lang w:eastAsia="en-AU"/>
              </w:rPr>
            </w:pPr>
            <w:r w:rsidRPr="00695729">
              <w:rPr>
                <w:rFonts w:ascii="Calibri" w:eastAsia="Times New Roman" w:hAnsi="Calibri" w:cs="Arial"/>
                <w:sz w:val="20"/>
                <w:szCs w:val="20"/>
                <w:lang w:eastAsia="en-AU"/>
              </w:rPr>
              <w:t>71</w:t>
            </w:r>
          </w:p>
        </w:tc>
      </w:tr>
      <w:tr w:rsidR="00AC0A8B" w:rsidRPr="00695729" w14:paraId="57B04A6F" w14:textId="77777777" w:rsidTr="00EB11F0">
        <w:tc>
          <w:tcPr>
            <w:tcW w:w="3975" w:type="dxa"/>
            <w:shd w:val="clear" w:color="auto" w:fill="auto"/>
          </w:tcPr>
          <w:p w14:paraId="57B04A6A"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A6B" w14:textId="77777777" w:rsidR="00AC0A8B" w:rsidRPr="00695729" w:rsidRDefault="00AC0A8B" w:rsidP="00EB11F0">
            <w:pPr>
              <w:ind w:left="34" w:hanging="34"/>
              <w:jc w:val="center"/>
              <w:rPr>
                <w:rFonts w:ascii="Calibri" w:eastAsia="Times New Roman" w:hAnsi="Calibri" w:cs="Arial"/>
                <w:sz w:val="20"/>
                <w:szCs w:val="20"/>
                <w:highlight w:val="green"/>
                <w:lang w:eastAsia="en-AU"/>
              </w:rPr>
            </w:pPr>
            <w:r w:rsidRPr="00695729">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A6C" w14:textId="77777777" w:rsidR="00AC0A8B" w:rsidRPr="00695729" w:rsidRDefault="00AC0A8B" w:rsidP="00EB11F0">
            <w:pPr>
              <w:ind w:left="34" w:hanging="34"/>
              <w:jc w:val="center"/>
              <w:rPr>
                <w:rFonts w:ascii="Calibri" w:eastAsia="Times New Roman" w:hAnsi="Calibri" w:cs="Arial"/>
                <w:sz w:val="20"/>
                <w:szCs w:val="20"/>
                <w:highlight w:val="green"/>
                <w:lang w:eastAsia="en-AU"/>
              </w:rPr>
            </w:pPr>
            <w:r w:rsidRPr="00695729">
              <w:rPr>
                <w:rFonts w:ascii="Calibri" w:eastAsia="Times New Roman" w:hAnsi="Calibri" w:cs="Arial"/>
                <w:sz w:val="20"/>
                <w:szCs w:val="20"/>
                <w:lang w:eastAsia="en-AU"/>
              </w:rPr>
              <w:t>46% / 54%</w:t>
            </w:r>
          </w:p>
        </w:tc>
        <w:tc>
          <w:tcPr>
            <w:tcW w:w="1672" w:type="dxa"/>
            <w:shd w:val="clear" w:color="auto" w:fill="CCC0D9" w:themeFill="accent4" w:themeFillTint="66"/>
            <w:vAlign w:val="center"/>
          </w:tcPr>
          <w:p w14:paraId="57B04A6D"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42% / 58%</w:t>
            </w:r>
          </w:p>
        </w:tc>
        <w:tc>
          <w:tcPr>
            <w:tcW w:w="1559" w:type="dxa"/>
            <w:shd w:val="clear" w:color="auto" w:fill="FBD4B4" w:themeFill="accent6" w:themeFillTint="66"/>
          </w:tcPr>
          <w:p w14:paraId="57B04A6E"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52% / 48%</w:t>
            </w:r>
          </w:p>
        </w:tc>
      </w:tr>
      <w:tr w:rsidR="00AC0A8B" w:rsidRPr="00695729" w14:paraId="57B04A75" w14:textId="77777777" w:rsidTr="00EB11F0">
        <w:tc>
          <w:tcPr>
            <w:tcW w:w="3975" w:type="dxa"/>
            <w:shd w:val="clear" w:color="auto" w:fill="auto"/>
          </w:tcPr>
          <w:p w14:paraId="57B04A70"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A71" w14:textId="77777777" w:rsidR="00AC0A8B" w:rsidRPr="00695729" w:rsidRDefault="00AC0A8B" w:rsidP="00EB11F0">
            <w:pPr>
              <w:ind w:left="34" w:hanging="34"/>
              <w:jc w:val="center"/>
              <w:rPr>
                <w:rFonts w:ascii="Calibri" w:eastAsia="Times New Roman" w:hAnsi="Calibri" w:cs="Arial"/>
                <w:sz w:val="20"/>
                <w:szCs w:val="20"/>
                <w:highlight w:val="green"/>
                <w:lang w:eastAsia="en-AU"/>
              </w:rPr>
            </w:pPr>
            <w:r w:rsidRPr="00695729">
              <w:rPr>
                <w:rFonts w:ascii="Calibri" w:eastAsia="Times New Roman" w:hAnsi="Calibri" w:cs="Arial"/>
                <w:sz w:val="20"/>
                <w:szCs w:val="20"/>
                <w:lang w:eastAsia="en-AU"/>
              </w:rPr>
              <w:t>66%</w:t>
            </w:r>
          </w:p>
        </w:tc>
        <w:tc>
          <w:tcPr>
            <w:tcW w:w="1560" w:type="dxa"/>
            <w:shd w:val="clear" w:color="auto" w:fill="B6DDE8" w:themeFill="accent5" w:themeFillTint="66"/>
            <w:vAlign w:val="center"/>
          </w:tcPr>
          <w:p w14:paraId="57B04A72" w14:textId="77777777" w:rsidR="00AC0A8B" w:rsidRPr="00695729" w:rsidRDefault="00AC0A8B" w:rsidP="00EB11F0">
            <w:pPr>
              <w:ind w:left="34" w:hanging="34"/>
              <w:jc w:val="center"/>
              <w:rPr>
                <w:rFonts w:ascii="Calibri" w:eastAsia="Times New Roman" w:hAnsi="Calibri" w:cs="Arial"/>
                <w:sz w:val="20"/>
                <w:szCs w:val="20"/>
                <w:highlight w:val="green"/>
                <w:lang w:eastAsia="en-AU"/>
              </w:rPr>
            </w:pPr>
            <w:r w:rsidRPr="00695729">
              <w:rPr>
                <w:rFonts w:ascii="Calibri" w:eastAsia="Times New Roman" w:hAnsi="Calibri" w:cs="Arial"/>
                <w:sz w:val="20"/>
                <w:szCs w:val="20"/>
                <w:lang w:eastAsia="en-AU"/>
              </w:rPr>
              <w:t>62%</w:t>
            </w:r>
          </w:p>
        </w:tc>
        <w:tc>
          <w:tcPr>
            <w:tcW w:w="1672" w:type="dxa"/>
            <w:shd w:val="clear" w:color="auto" w:fill="CCC0D9" w:themeFill="accent4" w:themeFillTint="66"/>
            <w:vAlign w:val="center"/>
          </w:tcPr>
          <w:p w14:paraId="57B04A73"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70%</w:t>
            </w:r>
          </w:p>
        </w:tc>
        <w:tc>
          <w:tcPr>
            <w:tcW w:w="1559" w:type="dxa"/>
            <w:shd w:val="clear" w:color="auto" w:fill="FBD4B4" w:themeFill="accent6" w:themeFillTint="66"/>
          </w:tcPr>
          <w:p w14:paraId="57B04A74" w14:textId="77777777" w:rsidR="00AC0A8B" w:rsidRPr="009960BE" w:rsidRDefault="00AC0A8B" w:rsidP="00EB11F0">
            <w:pPr>
              <w:tabs>
                <w:tab w:val="left" w:pos="465"/>
                <w:tab w:val="center" w:pos="663"/>
              </w:tabs>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47%</w:t>
            </w:r>
          </w:p>
        </w:tc>
      </w:tr>
      <w:tr w:rsidR="00AC0A8B" w:rsidRPr="00695729" w14:paraId="57B04A7B" w14:textId="77777777" w:rsidTr="00EB11F0">
        <w:tc>
          <w:tcPr>
            <w:tcW w:w="3975" w:type="dxa"/>
            <w:shd w:val="clear" w:color="auto" w:fill="auto"/>
          </w:tcPr>
          <w:p w14:paraId="57B04A76"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Congenital cases, confirmed (probable)</w:t>
            </w:r>
            <w:r w:rsidRPr="00695729">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A77"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A78"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A79"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1 (0)</w:t>
            </w:r>
          </w:p>
        </w:tc>
        <w:tc>
          <w:tcPr>
            <w:tcW w:w="1559" w:type="dxa"/>
            <w:shd w:val="clear" w:color="auto" w:fill="FBD4B4" w:themeFill="accent6" w:themeFillTint="66"/>
          </w:tcPr>
          <w:p w14:paraId="57B04A7A"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1 (0)</w:t>
            </w:r>
          </w:p>
        </w:tc>
      </w:tr>
      <w:tr w:rsidR="00AC0A8B" w:rsidRPr="00695729" w14:paraId="57B04A81" w14:textId="77777777" w:rsidTr="00EB11F0">
        <w:tc>
          <w:tcPr>
            <w:tcW w:w="3975" w:type="dxa"/>
            <w:tcBorders>
              <w:bottom w:val="single" w:sz="4" w:space="0" w:color="auto"/>
            </w:tcBorders>
            <w:shd w:val="clear" w:color="auto" w:fill="auto"/>
          </w:tcPr>
          <w:p w14:paraId="57B04A7C"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A7D"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A7E"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A7F"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A80"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0 (0)</w:t>
            </w:r>
          </w:p>
        </w:tc>
      </w:tr>
      <w:tr w:rsidR="00AC0A8B" w:rsidRPr="00695729" w14:paraId="57B04A83" w14:textId="77777777" w:rsidTr="00EB11F0">
        <w:tc>
          <w:tcPr>
            <w:tcW w:w="10467" w:type="dxa"/>
            <w:gridSpan w:val="5"/>
            <w:tcBorders>
              <w:bottom w:val="single" w:sz="4" w:space="0" w:color="auto"/>
            </w:tcBorders>
            <w:shd w:val="clear" w:color="auto" w:fill="auto"/>
          </w:tcPr>
          <w:p w14:paraId="57B04A82"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b/>
                <w:sz w:val="20"/>
                <w:szCs w:val="20"/>
                <w:lang w:eastAsia="en-AU"/>
              </w:rPr>
              <w:t>Last reporting month, 1 –31 May 2019</w:t>
            </w:r>
          </w:p>
        </w:tc>
      </w:tr>
      <w:tr w:rsidR="00AC0A8B" w:rsidRPr="00695729" w14:paraId="57B04A89" w14:textId="77777777" w:rsidTr="00EB11F0">
        <w:tc>
          <w:tcPr>
            <w:tcW w:w="3975" w:type="dxa"/>
            <w:shd w:val="clear" w:color="auto" w:fill="auto"/>
          </w:tcPr>
          <w:p w14:paraId="57B04A84"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Number of cases</w:t>
            </w:r>
            <w:r w:rsidRPr="00695729">
              <w:rPr>
                <w:rFonts w:ascii="Calibri" w:eastAsia="Times New Roman" w:hAnsi="Calibri" w:cs="Arial"/>
                <w:b/>
                <w:sz w:val="20"/>
                <w:szCs w:val="20"/>
                <w:vertAlign w:val="superscript"/>
                <w:lang w:eastAsia="en-AU"/>
              </w:rPr>
              <w:t xml:space="preserve"> </w:t>
            </w:r>
            <w:r w:rsidRPr="00695729">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A85" w14:textId="77777777" w:rsidR="00AC0A8B" w:rsidRPr="00695729" w:rsidRDefault="00AC0A8B" w:rsidP="00EB11F0">
            <w:pPr>
              <w:ind w:left="34" w:hanging="34"/>
              <w:jc w:val="center"/>
              <w:rPr>
                <w:rFonts w:ascii="Calibri" w:eastAsia="Times New Roman" w:hAnsi="Calibri" w:cs="Arial"/>
                <w:sz w:val="20"/>
                <w:szCs w:val="20"/>
                <w:lang w:eastAsia="en-AU"/>
              </w:rPr>
            </w:pPr>
            <w:r w:rsidRPr="00695729">
              <w:rPr>
                <w:rFonts w:ascii="Calibri" w:eastAsia="Times New Roman" w:hAnsi="Calibri" w:cs="Arial"/>
                <w:sz w:val="20"/>
                <w:szCs w:val="20"/>
                <w:lang w:eastAsia="en-AU"/>
              </w:rPr>
              <w:t>12</w:t>
            </w:r>
          </w:p>
        </w:tc>
        <w:tc>
          <w:tcPr>
            <w:tcW w:w="1560" w:type="dxa"/>
            <w:shd w:val="clear" w:color="auto" w:fill="B6DDE8" w:themeFill="accent5" w:themeFillTint="66"/>
            <w:vAlign w:val="center"/>
          </w:tcPr>
          <w:p w14:paraId="57B04A86" w14:textId="77777777" w:rsidR="00AC0A8B" w:rsidRPr="00695729" w:rsidRDefault="00AC0A8B" w:rsidP="00EB11F0">
            <w:pPr>
              <w:ind w:left="34" w:hanging="34"/>
              <w:jc w:val="center"/>
              <w:rPr>
                <w:rFonts w:ascii="Calibri" w:eastAsia="Times New Roman" w:hAnsi="Calibri" w:cs="Arial"/>
                <w:sz w:val="20"/>
                <w:szCs w:val="20"/>
                <w:lang w:eastAsia="en-AU"/>
              </w:rPr>
            </w:pPr>
            <w:r w:rsidRPr="00695729">
              <w:rPr>
                <w:rFonts w:ascii="Calibri" w:eastAsia="Times New Roman" w:hAnsi="Calibri" w:cs="Arial"/>
                <w:sz w:val="20"/>
                <w:szCs w:val="20"/>
                <w:lang w:eastAsia="en-AU"/>
              </w:rPr>
              <w:t>21</w:t>
            </w:r>
          </w:p>
        </w:tc>
        <w:tc>
          <w:tcPr>
            <w:tcW w:w="1672" w:type="dxa"/>
            <w:shd w:val="clear" w:color="auto" w:fill="CCC0D9" w:themeFill="accent4" w:themeFillTint="66"/>
            <w:vAlign w:val="center"/>
          </w:tcPr>
          <w:p w14:paraId="57B04A87"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22</w:t>
            </w:r>
          </w:p>
        </w:tc>
        <w:tc>
          <w:tcPr>
            <w:tcW w:w="1559" w:type="dxa"/>
            <w:shd w:val="clear" w:color="auto" w:fill="FBD4B4" w:themeFill="accent6" w:themeFillTint="66"/>
          </w:tcPr>
          <w:p w14:paraId="57B04A88"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4</w:t>
            </w:r>
          </w:p>
        </w:tc>
      </w:tr>
      <w:tr w:rsidR="00AC0A8B" w:rsidRPr="00695729" w14:paraId="57B04A8F" w14:textId="77777777" w:rsidTr="00EB11F0">
        <w:tc>
          <w:tcPr>
            <w:tcW w:w="3975" w:type="dxa"/>
            <w:shd w:val="clear" w:color="auto" w:fill="auto"/>
          </w:tcPr>
          <w:p w14:paraId="57B04A8A"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A8B" w14:textId="77777777" w:rsidR="00AC0A8B" w:rsidRPr="00695729" w:rsidRDefault="00AC0A8B" w:rsidP="00EB11F0">
            <w:pPr>
              <w:ind w:left="34" w:hanging="34"/>
              <w:jc w:val="center"/>
              <w:rPr>
                <w:rFonts w:ascii="Calibri" w:eastAsia="Times New Roman" w:hAnsi="Calibri" w:cs="Arial"/>
                <w:sz w:val="20"/>
                <w:szCs w:val="20"/>
                <w:lang w:eastAsia="en-AU"/>
              </w:rPr>
            </w:pPr>
            <w:r w:rsidRPr="00695729">
              <w:rPr>
                <w:rFonts w:ascii="Calibri" w:eastAsia="Times New Roman" w:hAnsi="Calibri" w:cs="Arial"/>
                <w:sz w:val="20"/>
                <w:szCs w:val="20"/>
                <w:lang w:eastAsia="en-AU"/>
              </w:rPr>
              <w:t>50% / 50%</w:t>
            </w:r>
          </w:p>
        </w:tc>
        <w:tc>
          <w:tcPr>
            <w:tcW w:w="1560" w:type="dxa"/>
            <w:shd w:val="clear" w:color="auto" w:fill="B6DDE8" w:themeFill="accent5" w:themeFillTint="66"/>
            <w:vAlign w:val="center"/>
          </w:tcPr>
          <w:p w14:paraId="57B04A8C" w14:textId="77777777" w:rsidR="00AC0A8B" w:rsidRPr="00695729" w:rsidRDefault="00AC0A8B" w:rsidP="00EB11F0">
            <w:pPr>
              <w:ind w:left="34" w:hanging="34"/>
              <w:jc w:val="center"/>
              <w:rPr>
                <w:rFonts w:ascii="Calibri" w:eastAsia="Times New Roman" w:hAnsi="Calibri" w:cs="Arial"/>
                <w:sz w:val="20"/>
                <w:szCs w:val="20"/>
                <w:lang w:eastAsia="en-AU"/>
              </w:rPr>
            </w:pPr>
            <w:r w:rsidRPr="00695729">
              <w:rPr>
                <w:rFonts w:ascii="Calibri" w:eastAsia="Times New Roman" w:hAnsi="Calibri" w:cs="Arial"/>
                <w:sz w:val="20"/>
                <w:szCs w:val="20"/>
                <w:lang w:eastAsia="en-AU"/>
              </w:rPr>
              <w:t>43% / 57%</w:t>
            </w:r>
          </w:p>
        </w:tc>
        <w:tc>
          <w:tcPr>
            <w:tcW w:w="1672" w:type="dxa"/>
            <w:shd w:val="clear" w:color="auto" w:fill="CCC0D9" w:themeFill="accent4" w:themeFillTint="66"/>
            <w:vAlign w:val="center"/>
          </w:tcPr>
          <w:p w14:paraId="57B04A8D"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55% / 45%</w:t>
            </w:r>
          </w:p>
        </w:tc>
        <w:tc>
          <w:tcPr>
            <w:tcW w:w="1559" w:type="dxa"/>
            <w:shd w:val="clear" w:color="auto" w:fill="FBD4B4" w:themeFill="accent6" w:themeFillTint="66"/>
          </w:tcPr>
          <w:p w14:paraId="57B04A8E"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25% / 75%</w:t>
            </w:r>
          </w:p>
        </w:tc>
      </w:tr>
      <w:tr w:rsidR="00AC0A8B" w:rsidRPr="00695729" w14:paraId="57B04A95" w14:textId="77777777" w:rsidTr="00EB11F0">
        <w:tc>
          <w:tcPr>
            <w:tcW w:w="3975" w:type="dxa"/>
            <w:shd w:val="clear" w:color="auto" w:fill="auto"/>
          </w:tcPr>
          <w:p w14:paraId="57B04A90" w14:textId="77777777" w:rsidR="00AC0A8B" w:rsidRPr="00695729" w:rsidRDefault="00AC0A8B" w:rsidP="00EB11F0">
            <w:pPr>
              <w:ind w:left="34" w:hanging="34"/>
              <w:rPr>
                <w:rFonts w:ascii="Calibri" w:eastAsia="Times New Roman" w:hAnsi="Calibri" w:cs="Arial"/>
                <w:sz w:val="20"/>
                <w:szCs w:val="20"/>
                <w:lang w:eastAsia="en-AU"/>
              </w:rPr>
            </w:pPr>
            <w:r w:rsidRPr="00695729">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A91" w14:textId="77777777" w:rsidR="00AC0A8B" w:rsidRPr="00695729" w:rsidRDefault="00AC0A8B" w:rsidP="00EB11F0">
            <w:pPr>
              <w:jc w:val="center"/>
              <w:rPr>
                <w:rFonts w:ascii="Calibri" w:eastAsia="Times New Roman" w:hAnsi="Calibri" w:cs="Arial"/>
                <w:sz w:val="20"/>
                <w:szCs w:val="20"/>
                <w:highlight w:val="yellow"/>
                <w:lang w:eastAsia="en-AU"/>
              </w:rPr>
            </w:pPr>
            <w:r w:rsidRPr="00695729">
              <w:rPr>
                <w:rFonts w:ascii="Calibri" w:eastAsia="Times New Roman" w:hAnsi="Calibri" w:cs="Arial"/>
                <w:sz w:val="20"/>
                <w:szCs w:val="20"/>
                <w:lang w:eastAsia="en-AU"/>
              </w:rPr>
              <w:t>58%</w:t>
            </w:r>
          </w:p>
        </w:tc>
        <w:tc>
          <w:tcPr>
            <w:tcW w:w="1560" w:type="dxa"/>
            <w:shd w:val="clear" w:color="auto" w:fill="B6DDE8" w:themeFill="accent5" w:themeFillTint="66"/>
            <w:vAlign w:val="center"/>
          </w:tcPr>
          <w:p w14:paraId="57B04A92" w14:textId="77777777" w:rsidR="00AC0A8B" w:rsidRPr="00695729" w:rsidRDefault="00AC0A8B" w:rsidP="00EB11F0">
            <w:pPr>
              <w:ind w:left="34" w:hanging="34"/>
              <w:jc w:val="center"/>
              <w:rPr>
                <w:rFonts w:ascii="Calibri" w:eastAsia="Times New Roman" w:hAnsi="Calibri" w:cs="Arial"/>
                <w:sz w:val="20"/>
                <w:szCs w:val="20"/>
                <w:lang w:eastAsia="en-AU"/>
              </w:rPr>
            </w:pPr>
            <w:r w:rsidRPr="00695729">
              <w:rPr>
                <w:rFonts w:ascii="Calibri" w:eastAsia="Times New Roman" w:hAnsi="Calibri" w:cs="Arial"/>
                <w:sz w:val="20"/>
                <w:szCs w:val="20"/>
                <w:lang w:eastAsia="en-AU"/>
              </w:rPr>
              <w:t>48%</w:t>
            </w:r>
          </w:p>
        </w:tc>
        <w:tc>
          <w:tcPr>
            <w:tcW w:w="1672" w:type="dxa"/>
            <w:shd w:val="clear" w:color="auto" w:fill="CCC0D9" w:themeFill="accent4" w:themeFillTint="66"/>
            <w:vAlign w:val="center"/>
          </w:tcPr>
          <w:p w14:paraId="57B04A93"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64%</w:t>
            </w:r>
          </w:p>
        </w:tc>
        <w:tc>
          <w:tcPr>
            <w:tcW w:w="1559" w:type="dxa"/>
            <w:shd w:val="clear" w:color="auto" w:fill="FBD4B4" w:themeFill="accent6" w:themeFillTint="66"/>
          </w:tcPr>
          <w:p w14:paraId="57B04A94" w14:textId="77777777" w:rsidR="00AC0A8B" w:rsidRPr="009960BE" w:rsidRDefault="00AC0A8B" w:rsidP="00EB11F0">
            <w:pPr>
              <w:ind w:left="34" w:hanging="34"/>
              <w:jc w:val="center"/>
              <w:rPr>
                <w:rFonts w:ascii="Calibri" w:eastAsia="Times New Roman" w:hAnsi="Calibri" w:cs="Arial"/>
                <w:sz w:val="20"/>
                <w:szCs w:val="20"/>
                <w:lang w:eastAsia="en-AU"/>
              </w:rPr>
            </w:pPr>
            <w:r w:rsidRPr="009960BE">
              <w:rPr>
                <w:rFonts w:ascii="Calibri" w:eastAsia="Times New Roman" w:hAnsi="Calibri" w:cs="Arial"/>
                <w:sz w:val="20"/>
                <w:szCs w:val="20"/>
                <w:lang w:eastAsia="en-AU"/>
              </w:rPr>
              <w:t>25%</w:t>
            </w:r>
          </w:p>
        </w:tc>
      </w:tr>
    </w:tbl>
    <w:p w14:paraId="57B04A96" w14:textId="77777777" w:rsidR="00AC0A8B" w:rsidRPr="00695729" w:rsidRDefault="00AC0A8B" w:rsidP="00AC0A8B">
      <w:pPr>
        <w:pStyle w:val="ListParagraph"/>
        <w:spacing w:before="60" w:after="0" w:line="240" w:lineRule="auto"/>
        <w:ind w:left="-567"/>
        <w:contextualSpacing w:val="0"/>
        <w:rPr>
          <w:b/>
          <w:sz w:val="16"/>
          <w:szCs w:val="16"/>
          <w:highlight w:val="green"/>
          <w:vertAlign w:val="superscript"/>
        </w:rPr>
      </w:pPr>
    </w:p>
    <w:p w14:paraId="57B04A97" w14:textId="77777777" w:rsidR="00AC0A8B" w:rsidRPr="00695729" w:rsidRDefault="00AC0A8B" w:rsidP="00AC0A8B">
      <w:pPr>
        <w:pStyle w:val="ListParagraph"/>
        <w:spacing w:before="60" w:after="0" w:line="240" w:lineRule="auto"/>
        <w:ind w:left="-709"/>
        <w:contextualSpacing w:val="0"/>
        <w:rPr>
          <w:rFonts w:ascii="Arial" w:hAnsi="Arial" w:cs="Arial"/>
          <w:sz w:val="20"/>
          <w:szCs w:val="16"/>
        </w:rPr>
      </w:pPr>
      <w:r w:rsidRPr="00695729">
        <w:rPr>
          <w:rFonts w:ascii="Arial" w:hAnsi="Arial" w:cs="Arial"/>
          <w:b/>
          <w:sz w:val="20"/>
          <w:szCs w:val="16"/>
        </w:rPr>
        <w:t xml:space="preserve">Table 2. </w:t>
      </w:r>
      <w:r w:rsidRPr="00695729">
        <w:rPr>
          <w:rFonts w:ascii="Arial" w:hAnsi="Arial" w:cs="Arial"/>
          <w:sz w:val="20"/>
          <w:szCs w:val="16"/>
        </w:rPr>
        <w:t>Number of category 2 infectious syphilis</w:t>
      </w:r>
      <w:r w:rsidRPr="00695729">
        <w:rPr>
          <w:rFonts w:ascii="Arial" w:hAnsi="Arial" w:cs="Arial"/>
          <w:sz w:val="20"/>
          <w:szCs w:val="20"/>
          <w:vertAlign w:val="superscript"/>
        </w:rPr>
        <w:t>α</w:t>
      </w:r>
      <w:r w:rsidRPr="00695729">
        <w:rPr>
          <w:rFonts w:ascii="Arial" w:hAnsi="Arial" w:cs="Arial"/>
          <w:sz w:val="20"/>
          <w:szCs w:val="20"/>
        </w:rPr>
        <w:t xml:space="preserve"> cases</w:t>
      </w:r>
      <w:r w:rsidRPr="00695729">
        <w:rPr>
          <w:rFonts w:ascii="Arial" w:hAnsi="Arial" w:cs="Arial"/>
          <w:sz w:val="20"/>
          <w:szCs w:val="16"/>
        </w:rPr>
        <w:t>, to 31 May 2019</w:t>
      </w:r>
      <w:r w:rsidRPr="00695729">
        <w:rPr>
          <w:rFonts w:ascii="Arial" w:hAnsi="Arial" w:cs="Arial"/>
          <w:sz w:val="20"/>
          <w:szCs w:val="20"/>
          <w:vertAlign w:val="superscript"/>
        </w:rPr>
        <w:t xml:space="preserve"> ȶ ᵞ</w:t>
      </w:r>
      <w:r w:rsidRPr="00695729">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AC0A8B" w:rsidRPr="00695729" w14:paraId="57B04A9E" w14:textId="77777777" w:rsidTr="00EB11F0">
        <w:trPr>
          <w:tblHeader/>
        </w:trPr>
        <w:tc>
          <w:tcPr>
            <w:tcW w:w="3964" w:type="dxa"/>
            <w:tcBorders>
              <w:bottom w:val="single" w:sz="4" w:space="0" w:color="auto"/>
            </w:tcBorders>
          </w:tcPr>
          <w:p w14:paraId="57B04A98" w14:textId="77777777" w:rsidR="00AC0A8B" w:rsidRPr="00695729" w:rsidRDefault="00AC0A8B" w:rsidP="00EB11F0">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57B04A99" w14:textId="77777777" w:rsidR="00AC0A8B" w:rsidRPr="00695729" w:rsidRDefault="00AC0A8B" w:rsidP="00EB11F0">
            <w:pPr>
              <w:pStyle w:val="ListParagraph"/>
              <w:spacing w:before="60"/>
              <w:ind w:left="0"/>
              <w:contextualSpacing w:val="0"/>
              <w:jc w:val="center"/>
              <w:rPr>
                <w:rFonts w:ascii="Calibri" w:eastAsia="Times New Roman" w:hAnsi="Calibri" w:cs="Arial"/>
                <w:b/>
                <w:sz w:val="20"/>
                <w:szCs w:val="20"/>
                <w:lang w:eastAsia="en-AU"/>
              </w:rPr>
            </w:pPr>
            <w:r w:rsidRPr="00695729">
              <w:rPr>
                <w:rFonts w:ascii="Calibri" w:eastAsia="Times New Roman" w:hAnsi="Calibri" w:cs="Arial"/>
                <w:b/>
                <w:sz w:val="20"/>
                <w:szCs w:val="20"/>
                <w:lang w:eastAsia="en-AU"/>
              </w:rPr>
              <w:t xml:space="preserve">North Qld </w:t>
            </w:r>
            <w:r w:rsidRPr="00695729">
              <w:rPr>
                <w:rFonts w:ascii="Calibri" w:eastAsia="Times New Roman" w:hAnsi="Calibri" w:cs="Arial"/>
                <w:b/>
                <w:sz w:val="20"/>
                <w:szCs w:val="20"/>
                <w:lang w:eastAsia="en-AU"/>
              </w:rPr>
              <w:br/>
            </w:r>
            <w:r w:rsidRPr="00695729">
              <w:rPr>
                <w:rFonts w:ascii="Calibri" w:eastAsia="Times New Roman" w:hAnsi="Calibri" w:cs="Arial"/>
                <w:sz w:val="20"/>
                <w:szCs w:val="20"/>
                <w:lang w:eastAsia="en-AU"/>
              </w:rPr>
              <w:t>(four HHSs</w:t>
            </w:r>
            <w:r w:rsidRPr="00695729">
              <w:rPr>
                <w:rFonts w:ascii="Calibri" w:eastAsia="Times New Roman" w:hAnsi="Calibri" w:cs="Arial"/>
                <w:sz w:val="20"/>
                <w:szCs w:val="20"/>
                <w:vertAlign w:val="superscript"/>
                <w:lang w:eastAsia="en-AU"/>
              </w:rPr>
              <w:t>β</w:t>
            </w:r>
            <w:r w:rsidRPr="0069572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A9A" w14:textId="77777777" w:rsidR="00AC0A8B" w:rsidRPr="00695729" w:rsidRDefault="00AC0A8B" w:rsidP="00EB11F0">
            <w:pPr>
              <w:pStyle w:val="ListParagraph"/>
              <w:spacing w:before="60"/>
              <w:ind w:left="0"/>
              <w:contextualSpacing w:val="0"/>
              <w:jc w:val="center"/>
              <w:rPr>
                <w:rFonts w:ascii="Calibri" w:hAnsi="Calibri"/>
                <w:b/>
                <w:sz w:val="20"/>
                <w:szCs w:val="16"/>
              </w:rPr>
            </w:pPr>
            <w:r w:rsidRPr="00695729">
              <w:rPr>
                <w:rFonts w:ascii="Calibri" w:eastAsia="Times New Roman" w:hAnsi="Calibri" w:cs="Arial"/>
                <w:b/>
                <w:sz w:val="20"/>
                <w:szCs w:val="20"/>
                <w:lang w:eastAsia="en-AU"/>
              </w:rPr>
              <w:t xml:space="preserve">NT </w:t>
            </w:r>
            <w:r w:rsidRPr="00695729">
              <w:rPr>
                <w:rFonts w:ascii="Calibri" w:eastAsia="Times New Roman" w:hAnsi="Calibri" w:cs="Arial"/>
                <w:b/>
                <w:sz w:val="20"/>
                <w:szCs w:val="20"/>
                <w:lang w:eastAsia="en-AU"/>
              </w:rPr>
              <w:br/>
            </w:r>
            <w:r w:rsidRPr="00695729">
              <w:rPr>
                <w:rFonts w:ascii="Calibri" w:eastAsia="Times New Roman" w:hAnsi="Calibri" w:cs="Arial"/>
                <w:sz w:val="20"/>
                <w:szCs w:val="20"/>
                <w:lang w:eastAsia="en-AU"/>
              </w:rPr>
              <w:t>(seven regions</w:t>
            </w:r>
            <w:r w:rsidRPr="00695729">
              <w:rPr>
                <w:rFonts w:ascii="Calibri" w:eastAsia="Times New Roman" w:hAnsi="Calibri" w:cs="Arial"/>
                <w:sz w:val="20"/>
                <w:szCs w:val="20"/>
                <w:vertAlign w:val="superscript"/>
                <w:lang w:eastAsia="en-AU"/>
              </w:rPr>
              <w:t xml:space="preserve"> β</w:t>
            </w:r>
            <w:r w:rsidRPr="00695729">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A9B" w14:textId="77777777" w:rsidR="00AC0A8B" w:rsidRPr="00695729" w:rsidRDefault="00AC0A8B" w:rsidP="00EB11F0">
            <w:pPr>
              <w:pStyle w:val="ListParagraph"/>
              <w:spacing w:before="60"/>
              <w:ind w:left="0"/>
              <w:contextualSpacing w:val="0"/>
              <w:jc w:val="center"/>
              <w:rPr>
                <w:rFonts w:ascii="Calibri" w:hAnsi="Calibri"/>
                <w:b/>
                <w:sz w:val="20"/>
                <w:szCs w:val="16"/>
              </w:rPr>
            </w:pPr>
            <w:r w:rsidRPr="00695729">
              <w:rPr>
                <w:rFonts w:ascii="Calibri" w:eastAsia="Times New Roman" w:hAnsi="Calibri" w:cs="Arial"/>
                <w:b/>
                <w:sz w:val="20"/>
                <w:szCs w:val="20"/>
                <w:lang w:eastAsia="en-AU"/>
              </w:rPr>
              <w:t>WA</w:t>
            </w:r>
            <w:r w:rsidRPr="00695729">
              <w:rPr>
                <w:rFonts w:ascii="Calibri" w:eastAsia="Times New Roman" w:hAnsi="Calibri" w:cs="Arial"/>
                <w:b/>
                <w:sz w:val="20"/>
                <w:szCs w:val="20"/>
                <w:lang w:eastAsia="en-AU"/>
              </w:rPr>
              <w:br/>
            </w:r>
            <w:r w:rsidRPr="00695729">
              <w:rPr>
                <w:rFonts w:ascii="Calibri" w:eastAsia="Times New Roman" w:hAnsi="Calibri" w:cs="Arial"/>
                <w:sz w:val="20"/>
                <w:szCs w:val="20"/>
                <w:lang w:eastAsia="en-AU"/>
              </w:rPr>
              <w:t xml:space="preserve"> (three regions</w:t>
            </w:r>
            <w:r w:rsidRPr="00695729">
              <w:rPr>
                <w:rFonts w:ascii="Calibri" w:eastAsia="Times New Roman" w:hAnsi="Calibri" w:cs="Arial"/>
                <w:sz w:val="20"/>
                <w:szCs w:val="20"/>
                <w:vertAlign w:val="superscript"/>
                <w:lang w:eastAsia="en-AU"/>
              </w:rPr>
              <w:t xml:space="preserve"> β</w:t>
            </w:r>
            <w:r w:rsidRPr="00695729">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A9C" w14:textId="77777777" w:rsidR="00AC0A8B" w:rsidRPr="00695729" w:rsidRDefault="00AC0A8B" w:rsidP="00EB11F0">
            <w:pPr>
              <w:ind w:left="34" w:hanging="34"/>
              <w:jc w:val="center"/>
              <w:rPr>
                <w:rFonts w:ascii="Calibri" w:eastAsia="Times New Roman" w:hAnsi="Calibri" w:cs="Arial"/>
                <w:b/>
                <w:sz w:val="20"/>
                <w:szCs w:val="20"/>
                <w:lang w:eastAsia="en-AU"/>
              </w:rPr>
            </w:pPr>
            <w:r w:rsidRPr="00695729">
              <w:rPr>
                <w:rFonts w:ascii="Calibri" w:eastAsia="Times New Roman" w:hAnsi="Calibri" w:cs="Arial"/>
                <w:b/>
                <w:sz w:val="20"/>
                <w:szCs w:val="20"/>
                <w:lang w:eastAsia="en-AU"/>
              </w:rPr>
              <w:t>SA</w:t>
            </w:r>
          </w:p>
          <w:p w14:paraId="57B04A9D" w14:textId="77777777" w:rsidR="00AC0A8B" w:rsidRPr="00695729" w:rsidRDefault="00AC0A8B" w:rsidP="00EB11F0">
            <w:pPr>
              <w:pStyle w:val="ListParagraph"/>
              <w:spacing w:before="60"/>
              <w:ind w:left="0"/>
              <w:contextualSpacing w:val="0"/>
              <w:jc w:val="center"/>
              <w:rPr>
                <w:rFonts w:ascii="Calibri" w:hAnsi="Calibri"/>
                <w:b/>
                <w:sz w:val="20"/>
                <w:szCs w:val="16"/>
              </w:rPr>
            </w:pPr>
            <w:r w:rsidRPr="00695729">
              <w:rPr>
                <w:rFonts w:ascii="Calibri" w:eastAsia="Times New Roman" w:hAnsi="Calibri" w:cs="Arial"/>
                <w:sz w:val="20"/>
                <w:szCs w:val="20"/>
                <w:lang w:eastAsia="en-AU"/>
              </w:rPr>
              <w:t>(three regions</w:t>
            </w:r>
            <w:r w:rsidRPr="00695729">
              <w:rPr>
                <w:rFonts w:ascii="Calibri" w:eastAsia="Times New Roman" w:hAnsi="Calibri" w:cs="Arial"/>
                <w:sz w:val="20"/>
                <w:szCs w:val="20"/>
                <w:vertAlign w:val="superscript"/>
                <w:lang w:eastAsia="en-AU"/>
              </w:rPr>
              <w:t xml:space="preserve"> β</w:t>
            </w:r>
            <w:r w:rsidRPr="00695729">
              <w:rPr>
                <w:rFonts w:ascii="Calibri" w:eastAsia="Times New Roman" w:hAnsi="Calibri" w:cs="Arial"/>
                <w:sz w:val="20"/>
                <w:szCs w:val="20"/>
                <w:lang w:eastAsia="en-AU"/>
              </w:rPr>
              <w:t>)</w:t>
            </w:r>
          </w:p>
        </w:tc>
      </w:tr>
      <w:tr w:rsidR="00AC0A8B" w:rsidRPr="00695729" w14:paraId="57B04AA0" w14:textId="77777777" w:rsidTr="00EB11F0">
        <w:tc>
          <w:tcPr>
            <w:tcW w:w="10456" w:type="dxa"/>
            <w:gridSpan w:val="5"/>
            <w:shd w:val="clear" w:color="auto" w:fill="DBE5F1" w:themeFill="accent1" w:themeFillTint="33"/>
          </w:tcPr>
          <w:p w14:paraId="57B04A9F" w14:textId="77777777" w:rsidR="00AC0A8B" w:rsidRPr="00695729" w:rsidRDefault="00AC0A8B" w:rsidP="00EB11F0">
            <w:pPr>
              <w:pStyle w:val="ListParagraph"/>
              <w:spacing w:before="60"/>
              <w:ind w:left="0"/>
              <w:contextualSpacing w:val="0"/>
              <w:rPr>
                <w:b/>
                <w:sz w:val="16"/>
                <w:szCs w:val="16"/>
              </w:rPr>
            </w:pPr>
            <w:r w:rsidRPr="00695729">
              <w:rPr>
                <w:b/>
                <w:sz w:val="20"/>
                <w:szCs w:val="16"/>
              </w:rPr>
              <w:t xml:space="preserve">Situation to-date, </w:t>
            </w:r>
            <w:r w:rsidRPr="00695729">
              <w:rPr>
                <w:rFonts w:ascii="Calibri" w:eastAsia="Times New Roman" w:hAnsi="Calibri" w:cs="Arial"/>
                <w:b/>
                <w:sz w:val="20"/>
                <w:szCs w:val="20"/>
                <w:lang w:eastAsia="en-AU"/>
              </w:rPr>
              <w:t>31 May 2019</w:t>
            </w:r>
          </w:p>
        </w:tc>
      </w:tr>
      <w:tr w:rsidR="00AC0A8B" w:rsidRPr="00695729" w14:paraId="57B04AA6" w14:textId="77777777" w:rsidTr="00EB11F0">
        <w:tc>
          <w:tcPr>
            <w:tcW w:w="3964" w:type="dxa"/>
            <w:shd w:val="clear" w:color="auto" w:fill="auto"/>
          </w:tcPr>
          <w:p w14:paraId="57B04AA1" w14:textId="77777777" w:rsidR="00AC0A8B" w:rsidRPr="00695729" w:rsidRDefault="00AC0A8B" w:rsidP="00EB11F0">
            <w:pPr>
              <w:pStyle w:val="ListParagraph"/>
              <w:spacing w:before="60"/>
              <w:ind w:left="0"/>
              <w:contextualSpacing w:val="0"/>
              <w:rPr>
                <w:sz w:val="20"/>
                <w:szCs w:val="16"/>
              </w:rPr>
            </w:pPr>
            <w:r w:rsidRPr="00695729">
              <w:rPr>
                <w:sz w:val="20"/>
                <w:szCs w:val="16"/>
              </w:rPr>
              <w:t>Outbreak commencement month/year</w:t>
            </w:r>
          </w:p>
        </w:tc>
        <w:tc>
          <w:tcPr>
            <w:tcW w:w="1701" w:type="dxa"/>
            <w:shd w:val="clear" w:color="auto" w:fill="B8CCE4" w:themeFill="accent1" w:themeFillTint="66"/>
          </w:tcPr>
          <w:p w14:paraId="57B04AA2"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January 2011</w:t>
            </w:r>
          </w:p>
        </w:tc>
        <w:tc>
          <w:tcPr>
            <w:tcW w:w="1560" w:type="dxa"/>
            <w:shd w:val="clear" w:color="auto" w:fill="B6DDE8" w:themeFill="accent5" w:themeFillTint="66"/>
          </w:tcPr>
          <w:p w14:paraId="57B04AA3"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July 2013</w:t>
            </w:r>
          </w:p>
        </w:tc>
        <w:tc>
          <w:tcPr>
            <w:tcW w:w="1672" w:type="dxa"/>
            <w:shd w:val="clear" w:color="auto" w:fill="CCC0D9" w:themeFill="accent4" w:themeFillTint="66"/>
          </w:tcPr>
          <w:p w14:paraId="57B04AA4"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June 2014</w:t>
            </w:r>
          </w:p>
        </w:tc>
        <w:tc>
          <w:tcPr>
            <w:tcW w:w="1559" w:type="dxa"/>
            <w:shd w:val="clear" w:color="auto" w:fill="FBD4B4" w:themeFill="accent6" w:themeFillTint="66"/>
          </w:tcPr>
          <w:p w14:paraId="57B04AA5"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November 2016</w:t>
            </w:r>
          </w:p>
        </w:tc>
      </w:tr>
      <w:tr w:rsidR="00AC0A8B" w:rsidRPr="00695729" w14:paraId="57B04AAC" w14:textId="77777777" w:rsidTr="00EB11F0">
        <w:tc>
          <w:tcPr>
            <w:tcW w:w="3964" w:type="dxa"/>
            <w:shd w:val="clear" w:color="auto" w:fill="auto"/>
          </w:tcPr>
          <w:p w14:paraId="57B04AA7" w14:textId="77777777" w:rsidR="00AC0A8B" w:rsidRPr="00695729" w:rsidRDefault="00AC0A8B" w:rsidP="00EB11F0">
            <w:pPr>
              <w:pStyle w:val="ListParagraph"/>
              <w:spacing w:before="60"/>
              <w:ind w:left="0"/>
              <w:contextualSpacing w:val="0"/>
              <w:rPr>
                <w:sz w:val="16"/>
                <w:szCs w:val="16"/>
              </w:rPr>
            </w:pPr>
            <w:r w:rsidRPr="00695729">
              <w:rPr>
                <w:sz w:val="20"/>
                <w:szCs w:val="16"/>
              </w:rPr>
              <w:t>Aboriginal and Torres Strait Islander people</w:t>
            </w:r>
            <w:r w:rsidRPr="00695729">
              <w:rPr>
                <w:rFonts w:ascii="Agency FB" w:hAnsi="Agency FB"/>
                <w:sz w:val="20"/>
                <w:szCs w:val="16"/>
                <w:vertAlign w:val="superscript"/>
              </w:rPr>
              <w:t>§</w:t>
            </w:r>
          </w:p>
        </w:tc>
        <w:tc>
          <w:tcPr>
            <w:tcW w:w="1701" w:type="dxa"/>
            <w:shd w:val="clear" w:color="auto" w:fill="B8CCE4" w:themeFill="accent1" w:themeFillTint="66"/>
          </w:tcPr>
          <w:p w14:paraId="57B04AA8"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13</w:t>
            </w:r>
          </w:p>
        </w:tc>
        <w:tc>
          <w:tcPr>
            <w:tcW w:w="1560" w:type="dxa"/>
            <w:shd w:val="clear" w:color="auto" w:fill="B6DDE8" w:themeFill="accent5" w:themeFillTint="66"/>
          </w:tcPr>
          <w:p w14:paraId="57B04AA9"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2</w:t>
            </w:r>
          </w:p>
        </w:tc>
        <w:tc>
          <w:tcPr>
            <w:tcW w:w="1672" w:type="dxa"/>
            <w:shd w:val="clear" w:color="auto" w:fill="CCC0D9" w:themeFill="accent4" w:themeFillTint="66"/>
            <w:vAlign w:val="center"/>
          </w:tcPr>
          <w:p w14:paraId="57B04AAA"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c>
          <w:tcPr>
            <w:tcW w:w="1559" w:type="dxa"/>
            <w:shd w:val="clear" w:color="auto" w:fill="FBD4B4" w:themeFill="accent6" w:themeFillTint="66"/>
          </w:tcPr>
          <w:p w14:paraId="57B04AAB"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r>
      <w:tr w:rsidR="00AC0A8B" w:rsidRPr="00695729" w14:paraId="57B04AB2" w14:textId="77777777" w:rsidTr="00EB11F0">
        <w:tc>
          <w:tcPr>
            <w:tcW w:w="3964" w:type="dxa"/>
            <w:tcBorders>
              <w:bottom w:val="single" w:sz="4" w:space="0" w:color="auto"/>
            </w:tcBorders>
            <w:shd w:val="clear" w:color="auto" w:fill="auto"/>
          </w:tcPr>
          <w:p w14:paraId="57B04AAD" w14:textId="77777777" w:rsidR="00AC0A8B" w:rsidRPr="00695729" w:rsidRDefault="00AC0A8B" w:rsidP="00EB11F0">
            <w:pPr>
              <w:pStyle w:val="ListParagraph"/>
              <w:spacing w:before="60"/>
              <w:ind w:left="0"/>
              <w:contextualSpacing w:val="0"/>
              <w:rPr>
                <w:sz w:val="16"/>
                <w:szCs w:val="16"/>
              </w:rPr>
            </w:pPr>
            <w:r w:rsidRPr="00695729">
              <w:rPr>
                <w:sz w:val="20"/>
                <w:szCs w:val="16"/>
              </w:rPr>
              <w:t>Non-Indigenous people</w:t>
            </w:r>
            <w:r w:rsidRPr="00695729">
              <w:rPr>
                <w:sz w:val="20"/>
                <w:szCs w:val="16"/>
                <w:vertAlign w:val="superscript"/>
              </w:rPr>
              <w:t>µ</w:t>
            </w:r>
          </w:p>
        </w:tc>
        <w:tc>
          <w:tcPr>
            <w:tcW w:w="1701" w:type="dxa"/>
            <w:tcBorders>
              <w:bottom w:val="single" w:sz="4" w:space="0" w:color="auto"/>
            </w:tcBorders>
            <w:shd w:val="clear" w:color="auto" w:fill="B8CCE4" w:themeFill="accent1" w:themeFillTint="66"/>
          </w:tcPr>
          <w:p w14:paraId="57B04AAE"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18</w:t>
            </w:r>
          </w:p>
        </w:tc>
        <w:tc>
          <w:tcPr>
            <w:tcW w:w="1560" w:type="dxa"/>
            <w:tcBorders>
              <w:bottom w:val="single" w:sz="4" w:space="0" w:color="auto"/>
            </w:tcBorders>
            <w:shd w:val="clear" w:color="auto" w:fill="B6DDE8" w:themeFill="accent5" w:themeFillTint="66"/>
          </w:tcPr>
          <w:p w14:paraId="57B04AAF"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8</w:t>
            </w:r>
          </w:p>
        </w:tc>
        <w:tc>
          <w:tcPr>
            <w:tcW w:w="1672" w:type="dxa"/>
            <w:tcBorders>
              <w:bottom w:val="single" w:sz="4" w:space="0" w:color="auto"/>
            </w:tcBorders>
            <w:shd w:val="clear" w:color="auto" w:fill="CCC0D9" w:themeFill="accent4" w:themeFillTint="66"/>
            <w:vAlign w:val="center"/>
          </w:tcPr>
          <w:p w14:paraId="57B04AB0"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c>
          <w:tcPr>
            <w:tcW w:w="1559" w:type="dxa"/>
            <w:tcBorders>
              <w:bottom w:val="single" w:sz="4" w:space="0" w:color="auto"/>
            </w:tcBorders>
            <w:shd w:val="clear" w:color="auto" w:fill="FBD4B4" w:themeFill="accent6" w:themeFillTint="66"/>
          </w:tcPr>
          <w:p w14:paraId="57B04AB1"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2</w:t>
            </w:r>
          </w:p>
        </w:tc>
      </w:tr>
      <w:tr w:rsidR="00AC0A8B" w:rsidRPr="00695729" w14:paraId="57B04AB4" w14:textId="77777777" w:rsidTr="00EB11F0">
        <w:tc>
          <w:tcPr>
            <w:tcW w:w="10456" w:type="dxa"/>
            <w:gridSpan w:val="5"/>
            <w:shd w:val="clear" w:color="auto" w:fill="auto"/>
            <w:vAlign w:val="center"/>
          </w:tcPr>
          <w:p w14:paraId="57B04AB3" w14:textId="77777777" w:rsidR="00AC0A8B" w:rsidRPr="00695729" w:rsidRDefault="00AC0A8B" w:rsidP="00EB11F0">
            <w:pPr>
              <w:pStyle w:val="ListParagraph"/>
              <w:spacing w:before="60"/>
              <w:ind w:left="0"/>
              <w:contextualSpacing w:val="0"/>
              <w:rPr>
                <w:b/>
                <w:sz w:val="20"/>
                <w:szCs w:val="16"/>
              </w:rPr>
            </w:pPr>
            <w:r w:rsidRPr="00695729">
              <w:rPr>
                <w:b/>
                <w:sz w:val="20"/>
                <w:szCs w:val="16"/>
              </w:rPr>
              <w:t>Last reporting month, 1 -</w:t>
            </w:r>
            <w:r w:rsidRPr="00695729">
              <w:rPr>
                <w:rFonts w:ascii="Calibri" w:eastAsia="Times New Roman" w:hAnsi="Calibri" w:cs="Arial"/>
                <w:b/>
                <w:sz w:val="20"/>
                <w:szCs w:val="20"/>
                <w:lang w:eastAsia="en-AU"/>
              </w:rPr>
              <w:t>31 May 2019</w:t>
            </w:r>
          </w:p>
        </w:tc>
      </w:tr>
      <w:tr w:rsidR="00AC0A8B" w:rsidRPr="00695729" w14:paraId="57B04ABA" w14:textId="77777777" w:rsidTr="00EB11F0">
        <w:trPr>
          <w:trHeight w:val="85"/>
        </w:trPr>
        <w:tc>
          <w:tcPr>
            <w:tcW w:w="3964" w:type="dxa"/>
            <w:shd w:val="clear" w:color="auto" w:fill="auto"/>
          </w:tcPr>
          <w:p w14:paraId="57B04AB5" w14:textId="77777777" w:rsidR="00AC0A8B" w:rsidRPr="00695729" w:rsidRDefault="00AC0A8B" w:rsidP="00EB11F0">
            <w:pPr>
              <w:pStyle w:val="ListParagraph"/>
              <w:spacing w:before="60"/>
              <w:ind w:left="0"/>
              <w:contextualSpacing w:val="0"/>
              <w:rPr>
                <w:sz w:val="16"/>
                <w:szCs w:val="16"/>
              </w:rPr>
            </w:pPr>
            <w:r w:rsidRPr="00695729">
              <w:rPr>
                <w:sz w:val="20"/>
                <w:szCs w:val="16"/>
              </w:rPr>
              <w:t>Aboriginal and Torres Strait Islander people</w:t>
            </w:r>
            <w:r w:rsidRPr="00695729">
              <w:rPr>
                <w:rFonts w:ascii="Agency FB" w:hAnsi="Agency FB"/>
                <w:sz w:val="20"/>
                <w:szCs w:val="16"/>
                <w:vertAlign w:val="superscript"/>
              </w:rPr>
              <w:t>§</w:t>
            </w:r>
          </w:p>
        </w:tc>
        <w:tc>
          <w:tcPr>
            <w:tcW w:w="1701" w:type="dxa"/>
            <w:shd w:val="clear" w:color="auto" w:fill="B8CCE4" w:themeFill="accent1" w:themeFillTint="66"/>
          </w:tcPr>
          <w:p w14:paraId="57B04AB6"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1</w:t>
            </w:r>
          </w:p>
        </w:tc>
        <w:tc>
          <w:tcPr>
            <w:tcW w:w="1560" w:type="dxa"/>
            <w:shd w:val="clear" w:color="auto" w:fill="B6DDE8" w:themeFill="accent5" w:themeFillTint="66"/>
          </w:tcPr>
          <w:p w14:paraId="57B04AB7"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c>
          <w:tcPr>
            <w:tcW w:w="1672" w:type="dxa"/>
            <w:shd w:val="clear" w:color="auto" w:fill="CCC0D9" w:themeFill="accent4" w:themeFillTint="66"/>
            <w:vAlign w:val="center"/>
          </w:tcPr>
          <w:p w14:paraId="57B04AB8"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c>
          <w:tcPr>
            <w:tcW w:w="1559" w:type="dxa"/>
            <w:shd w:val="clear" w:color="auto" w:fill="FBD4B4" w:themeFill="accent6" w:themeFillTint="66"/>
          </w:tcPr>
          <w:p w14:paraId="57B04AB9"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r>
      <w:tr w:rsidR="00AC0A8B" w:rsidRPr="009754E7" w14:paraId="57B04AC0" w14:textId="77777777" w:rsidTr="00EB11F0">
        <w:tc>
          <w:tcPr>
            <w:tcW w:w="3964" w:type="dxa"/>
            <w:shd w:val="clear" w:color="auto" w:fill="auto"/>
          </w:tcPr>
          <w:p w14:paraId="57B04ABB" w14:textId="77777777" w:rsidR="00AC0A8B" w:rsidRPr="00695729" w:rsidRDefault="00AC0A8B" w:rsidP="00EB11F0">
            <w:pPr>
              <w:pStyle w:val="ListParagraph"/>
              <w:spacing w:before="60"/>
              <w:ind w:left="0"/>
              <w:contextualSpacing w:val="0"/>
              <w:rPr>
                <w:sz w:val="16"/>
                <w:szCs w:val="16"/>
              </w:rPr>
            </w:pPr>
            <w:r w:rsidRPr="00695729">
              <w:rPr>
                <w:sz w:val="20"/>
                <w:szCs w:val="16"/>
              </w:rPr>
              <w:t>Non-Indigenous people</w:t>
            </w:r>
            <w:r w:rsidRPr="00695729">
              <w:rPr>
                <w:sz w:val="20"/>
                <w:szCs w:val="16"/>
                <w:vertAlign w:val="superscript"/>
              </w:rPr>
              <w:t>µ</w:t>
            </w:r>
          </w:p>
        </w:tc>
        <w:tc>
          <w:tcPr>
            <w:tcW w:w="1701" w:type="dxa"/>
            <w:shd w:val="clear" w:color="auto" w:fill="B8CCE4" w:themeFill="accent1" w:themeFillTint="66"/>
          </w:tcPr>
          <w:p w14:paraId="57B04ABC"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c>
          <w:tcPr>
            <w:tcW w:w="1560" w:type="dxa"/>
            <w:shd w:val="clear" w:color="auto" w:fill="B6DDE8" w:themeFill="accent5" w:themeFillTint="66"/>
          </w:tcPr>
          <w:p w14:paraId="57B04ABD" w14:textId="77777777" w:rsidR="00AC0A8B" w:rsidRPr="00695729" w:rsidRDefault="00AC0A8B" w:rsidP="00EB11F0">
            <w:pPr>
              <w:pStyle w:val="ListParagraph"/>
              <w:spacing w:before="60"/>
              <w:ind w:left="0"/>
              <w:contextualSpacing w:val="0"/>
              <w:jc w:val="center"/>
              <w:rPr>
                <w:sz w:val="20"/>
                <w:szCs w:val="16"/>
              </w:rPr>
            </w:pPr>
            <w:r w:rsidRPr="00695729">
              <w:rPr>
                <w:sz w:val="20"/>
                <w:szCs w:val="16"/>
              </w:rPr>
              <w:t>-</w:t>
            </w:r>
          </w:p>
        </w:tc>
        <w:tc>
          <w:tcPr>
            <w:tcW w:w="1672" w:type="dxa"/>
            <w:shd w:val="clear" w:color="auto" w:fill="CCC0D9" w:themeFill="accent4" w:themeFillTint="66"/>
            <w:vAlign w:val="center"/>
          </w:tcPr>
          <w:p w14:paraId="57B04ABE" w14:textId="77777777" w:rsidR="00AC0A8B" w:rsidRPr="00695729" w:rsidRDefault="00AC0A8B" w:rsidP="00EB11F0">
            <w:pPr>
              <w:pStyle w:val="ListParagraph"/>
              <w:spacing w:before="60"/>
              <w:ind w:left="0"/>
              <w:contextualSpacing w:val="0"/>
              <w:jc w:val="center"/>
              <w:rPr>
                <w:b/>
                <w:sz w:val="16"/>
                <w:szCs w:val="16"/>
              </w:rPr>
            </w:pPr>
            <w:r w:rsidRPr="00695729">
              <w:rPr>
                <w:b/>
                <w:sz w:val="16"/>
                <w:szCs w:val="16"/>
              </w:rPr>
              <w:t>-</w:t>
            </w:r>
          </w:p>
        </w:tc>
        <w:tc>
          <w:tcPr>
            <w:tcW w:w="1559" w:type="dxa"/>
            <w:shd w:val="clear" w:color="auto" w:fill="FBD4B4" w:themeFill="accent6" w:themeFillTint="66"/>
          </w:tcPr>
          <w:p w14:paraId="57B04ABF" w14:textId="77777777" w:rsidR="00AC0A8B" w:rsidRPr="00C13F63" w:rsidRDefault="00AC0A8B" w:rsidP="00EB11F0">
            <w:pPr>
              <w:pStyle w:val="ListParagraph"/>
              <w:spacing w:before="60"/>
              <w:ind w:left="0"/>
              <w:contextualSpacing w:val="0"/>
              <w:jc w:val="center"/>
              <w:rPr>
                <w:sz w:val="20"/>
                <w:szCs w:val="16"/>
              </w:rPr>
            </w:pPr>
            <w:r w:rsidRPr="00695729">
              <w:rPr>
                <w:sz w:val="20"/>
                <w:szCs w:val="16"/>
              </w:rPr>
              <w:t>-</w:t>
            </w:r>
          </w:p>
        </w:tc>
      </w:tr>
    </w:tbl>
    <w:p w14:paraId="57B04AC1" w14:textId="77777777" w:rsidR="00AC0A8B" w:rsidRPr="009754E7" w:rsidRDefault="00AC0A8B" w:rsidP="00AC0A8B">
      <w:pPr>
        <w:pStyle w:val="ListParagraph"/>
        <w:spacing w:before="60" w:after="0" w:line="240" w:lineRule="auto"/>
        <w:ind w:left="-567"/>
        <w:contextualSpacing w:val="0"/>
        <w:rPr>
          <w:b/>
          <w:sz w:val="16"/>
          <w:szCs w:val="16"/>
          <w:highlight w:val="yellow"/>
        </w:rPr>
      </w:pPr>
    </w:p>
    <w:p w14:paraId="57B04AC2" w14:textId="77777777" w:rsidR="00AC0A8B" w:rsidRPr="005F253F" w:rsidRDefault="00AC0A8B" w:rsidP="00AC0A8B">
      <w:pPr>
        <w:pStyle w:val="ListParagraph"/>
        <w:spacing w:before="60" w:after="0" w:line="240" w:lineRule="auto"/>
        <w:ind w:left="-709"/>
        <w:contextualSpacing w:val="0"/>
        <w:jc w:val="both"/>
        <w:rPr>
          <w:b/>
          <w:sz w:val="16"/>
          <w:szCs w:val="16"/>
        </w:rPr>
      </w:pPr>
      <w:r w:rsidRPr="005F253F">
        <w:rPr>
          <w:b/>
          <w:sz w:val="16"/>
          <w:szCs w:val="16"/>
        </w:rPr>
        <w:t>Notes:</w:t>
      </w:r>
    </w:p>
    <w:p w14:paraId="57B04AC3" w14:textId="77777777" w:rsidR="00AC0A8B" w:rsidRPr="005F253F" w:rsidRDefault="00AC0A8B" w:rsidP="00AC0A8B">
      <w:pPr>
        <w:pStyle w:val="ListParagraph"/>
        <w:spacing w:after="0" w:line="240" w:lineRule="auto"/>
        <w:ind w:left="-504" w:right="119" w:hanging="63"/>
        <w:contextualSpacing w:val="0"/>
        <w:rPr>
          <w:b/>
          <w:sz w:val="14"/>
          <w:szCs w:val="16"/>
        </w:rPr>
      </w:pPr>
      <w:r w:rsidRPr="005F253F">
        <w:rPr>
          <w:rFonts w:ascii="Arial" w:hAnsi="Arial" w:cs="Arial"/>
          <w:sz w:val="16"/>
          <w:szCs w:val="20"/>
          <w:vertAlign w:val="superscript"/>
        </w:rPr>
        <w:t>ȶ</w:t>
      </w:r>
      <w:r w:rsidRPr="005F253F">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AC4" w14:textId="77777777" w:rsidR="00AC0A8B" w:rsidRPr="005F253F" w:rsidRDefault="00AC0A8B" w:rsidP="00AC0A8B">
      <w:pPr>
        <w:pStyle w:val="ListParagraph"/>
        <w:spacing w:after="0" w:line="240" w:lineRule="auto"/>
        <w:ind w:left="-567" w:right="119"/>
        <w:contextualSpacing w:val="0"/>
        <w:rPr>
          <w:sz w:val="16"/>
          <w:szCs w:val="16"/>
        </w:rPr>
      </w:pPr>
      <w:proofErr w:type="gramStart"/>
      <w:r w:rsidRPr="005F253F">
        <w:rPr>
          <w:b/>
          <w:sz w:val="16"/>
          <w:szCs w:val="16"/>
          <w:vertAlign w:val="superscript"/>
        </w:rPr>
        <w:t>α</w:t>
      </w:r>
      <w:proofErr w:type="gramEnd"/>
      <w:r w:rsidRPr="005F253F">
        <w:rPr>
          <w:sz w:val="16"/>
          <w:szCs w:val="16"/>
        </w:rPr>
        <w:t xml:space="preserve"> Cases defined as per the MJSO syphilis outbreak case definition: </w:t>
      </w:r>
    </w:p>
    <w:p w14:paraId="57B04AC5" w14:textId="77777777" w:rsidR="00AC0A8B" w:rsidRPr="005F253F" w:rsidRDefault="00AC0A8B" w:rsidP="00AC0A8B">
      <w:pPr>
        <w:pStyle w:val="ListParagraph"/>
        <w:spacing w:after="0" w:line="240" w:lineRule="auto"/>
        <w:ind w:left="-426" w:right="119"/>
        <w:contextualSpacing w:val="0"/>
      </w:pPr>
      <w:r w:rsidRPr="005F253F">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5F253F">
        <w:rPr>
          <w:b/>
          <w:sz w:val="16"/>
          <w:szCs w:val="16"/>
        </w:rPr>
        <w:t>AND</w:t>
      </w:r>
      <w:r w:rsidRPr="005F253F">
        <w:rPr>
          <w:sz w:val="16"/>
          <w:szCs w:val="16"/>
        </w:rPr>
        <w:t>, is an Aboriginal or Torres Strait Islander person who resides in any of the following outbreak declared regions</w:t>
      </w:r>
      <w:r w:rsidRPr="005F253F">
        <w:rPr>
          <w:rFonts w:cs="Arial"/>
          <w:sz w:val="16"/>
          <w:szCs w:val="16"/>
        </w:rPr>
        <w:t xml:space="preserve"> as defined and documented by that jurisdiction</w:t>
      </w:r>
      <w:r w:rsidRPr="005F253F">
        <w:rPr>
          <w:rFonts w:ascii="Arial" w:hAnsi="Arial" w:cs="Arial"/>
          <w:sz w:val="16"/>
          <w:szCs w:val="16"/>
        </w:rPr>
        <w:t>,</w:t>
      </w:r>
      <w:r w:rsidRPr="005F253F">
        <w:rPr>
          <w:sz w:val="16"/>
          <w:szCs w:val="16"/>
        </w:rPr>
        <w:t xml:space="preserve"> at or after the dates indicated: </w:t>
      </w:r>
      <w:r w:rsidRPr="005F253F">
        <w:rPr>
          <w:b/>
          <w:i/>
          <w:sz w:val="16"/>
          <w:szCs w:val="16"/>
        </w:rPr>
        <w:t>Qld</w:t>
      </w:r>
      <w:r w:rsidRPr="005F253F">
        <w:rPr>
          <w:sz w:val="16"/>
          <w:szCs w:val="16"/>
        </w:rPr>
        <w:t xml:space="preserve"> - North West Hospital and Health Service area (from 1 January 2011); </w:t>
      </w:r>
      <w:r w:rsidRPr="005F253F">
        <w:rPr>
          <w:color w:val="000000" w:themeColor="text1"/>
          <w:sz w:val="16"/>
          <w:szCs w:val="16"/>
        </w:rPr>
        <w:t xml:space="preserve">Torres and Cape </w:t>
      </w:r>
      <w:r w:rsidRPr="005F253F">
        <w:rPr>
          <w:sz w:val="16"/>
          <w:szCs w:val="16"/>
        </w:rPr>
        <w:t xml:space="preserve">Hospital and Health Service area (from 1 December 2012); Cairns and Hinterland Hospital and Health Service area(from1 August 2013); Townsville Hospital and Health Service area (from 1 January 2014); </w:t>
      </w:r>
      <w:r w:rsidRPr="005F253F">
        <w:rPr>
          <w:b/>
          <w:i/>
          <w:sz w:val="16"/>
          <w:szCs w:val="16"/>
        </w:rPr>
        <w:t>NT</w:t>
      </w:r>
      <w:r w:rsidRPr="005F253F">
        <w:rPr>
          <w:sz w:val="16"/>
          <w:szCs w:val="16"/>
        </w:rPr>
        <w:t xml:space="preserve"> - Alice Springs Rural and Urban or Barkly district (from 1 July 2013); Katherine district (from 1 May 2014); East Arnhem district (from 1 November 2015); Darwin Rural and Urban (from 1 January 2017); </w:t>
      </w:r>
      <w:r w:rsidRPr="005F253F">
        <w:rPr>
          <w:b/>
          <w:i/>
          <w:sz w:val="16"/>
          <w:szCs w:val="16"/>
        </w:rPr>
        <w:t>WA</w:t>
      </w:r>
      <w:r w:rsidRPr="005F253F">
        <w:rPr>
          <w:sz w:val="16"/>
          <w:szCs w:val="16"/>
        </w:rPr>
        <w:t xml:space="preserve"> - Kimberley region (from 1 June 2014)</w:t>
      </w:r>
      <w:r>
        <w:rPr>
          <w:sz w:val="16"/>
          <w:szCs w:val="16"/>
        </w:rPr>
        <w:t xml:space="preserve">; </w:t>
      </w:r>
      <w:r w:rsidRPr="005F253F">
        <w:rPr>
          <w:sz w:val="16"/>
          <w:szCs w:val="16"/>
        </w:rPr>
        <w:t>Pilbara region (from 1 February 20</w:t>
      </w:r>
      <w:r w:rsidRPr="00D71D72">
        <w:rPr>
          <w:sz w:val="16"/>
          <w:szCs w:val="16"/>
        </w:rPr>
        <w:t xml:space="preserve">18); Goldfields region (from 1 January 2019); </w:t>
      </w:r>
      <w:r w:rsidRPr="00D71D72">
        <w:rPr>
          <w:b/>
          <w:i/>
          <w:sz w:val="16"/>
          <w:szCs w:val="16"/>
        </w:rPr>
        <w:t>SA</w:t>
      </w:r>
      <w:r w:rsidRPr="00D71D72">
        <w:rPr>
          <w:b/>
          <w:sz w:val="16"/>
          <w:szCs w:val="16"/>
        </w:rPr>
        <w:t xml:space="preserve"> </w:t>
      </w:r>
      <w:r w:rsidRPr="00D71D72">
        <w:rPr>
          <w:sz w:val="16"/>
          <w:szCs w:val="16"/>
        </w:rPr>
        <w:t xml:space="preserve"> -</w:t>
      </w:r>
      <w:r w:rsidRPr="005F253F">
        <w:rPr>
          <w:sz w:val="16"/>
          <w:szCs w:val="16"/>
        </w:rPr>
        <w:t xml:space="preserve"> Far North and Western and Eyre regions (from 15 November 2016); Adelaide (from 1 February 2018) (category 1 outbreak cases) </w:t>
      </w:r>
      <w:r w:rsidRPr="005F253F">
        <w:rPr>
          <w:b/>
          <w:sz w:val="16"/>
          <w:szCs w:val="16"/>
        </w:rPr>
        <w:t>OR</w:t>
      </w:r>
      <w:r w:rsidRPr="005F253F">
        <w:rPr>
          <w:sz w:val="16"/>
          <w:szCs w:val="16"/>
        </w:rPr>
        <w:t xml:space="preserve">,  is a sexual contact of a confirmed outbreak case (category 2 outbreak cases). </w:t>
      </w:r>
    </w:p>
    <w:p w14:paraId="57B04AC6" w14:textId="77777777" w:rsidR="00AC0A8B" w:rsidRPr="005F253F" w:rsidRDefault="00AC0A8B" w:rsidP="00AC0A8B">
      <w:pPr>
        <w:spacing w:after="0" w:line="240" w:lineRule="auto"/>
        <w:ind w:left="-426" w:right="119" w:hanging="141"/>
        <w:rPr>
          <w:sz w:val="16"/>
          <w:szCs w:val="16"/>
        </w:rPr>
      </w:pPr>
      <w:r w:rsidRPr="005F253F">
        <w:rPr>
          <w:b/>
          <w:sz w:val="16"/>
          <w:szCs w:val="16"/>
          <w:vertAlign w:val="superscript"/>
        </w:rPr>
        <w:t>β</w:t>
      </w:r>
      <w:r w:rsidRPr="005F253F">
        <w:rPr>
          <w:sz w:val="16"/>
          <w:szCs w:val="16"/>
          <w:vertAlign w:val="superscript"/>
        </w:rPr>
        <w:t xml:space="preserve"> </w:t>
      </w:r>
      <w:r w:rsidRPr="005F253F">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w:t>
      </w:r>
      <w:r>
        <w:rPr>
          <w:sz w:val="16"/>
          <w:szCs w:val="16"/>
        </w:rPr>
        <w:t>,</w:t>
      </w:r>
      <w:r w:rsidRPr="005F253F">
        <w:rPr>
          <w:sz w:val="16"/>
          <w:szCs w:val="16"/>
        </w:rPr>
        <w:t xml:space="preserve"> Pilbara</w:t>
      </w:r>
      <w:r>
        <w:rPr>
          <w:sz w:val="16"/>
          <w:szCs w:val="16"/>
        </w:rPr>
        <w:t xml:space="preserve"> and Goldfield</w:t>
      </w:r>
      <w:r w:rsidRPr="005F253F">
        <w:rPr>
          <w:sz w:val="16"/>
          <w:szCs w:val="16"/>
        </w:rPr>
        <w:t xml:space="preserve"> regions in Western Australia, and; Far North, Western and Eyre and Adelaide regions in South Australia.</w:t>
      </w:r>
    </w:p>
    <w:p w14:paraId="57B04AC7" w14:textId="77777777" w:rsidR="00AC0A8B" w:rsidRPr="005F253F" w:rsidRDefault="00AC0A8B" w:rsidP="00AC0A8B">
      <w:pPr>
        <w:spacing w:after="0" w:line="240" w:lineRule="auto"/>
        <w:ind w:left="-426" w:right="119" w:hanging="141"/>
        <w:rPr>
          <w:sz w:val="16"/>
          <w:szCs w:val="16"/>
        </w:rPr>
      </w:pPr>
      <w:r w:rsidRPr="005F253F">
        <w:rPr>
          <w:rFonts w:ascii="Calibri" w:eastAsia="Times New Roman" w:hAnsi="Calibri" w:cs="Arial"/>
          <w:sz w:val="20"/>
          <w:szCs w:val="20"/>
          <w:vertAlign w:val="superscript"/>
          <w:lang w:eastAsia="en-AU"/>
        </w:rPr>
        <w:t>«</w:t>
      </w:r>
      <w:r w:rsidRPr="005F253F">
        <w:rPr>
          <w:rFonts w:ascii="Calibri" w:eastAsia="Times New Roman" w:hAnsi="Calibri" w:cs="Arial"/>
          <w:sz w:val="20"/>
          <w:szCs w:val="20"/>
          <w:lang w:eastAsia="en-AU"/>
        </w:rPr>
        <w:t xml:space="preserve"> </w:t>
      </w:r>
      <w:r w:rsidRPr="005F253F">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AC8" w14:textId="77777777" w:rsidR="00AC0A8B" w:rsidRPr="005F253F" w:rsidRDefault="00AC0A8B" w:rsidP="00AC0A8B">
      <w:pPr>
        <w:spacing w:after="0" w:line="240" w:lineRule="auto"/>
        <w:ind w:left="-426" w:right="119" w:hanging="141"/>
        <w:rPr>
          <w:sz w:val="16"/>
          <w:szCs w:val="16"/>
        </w:rPr>
      </w:pPr>
      <w:r w:rsidRPr="005F253F">
        <w:rPr>
          <w:rFonts w:ascii="Agency FB" w:hAnsi="Agency FB"/>
          <w:sz w:val="20"/>
          <w:szCs w:val="16"/>
          <w:vertAlign w:val="superscript"/>
        </w:rPr>
        <w:t>§</w:t>
      </w:r>
      <w:r w:rsidRPr="005F253F">
        <w:rPr>
          <w:rFonts w:ascii="Agency FB" w:hAnsi="Agency FB"/>
          <w:sz w:val="20"/>
          <w:szCs w:val="16"/>
        </w:rPr>
        <w:t xml:space="preserve"> </w:t>
      </w:r>
      <w:r w:rsidRPr="005F253F">
        <w:rPr>
          <w:sz w:val="16"/>
          <w:szCs w:val="16"/>
        </w:rPr>
        <w:t>Aboriginal and Torres Strait Islander people who are sexual contacts of a confirmed outbreak case and reside outside an outbreak declared region at the time of diagnosis.</w:t>
      </w:r>
    </w:p>
    <w:p w14:paraId="57B04AC9" w14:textId="77777777" w:rsidR="00AC0A8B" w:rsidRPr="005F253F" w:rsidRDefault="00AC0A8B" w:rsidP="00AC0A8B">
      <w:pPr>
        <w:spacing w:after="0" w:line="240" w:lineRule="auto"/>
        <w:ind w:left="-426" w:right="119" w:hanging="141"/>
        <w:rPr>
          <w:sz w:val="16"/>
          <w:szCs w:val="16"/>
        </w:rPr>
      </w:pPr>
      <w:r w:rsidRPr="005F253F">
        <w:rPr>
          <w:sz w:val="20"/>
          <w:szCs w:val="16"/>
          <w:vertAlign w:val="superscript"/>
        </w:rPr>
        <w:t>µ</w:t>
      </w:r>
      <w:r w:rsidRPr="005F253F">
        <w:rPr>
          <w:sz w:val="20"/>
          <w:szCs w:val="16"/>
        </w:rPr>
        <w:t xml:space="preserve"> </w:t>
      </w:r>
      <w:r w:rsidRPr="005F253F">
        <w:rPr>
          <w:sz w:val="16"/>
          <w:szCs w:val="16"/>
        </w:rPr>
        <w:t>Non-Indigenous people who are sexual contacts of a confirmed outbreak case and reside in or out of an outbreak declared region at the time of diagnosis.</w:t>
      </w:r>
    </w:p>
    <w:p w14:paraId="57B04ACA" w14:textId="77777777" w:rsidR="00AC0A8B" w:rsidRPr="00216285" w:rsidRDefault="00AC0A8B" w:rsidP="00AC0A8B">
      <w:pPr>
        <w:pStyle w:val="ListParagraph"/>
        <w:spacing w:after="0" w:line="240" w:lineRule="auto"/>
        <w:ind w:left="-567" w:right="119"/>
        <w:contextualSpacing w:val="0"/>
        <w:rPr>
          <w:rFonts w:ascii="Arial" w:hAnsi="Arial" w:cs="Arial"/>
          <w:b/>
        </w:rPr>
      </w:pPr>
      <w:r w:rsidRPr="005F253F">
        <w:rPr>
          <w:b/>
          <w:sz w:val="16"/>
          <w:szCs w:val="16"/>
        </w:rPr>
        <w:t>ᵞ</w:t>
      </w:r>
      <w:r w:rsidRPr="005F253F">
        <w:rPr>
          <w:sz w:val="16"/>
          <w:szCs w:val="16"/>
        </w:rPr>
        <w:t xml:space="preserve"> </w:t>
      </w:r>
      <w:proofErr w:type="gramStart"/>
      <w:r w:rsidRPr="005F253F">
        <w:rPr>
          <w:sz w:val="16"/>
          <w:szCs w:val="16"/>
          <w:u w:val="single"/>
        </w:rPr>
        <w:t>Please</w:t>
      </w:r>
      <w:proofErr w:type="gramEnd"/>
      <w:r w:rsidRPr="005F253F">
        <w:rPr>
          <w:sz w:val="16"/>
          <w:szCs w:val="16"/>
          <w:u w:val="single"/>
        </w:rPr>
        <w:t xml:space="preserve"> note that </w:t>
      </w:r>
      <w:r w:rsidRPr="005F253F">
        <w:rPr>
          <w:b/>
          <w:sz w:val="16"/>
          <w:szCs w:val="16"/>
          <w:u w:val="single"/>
        </w:rPr>
        <w:t>all data are provisional</w:t>
      </w:r>
      <w:r w:rsidRPr="005F253F">
        <w:rPr>
          <w:sz w:val="16"/>
          <w:szCs w:val="16"/>
          <w:u w:val="single"/>
        </w:rPr>
        <w:t xml:space="preserve"> and subject to change due to ongoing case investigation</w:t>
      </w:r>
      <w:r w:rsidRPr="005F253F">
        <w:rPr>
          <w:sz w:val="16"/>
          <w:szCs w:val="16"/>
        </w:rPr>
        <w:t>.</w:t>
      </w:r>
    </w:p>
    <w:p w14:paraId="57B04ACB" w14:textId="77777777" w:rsidR="00580C89" w:rsidRDefault="00580C89">
      <w:pPr>
        <w:rPr>
          <w:rFonts w:ascii="Arial" w:hAnsi="Arial" w:cs="Arial"/>
          <w:b/>
          <w:sz w:val="28"/>
          <w:szCs w:val="24"/>
        </w:rPr>
      </w:pPr>
      <w:r>
        <w:rPr>
          <w:rFonts w:ascii="Arial" w:hAnsi="Arial" w:cs="Arial"/>
          <w:b/>
          <w:sz w:val="28"/>
          <w:szCs w:val="24"/>
        </w:rPr>
        <w:br w:type="page"/>
      </w:r>
    </w:p>
    <w:p w14:paraId="57B04ACC" w14:textId="77777777" w:rsidR="00EB11F0" w:rsidRPr="00C96B79" w:rsidRDefault="00EB11F0" w:rsidP="00EB11F0">
      <w:pPr>
        <w:spacing w:after="0" w:line="240" w:lineRule="auto"/>
        <w:ind w:left="-567" w:right="261"/>
        <w:jc w:val="center"/>
        <w:rPr>
          <w:rFonts w:ascii="Arial" w:hAnsi="Arial" w:cs="Arial"/>
          <w:b/>
          <w:sz w:val="28"/>
          <w:szCs w:val="24"/>
        </w:rPr>
      </w:pPr>
      <w:r w:rsidRPr="00C96B79">
        <w:rPr>
          <w:rFonts w:ascii="Arial" w:hAnsi="Arial" w:cs="Arial"/>
          <w:b/>
          <w:sz w:val="28"/>
          <w:szCs w:val="24"/>
        </w:rPr>
        <w:lastRenderedPageBreak/>
        <w:t xml:space="preserve">MULTIJURISDICTIONAL SYPHILIS OUTBREAK </w:t>
      </w:r>
      <w:r w:rsidRPr="00C96B79">
        <w:rPr>
          <w:rFonts w:ascii="Arial" w:hAnsi="Arial" w:cs="Arial"/>
          <w:b/>
          <w:sz w:val="28"/>
          <w:szCs w:val="24"/>
        </w:rPr>
        <w:br/>
        <w:t>SURVEILLANCE REPORT: JULY 2019</w:t>
      </w:r>
    </w:p>
    <w:p w14:paraId="57B04ACD" w14:textId="77777777" w:rsidR="00EB11F0" w:rsidRPr="00C96B79" w:rsidRDefault="00EB11F0" w:rsidP="00EB11F0">
      <w:pPr>
        <w:spacing w:after="0" w:line="120" w:lineRule="auto"/>
        <w:ind w:left="-567" w:right="-612"/>
        <w:jc w:val="center"/>
        <w:rPr>
          <w:rFonts w:ascii="Arial" w:hAnsi="Arial" w:cs="Arial"/>
          <w:b/>
          <w:sz w:val="24"/>
          <w:szCs w:val="24"/>
        </w:rPr>
      </w:pPr>
    </w:p>
    <w:p w14:paraId="57B04ACE" w14:textId="77777777" w:rsidR="00EB11F0" w:rsidRPr="00C96B79" w:rsidRDefault="00EB11F0" w:rsidP="00EB11F0">
      <w:pPr>
        <w:spacing w:after="0" w:line="240" w:lineRule="auto"/>
        <w:ind w:left="-567" w:right="119"/>
        <w:jc w:val="center"/>
        <w:rPr>
          <w:rFonts w:ascii="Arial" w:hAnsi="Arial" w:cs="Arial"/>
          <w:b/>
          <w:sz w:val="24"/>
          <w:szCs w:val="24"/>
        </w:rPr>
      </w:pPr>
      <w:r w:rsidRPr="00C96B79">
        <w:rPr>
          <w:rFonts w:ascii="Arial" w:hAnsi="Arial" w:cs="Arial"/>
          <w:b/>
          <w:sz w:val="24"/>
          <w:szCs w:val="24"/>
        </w:rPr>
        <w:t>This surveillance report has been authorised by Health Departments in outbreak affected jurisdictions and the Office of Health Protection.</w:t>
      </w:r>
    </w:p>
    <w:p w14:paraId="57B04ACF" w14:textId="77777777" w:rsidR="00EB11F0" w:rsidRPr="00075AF7" w:rsidRDefault="00EB11F0" w:rsidP="00EB11F0">
      <w:pPr>
        <w:spacing w:after="0" w:line="240" w:lineRule="auto"/>
        <w:ind w:right="-613"/>
        <w:rPr>
          <w:rFonts w:ascii="Arial" w:hAnsi="Arial" w:cs="Arial"/>
          <w:sz w:val="20"/>
          <w:szCs w:val="20"/>
        </w:rPr>
      </w:pPr>
    </w:p>
    <w:p w14:paraId="57B04AD0" w14:textId="77777777" w:rsidR="00EB11F0" w:rsidRPr="00075AF7" w:rsidRDefault="00EB11F0" w:rsidP="00EB11F0">
      <w:pPr>
        <w:pStyle w:val="PlainText"/>
        <w:ind w:left="-709" w:right="-23"/>
        <w:jc w:val="both"/>
        <w:rPr>
          <w:color w:val="000000" w:themeColor="text1"/>
        </w:rPr>
      </w:pPr>
      <w:r w:rsidRPr="00075AF7">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075AF7">
        <w:rPr>
          <w:rFonts w:cs="Arial"/>
          <w:color w:val="000000" w:themeColor="text1"/>
          <w:szCs w:val="20"/>
        </w:rPr>
        <w:t xml:space="preserve">rural areas of northern Australia. </w:t>
      </w:r>
      <w:r w:rsidRPr="00075AF7">
        <w:rPr>
          <w:color w:val="000000" w:themeColor="text1"/>
        </w:rPr>
        <w:t xml:space="preserve">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w:t>
      </w:r>
    </w:p>
    <w:p w14:paraId="57B04AD1" w14:textId="77777777" w:rsidR="00EB11F0" w:rsidRPr="00075AF7" w:rsidRDefault="00EB11F0" w:rsidP="00EB11F0">
      <w:pPr>
        <w:pStyle w:val="PlainText"/>
        <w:ind w:left="-709" w:right="-23"/>
        <w:rPr>
          <w:color w:val="000000" w:themeColor="text1"/>
        </w:rPr>
      </w:pPr>
    </w:p>
    <w:p w14:paraId="57B04AD2" w14:textId="77777777" w:rsidR="00EB11F0" w:rsidRPr="00075AF7" w:rsidRDefault="00EB11F0" w:rsidP="00EB11F0">
      <w:pPr>
        <w:pStyle w:val="PlainText"/>
        <w:ind w:left="-709" w:right="-23"/>
        <w:rPr>
          <w:color w:val="000000" w:themeColor="text1"/>
        </w:rPr>
      </w:pPr>
      <w:r w:rsidRPr="00075AF7">
        <w:rPr>
          <w:color w:val="000000" w:themeColor="text1"/>
        </w:rPr>
        <w:t>This surveillance report summarises the outbreak epidemiological data as of 30 June 2019 (current status).</w:t>
      </w:r>
    </w:p>
    <w:p w14:paraId="57B04AD3" w14:textId="77777777" w:rsidR="00EB11F0" w:rsidRPr="00075AF7" w:rsidRDefault="00EB11F0" w:rsidP="00EB11F0">
      <w:pPr>
        <w:pStyle w:val="PlainText"/>
        <w:ind w:left="-709" w:right="-23"/>
        <w:rPr>
          <w:color w:val="000000" w:themeColor="text1"/>
        </w:rPr>
      </w:pPr>
    </w:p>
    <w:p w14:paraId="57B04AD4" w14:textId="77777777" w:rsidR="00EB11F0" w:rsidRPr="00075AF7" w:rsidRDefault="00EB11F0" w:rsidP="00EB11F0">
      <w:pPr>
        <w:pStyle w:val="PlainText"/>
        <w:ind w:left="-709" w:right="-23"/>
        <w:rPr>
          <w:color w:val="000000" w:themeColor="text1"/>
        </w:rPr>
      </w:pPr>
      <w:r w:rsidRPr="00075AF7">
        <w:rPr>
          <w:b/>
          <w:color w:val="000000" w:themeColor="text1"/>
        </w:rPr>
        <w:t>Please note:</w:t>
      </w:r>
      <w:r w:rsidRPr="00075AF7">
        <w:rPr>
          <w:color w:val="000000" w:themeColor="text1"/>
        </w:rPr>
        <w:t xml:space="preserve"> the MJSO Surveillance Report was formerly known as the MJSO Communique. Historical epidemiological data and MJSO activities are published in earlier MJSO Communiques available at </w:t>
      </w:r>
      <w:r w:rsidRPr="00075AF7">
        <w:rPr>
          <w:i/>
          <w:szCs w:val="20"/>
        </w:rPr>
        <w:t xml:space="preserve">http://www.health.gov.au/internet/main/publishing.nsf/Content/ohp-infectious-syphilis-outbreak.htm </w:t>
      </w:r>
    </w:p>
    <w:p w14:paraId="57B04AD5" w14:textId="77777777" w:rsidR="00EB11F0" w:rsidRPr="00075AF7" w:rsidRDefault="00EB11F0" w:rsidP="00EB11F0">
      <w:pPr>
        <w:pStyle w:val="PlainText"/>
        <w:ind w:left="-709" w:right="-23"/>
      </w:pPr>
    </w:p>
    <w:p w14:paraId="57B04AD6" w14:textId="77777777" w:rsidR="00EB11F0" w:rsidRPr="00075AF7" w:rsidRDefault="00EB11F0" w:rsidP="00EB11F0">
      <w:pPr>
        <w:spacing w:after="0" w:line="240" w:lineRule="auto"/>
        <w:ind w:left="-709" w:right="-23"/>
        <w:jc w:val="both"/>
        <w:rPr>
          <w:rFonts w:ascii="Arial" w:hAnsi="Arial" w:cs="Arial"/>
          <w:b/>
        </w:rPr>
      </w:pPr>
      <w:r w:rsidRPr="00075AF7">
        <w:rPr>
          <w:rFonts w:ascii="Arial" w:hAnsi="Arial" w:cs="Arial"/>
          <w:b/>
        </w:rPr>
        <w:t>Current status</w:t>
      </w:r>
    </w:p>
    <w:p w14:paraId="57B04AD7" w14:textId="77777777" w:rsidR="00EB11F0" w:rsidRPr="00075AF7" w:rsidRDefault="00EB11F0" w:rsidP="00EB11F0">
      <w:pPr>
        <w:spacing w:after="0" w:line="240" w:lineRule="auto"/>
        <w:ind w:left="-709" w:right="-23"/>
        <w:jc w:val="both"/>
        <w:rPr>
          <w:rFonts w:ascii="Arial" w:hAnsi="Arial" w:cs="Arial"/>
          <w:sz w:val="20"/>
          <w:szCs w:val="20"/>
        </w:rPr>
      </w:pPr>
      <w:r w:rsidRPr="00075AF7">
        <w:rPr>
          <w:rFonts w:ascii="Arial" w:hAnsi="Arial" w:cs="Arial"/>
          <w:sz w:val="20"/>
          <w:szCs w:val="20"/>
        </w:rPr>
        <w:t xml:space="preserve">Outbreak data to </w:t>
      </w:r>
      <w:r w:rsidRPr="00075AF7">
        <w:rPr>
          <w:rFonts w:ascii="Arial" w:hAnsi="Arial" w:cs="Arial"/>
          <w:color w:val="000000" w:themeColor="text1"/>
          <w:sz w:val="20"/>
          <w:szCs w:val="20"/>
        </w:rPr>
        <w:t>30 June 2019</w:t>
      </w:r>
      <w:r w:rsidRPr="00075AF7">
        <w:rPr>
          <w:rFonts w:ascii="Arial" w:hAnsi="Arial" w:cs="Arial"/>
          <w:sz w:val="20"/>
          <w:szCs w:val="20"/>
          <w:vertAlign w:val="superscript"/>
        </w:rPr>
        <w:t>ȶ</w:t>
      </w:r>
      <w:r w:rsidRPr="00075AF7">
        <w:rPr>
          <w:rFonts w:ascii="Arial" w:hAnsi="Arial" w:cs="Arial"/>
          <w:sz w:val="20"/>
          <w:szCs w:val="20"/>
        </w:rPr>
        <w:t xml:space="preserve"> are summarised in Figure 1, Table 1 and Table 2 below.</w:t>
      </w:r>
    </w:p>
    <w:p w14:paraId="57B04AD8" w14:textId="77777777" w:rsidR="00EB11F0" w:rsidRPr="00075AF7" w:rsidRDefault="00EB11F0" w:rsidP="00EB11F0">
      <w:pPr>
        <w:spacing w:after="0" w:line="240" w:lineRule="auto"/>
        <w:ind w:left="-709" w:right="-23"/>
        <w:jc w:val="both"/>
        <w:rPr>
          <w:rFonts w:ascii="Arial" w:hAnsi="Arial" w:cs="Arial"/>
          <w:sz w:val="20"/>
          <w:szCs w:val="20"/>
        </w:rPr>
      </w:pPr>
    </w:p>
    <w:p w14:paraId="57B04AD9" w14:textId="77777777" w:rsidR="00EB11F0" w:rsidRPr="00075AF7" w:rsidRDefault="00EB11F0" w:rsidP="00EB11F0">
      <w:pPr>
        <w:spacing w:after="0" w:line="240" w:lineRule="auto"/>
        <w:ind w:left="-709" w:right="-23"/>
        <w:jc w:val="both"/>
        <w:rPr>
          <w:rFonts w:ascii="Arial" w:hAnsi="Arial" w:cs="Arial"/>
          <w:sz w:val="20"/>
          <w:szCs w:val="20"/>
        </w:rPr>
      </w:pPr>
      <w:r w:rsidRPr="00075AF7">
        <w:rPr>
          <w:rFonts w:ascii="Arial" w:hAnsi="Arial" w:cs="Arial"/>
          <w:sz w:val="20"/>
          <w:szCs w:val="20"/>
        </w:rPr>
        <w:t>Outbreak cases are reported as either category 1 or category 2: category 1 cases include Aboriginal and Torres Strait Islander people residing in an outbreak declared region</w:t>
      </w:r>
      <w:r w:rsidRPr="00075AF7">
        <w:rPr>
          <w:rFonts w:ascii="Arial" w:hAnsi="Arial" w:cs="Arial"/>
          <w:sz w:val="20"/>
          <w:szCs w:val="20"/>
          <w:vertAlign w:val="superscript"/>
        </w:rPr>
        <w:t>β</w:t>
      </w:r>
      <w:r w:rsidRPr="00075AF7">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14:paraId="57B04ADA" w14:textId="77777777" w:rsidR="00EB11F0" w:rsidRPr="001E7C96" w:rsidRDefault="00EB11F0" w:rsidP="00EB11F0">
      <w:pPr>
        <w:spacing w:after="0" w:line="240" w:lineRule="auto"/>
        <w:ind w:left="-709" w:right="-23"/>
        <w:jc w:val="both"/>
        <w:rPr>
          <w:rFonts w:ascii="Arial" w:hAnsi="Arial" w:cs="Arial"/>
          <w:sz w:val="20"/>
          <w:szCs w:val="20"/>
        </w:rPr>
      </w:pPr>
    </w:p>
    <w:p w14:paraId="57B04ADB" w14:textId="77777777" w:rsidR="00EB11F0" w:rsidRPr="00C96B79" w:rsidRDefault="00EB11F0" w:rsidP="00EB11F0">
      <w:pPr>
        <w:spacing w:after="0" w:line="240" w:lineRule="auto"/>
        <w:ind w:left="-709" w:right="-23"/>
        <w:jc w:val="both"/>
        <w:rPr>
          <w:rFonts w:ascii="Arial" w:hAnsi="Arial" w:cs="Arial"/>
          <w:sz w:val="20"/>
          <w:szCs w:val="20"/>
          <w:highlight w:val="yellow"/>
        </w:rPr>
      </w:pPr>
      <w:r w:rsidRPr="001E7C96">
        <w:rPr>
          <w:rFonts w:ascii="Arial" w:hAnsi="Arial" w:cs="Arial"/>
          <w:sz w:val="20"/>
          <w:szCs w:val="20"/>
        </w:rPr>
        <w:t xml:space="preserve">Between 1 – </w:t>
      </w:r>
      <w:r w:rsidRPr="001E7C96">
        <w:rPr>
          <w:rFonts w:ascii="Arial" w:hAnsi="Arial" w:cs="Arial"/>
          <w:color w:val="000000" w:themeColor="text1"/>
          <w:sz w:val="20"/>
          <w:szCs w:val="20"/>
        </w:rPr>
        <w:t xml:space="preserve">30 June </w:t>
      </w:r>
      <w:r w:rsidRPr="00E02780">
        <w:rPr>
          <w:rFonts w:ascii="Arial" w:hAnsi="Arial" w:cs="Arial"/>
          <w:color w:val="000000" w:themeColor="text1"/>
          <w:sz w:val="20"/>
          <w:szCs w:val="20"/>
        </w:rPr>
        <w:t>2019</w:t>
      </w:r>
      <w:r w:rsidRPr="00E02780">
        <w:rPr>
          <w:rFonts w:ascii="Arial" w:hAnsi="Arial" w:cs="Arial"/>
          <w:sz w:val="20"/>
          <w:szCs w:val="20"/>
          <w:vertAlign w:val="superscript"/>
        </w:rPr>
        <w:t>ȶ</w:t>
      </w:r>
      <w:r w:rsidRPr="00E02780">
        <w:rPr>
          <w:rFonts w:ascii="Arial" w:hAnsi="Arial" w:cs="Arial"/>
          <w:sz w:val="20"/>
          <w:szCs w:val="20"/>
        </w:rPr>
        <w:t xml:space="preserve">, there were 61 outbreak cases (category 1 and 2 cases) reported from the four outbreak affected jurisdictions: 19 in Queensland; 20 in the Northern Territory; 21 in Western Australia and; </w:t>
      </w:r>
      <w:proofErr w:type="gramStart"/>
      <w:r w:rsidRPr="00E02780">
        <w:rPr>
          <w:rFonts w:ascii="Arial" w:hAnsi="Arial" w:cs="Arial"/>
          <w:sz w:val="20"/>
          <w:szCs w:val="20"/>
        </w:rPr>
        <w:t>1</w:t>
      </w:r>
      <w:proofErr w:type="gramEnd"/>
      <w:r w:rsidRPr="00E02780">
        <w:rPr>
          <w:rFonts w:ascii="Arial" w:hAnsi="Arial" w:cs="Arial"/>
          <w:sz w:val="20"/>
          <w:szCs w:val="20"/>
        </w:rPr>
        <w:t xml:space="preserve"> in South Australia (Figure 1, Table 1 and Table 2).  From the commencement of the outbreak to </w:t>
      </w:r>
      <w:r w:rsidRPr="00E02780">
        <w:rPr>
          <w:rFonts w:ascii="Arial" w:hAnsi="Arial" w:cs="Arial"/>
          <w:color w:val="000000" w:themeColor="text1"/>
          <w:sz w:val="20"/>
          <w:szCs w:val="20"/>
        </w:rPr>
        <w:t xml:space="preserve">30 June </w:t>
      </w:r>
      <w:r w:rsidRPr="00E02780">
        <w:rPr>
          <w:rFonts w:ascii="Arial" w:hAnsi="Arial" w:cs="Arial"/>
          <w:sz w:val="20"/>
          <w:szCs w:val="20"/>
        </w:rPr>
        <w:t>2019</w:t>
      </w:r>
      <w:r w:rsidRPr="00E02780">
        <w:rPr>
          <w:rFonts w:ascii="Arial" w:hAnsi="Arial" w:cs="Arial"/>
          <w:sz w:val="20"/>
          <w:szCs w:val="20"/>
          <w:vertAlign w:val="superscript"/>
        </w:rPr>
        <w:t xml:space="preserve"> ȶ</w:t>
      </w:r>
      <w:r w:rsidRPr="00E02780">
        <w:rPr>
          <w:rFonts w:ascii="Arial" w:hAnsi="Arial" w:cs="Arial"/>
          <w:sz w:val="20"/>
          <w:szCs w:val="20"/>
        </w:rPr>
        <w:t>, there were a total of 2852 outbreak cases (category 1 and 2 cases) reported across the four outbreak affected jurisdictions: 1356 in Queensland (from January 2011); 1078 in the Northern Territory (from July 2013); 343 in Western Australia (from June 2014), and; 75 in South Australia (from November 2016) (Table 1 and 2).</w:t>
      </w:r>
    </w:p>
    <w:p w14:paraId="57B04ADC" w14:textId="77777777" w:rsidR="00EB11F0" w:rsidRPr="00C96B79" w:rsidRDefault="00EB11F0" w:rsidP="00EB11F0">
      <w:pPr>
        <w:spacing w:after="0" w:line="240" w:lineRule="auto"/>
        <w:ind w:left="-709" w:right="-23"/>
        <w:jc w:val="both"/>
        <w:rPr>
          <w:rFonts w:ascii="Arial" w:hAnsi="Arial" w:cs="Arial"/>
          <w:sz w:val="20"/>
          <w:szCs w:val="20"/>
          <w:highlight w:val="yellow"/>
        </w:rPr>
      </w:pPr>
    </w:p>
    <w:p w14:paraId="57B04ADD" w14:textId="77777777" w:rsidR="00EB11F0" w:rsidRPr="00214F4B" w:rsidRDefault="00EB11F0" w:rsidP="00EB11F0">
      <w:pPr>
        <w:spacing w:after="0" w:line="240" w:lineRule="auto"/>
        <w:ind w:left="-709" w:right="-23"/>
        <w:jc w:val="both"/>
        <w:rPr>
          <w:rFonts w:ascii="Arial" w:hAnsi="Arial" w:cs="Arial"/>
          <w:sz w:val="20"/>
          <w:szCs w:val="20"/>
          <w:vertAlign w:val="superscript"/>
        </w:rPr>
      </w:pPr>
      <w:r w:rsidRPr="00214F4B">
        <w:rPr>
          <w:rFonts w:ascii="Arial" w:hAnsi="Arial" w:cs="Arial"/>
          <w:b/>
          <w:sz w:val="20"/>
          <w:szCs w:val="20"/>
        </w:rPr>
        <w:t>Figure 1</w:t>
      </w:r>
      <w:r w:rsidRPr="00214F4B">
        <w:rPr>
          <w:rFonts w:ascii="Arial" w:hAnsi="Arial" w:cs="Arial"/>
          <w:sz w:val="20"/>
          <w:szCs w:val="20"/>
        </w:rPr>
        <w:t>. Epidemic curve showing category 1 infectious syphilis</w:t>
      </w:r>
      <w:r w:rsidRPr="00214F4B">
        <w:rPr>
          <w:rFonts w:ascii="Arial" w:hAnsi="Arial" w:cs="Arial"/>
          <w:sz w:val="20"/>
          <w:szCs w:val="20"/>
          <w:vertAlign w:val="superscript"/>
        </w:rPr>
        <w:t xml:space="preserve"> α</w:t>
      </w:r>
      <w:r w:rsidRPr="00214F4B">
        <w:rPr>
          <w:rFonts w:ascii="Arial" w:hAnsi="Arial" w:cs="Arial"/>
          <w:sz w:val="20"/>
          <w:szCs w:val="20"/>
        </w:rPr>
        <w:t xml:space="preserve"> outbreak cases notified in Aboriginal and Torres Strait Islander people residing in affected regions</w:t>
      </w:r>
      <w:r w:rsidRPr="00214F4B">
        <w:rPr>
          <w:rFonts w:ascii="Arial" w:hAnsi="Arial" w:cs="Arial"/>
          <w:sz w:val="20"/>
          <w:szCs w:val="20"/>
          <w:vertAlign w:val="superscript"/>
        </w:rPr>
        <w:t>β</w:t>
      </w:r>
      <w:r w:rsidRPr="00214F4B">
        <w:rPr>
          <w:rFonts w:ascii="Arial" w:hAnsi="Arial" w:cs="Arial"/>
          <w:sz w:val="20"/>
          <w:szCs w:val="20"/>
        </w:rPr>
        <w:t xml:space="preserve"> of Queensland, the Northern Territory, Western Australia and South Australia from commencement of the outbreak in each jurisdiction to </w:t>
      </w:r>
      <w:r w:rsidRPr="00214F4B">
        <w:rPr>
          <w:rFonts w:ascii="Arial" w:hAnsi="Arial" w:cs="Arial"/>
          <w:color w:val="000000" w:themeColor="text1"/>
          <w:sz w:val="20"/>
          <w:szCs w:val="20"/>
        </w:rPr>
        <w:t>30 June 2019</w:t>
      </w:r>
      <w:r w:rsidRPr="00214F4B">
        <w:rPr>
          <w:rFonts w:ascii="Arial" w:hAnsi="Arial" w:cs="Arial"/>
          <w:sz w:val="20"/>
          <w:szCs w:val="20"/>
          <w:vertAlign w:val="superscript"/>
        </w:rPr>
        <w:t xml:space="preserve">ȶ ᵞ </w:t>
      </w:r>
    </w:p>
    <w:p w14:paraId="57B04ADE" w14:textId="77777777" w:rsidR="00EB11F0" w:rsidRPr="00C96B79" w:rsidRDefault="00EB11F0" w:rsidP="00EB11F0">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highlight w:val="yellow"/>
          <w:lang w:eastAsia="en-AU"/>
        </w:rPr>
        <w:drawing>
          <wp:inline distT="0" distB="0" distL="0" distR="0" wp14:anchorId="57B04ECC" wp14:editId="57B04ECD">
            <wp:extent cx="6770697" cy="4231759"/>
            <wp:effectExtent l="0" t="0" r="0" b="0"/>
            <wp:docPr id="6" name="Picture 6"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June 2019"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78239" cy="4236473"/>
                    </a:xfrm>
                    <a:prstGeom prst="rect">
                      <a:avLst/>
                    </a:prstGeom>
                    <a:noFill/>
                  </pic:spPr>
                </pic:pic>
              </a:graphicData>
            </a:graphic>
          </wp:inline>
        </w:drawing>
      </w:r>
      <w:r w:rsidRPr="00C96B79">
        <w:rPr>
          <w:rFonts w:ascii="Arial" w:hAnsi="Arial" w:cs="Arial"/>
          <w:b/>
          <w:sz w:val="20"/>
          <w:szCs w:val="20"/>
          <w:highlight w:val="yellow"/>
        </w:rPr>
        <w:br w:type="page"/>
      </w:r>
    </w:p>
    <w:p w14:paraId="57B04ADF" w14:textId="77777777" w:rsidR="00EB11F0" w:rsidRPr="00C96B79" w:rsidRDefault="00EB11F0" w:rsidP="00EB11F0">
      <w:pPr>
        <w:spacing w:after="0" w:line="240" w:lineRule="auto"/>
        <w:ind w:left="-567"/>
        <w:rPr>
          <w:rFonts w:ascii="Arial" w:hAnsi="Arial" w:cs="Arial"/>
          <w:b/>
          <w:sz w:val="20"/>
          <w:szCs w:val="20"/>
          <w:highlight w:val="yellow"/>
        </w:rPr>
      </w:pPr>
    </w:p>
    <w:p w14:paraId="57B04AE0" w14:textId="77777777" w:rsidR="00EB11F0" w:rsidRPr="00214F4B" w:rsidRDefault="00EB11F0" w:rsidP="00EB11F0">
      <w:pPr>
        <w:spacing w:after="0" w:line="240" w:lineRule="auto"/>
        <w:ind w:left="-709"/>
        <w:rPr>
          <w:rFonts w:ascii="Arial" w:hAnsi="Arial" w:cs="Arial"/>
          <w:sz w:val="20"/>
          <w:szCs w:val="20"/>
        </w:rPr>
      </w:pPr>
      <w:r w:rsidRPr="00214F4B">
        <w:rPr>
          <w:rFonts w:ascii="Arial" w:hAnsi="Arial" w:cs="Arial"/>
          <w:b/>
          <w:sz w:val="20"/>
          <w:szCs w:val="20"/>
        </w:rPr>
        <w:t>Table 1</w:t>
      </w:r>
      <w:r w:rsidRPr="00214F4B">
        <w:rPr>
          <w:rFonts w:ascii="Arial" w:hAnsi="Arial" w:cs="Arial"/>
          <w:sz w:val="20"/>
          <w:szCs w:val="20"/>
        </w:rPr>
        <w:t>.</w:t>
      </w:r>
      <w:r w:rsidRPr="00214F4B">
        <w:rPr>
          <w:rFonts w:ascii="Arial" w:hAnsi="Arial" w:cs="Arial"/>
          <w:b/>
          <w:sz w:val="20"/>
          <w:szCs w:val="20"/>
        </w:rPr>
        <w:t xml:space="preserve"> </w:t>
      </w:r>
      <w:r w:rsidRPr="00214F4B">
        <w:rPr>
          <w:rFonts w:ascii="Arial" w:hAnsi="Arial" w:cs="Arial"/>
          <w:sz w:val="20"/>
          <w:szCs w:val="20"/>
        </w:rPr>
        <w:t>Characteristics of category 1 infectious syphilis</w:t>
      </w:r>
      <w:r w:rsidRPr="00214F4B">
        <w:rPr>
          <w:rFonts w:ascii="Arial" w:hAnsi="Arial" w:cs="Arial"/>
          <w:sz w:val="20"/>
          <w:szCs w:val="20"/>
          <w:vertAlign w:val="superscript"/>
        </w:rPr>
        <w:t>α</w:t>
      </w:r>
      <w:r w:rsidRPr="00214F4B">
        <w:rPr>
          <w:rFonts w:ascii="Arial" w:hAnsi="Arial" w:cs="Arial"/>
          <w:sz w:val="20"/>
          <w:szCs w:val="20"/>
        </w:rPr>
        <w:t xml:space="preserve"> outbreak cases notified in Aboriginal and Torres Strait Islander people residing in affected regions</w:t>
      </w:r>
      <w:r w:rsidRPr="00214F4B">
        <w:rPr>
          <w:rFonts w:ascii="Arial" w:hAnsi="Arial" w:cs="Arial"/>
          <w:sz w:val="20"/>
          <w:szCs w:val="20"/>
          <w:vertAlign w:val="superscript"/>
        </w:rPr>
        <w:t>β</w:t>
      </w:r>
      <w:r w:rsidRPr="00214F4B">
        <w:rPr>
          <w:rFonts w:ascii="Arial" w:hAnsi="Arial" w:cs="Arial"/>
          <w:sz w:val="20"/>
          <w:szCs w:val="20"/>
        </w:rPr>
        <w:t xml:space="preserve"> of Queensland, the Northern Territory, Western Australia and South Australia, to </w:t>
      </w:r>
      <w:r w:rsidRPr="00214F4B">
        <w:rPr>
          <w:rFonts w:ascii="Arial" w:hAnsi="Arial" w:cs="Arial"/>
          <w:sz w:val="20"/>
          <w:szCs w:val="20"/>
        </w:rPr>
        <w:br/>
        <w:t>30 June 2019</w:t>
      </w:r>
      <w:r w:rsidRPr="00214F4B">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EB11F0" w:rsidRPr="00C96B79" w14:paraId="57B04AE8" w14:textId="77777777" w:rsidTr="00EB11F0">
        <w:trPr>
          <w:tblHeader/>
        </w:trPr>
        <w:tc>
          <w:tcPr>
            <w:tcW w:w="3975" w:type="dxa"/>
            <w:tcBorders>
              <w:bottom w:val="single" w:sz="4" w:space="0" w:color="auto"/>
            </w:tcBorders>
          </w:tcPr>
          <w:p w14:paraId="57B04AE1" w14:textId="77777777" w:rsidR="00EB11F0" w:rsidRPr="00214F4B" w:rsidRDefault="00EB11F0" w:rsidP="00EB11F0">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57B04AE2" w14:textId="77777777" w:rsidR="00EB11F0" w:rsidRPr="00751A89" w:rsidRDefault="00EB11F0" w:rsidP="00EB11F0">
            <w:pPr>
              <w:ind w:left="34" w:hanging="34"/>
              <w:jc w:val="center"/>
              <w:rPr>
                <w:rFonts w:ascii="Calibri" w:eastAsia="Times New Roman" w:hAnsi="Calibri" w:cs="Arial"/>
                <w:b/>
                <w:sz w:val="20"/>
                <w:szCs w:val="20"/>
                <w:lang w:eastAsia="en-AU"/>
              </w:rPr>
            </w:pPr>
            <w:r w:rsidRPr="00751A89">
              <w:rPr>
                <w:rFonts w:ascii="Calibri" w:eastAsia="Times New Roman" w:hAnsi="Calibri" w:cs="Arial"/>
                <w:b/>
                <w:sz w:val="20"/>
                <w:szCs w:val="20"/>
                <w:lang w:eastAsia="en-AU"/>
              </w:rPr>
              <w:t xml:space="preserve">North Qld </w:t>
            </w:r>
            <w:r w:rsidRPr="00751A89">
              <w:rPr>
                <w:rFonts w:ascii="Calibri" w:eastAsia="Times New Roman" w:hAnsi="Calibri" w:cs="Arial"/>
                <w:b/>
                <w:sz w:val="20"/>
                <w:szCs w:val="20"/>
                <w:lang w:eastAsia="en-AU"/>
              </w:rPr>
              <w:br/>
            </w:r>
            <w:r w:rsidRPr="00751A89">
              <w:rPr>
                <w:rFonts w:ascii="Calibri" w:eastAsia="Times New Roman" w:hAnsi="Calibri" w:cs="Arial"/>
                <w:sz w:val="20"/>
                <w:szCs w:val="20"/>
                <w:lang w:eastAsia="en-AU"/>
              </w:rPr>
              <w:t>(four HHSs</w:t>
            </w:r>
            <w:r w:rsidRPr="00751A89">
              <w:rPr>
                <w:rFonts w:ascii="Calibri" w:eastAsia="Times New Roman" w:hAnsi="Calibri" w:cs="Arial"/>
                <w:sz w:val="20"/>
                <w:szCs w:val="20"/>
                <w:vertAlign w:val="superscript"/>
                <w:lang w:eastAsia="en-AU"/>
              </w:rPr>
              <w:t>β</w:t>
            </w:r>
            <w:r w:rsidRPr="00751A8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AE3"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b/>
                <w:sz w:val="20"/>
                <w:szCs w:val="20"/>
                <w:lang w:eastAsia="en-AU"/>
              </w:rPr>
              <w:t xml:space="preserve">NT </w:t>
            </w:r>
          </w:p>
          <w:p w14:paraId="57B04AE4" w14:textId="77777777" w:rsidR="00EB11F0" w:rsidRPr="00751A89" w:rsidRDefault="00EB11F0" w:rsidP="00EB11F0">
            <w:pPr>
              <w:ind w:left="34" w:hanging="34"/>
              <w:jc w:val="center"/>
              <w:rPr>
                <w:rFonts w:ascii="Calibri" w:eastAsia="Times New Roman" w:hAnsi="Calibri" w:cs="Arial"/>
                <w:b/>
                <w:sz w:val="20"/>
                <w:szCs w:val="20"/>
                <w:lang w:eastAsia="en-AU"/>
              </w:rPr>
            </w:pPr>
            <w:r w:rsidRPr="00751A89">
              <w:rPr>
                <w:rFonts w:ascii="Calibri" w:eastAsia="Times New Roman" w:hAnsi="Calibri" w:cs="Arial"/>
                <w:sz w:val="20"/>
                <w:szCs w:val="20"/>
                <w:lang w:eastAsia="en-AU"/>
              </w:rPr>
              <w:t>(seven regions</w:t>
            </w:r>
            <w:r w:rsidRPr="00751A89">
              <w:rPr>
                <w:rFonts w:ascii="Calibri" w:eastAsia="Times New Roman" w:hAnsi="Calibri" w:cs="Arial"/>
                <w:sz w:val="20"/>
                <w:szCs w:val="20"/>
                <w:vertAlign w:val="superscript"/>
                <w:lang w:eastAsia="en-AU"/>
              </w:rPr>
              <w:t xml:space="preserve"> β</w:t>
            </w:r>
            <w:r w:rsidRPr="00751A89">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AE5" w14:textId="77777777" w:rsidR="00EB11F0" w:rsidRPr="008D6424" w:rsidRDefault="00EB11F0" w:rsidP="00EB11F0">
            <w:pPr>
              <w:ind w:left="34" w:hanging="34"/>
              <w:jc w:val="center"/>
              <w:rPr>
                <w:rFonts w:ascii="Calibri" w:eastAsia="Times New Roman" w:hAnsi="Calibri" w:cs="Arial"/>
                <w:b/>
                <w:sz w:val="20"/>
                <w:szCs w:val="20"/>
                <w:lang w:eastAsia="en-AU"/>
              </w:rPr>
            </w:pPr>
            <w:r w:rsidRPr="008D6424">
              <w:rPr>
                <w:rFonts w:ascii="Calibri" w:eastAsia="Times New Roman" w:hAnsi="Calibri" w:cs="Arial"/>
                <w:b/>
                <w:sz w:val="20"/>
                <w:szCs w:val="20"/>
                <w:lang w:eastAsia="en-AU"/>
              </w:rPr>
              <w:t>WA</w:t>
            </w:r>
            <w:r w:rsidRPr="008D6424">
              <w:rPr>
                <w:rFonts w:ascii="Calibri" w:eastAsia="Times New Roman" w:hAnsi="Calibri" w:cs="Arial"/>
                <w:b/>
                <w:sz w:val="20"/>
                <w:szCs w:val="20"/>
                <w:lang w:eastAsia="en-AU"/>
              </w:rPr>
              <w:br/>
            </w:r>
            <w:r w:rsidRPr="008D6424">
              <w:rPr>
                <w:rFonts w:ascii="Calibri" w:eastAsia="Times New Roman" w:hAnsi="Calibri" w:cs="Arial"/>
                <w:sz w:val="20"/>
                <w:szCs w:val="20"/>
                <w:lang w:eastAsia="en-AU"/>
              </w:rPr>
              <w:t xml:space="preserve"> (three regions</w:t>
            </w:r>
            <w:r w:rsidRPr="008D6424">
              <w:rPr>
                <w:rFonts w:ascii="Calibri" w:eastAsia="Times New Roman" w:hAnsi="Calibri" w:cs="Arial"/>
                <w:sz w:val="20"/>
                <w:szCs w:val="20"/>
                <w:vertAlign w:val="superscript"/>
                <w:lang w:eastAsia="en-AU"/>
              </w:rPr>
              <w:t xml:space="preserve"> β</w:t>
            </w:r>
            <w:r w:rsidRPr="008D6424">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AE6" w14:textId="77777777" w:rsidR="00EB11F0" w:rsidRPr="003D3452" w:rsidRDefault="00EB11F0" w:rsidP="00EB11F0">
            <w:pPr>
              <w:ind w:left="34" w:hanging="34"/>
              <w:jc w:val="center"/>
              <w:rPr>
                <w:rFonts w:ascii="Calibri" w:eastAsia="Times New Roman" w:hAnsi="Calibri" w:cs="Arial"/>
                <w:b/>
                <w:sz w:val="20"/>
                <w:szCs w:val="20"/>
                <w:lang w:eastAsia="en-AU"/>
              </w:rPr>
            </w:pPr>
            <w:r w:rsidRPr="003D3452">
              <w:rPr>
                <w:rFonts w:ascii="Calibri" w:eastAsia="Times New Roman" w:hAnsi="Calibri" w:cs="Arial"/>
                <w:b/>
                <w:sz w:val="20"/>
                <w:szCs w:val="20"/>
                <w:lang w:eastAsia="en-AU"/>
              </w:rPr>
              <w:t>SA</w:t>
            </w:r>
          </w:p>
          <w:p w14:paraId="57B04AE7"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(three regions</w:t>
            </w:r>
            <w:r w:rsidRPr="003D3452">
              <w:rPr>
                <w:rFonts w:ascii="Calibri" w:eastAsia="Times New Roman" w:hAnsi="Calibri" w:cs="Arial"/>
                <w:sz w:val="20"/>
                <w:szCs w:val="20"/>
                <w:vertAlign w:val="superscript"/>
                <w:lang w:eastAsia="en-AU"/>
              </w:rPr>
              <w:t xml:space="preserve"> β</w:t>
            </w:r>
            <w:r w:rsidRPr="003D3452">
              <w:rPr>
                <w:rFonts w:ascii="Calibri" w:eastAsia="Times New Roman" w:hAnsi="Calibri" w:cs="Arial"/>
                <w:sz w:val="20"/>
                <w:szCs w:val="20"/>
                <w:lang w:eastAsia="en-AU"/>
              </w:rPr>
              <w:t>)</w:t>
            </w:r>
          </w:p>
        </w:tc>
      </w:tr>
      <w:tr w:rsidR="00EB11F0" w:rsidRPr="00C96B79" w14:paraId="57B04AEE" w14:textId="77777777" w:rsidTr="00EB11F0">
        <w:tc>
          <w:tcPr>
            <w:tcW w:w="3975" w:type="dxa"/>
            <w:tcBorders>
              <w:right w:val="nil"/>
            </w:tcBorders>
            <w:shd w:val="clear" w:color="auto" w:fill="DBE5F1" w:themeFill="accent1" w:themeFillTint="33"/>
          </w:tcPr>
          <w:p w14:paraId="57B04AE9" w14:textId="77777777" w:rsidR="00EB11F0" w:rsidRPr="00214F4B" w:rsidRDefault="00EB11F0" w:rsidP="00EB11F0">
            <w:pPr>
              <w:ind w:left="34" w:hanging="34"/>
              <w:rPr>
                <w:rFonts w:ascii="Calibri" w:eastAsia="Times New Roman" w:hAnsi="Calibri" w:cs="Arial"/>
                <w:b/>
                <w:sz w:val="20"/>
                <w:szCs w:val="20"/>
                <w:lang w:eastAsia="en-AU"/>
              </w:rPr>
            </w:pPr>
            <w:r w:rsidRPr="00214F4B">
              <w:rPr>
                <w:rFonts w:ascii="Calibri" w:eastAsia="Times New Roman" w:hAnsi="Calibri" w:cs="Arial"/>
                <w:b/>
                <w:sz w:val="20"/>
                <w:szCs w:val="20"/>
                <w:lang w:eastAsia="en-AU"/>
              </w:rPr>
              <w:t>Situation to-date, 30 June 2019</w:t>
            </w:r>
          </w:p>
        </w:tc>
        <w:tc>
          <w:tcPr>
            <w:tcW w:w="1701" w:type="dxa"/>
            <w:tcBorders>
              <w:left w:val="nil"/>
              <w:bottom w:val="single" w:sz="4" w:space="0" w:color="auto"/>
              <w:right w:val="nil"/>
            </w:tcBorders>
            <w:shd w:val="clear" w:color="auto" w:fill="DBE5F1" w:themeFill="accent1" w:themeFillTint="33"/>
          </w:tcPr>
          <w:p w14:paraId="57B04AEA" w14:textId="77777777" w:rsidR="00EB11F0" w:rsidRPr="00751A89" w:rsidRDefault="00EB11F0"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AEB" w14:textId="77777777" w:rsidR="00EB11F0" w:rsidRPr="00751A89" w:rsidRDefault="00EB11F0" w:rsidP="00EB11F0">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AEC" w14:textId="77777777" w:rsidR="00EB11F0" w:rsidRPr="008D6424" w:rsidRDefault="00EB11F0" w:rsidP="00EB11F0">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AED" w14:textId="77777777" w:rsidR="00EB11F0" w:rsidRPr="003D3452" w:rsidRDefault="00EB11F0" w:rsidP="00EB11F0">
            <w:pPr>
              <w:ind w:left="34" w:hanging="34"/>
              <w:rPr>
                <w:rFonts w:ascii="Calibri" w:eastAsia="Times New Roman" w:hAnsi="Calibri" w:cs="Arial"/>
                <w:sz w:val="20"/>
                <w:szCs w:val="20"/>
                <w:lang w:eastAsia="en-AU"/>
              </w:rPr>
            </w:pPr>
          </w:p>
        </w:tc>
      </w:tr>
      <w:tr w:rsidR="00EB11F0" w:rsidRPr="00C96B79" w14:paraId="57B04AF4" w14:textId="77777777" w:rsidTr="00EB11F0">
        <w:trPr>
          <w:trHeight w:val="365"/>
        </w:trPr>
        <w:tc>
          <w:tcPr>
            <w:tcW w:w="3975" w:type="dxa"/>
            <w:vAlign w:val="center"/>
          </w:tcPr>
          <w:p w14:paraId="57B04AEF"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AF0"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AF1"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AF2"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AF3"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November 2016</w:t>
            </w:r>
          </w:p>
        </w:tc>
      </w:tr>
      <w:tr w:rsidR="00EB11F0" w:rsidRPr="00C96B79" w14:paraId="57B04AFA" w14:textId="77777777" w:rsidTr="00EB11F0">
        <w:tc>
          <w:tcPr>
            <w:tcW w:w="3975" w:type="dxa"/>
          </w:tcPr>
          <w:p w14:paraId="57B04AF5"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Total number of cases</w:t>
            </w:r>
            <w:r w:rsidRPr="00214F4B">
              <w:rPr>
                <w:rFonts w:ascii="Calibri" w:eastAsia="Times New Roman" w:hAnsi="Calibri" w:cs="Arial"/>
                <w:b/>
                <w:sz w:val="20"/>
                <w:szCs w:val="20"/>
                <w:vertAlign w:val="superscript"/>
                <w:lang w:eastAsia="en-AU"/>
              </w:rPr>
              <w:t xml:space="preserve"> </w:t>
            </w:r>
            <w:r w:rsidRPr="00214F4B">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AF6"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1323</w:t>
            </w:r>
          </w:p>
        </w:tc>
        <w:tc>
          <w:tcPr>
            <w:tcW w:w="1560" w:type="dxa"/>
            <w:shd w:val="clear" w:color="auto" w:fill="B6DDE8" w:themeFill="accent5" w:themeFillTint="66"/>
            <w:vAlign w:val="center"/>
          </w:tcPr>
          <w:p w14:paraId="57B04AF7"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1068</w:t>
            </w:r>
          </w:p>
        </w:tc>
        <w:tc>
          <w:tcPr>
            <w:tcW w:w="1672" w:type="dxa"/>
            <w:shd w:val="clear" w:color="auto" w:fill="CCC0D9" w:themeFill="accent4" w:themeFillTint="66"/>
            <w:vAlign w:val="center"/>
          </w:tcPr>
          <w:p w14:paraId="57B04AF8"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343</w:t>
            </w:r>
          </w:p>
        </w:tc>
        <w:tc>
          <w:tcPr>
            <w:tcW w:w="1559" w:type="dxa"/>
            <w:shd w:val="clear" w:color="auto" w:fill="FBD4B4" w:themeFill="accent6" w:themeFillTint="66"/>
          </w:tcPr>
          <w:p w14:paraId="57B04AF9"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73</w:t>
            </w:r>
          </w:p>
        </w:tc>
      </w:tr>
      <w:tr w:rsidR="00EB11F0" w:rsidRPr="00C96B79" w14:paraId="57B04B00" w14:textId="77777777" w:rsidTr="00EB11F0">
        <w:tc>
          <w:tcPr>
            <w:tcW w:w="3975" w:type="dxa"/>
            <w:shd w:val="clear" w:color="auto" w:fill="auto"/>
          </w:tcPr>
          <w:p w14:paraId="57B04AFB"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AFC"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AFD"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46% / 54%</w:t>
            </w:r>
          </w:p>
        </w:tc>
        <w:tc>
          <w:tcPr>
            <w:tcW w:w="1672" w:type="dxa"/>
            <w:shd w:val="clear" w:color="auto" w:fill="CCC0D9" w:themeFill="accent4" w:themeFillTint="66"/>
            <w:vAlign w:val="center"/>
          </w:tcPr>
          <w:p w14:paraId="57B04AFE"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42% / 58%</w:t>
            </w:r>
          </w:p>
        </w:tc>
        <w:tc>
          <w:tcPr>
            <w:tcW w:w="1559" w:type="dxa"/>
            <w:shd w:val="clear" w:color="auto" w:fill="FBD4B4" w:themeFill="accent6" w:themeFillTint="66"/>
          </w:tcPr>
          <w:p w14:paraId="57B04AFF"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53% / 47%</w:t>
            </w:r>
          </w:p>
        </w:tc>
      </w:tr>
      <w:tr w:rsidR="00EB11F0" w:rsidRPr="00C96B79" w14:paraId="57B04B06" w14:textId="77777777" w:rsidTr="00EB11F0">
        <w:tc>
          <w:tcPr>
            <w:tcW w:w="3975" w:type="dxa"/>
            <w:shd w:val="clear" w:color="auto" w:fill="auto"/>
          </w:tcPr>
          <w:p w14:paraId="57B04B01"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B02"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66%</w:t>
            </w:r>
          </w:p>
        </w:tc>
        <w:tc>
          <w:tcPr>
            <w:tcW w:w="1560" w:type="dxa"/>
            <w:shd w:val="clear" w:color="auto" w:fill="B6DDE8" w:themeFill="accent5" w:themeFillTint="66"/>
            <w:vAlign w:val="center"/>
          </w:tcPr>
          <w:p w14:paraId="57B04B03"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61%</w:t>
            </w:r>
          </w:p>
        </w:tc>
        <w:tc>
          <w:tcPr>
            <w:tcW w:w="1672" w:type="dxa"/>
            <w:shd w:val="clear" w:color="auto" w:fill="CCC0D9" w:themeFill="accent4" w:themeFillTint="66"/>
            <w:vAlign w:val="center"/>
          </w:tcPr>
          <w:p w14:paraId="57B04B04"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69%</w:t>
            </w:r>
          </w:p>
        </w:tc>
        <w:tc>
          <w:tcPr>
            <w:tcW w:w="1559" w:type="dxa"/>
            <w:shd w:val="clear" w:color="auto" w:fill="FBD4B4" w:themeFill="accent6" w:themeFillTint="66"/>
          </w:tcPr>
          <w:p w14:paraId="57B04B05" w14:textId="77777777" w:rsidR="00EB11F0" w:rsidRPr="003D3452" w:rsidRDefault="00EB11F0" w:rsidP="00EB11F0">
            <w:pPr>
              <w:tabs>
                <w:tab w:val="left" w:pos="465"/>
                <w:tab w:val="center" w:pos="663"/>
              </w:tabs>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48%</w:t>
            </w:r>
          </w:p>
        </w:tc>
      </w:tr>
      <w:tr w:rsidR="00EB11F0" w:rsidRPr="00C96B79" w14:paraId="57B04B0C" w14:textId="77777777" w:rsidTr="00EB11F0">
        <w:tc>
          <w:tcPr>
            <w:tcW w:w="3975" w:type="dxa"/>
            <w:shd w:val="clear" w:color="auto" w:fill="auto"/>
          </w:tcPr>
          <w:p w14:paraId="57B04B07"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Congenital cases, confirmed (probable)</w:t>
            </w:r>
            <w:r w:rsidRPr="00214F4B">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B08"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B09"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B0A"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1 (0)</w:t>
            </w:r>
          </w:p>
        </w:tc>
        <w:tc>
          <w:tcPr>
            <w:tcW w:w="1559" w:type="dxa"/>
            <w:shd w:val="clear" w:color="auto" w:fill="FBD4B4" w:themeFill="accent6" w:themeFillTint="66"/>
          </w:tcPr>
          <w:p w14:paraId="57B04B0B"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1 (0)</w:t>
            </w:r>
          </w:p>
        </w:tc>
      </w:tr>
      <w:tr w:rsidR="00EB11F0" w:rsidRPr="00C96B79" w14:paraId="57B04B12" w14:textId="77777777" w:rsidTr="00EB11F0">
        <w:tc>
          <w:tcPr>
            <w:tcW w:w="3975" w:type="dxa"/>
            <w:tcBorders>
              <w:bottom w:val="single" w:sz="4" w:space="0" w:color="auto"/>
            </w:tcBorders>
            <w:shd w:val="clear" w:color="auto" w:fill="auto"/>
          </w:tcPr>
          <w:p w14:paraId="57B04B0D"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B0E"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B0F"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B10"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B11"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0 (0)</w:t>
            </w:r>
          </w:p>
        </w:tc>
      </w:tr>
      <w:tr w:rsidR="00EB11F0" w:rsidRPr="00C96B79" w14:paraId="57B04B14" w14:textId="77777777" w:rsidTr="00EB11F0">
        <w:tc>
          <w:tcPr>
            <w:tcW w:w="10467" w:type="dxa"/>
            <w:gridSpan w:val="5"/>
            <w:tcBorders>
              <w:bottom w:val="single" w:sz="4" w:space="0" w:color="auto"/>
            </w:tcBorders>
            <w:shd w:val="clear" w:color="auto" w:fill="auto"/>
          </w:tcPr>
          <w:p w14:paraId="57B04B13" w14:textId="77777777" w:rsidR="00EB11F0" w:rsidRPr="003D3452" w:rsidRDefault="00EB11F0" w:rsidP="00EB11F0">
            <w:pPr>
              <w:ind w:left="34" w:hanging="34"/>
              <w:rPr>
                <w:rFonts w:ascii="Calibri" w:eastAsia="Times New Roman" w:hAnsi="Calibri" w:cs="Arial"/>
                <w:sz w:val="20"/>
                <w:szCs w:val="20"/>
                <w:lang w:eastAsia="en-AU"/>
              </w:rPr>
            </w:pPr>
            <w:r w:rsidRPr="003D3452">
              <w:rPr>
                <w:rFonts w:ascii="Calibri" w:eastAsia="Times New Roman" w:hAnsi="Calibri" w:cs="Arial"/>
                <w:b/>
                <w:sz w:val="20"/>
                <w:szCs w:val="20"/>
                <w:lang w:eastAsia="en-AU"/>
              </w:rPr>
              <w:t>Last reporting month, 1 – 30 June 2019</w:t>
            </w:r>
          </w:p>
        </w:tc>
      </w:tr>
      <w:tr w:rsidR="00EB11F0" w:rsidRPr="00C96B79" w14:paraId="57B04B1A" w14:textId="77777777" w:rsidTr="00EB11F0">
        <w:tc>
          <w:tcPr>
            <w:tcW w:w="3975" w:type="dxa"/>
            <w:shd w:val="clear" w:color="auto" w:fill="auto"/>
          </w:tcPr>
          <w:p w14:paraId="57B04B15"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Number of cases</w:t>
            </w:r>
            <w:r w:rsidRPr="00214F4B">
              <w:rPr>
                <w:rFonts w:ascii="Calibri" w:eastAsia="Times New Roman" w:hAnsi="Calibri" w:cs="Arial"/>
                <w:b/>
                <w:sz w:val="20"/>
                <w:szCs w:val="20"/>
                <w:vertAlign w:val="superscript"/>
                <w:lang w:eastAsia="en-AU"/>
              </w:rPr>
              <w:t xml:space="preserve"> </w:t>
            </w:r>
            <w:r w:rsidRPr="00214F4B">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B16"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18</w:t>
            </w:r>
          </w:p>
        </w:tc>
        <w:tc>
          <w:tcPr>
            <w:tcW w:w="1560" w:type="dxa"/>
            <w:shd w:val="clear" w:color="auto" w:fill="B6DDE8" w:themeFill="accent5" w:themeFillTint="66"/>
            <w:vAlign w:val="center"/>
          </w:tcPr>
          <w:p w14:paraId="57B04B17"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20</w:t>
            </w:r>
          </w:p>
        </w:tc>
        <w:tc>
          <w:tcPr>
            <w:tcW w:w="1672" w:type="dxa"/>
            <w:shd w:val="clear" w:color="auto" w:fill="CCC0D9" w:themeFill="accent4" w:themeFillTint="66"/>
            <w:vAlign w:val="center"/>
          </w:tcPr>
          <w:p w14:paraId="57B04B18"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21</w:t>
            </w:r>
          </w:p>
        </w:tc>
        <w:tc>
          <w:tcPr>
            <w:tcW w:w="1559" w:type="dxa"/>
            <w:shd w:val="clear" w:color="auto" w:fill="FBD4B4" w:themeFill="accent6" w:themeFillTint="66"/>
          </w:tcPr>
          <w:p w14:paraId="57B04B19"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1</w:t>
            </w:r>
          </w:p>
        </w:tc>
      </w:tr>
      <w:tr w:rsidR="00EB11F0" w:rsidRPr="00C96B79" w14:paraId="57B04B20" w14:textId="77777777" w:rsidTr="00EB11F0">
        <w:tc>
          <w:tcPr>
            <w:tcW w:w="3975" w:type="dxa"/>
            <w:shd w:val="clear" w:color="auto" w:fill="auto"/>
          </w:tcPr>
          <w:p w14:paraId="57B04B1B"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B1C"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33% / 67%</w:t>
            </w:r>
          </w:p>
        </w:tc>
        <w:tc>
          <w:tcPr>
            <w:tcW w:w="1560" w:type="dxa"/>
            <w:shd w:val="clear" w:color="auto" w:fill="B6DDE8" w:themeFill="accent5" w:themeFillTint="66"/>
            <w:vAlign w:val="center"/>
          </w:tcPr>
          <w:p w14:paraId="57B04B1D"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40% / 50%</w:t>
            </w:r>
          </w:p>
        </w:tc>
        <w:tc>
          <w:tcPr>
            <w:tcW w:w="1672" w:type="dxa"/>
            <w:shd w:val="clear" w:color="auto" w:fill="CCC0D9" w:themeFill="accent4" w:themeFillTint="66"/>
            <w:vAlign w:val="center"/>
          </w:tcPr>
          <w:p w14:paraId="57B04B1E"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57% / 43%</w:t>
            </w:r>
          </w:p>
        </w:tc>
        <w:tc>
          <w:tcPr>
            <w:tcW w:w="1559" w:type="dxa"/>
            <w:shd w:val="clear" w:color="auto" w:fill="FBD4B4" w:themeFill="accent6" w:themeFillTint="66"/>
          </w:tcPr>
          <w:p w14:paraId="57B04B1F"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100% / 0%</w:t>
            </w:r>
          </w:p>
        </w:tc>
      </w:tr>
      <w:tr w:rsidR="00EB11F0" w:rsidRPr="00C96B79" w14:paraId="57B04B26" w14:textId="77777777" w:rsidTr="00EB11F0">
        <w:tc>
          <w:tcPr>
            <w:tcW w:w="3975" w:type="dxa"/>
            <w:shd w:val="clear" w:color="auto" w:fill="auto"/>
          </w:tcPr>
          <w:p w14:paraId="57B04B21" w14:textId="77777777" w:rsidR="00EB11F0" w:rsidRPr="00214F4B" w:rsidRDefault="00EB11F0" w:rsidP="00EB11F0">
            <w:pPr>
              <w:ind w:left="34" w:hanging="34"/>
              <w:rPr>
                <w:rFonts w:ascii="Calibri" w:eastAsia="Times New Roman" w:hAnsi="Calibri" w:cs="Arial"/>
                <w:sz w:val="20"/>
                <w:szCs w:val="20"/>
                <w:lang w:eastAsia="en-AU"/>
              </w:rPr>
            </w:pPr>
            <w:r w:rsidRPr="00214F4B">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B22" w14:textId="77777777" w:rsidR="00EB11F0" w:rsidRPr="00751A89" w:rsidRDefault="00EB11F0" w:rsidP="00EB11F0">
            <w:pPr>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78%</w:t>
            </w:r>
          </w:p>
        </w:tc>
        <w:tc>
          <w:tcPr>
            <w:tcW w:w="1560" w:type="dxa"/>
            <w:shd w:val="clear" w:color="auto" w:fill="B6DDE8" w:themeFill="accent5" w:themeFillTint="66"/>
            <w:vAlign w:val="center"/>
          </w:tcPr>
          <w:p w14:paraId="57B04B23" w14:textId="77777777" w:rsidR="00EB11F0" w:rsidRPr="00751A89" w:rsidRDefault="00EB11F0" w:rsidP="00EB11F0">
            <w:pPr>
              <w:ind w:left="34" w:hanging="34"/>
              <w:jc w:val="center"/>
              <w:rPr>
                <w:rFonts w:ascii="Calibri" w:eastAsia="Times New Roman" w:hAnsi="Calibri" w:cs="Arial"/>
                <w:sz w:val="20"/>
                <w:szCs w:val="20"/>
                <w:lang w:eastAsia="en-AU"/>
              </w:rPr>
            </w:pPr>
            <w:r w:rsidRPr="00751A89">
              <w:rPr>
                <w:rFonts w:ascii="Calibri" w:eastAsia="Times New Roman" w:hAnsi="Calibri" w:cs="Arial"/>
                <w:sz w:val="20"/>
                <w:szCs w:val="20"/>
                <w:lang w:eastAsia="en-AU"/>
              </w:rPr>
              <w:t>45%</w:t>
            </w:r>
          </w:p>
        </w:tc>
        <w:tc>
          <w:tcPr>
            <w:tcW w:w="1672" w:type="dxa"/>
            <w:shd w:val="clear" w:color="auto" w:fill="CCC0D9" w:themeFill="accent4" w:themeFillTint="66"/>
            <w:vAlign w:val="center"/>
          </w:tcPr>
          <w:p w14:paraId="57B04B24" w14:textId="77777777" w:rsidR="00EB11F0" w:rsidRPr="008D6424" w:rsidRDefault="00EB11F0" w:rsidP="00EB11F0">
            <w:pPr>
              <w:ind w:left="34" w:hanging="34"/>
              <w:jc w:val="center"/>
              <w:rPr>
                <w:rFonts w:ascii="Calibri" w:eastAsia="Times New Roman" w:hAnsi="Calibri" w:cs="Arial"/>
                <w:sz w:val="20"/>
                <w:szCs w:val="20"/>
                <w:lang w:eastAsia="en-AU"/>
              </w:rPr>
            </w:pPr>
            <w:r w:rsidRPr="008D6424">
              <w:rPr>
                <w:rFonts w:ascii="Calibri" w:eastAsia="Times New Roman" w:hAnsi="Calibri" w:cs="Arial"/>
                <w:sz w:val="20"/>
                <w:szCs w:val="20"/>
                <w:lang w:eastAsia="en-AU"/>
              </w:rPr>
              <w:t>43%</w:t>
            </w:r>
          </w:p>
        </w:tc>
        <w:tc>
          <w:tcPr>
            <w:tcW w:w="1559" w:type="dxa"/>
            <w:shd w:val="clear" w:color="auto" w:fill="FBD4B4" w:themeFill="accent6" w:themeFillTint="66"/>
          </w:tcPr>
          <w:p w14:paraId="57B04B25" w14:textId="77777777" w:rsidR="00EB11F0" w:rsidRPr="003D3452" w:rsidRDefault="00EB11F0" w:rsidP="00EB11F0">
            <w:pPr>
              <w:ind w:left="34" w:hanging="34"/>
              <w:jc w:val="center"/>
              <w:rPr>
                <w:rFonts w:ascii="Calibri" w:eastAsia="Times New Roman" w:hAnsi="Calibri" w:cs="Arial"/>
                <w:sz w:val="20"/>
                <w:szCs w:val="20"/>
                <w:lang w:eastAsia="en-AU"/>
              </w:rPr>
            </w:pPr>
            <w:r w:rsidRPr="003D3452">
              <w:rPr>
                <w:rFonts w:ascii="Calibri" w:eastAsia="Times New Roman" w:hAnsi="Calibri" w:cs="Arial"/>
                <w:sz w:val="20"/>
                <w:szCs w:val="20"/>
                <w:lang w:eastAsia="en-AU"/>
              </w:rPr>
              <w:t>0%</w:t>
            </w:r>
          </w:p>
        </w:tc>
      </w:tr>
    </w:tbl>
    <w:p w14:paraId="57B04B27" w14:textId="77777777" w:rsidR="00EB11F0" w:rsidRPr="00C96B79" w:rsidRDefault="00EB11F0" w:rsidP="00EB11F0">
      <w:pPr>
        <w:pStyle w:val="ListParagraph"/>
        <w:spacing w:before="60" w:after="0" w:line="240" w:lineRule="auto"/>
        <w:ind w:left="-567"/>
        <w:contextualSpacing w:val="0"/>
        <w:rPr>
          <w:b/>
          <w:sz w:val="16"/>
          <w:szCs w:val="16"/>
          <w:highlight w:val="yellow"/>
          <w:vertAlign w:val="superscript"/>
        </w:rPr>
      </w:pPr>
    </w:p>
    <w:p w14:paraId="57B04B28" w14:textId="77777777" w:rsidR="00EB11F0" w:rsidRPr="00214F4B" w:rsidRDefault="00EB11F0" w:rsidP="00EB11F0">
      <w:pPr>
        <w:pStyle w:val="ListParagraph"/>
        <w:spacing w:before="60" w:after="0" w:line="240" w:lineRule="auto"/>
        <w:ind w:left="-709"/>
        <w:contextualSpacing w:val="0"/>
        <w:rPr>
          <w:rFonts w:ascii="Arial" w:hAnsi="Arial" w:cs="Arial"/>
          <w:sz w:val="20"/>
          <w:szCs w:val="16"/>
        </w:rPr>
      </w:pPr>
      <w:r w:rsidRPr="00214F4B">
        <w:rPr>
          <w:rFonts w:ascii="Arial" w:hAnsi="Arial" w:cs="Arial"/>
          <w:b/>
          <w:sz w:val="20"/>
          <w:szCs w:val="16"/>
        </w:rPr>
        <w:t xml:space="preserve">Table 2. </w:t>
      </w:r>
      <w:r w:rsidRPr="00214F4B">
        <w:rPr>
          <w:rFonts w:ascii="Arial" w:hAnsi="Arial" w:cs="Arial"/>
          <w:sz w:val="20"/>
          <w:szCs w:val="16"/>
        </w:rPr>
        <w:t>Number of category 2 infectious syphilis</w:t>
      </w:r>
      <w:r w:rsidRPr="00214F4B">
        <w:rPr>
          <w:rFonts w:ascii="Arial" w:hAnsi="Arial" w:cs="Arial"/>
          <w:sz w:val="20"/>
          <w:szCs w:val="20"/>
          <w:vertAlign w:val="superscript"/>
        </w:rPr>
        <w:t>α</w:t>
      </w:r>
      <w:r w:rsidRPr="00214F4B">
        <w:rPr>
          <w:rFonts w:ascii="Arial" w:hAnsi="Arial" w:cs="Arial"/>
          <w:sz w:val="20"/>
          <w:szCs w:val="20"/>
        </w:rPr>
        <w:t xml:space="preserve"> cases</w:t>
      </w:r>
      <w:r w:rsidRPr="00214F4B">
        <w:rPr>
          <w:rFonts w:ascii="Arial" w:hAnsi="Arial" w:cs="Arial"/>
          <w:sz w:val="20"/>
          <w:szCs w:val="16"/>
        </w:rPr>
        <w:t>, to 30 June 2019</w:t>
      </w:r>
      <w:r w:rsidRPr="00214F4B">
        <w:rPr>
          <w:rFonts w:ascii="Arial" w:hAnsi="Arial" w:cs="Arial"/>
          <w:sz w:val="20"/>
          <w:szCs w:val="20"/>
          <w:vertAlign w:val="superscript"/>
        </w:rPr>
        <w:t xml:space="preserve"> ȶ ᵞ</w:t>
      </w:r>
      <w:r w:rsidRPr="00214F4B">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EB11F0" w:rsidRPr="00C96B79" w14:paraId="57B04B2F" w14:textId="77777777" w:rsidTr="00EB11F0">
        <w:trPr>
          <w:tblHeader/>
        </w:trPr>
        <w:tc>
          <w:tcPr>
            <w:tcW w:w="3964" w:type="dxa"/>
            <w:tcBorders>
              <w:bottom w:val="single" w:sz="4" w:space="0" w:color="auto"/>
            </w:tcBorders>
          </w:tcPr>
          <w:p w14:paraId="57B04B29" w14:textId="77777777" w:rsidR="00EB11F0" w:rsidRPr="00C96B79" w:rsidRDefault="00EB11F0" w:rsidP="00EB11F0">
            <w:pPr>
              <w:pStyle w:val="ListParagraph"/>
              <w:spacing w:before="60"/>
              <w:ind w:left="0"/>
              <w:contextualSpacing w:val="0"/>
              <w:jc w:val="center"/>
              <w:rPr>
                <w:rFonts w:ascii="Calibri" w:eastAsia="Times New Roman" w:hAnsi="Calibri" w:cs="Arial"/>
                <w:b/>
                <w:sz w:val="20"/>
                <w:szCs w:val="20"/>
                <w:highlight w:val="yellow"/>
                <w:lang w:eastAsia="en-AU"/>
              </w:rPr>
            </w:pPr>
          </w:p>
        </w:tc>
        <w:tc>
          <w:tcPr>
            <w:tcW w:w="1701" w:type="dxa"/>
            <w:tcBorders>
              <w:bottom w:val="single" w:sz="4" w:space="0" w:color="auto"/>
            </w:tcBorders>
            <w:shd w:val="clear" w:color="auto" w:fill="B8CCE4" w:themeFill="accent1" w:themeFillTint="66"/>
          </w:tcPr>
          <w:p w14:paraId="57B04B2A" w14:textId="77777777" w:rsidR="00EB11F0" w:rsidRPr="00751A89" w:rsidRDefault="00EB11F0" w:rsidP="00EB11F0">
            <w:pPr>
              <w:pStyle w:val="ListParagraph"/>
              <w:spacing w:before="60"/>
              <w:ind w:left="0"/>
              <w:contextualSpacing w:val="0"/>
              <w:jc w:val="center"/>
              <w:rPr>
                <w:rFonts w:ascii="Calibri" w:eastAsia="Times New Roman" w:hAnsi="Calibri" w:cs="Arial"/>
                <w:b/>
                <w:sz w:val="20"/>
                <w:szCs w:val="20"/>
                <w:lang w:eastAsia="en-AU"/>
              </w:rPr>
            </w:pPr>
            <w:r w:rsidRPr="00751A89">
              <w:rPr>
                <w:rFonts w:ascii="Calibri" w:eastAsia="Times New Roman" w:hAnsi="Calibri" w:cs="Arial"/>
                <w:b/>
                <w:sz w:val="20"/>
                <w:szCs w:val="20"/>
                <w:lang w:eastAsia="en-AU"/>
              </w:rPr>
              <w:t xml:space="preserve">North Qld </w:t>
            </w:r>
            <w:r w:rsidRPr="00751A89">
              <w:rPr>
                <w:rFonts w:ascii="Calibri" w:eastAsia="Times New Roman" w:hAnsi="Calibri" w:cs="Arial"/>
                <w:b/>
                <w:sz w:val="20"/>
                <w:szCs w:val="20"/>
                <w:lang w:eastAsia="en-AU"/>
              </w:rPr>
              <w:br/>
            </w:r>
            <w:r w:rsidRPr="00751A89">
              <w:rPr>
                <w:rFonts w:ascii="Calibri" w:eastAsia="Times New Roman" w:hAnsi="Calibri" w:cs="Arial"/>
                <w:sz w:val="20"/>
                <w:szCs w:val="20"/>
                <w:lang w:eastAsia="en-AU"/>
              </w:rPr>
              <w:t>(four HHSs</w:t>
            </w:r>
            <w:r w:rsidRPr="00751A89">
              <w:rPr>
                <w:rFonts w:ascii="Calibri" w:eastAsia="Times New Roman" w:hAnsi="Calibri" w:cs="Arial"/>
                <w:sz w:val="20"/>
                <w:szCs w:val="20"/>
                <w:vertAlign w:val="superscript"/>
                <w:lang w:eastAsia="en-AU"/>
              </w:rPr>
              <w:t>β</w:t>
            </w:r>
            <w:r w:rsidRPr="00751A8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B2B" w14:textId="77777777" w:rsidR="00EB11F0" w:rsidRPr="008D6424" w:rsidRDefault="00EB11F0" w:rsidP="00EB11F0">
            <w:pPr>
              <w:pStyle w:val="ListParagraph"/>
              <w:spacing w:before="60"/>
              <w:ind w:left="0"/>
              <w:contextualSpacing w:val="0"/>
              <w:jc w:val="center"/>
              <w:rPr>
                <w:rFonts w:ascii="Calibri" w:hAnsi="Calibri"/>
                <w:b/>
                <w:sz w:val="20"/>
                <w:szCs w:val="16"/>
              </w:rPr>
            </w:pPr>
            <w:r w:rsidRPr="008D6424">
              <w:rPr>
                <w:rFonts w:ascii="Calibri" w:eastAsia="Times New Roman" w:hAnsi="Calibri" w:cs="Arial"/>
                <w:b/>
                <w:sz w:val="20"/>
                <w:szCs w:val="20"/>
                <w:lang w:eastAsia="en-AU"/>
              </w:rPr>
              <w:t xml:space="preserve">NT </w:t>
            </w:r>
            <w:r w:rsidRPr="008D6424">
              <w:rPr>
                <w:rFonts w:ascii="Calibri" w:eastAsia="Times New Roman" w:hAnsi="Calibri" w:cs="Arial"/>
                <w:b/>
                <w:sz w:val="20"/>
                <w:szCs w:val="20"/>
                <w:lang w:eastAsia="en-AU"/>
              </w:rPr>
              <w:br/>
            </w:r>
            <w:r w:rsidRPr="008D6424">
              <w:rPr>
                <w:rFonts w:ascii="Calibri" w:eastAsia="Times New Roman" w:hAnsi="Calibri" w:cs="Arial"/>
                <w:sz w:val="20"/>
                <w:szCs w:val="20"/>
                <w:lang w:eastAsia="en-AU"/>
              </w:rPr>
              <w:t>(seven regions</w:t>
            </w:r>
            <w:r w:rsidRPr="008D6424">
              <w:rPr>
                <w:rFonts w:ascii="Calibri" w:eastAsia="Times New Roman" w:hAnsi="Calibri" w:cs="Arial"/>
                <w:sz w:val="20"/>
                <w:szCs w:val="20"/>
                <w:vertAlign w:val="superscript"/>
                <w:lang w:eastAsia="en-AU"/>
              </w:rPr>
              <w:t xml:space="preserve"> β</w:t>
            </w:r>
            <w:r w:rsidRPr="008D6424">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B2C" w14:textId="77777777" w:rsidR="00EB11F0" w:rsidRPr="003D3452" w:rsidRDefault="00EB11F0" w:rsidP="00EB11F0">
            <w:pPr>
              <w:pStyle w:val="ListParagraph"/>
              <w:spacing w:before="60"/>
              <w:ind w:left="0"/>
              <w:contextualSpacing w:val="0"/>
              <w:jc w:val="center"/>
              <w:rPr>
                <w:rFonts w:ascii="Calibri" w:hAnsi="Calibri"/>
                <w:b/>
                <w:sz w:val="20"/>
                <w:szCs w:val="16"/>
              </w:rPr>
            </w:pPr>
            <w:r w:rsidRPr="003D3452">
              <w:rPr>
                <w:rFonts w:ascii="Calibri" w:eastAsia="Times New Roman" w:hAnsi="Calibri" w:cs="Arial"/>
                <w:b/>
                <w:sz w:val="20"/>
                <w:szCs w:val="20"/>
                <w:lang w:eastAsia="en-AU"/>
              </w:rPr>
              <w:t>WA</w:t>
            </w:r>
            <w:r w:rsidRPr="003D3452">
              <w:rPr>
                <w:rFonts w:ascii="Calibri" w:eastAsia="Times New Roman" w:hAnsi="Calibri" w:cs="Arial"/>
                <w:b/>
                <w:sz w:val="20"/>
                <w:szCs w:val="20"/>
                <w:lang w:eastAsia="en-AU"/>
              </w:rPr>
              <w:br/>
            </w:r>
            <w:r w:rsidRPr="003D3452">
              <w:rPr>
                <w:rFonts w:ascii="Calibri" w:eastAsia="Times New Roman" w:hAnsi="Calibri" w:cs="Arial"/>
                <w:sz w:val="20"/>
                <w:szCs w:val="20"/>
                <w:lang w:eastAsia="en-AU"/>
              </w:rPr>
              <w:t xml:space="preserve"> (three regions</w:t>
            </w:r>
            <w:r w:rsidRPr="003D3452">
              <w:rPr>
                <w:rFonts w:ascii="Calibri" w:eastAsia="Times New Roman" w:hAnsi="Calibri" w:cs="Arial"/>
                <w:sz w:val="20"/>
                <w:szCs w:val="20"/>
                <w:vertAlign w:val="superscript"/>
                <w:lang w:eastAsia="en-AU"/>
              </w:rPr>
              <w:t xml:space="preserve"> β</w:t>
            </w:r>
            <w:r w:rsidRPr="003D3452">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B2D" w14:textId="77777777" w:rsidR="00EB11F0" w:rsidRPr="003D3452" w:rsidRDefault="00EB11F0" w:rsidP="00EB11F0">
            <w:pPr>
              <w:ind w:left="34" w:hanging="34"/>
              <w:jc w:val="center"/>
              <w:rPr>
                <w:rFonts w:ascii="Calibri" w:eastAsia="Times New Roman" w:hAnsi="Calibri" w:cs="Arial"/>
                <w:b/>
                <w:sz w:val="20"/>
                <w:szCs w:val="20"/>
                <w:lang w:eastAsia="en-AU"/>
              </w:rPr>
            </w:pPr>
            <w:r w:rsidRPr="003D3452">
              <w:rPr>
                <w:rFonts w:ascii="Calibri" w:eastAsia="Times New Roman" w:hAnsi="Calibri" w:cs="Arial"/>
                <w:b/>
                <w:sz w:val="20"/>
                <w:szCs w:val="20"/>
                <w:lang w:eastAsia="en-AU"/>
              </w:rPr>
              <w:t>SA</w:t>
            </w:r>
          </w:p>
          <w:p w14:paraId="57B04B2E" w14:textId="77777777" w:rsidR="00EB11F0" w:rsidRPr="003D3452" w:rsidRDefault="00EB11F0" w:rsidP="00EB11F0">
            <w:pPr>
              <w:pStyle w:val="ListParagraph"/>
              <w:spacing w:before="60"/>
              <w:ind w:left="0"/>
              <w:contextualSpacing w:val="0"/>
              <w:jc w:val="center"/>
              <w:rPr>
                <w:rFonts w:ascii="Calibri" w:hAnsi="Calibri"/>
                <w:b/>
                <w:sz w:val="20"/>
                <w:szCs w:val="16"/>
              </w:rPr>
            </w:pPr>
            <w:r w:rsidRPr="003D3452">
              <w:rPr>
                <w:rFonts w:ascii="Calibri" w:eastAsia="Times New Roman" w:hAnsi="Calibri" w:cs="Arial"/>
                <w:sz w:val="20"/>
                <w:szCs w:val="20"/>
                <w:lang w:eastAsia="en-AU"/>
              </w:rPr>
              <w:t>(three regions</w:t>
            </w:r>
            <w:r w:rsidRPr="003D3452">
              <w:rPr>
                <w:rFonts w:ascii="Calibri" w:eastAsia="Times New Roman" w:hAnsi="Calibri" w:cs="Arial"/>
                <w:sz w:val="20"/>
                <w:szCs w:val="20"/>
                <w:vertAlign w:val="superscript"/>
                <w:lang w:eastAsia="en-AU"/>
              </w:rPr>
              <w:t xml:space="preserve"> β</w:t>
            </w:r>
            <w:r w:rsidRPr="003D3452">
              <w:rPr>
                <w:rFonts w:ascii="Calibri" w:eastAsia="Times New Roman" w:hAnsi="Calibri" w:cs="Arial"/>
                <w:sz w:val="20"/>
                <w:szCs w:val="20"/>
                <w:lang w:eastAsia="en-AU"/>
              </w:rPr>
              <w:t>)</w:t>
            </w:r>
          </w:p>
        </w:tc>
      </w:tr>
      <w:tr w:rsidR="00EB11F0" w:rsidRPr="00C96B79" w14:paraId="57B04B31" w14:textId="77777777" w:rsidTr="00EB11F0">
        <w:tc>
          <w:tcPr>
            <w:tcW w:w="10456" w:type="dxa"/>
            <w:gridSpan w:val="5"/>
            <w:shd w:val="clear" w:color="auto" w:fill="DBE5F1" w:themeFill="accent1" w:themeFillTint="33"/>
          </w:tcPr>
          <w:p w14:paraId="57B04B30" w14:textId="77777777" w:rsidR="00EB11F0" w:rsidRPr="003D3452" w:rsidRDefault="00EB11F0" w:rsidP="00EB11F0">
            <w:pPr>
              <w:pStyle w:val="ListParagraph"/>
              <w:spacing w:before="60"/>
              <w:ind w:left="0"/>
              <w:contextualSpacing w:val="0"/>
              <w:rPr>
                <w:b/>
                <w:sz w:val="16"/>
                <w:szCs w:val="16"/>
              </w:rPr>
            </w:pPr>
            <w:r w:rsidRPr="003D3452">
              <w:rPr>
                <w:b/>
                <w:sz w:val="20"/>
                <w:szCs w:val="16"/>
              </w:rPr>
              <w:t xml:space="preserve">Situation to-date, </w:t>
            </w:r>
            <w:r w:rsidRPr="003D3452">
              <w:rPr>
                <w:rFonts w:ascii="Calibri" w:eastAsia="Times New Roman" w:hAnsi="Calibri" w:cs="Arial"/>
                <w:b/>
                <w:sz w:val="20"/>
                <w:szCs w:val="20"/>
                <w:lang w:eastAsia="en-AU"/>
              </w:rPr>
              <w:t>30 June 2019</w:t>
            </w:r>
          </w:p>
        </w:tc>
      </w:tr>
      <w:tr w:rsidR="00EB11F0" w:rsidRPr="00C96B79" w14:paraId="57B04B37" w14:textId="77777777" w:rsidTr="00EB11F0">
        <w:tc>
          <w:tcPr>
            <w:tcW w:w="3964" w:type="dxa"/>
            <w:shd w:val="clear" w:color="auto" w:fill="auto"/>
          </w:tcPr>
          <w:p w14:paraId="57B04B32" w14:textId="77777777" w:rsidR="00EB11F0" w:rsidRPr="00214F4B" w:rsidRDefault="00EB11F0" w:rsidP="00EB11F0">
            <w:pPr>
              <w:pStyle w:val="ListParagraph"/>
              <w:spacing w:before="60"/>
              <w:ind w:left="0"/>
              <w:contextualSpacing w:val="0"/>
              <w:rPr>
                <w:sz w:val="20"/>
                <w:szCs w:val="16"/>
              </w:rPr>
            </w:pPr>
            <w:r w:rsidRPr="00214F4B">
              <w:rPr>
                <w:sz w:val="20"/>
                <w:szCs w:val="16"/>
              </w:rPr>
              <w:t>Outbreak commencement month/year</w:t>
            </w:r>
          </w:p>
        </w:tc>
        <w:tc>
          <w:tcPr>
            <w:tcW w:w="1701" w:type="dxa"/>
            <w:shd w:val="clear" w:color="auto" w:fill="B8CCE4" w:themeFill="accent1" w:themeFillTint="66"/>
          </w:tcPr>
          <w:p w14:paraId="57B04B33" w14:textId="77777777" w:rsidR="00EB11F0" w:rsidRPr="00751A89" w:rsidRDefault="00EB11F0" w:rsidP="00EB11F0">
            <w:pPr>
              <w:pStyle w:val="ListParagraph"/>
              <w:spacing w:before="60"/>
              <w:ind w:left="0"/>
              <w:contextualSpacing w:val="0"/>
              <w:jc w:val="center"/>
              <w:rPr>
                <w:sz w:val="20"/>
                <w:szCs w:val="16"/>
              </w:rPr>
            </w:pPr>
            <w:r w:rsidRPr="00751A89">
              <w:rPr>
                <w:sz w:val="20"/>
                <w:szCs w:val="16"/>
              </w:rPr>
              <w:t>January 2011</w:t>
            </w:r>
          </w:p>
        </w:tc>
        <w:tc>
          <w:tcPr>
            <w:tcW w:w="1560" w:type="dxa"/>
            <w:shd w:val="clear" w:color="auto" w:fill="B6DDE8" w:themeFill="accent5" w:themeFillTint="66"/>
          </w:tcPr>
          <w:p w14:paraId="57B04B34" w14:textId="77777777" w:rsidR="00EB11F0" w:rsidRPr="008D6424" w:rsidRDefault="00EB11F0" w:rsidP="00EB11F0">
            <w:pPr>
              <w:pStyle w:val="ListParagraph"/>
              <w:spacing w:before="60"/>
              <w:ind w:left="0"/>
              <w:contextualSpacing w:val="0"/>
              <w:jc w:val="center"/>
              <w:rPr>
                <w:sz w:val="20"/>
                <w:szCs w:val="16"/>
              </w:rPr>
            </w:pPr>
            <w:r w:rsidRPr="008D6424">
              <w:rPr>
                <w:sz w:val="20"/>
                <w:szCs w:val="16"/>
              </w:rPr>
              <w:t>July 2013</w:t>
            </w:r>
          </w:p>
        </w:tc>
        <w:tc>
          <w:tcPr>
            <w:tcW w:w="1672" w:type="dxa"/>
            <w:shd w:val="clear" w:color="auto" w:fill="CCC0D9" w:themeFill="accent4" w:themeFillTint="66"/>
          </w:tcPr>
          <w:p w14:paraId="57B04B35"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June 2014</w:t>
            </w:r>
          </w:p>
        </w:tc>
        <w:tc>
          <w:tcPr>
            <w:tcW w:w="1559" w:type="dxa"/>
            <w:shd w:val="clear" w:color="auto" w:fill="FBD4B4" w:themeFill="accent6" w:themeFillTint="66"/>
          </w:tcPr>
          <w:p w14:paraId="57B04B36"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November 2016</w:t>
            </w:r>
          </w:p>
        </w:tc>
      </w:tr>
      <w:tr w:rsidR="00EB11F0" w:rsidRPr="00C96B79" w14:paraId="57B04B3D" w14:textId="77777777" w:rsidTr="00EB11F0">
        <w:tc>
          <w:tcPr>
            <w:tcW w:w="3964" w:type="dxa"/>
            <w:shd w:val="clear" w:color="auto" w:fill="auto"/>
          </w:tcPr>
          <w:p w14:paraId="57B04B38" w14:textId="77777777" w:rsidR="00EB11F0" w:rsidRPr="00214F4B" w:rsidRDefault="00EB11F0" w:rsidP="00EB11F0">
            <w:pPr>
              <w:pStyle w:val="ListParagraph"/>
              <w:spacing w:before="60"/>
              <w:ind w:left="0"/>
              <w:contextualSpacing w:val="0"/>
              <w:rPr>
                <w:sz w:val="16"/>
                <w:szCs w:val="16"/>
              </w:rPr>
            </w:pPr>
            <w:r w:rsidRPr="00214F4B">
              <w:rPr>
                <w:sz w:val="20"/>
                <w:szCs w:val="16"/>
              </w:rPr>
              <w:t>Aboriginal and Torres Strait Islander people</w:t>
            </w:r>
            <w:r w:rsidRPr="00214F4B">
              <w:rPr>
                <w:rFonts w:ascii="Agency FB" w:hAnsi="Agency FB"/>
                <w:sz w:val="20"/>
                <w:szCs w:val="16"/>
                <w:vertAlign w:val="superscript"/>
              </w:rPr>
              <w:t>§</w:t>
            </w:r>
          </w:p>
        </w:tc>
        <w:tc>
          <w:tcPr>
            <w:tcW w:w="1701" w:type="dxa"/>
            <w:shd w:val="clear" w:color="auto" w:fill="B8CCE4" w:themeFill="accent1" w:themeFillTint="66"/>
          </w:tcPr>
          <w:p w14:paraId="57B04B39" w14:textId="77777777" w:rsidR="00EB11F0" w:rsidRPr="00751A89" w:rsidRDefault="00EB11F0" w:rsidP="00EB11F0">
            <w:pPr>
              <w:pStyle w:val="ListParagraph"/>
              <w:spacing w:before="60"/>
              <w:ind w:left="0"/>
              <w:contextualSpacing w:val="0"/>
              <w:jc w:val="center"/>
              <w:rPr>
                <w:sz w:val="20"/>
                <w:szCs w:val="16"/>
              </w:rPr>
            </w:pPr>
            <w:r w:rsidRPr="00751A89">
              <w:rPr>
                <w:sz w:val="20"/>
                <w:szCs w:val="16"/>
              </w:rPr>
              <w:t>13</w:t>
            </w:r>
          </w:p>
        </w:tc>
        <w:tc>
          <w:tcPr>
            <w:tcW w:w="1560" w:type="dxa"/>
            <w:shd w:val="clear" w:color="auto" w:fill="B6DDE8" w:themeFill="accent5" w:themeFillTint="66"/>
          </w:tcPr>
          <w:p w14:paraId="57B04B3A" w14:textId="77777777" w:rsidR="00EB11F0" w:rsidRPr="008D6424" w:rsidRDefault="00EB11F0" w:rsidP="00EB11F0">
            <w:pPr>
              <w:pStyle w:val="ListParagraph"/>
              <w:spacing w:before="60"/>
              <w:ind w:left="0"/>
              <w:contextualSpacing w:val="0"/>
              <w:jc w:val="center"/>
              <w:rPr>
                <w:sz w:val="20"/>
                <w:szCs w:val="16"/>
              </w:rPr>
            </w:pPr>
            <w:r w:rsidRPr="008D6424">
              <w:rPr>
                <w:sz w:val="20"/>
                <w:szCs w:val="16"/>
              </w:rPr>
              <w:t>2</w:t>
            </w:r>
          </w:p>
        </w:tc>
        <w:tc>
          <w:tcPr>
            <w:tcW w:w="1672" w:type="dxa"/>
            <w:shd w:val="clear" w:color="auto" w:fill="CCC0D9" w:themeFill="accent4" w:themeFillTint="66"/>
            <w:vAlign w:val="center"/>
          </w:tcPr>
          <w:p w14:paraId="57B04B3B"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w:t>
            </w:r>
          </w:p>
        </w:tc>
        <w:tc>
          <w:tcPr>
            <w:tcW w:w="1559" w:type="dxa"/>
            <w:shd w:val="clear" w:color="auto" w:fill="FBD4B4" w:themeFill="accent6" w:themeFillTint="66"/>
          </w:tcPr>
          <w:p w14:paraId="57B04B3C"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w:t>
            </w:r>
          </w:p>
        </w:tc>
      </w:tr>
      <w:tr w:rsidR="00EB11F0" w:rsidRPr="00C96B79" w14:paraId="57B04B43" w14:textId="77777777" w:rsidTr="00EB11F0">
        <w:tc>
          <w:tcPr>
            <w:tcW w:w="3964" w:type="dxa"/>
            <w:tcBorders>
              <w:bottom w:val="single" w:sz="4" w:space="0" w:color="auto"/>
            </w:tcBorders>
            <w:shd w:val="clear" w:color="auto" w:fill="auto"/>
          </w:tcPr>
          <w:p w14:paraId="57B04B3E" w14:textId="77777777" w:rsidR="00EB11F0" w:rsidRPr="00214F4B" w:rsidRDefault="00EB11F0" w:rsidP="00EB11F0">
            <w:pPr>
              <w:pStyle w:val="ListParagraph"/>
              <w:spacing w:before="60"/>
              <w:ind w:left="0"/>
              <w:contextualSpacing w:val="0"/>
              <w:rPr>
                <w:sz w:val="16"/>
                <w:szCs w:val="16"/>
              </w:rPr>
            </w:pPr>
            <w:r w:rsidRPr="00214F4B">
              <w:rPr>
                <w:sz w:val="20"/>
                <w:szCs w:val="16"/>
              </w:rPr>
              <w:t>Non-Indigenous people</w:t>
            </w:r>
            <w:r w:rsidRPr="00214F4B">
              <w:rPr>
                <w:sz w:val="20"/>
                <w:szCs w:val="16"/>
                <w:vertAlign w:val="superscript"/>
              </w:rPr>
              <w:t>µ</w:t>
            </w:r>
          </w:p>
        </w:tc>
        <w:tc>
          <w:tcPr>
            <w:tcW w:w="1701" w:type="dxa"/>
            <w:tcBorders>
              <w:bottom w:val="single" w:sz="4" w:space="0" w:color="auto"/>
            </w:tcBorders>
            <w:shd w:val="clear" w:color="auto" w:fill="B8CCE4" w:themeFill="accent1" w:themeFillTint="66"/>
          </w:tcPr>
          <w:p w14:paraId="57B04B3F" w14:textId="77777777" w:rsidR="00EB11F0" w:rsidRPr="00751A89" w:rsidRDefault="00EB11F0" w:rsidP="00EB11F0">
            <w:pPr>
              <w:pStyle w:val="ListParagraph"/>
              <w:spacing w:before="60"/>
              <w:ind w:left="0"/>
              <w:contextualSpacing w:val="0"/>
              <w:jc w:val="center"/>
              <w:rPr>
                <w:sz w:val="20"/>
                <w:szCs w:val="16"/>
              </w:rPr>
            </w:pPr>
            <w:r w:rsidRPr="00751A89">
              <w:rPr>
                <w:sz w:val="20"/>
                <w:szCs w:val="16"/>
              </w:rPr>
              <w:t>20</w:t>
            </w:r>
          </w:p>
        </w:tc>
        <w:tc>
          <w:tcPr>
            <w:tcW w:w="1560" w:type="dxa"/>
            <w:tcBorders>
              <w:bottom w:val="single" w:sz="4" w:space="0" w:color="auto"/>
            </w:tcBorders>
            <w:shd w:val="clear" w:color="auto" w:fill="B6DDE8" w:themeFill="accent5" w:themeFillTint="66"/>
          </w:tcPr>
          <w:p w14:paraId="57B04B40" w14:textId="77777777" w:rsidR="00EB11F0" w:rsidRPr="008D6424" w:rsidRDefault="00EB11F0" w:rsidP="00EB11F0">
            <w:pPr>
              <w:pStyle w:val="ListParagraph"/>
              <w:spacing w:before="60"/>
              <w:ind w:left="0"/>
              <w:contextualSpacing w:val="0"/>
              <w:jc w:val="center"/>
              <w:rPr>
                <w:sz w:val="20"/>
                <w:szCs w:val="16"/>
              </w:rPr>
            </w:pPr>
            <w:r w:rsidRPr="008D6424">
              <w:rPr>
                <w:sz w:val="20"/>
                <w:szCs w:val="16"/>
              </w:rPr>
              <w:t>8</w:t>
            </w:r>
          </w:p>
        </w:tc>
        <w:tc>
          <w:tcPr>
            <w:tcW w:w="1672" w:type="dxa"/>
            <w:tcBorders>
              <w:bottom w:val="single" w:sz="4" w:space="0" w:color="auto"/>
            </w:tcBorders>
            <w:shd w:val="clear" w:color="auto" w:fill="CCC0D9" w:themeFill="accent4" w:themeFillTint="66"/>
            <w:vAlign w:val="center"/>
          </w:tcPr>
          <w:p w14:paraId="57B04B41"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w:t>
            </w:r>
          </w:p>
        </w:tc>
        <w:tc>
          <w:tcPr>
            <w:tcW w:w="1559" w:type="dxa"/>
            <w:tcBorders>
              <w:bottom w:val="single" w:sz="4" w:space="0" w:color="auto"/>
            </w:tcBorders>
            <w:shd w:val="clear" w:color="auto" w:fill="FBD4B4" w:themeFill="accent6" w:themeFillTint="66"/>
          </w:tcPr>
          <w:p w14:paraId="57B04B42"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2</w:t>
            </w:r>
          </w:p>
        </w:tc>
      </w:tr>
      <w:tr w:rsidR="00EB11F0" w:rsidRPr="00C96B79" w14:paraId="57B04B45" w14:textId="77777777" w:rsidTr="00EB11F0">
        <w:tc>
          <w:tcPr>
            <w:tcW w:w="10456" w:type="dxa"/>
            <w:gridSpan w:val="5"/>
            <w:shd w:val="clear" w:color="auto" w:fill="auto"/>
            <w:vAlign w:val="center"/>
          </w:tcPr>
          <w:p w14:paraId="57B04B44" w14:textId="77777777" w:rsidR="00EB11F0" w:rsidRPr="003D3452" w:rsidRDefault="00EB11F0" w:rsidP="00EB11F0">
            <w:pPr>
              <w:pStyle w:val="ListParagraph"/>
              <w:spacing w:before="60"/>
              <w:ind w:left="0"/>
              <w:contextualSpacing w:val="0"/>
              <w:rPr>
                <w:b/>
                <w:sz w:val="20"/>
                <w:szCs w:val="16"/>
              </w:rPr>
            </w:pPr>
            <w:r w:rsidRPr="003D3452">
              <w:rPr>
                <w:b/>
                <w:sz w:val="20"/>
                <w:szCs w:val="16"/>
              </w:rPr>
              <w:t xml:space="preserve">Last reporting month, 1 </w:t>
            </w:r>
            <w:r w:rsidRPr="003D3452">
              <w:rPr>
                <w:rFonts w:ascii="Calibri" w:eastAsia="Times New Roman" w:hAnsi="Calibri" w:cs="Arial"/>
                <w:b/>
                <w:sz w:val="20"/>
                <w:szCs w:val="20"/>
                <w:lang w:eastAsia="en-AU"/>
              </w:rPr>
              <w:t>–</w:t>
            </w:r>
            <w:r w:rsidRPr="003D3452">
              <w:rPr>
                <w:b/>
                <w:sz w:val="20"/>
                <w:szCs w:val="16"/>
              </w:rPr>
              <w:t xml:space="preserve"> </w:t>
            </w:r>
            <w:r w:rsidRPr="003D3452">
              <w:rPr>
                <w:rFonts w:ascii="Calibri" w:eastAsia="Times New Roman" w:hAnsi="Calibri" w:cs="Arial"/>
                <w:b/>
                <w:sz w:val="20"/>
                <w:szCs w:val="20"/>
                <w:lang w:eastAsia="en-AU"/>
              </w:rPr>
              <w:t>30 June 2019</w:t>
            </w:r>
          </w:p>
        </w:tc>
      </w:tr>
      <w:tr w:rsidR="00EB11F0" w:rsidRPr="00C96B79" w14:paraId="57B04B4B" w14:textId="77777777" w:rsidTr="00EB11F0">
        <w:trPr>
          <w:trHeight w:val="85"/>
        </w:trPr>
        <w:tc>
          <w:tcPr>
            <w:tcW w:w="3964" w:type="dxa"/>
            <w:shd w:val="clear" w:color="auto" w:fill="auto"/>
          </w:tcPr>
          <w:p w14:paraId="57B04B46" w14:textId="77777777" w:rsidR="00EB11F0" w:rsidRPr="00214F4B" w:rsidRDefault="00EB11F0" w:rsidP="00EB11F0">
            <w:pPr>
              <w:pStyle w:val="ListParagraph"/>
              <w:spacing w:before="60"/>
              <w:ind w:left="0"/>
              <w:contextualSpacing w:val="0"/>
              <w:rPr>
                <w:sz w:val="16"/>
                <w:szCs w:val="16"/>
              </w:rPr>
            </w:pPr>
            <w:r w:rsidRPr="00214F4B">
              <w:rPr>
                <w:sz w:val="20"/>
                <w:szCs w:val="16"/>
              </w:rPr>
              <w:t>Aboriginal and Torres Strait Islander people</w:t>
            </w:r>
            <w:r w:rsidRPr="00214F4B">
              <w:rPr>
                <w:rFonts w:ascii="Agency FB" w:hAnsi="Agency FB"/>
                <w:sz w:val="20"/>
                <w:szCs w:val="16"/>
                <w:vertAlign w:val="superscript"/>
              </w:rPr>
              <w:t>§</w:t>
            </w:r>
          </w:p>
        </w:tc>
        <w:tc>
          <w:tcPr>
            <w:tcW w:w="1701" w:type="dxa"/>
            <w:shd w:val="clear" w:color="auto" w:fill="B8CCE4" w:themeFill="accent1" w:themeFillTint="66"/>
          </w:tcPr>
          <w:p w14:paraId="57B04B47" w14:textId="77777777" w:rsidR="00EB11F0" w:rsidRPr="00751A89" w:rsidRDefault="00EB11F0" w:rsidP="00EB11F0">
            <w:pPr>
              <w:pStyle w:val="ListParagraph"/>
              <w:spacing w:before="60"/>
              <w:ind w:left="0"/>
              <w:contextualSpacing w:val="0"/>
              <w:jc w:val="center"/>
              <w:rPr>
                <w:sz w:val="20"/>
                <w:szCs w:val="16"/>
              </w:rPr>
            </w:pPr>
            <w:r w:rsidRPr="00751A89">
              <w:rPr>
                <w:sz w:val="20"/>
                <w:szCs w:val="16"/>
              </w:rPr>
              <w:t>-</w:t>
            </w:r>
          </w:p>
        </w:tc>
        <w:tc>
          <w:tcPr>
            <w:tcW w:w="1560" w:type="dxa"/>
            <w:shd w:val="clear" w:color="auto" w:fill="B6DDE8" w:themeFill="accent5" w:themeFillTint="66"/>
          </w:tcPr>
          <w:p w14:paraId="57B04B48" w14:textId="77777777" w:rsidR="00EB11F0" w:rsidRPr="008D6424" w:rsidRDefault="00EB11F0" w:rsidP="00EB11F0">
            <w:pPr>
              <w:pStyle w:val="ListParagraph"/>
              <w:spacing w:before="60"/>
              <w:ind w:left="0"/>
              <w:contextualSpacing w:val="0"/>
              <w:jc w:val="center"/>
              <w:rPr>
                <w:sz w:val="20"/>
                <w:szCs w:val="16"/>
              </w:rPr>
            </w:pPr>
            <w:r w:rsidRPr="008D6424">
              <w:rPr>
                <w:sz w:val="20"/>
                <w:szCs w:val="16"/>
              </w:rPr>
              <w:t>-</w:t>
            </w:r>
          </w:p>
        </w:tc>
        <w:tc>
          <w:tcPr>
            <w:tcW w:w="1672" w:type="dxa"/>
            <w:shd w:val="clear" w:color="auto" w:fill="CCC0D9" w:themeFill="accent4" w:themeFillTint="66"/>
            <w:vAlign w:val="center"/>
          </w:tcPr>
          <w:p w14:paraId="57B04B49"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w:t>
            </w:r>
          </w:p>
        </w:tc>
        <w:tc>
          <w:tcPr>
            <w:tcW w:w="1559" w:type="dxa"/>
            <w:shd w:val="clear" w:color="auto" w:fill="FBD4B4" w:themeFill="accent6" w:themeFillTint="66"/>
          </w:tcPr>
          <w:p w14:paraId="57B04B4A"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w:t>
            </w:r>
          </w:p>
        </w:tc>
      </w:tr>
      <w:tr w:rsidR="00EB11F0" w:rsidRPr="00C96B79" w14:paraId="57B04B51" w14:textId="77777777" w:rsidTr="00EB11F0">
        <w:tc>
          <w:tcPr>
            <w:tcW w:w="3964" w:type="dxa"/>
            <w:shd w:val="clear" w:color="auto" w:fill="auto"/>
          </w:tcPr>
          <w:p w14:paraId="57B04B4C" w14:textId="77777777" w:rsidR="00EB11F0" w:rsidRPr="00214F4B" w:rsidRDefault="00EB11F0" w:rsidP="00EB11F0">
            <w:pPr>
              <w:pStyle w:val="ListParagraph"/>
              <w:spacing w:before="60"/>
              <w:ind w:left="0"/>
              <w:contextualSpacing w:val="0"/>
              <w:rPr>
                <w:sz w:val="16"/>
                <w:szCs w:val="16"/>
              </w:rPr>
            </w:pPr>
            <w:r w:rsidRPr="00214F4B">
              <w:rPr>
                <w:sz w:val="20"/>
                <w:szCs w:val="16"/>
              </w:rPr>
              <w:t>Non-Indigenous people</w:t>
            </w:r>
            <w:r w:rsidRPr="00214F4B">
              <w:rPr>
                <w:sz w:val="20"/>
                <w:szCs w:val="16"/>
                <w:vertAlign w:val="superscript"/>
              </w:rPr>
              <w:t>µ</w:t>
            </w:r>
          </w:p>
        </w:tc>
        <w:tc>
          <w:tcPr>
            <w:tcW w:w="1701" w:type="dxa"/>
            <w:shd w:val="clear" w:color="auto" w:fill="B8CCE4" w:themeFill="accent1" w:themeFillTint="66"/>
          </w:tcPr>
          <w:p w14:paraId="57B04B4D" w14:textId="77777777" w:rsidR="00EB11F0" w:rsidRPr="00751A89" w:rsidRDefault="00EB11F0" w:rsidP="00EB11F0">
            <w:pPr>
              <w:pStyle w:val="ListParagraph"/>
              <w:spacing w:before="60"/>
              <w:ind w:left="0"/>
              <w:contextualSpacing w:val="0"/>
              <w:jc w:val="center"/>
              <w:rPr>
                <w:sz w:val="20"/>
                <w:szCs w:val="16"/>
              </w:rPr>
            </w:pPr>
            <w:r w:rsidRPr="00751A89">
              <w:rPr>
                <w:sz w:val="20"/>
                <w:szCs w:val="16"/>
              </w:rPr>
              <w:t>1</w:t>
            </w:r>
          </w:p>
        </w:tc>
        <w:tc>
          <w:tcPr>
            <w:tcW w:w="1560" w:type="dxa"/>
            <w:shd w:val="clear" w:color="auto" w:fill="B6DDE8" w:themeFill="accent5" w:themeFillTint="66"/>
          </w:tcPr>
          <w:p w14:paraId="57B04B4E" w14:textId="77777777" w:rsidR="00EB11F0" w:rsidRPr="008D6424" w:rsidRDefault="00EB11F0" w:rsidP="00EB11F0">
            <w:pPr>
              <w:pStyle w:val="ListParagraph"/>
              <w:spacing w:before="60"/>
              <w:ind w:left="0"/>
              <w:contextualSpacing w:val="0"/>
              <w:jc w:val="center"/>
              <w:rPr>
                <w:sz w:val="20"/>
                <w:szCs w:val="16"/>
              </w:rPr>
            </w:pPr>
            <w:r w:rsidRPr="008D6424">
              <w:rPr>
                <w:sz w:val="20"/>
                <w:szCs w:val="16"/>
              </w:rPr>
              <w:t>-</w:t>
            </w:r>
          </w:p>
        </w:tc>
        <w:tc>
          <w:tcPr>
            <w:tcW w:w="1672" w:type="dxa"/>
            <w:shd w:val="clear" w:color="auto" w:fill="CCC0D9" w:themeFill="accent4" w:themeFillTint="66"/>
            <w:vAlign w:val="center"/>
          </w:tcPr>
          <w:p w14:paraId="57B04B4F" w14:textId="77777777" w:rsidR="00EB11F0" w:rsidRPr="003D3452" w:rsidRDefault="00EB11F0" w:rsidP="00EB11F0">
            <w:pPr>
              <w:pStyle w:val="ListParagraph"/>
              <w:spacing w:before="60"/>
              <w:ind w:left="0"/>
              <w:contextualSpacing w:val="0"/>
              <w:jc w:val="center"/>
              <w:rPr>
                <w:b/>
                <w:sz w:val="16"/>
                <w:szCs w:val="16"/>
              </w:rPr>
            </w:pPr>
            <w:r w:rsidRPr="003D3452">
              <w:rPr>
                <w:b/>
                <w:sz w:val="16"/>
                <w:szCs w:val="16"/>
              </w:rPr>
              <w:t>-</w:t>
            </w:r>
          </w:p>
        </w:tc>
        <w:tc>
          <w:tcPr>
            <w:tcW w:w="1559" w:type="dxa"/>
            <w:shd w:val="clear" w:color="auto" w:fill="FBD4B4" w:themeFill="accent6" w:themeFillTint="66"/>
          </w:tcPr>
          <w:p w14:paraId="57B04B50" w14:textId="77777777" w:rsidR="00EB11F0" w:rsidRPr="003D3452" w:rsidRDefault="00EB11F0" w:rsidP="00EB11F0">
            <w:pPr>
              <w:pStyle w:val="ListParagraph"/>
              <w:spacing w:before="60"/>
              <w:ind w:left="0"/>
              <w:contextualSpacing w:val="0"/>
              <w:jc w:val="center"/>
              <w:rPr>
                <w:sz w:val="20"/>
                <w:szCs w:val="16"/>
              </w:rPr>
            </w:pPr>
            <w:r w:rsidRPr="003D3452">
              <w:rPr>
                <w:sz w:val="20"/>
                <w:szCs w:val="16"/>
              </w:rPr>
              <w:t>-</w:t>
            </w:r>
          </w:p>
        </w:tc>
      </w:tr>
    </w:tbl>
    <w:p w14:paraId="57B04B52" w14:textId="77777777" w:rsidR="00EB11F0" w:rsidRPr="00C96B79" w:rsidRDefault="00EB11F0" w:rsidP="00EB11F0">
      <w:pPr>
        <w:pStyle w:val="ListParagraph"/>
        <w:spacing w:before="60" w:after="0" w:line="240" w:lineRule="auto"/>
        <w:ind w:left="-567"/>
        <w:contextualSpacing w:val="0"/>
        <w:rPr>
          <w:b/>
          <w:sz w:val="16"/>
          <w:szCs w:val="16"/>
          <w:highlight w:val="yellow"/>
        </w:rPr>
      </w:pPr>
    </w:p>
    <w:p w14:paraId="57B04B53" w14:textId="77777777" w:rsidR="00EB11F0" w:rsidRPr="00214F4B" w:rsidRDefault="00EB11F0" w:rsidP="00EB11F0">
      <w:pPr>
        <w:pStyle w:val="ListParagraph"/>
        <w:spacing w:before="60" w:after="0" w:line="240" w:lineRule="auto"/>
        <w:ind w:left="-709"/>
        <w:contextualSpacing w:val="0"/>
        <w:jc w:val="both"/>
        <w:rPr>
          <w:b/>
          <w:sz w:val="16"/>
          <w:szCs w:val="16"/>
        </w:rPr>
      </w:pPr>
      <w:r w:rsidRPr="00214F4B">
        <w:rPr>
          <w:b/>
          <w:sz w:val="16"/>
          <w:szCs w:val="16"/>
        </w:rPr>
        <w:t>Notes:</w:t>
      </w:r>
    </w:p>
    <w:p w14:paraId="57B04B54" w14:textId="77777777" w:rsidR="00EB11F0" w:rsidRPr="00214F4B" w:rsidRDefault="00EB11F0" w:rsidP="00EB11F0">
      <w:pPr>
        <w:pStyle w:val="ListParagraph"/>
        <w:spacing w:after="0" w:line="240" w:lineRule="auto"/>
        <w:ind w:left="-504" w:right="119" w:hanging="63"/>
        <w:contextualSpacing w:val="0"/>
        <w:rPr>
          <w:b/>
          <w:sz w:val="14"/>
          <w:szCs w:val="16"/>
        </w:rPr>
      </w:pPr>
      <w:r w:rsidRPr="00214F4B">
        <w:rPr>
          <w:rFonts w:ascii="Arial" w:hAnsi="Arial" w:cs="Arial"/>
          <w:sz w:val="16"/>
          <w:szCs w:val="20"/>
          <w:vertAlign w:val="superscript"/>
        </w:rPr>
        <w:t>ȶ</w:t>
      </w:r>
      <w:r w:rsidRPr="00214F4B">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B55" w14:textId="77777777" w:rsidR="00EB11F0" w:rsidRPr="00214F4B" w:rsidRDefault="00EB11F0" w:rsidP="00EB11F0">
      <w:pPr>
        <w:pStyle w:val="ListParagraph"/>
        <w:spacing w:after="0" w:line="240" w:lineRule="auto"/>
        <w:ind w:left="-567" w:right="119"/>
        <w:contextualSpacing w:val="0"/>
        <w:rPr>
          <w:sz w:val="16"/>
          <w:szCs w:val="16"/>
        </w:rPr>
      </w:pPr>
      <w:proofErr w:type="gramStart"/>
      <w:r w:rsidRPr="00214F4B">
        <w:rPr>
          <w:b/>
          <w:sz w:val="16"/>
          <w:szCs w:val="16"/>
          <w:vertAlign w:val="superscript"/>
        </w:rPr>
        <w:t>α</w:t>
      </w:r>
      <w:proofErr w:type="gramEnd"/>
      <w:r w:rsidRPr="00214F4B">
        <w:rPr>
          <w:sz w:val="16"/>
          <w:szCs w:val="16"/>
        </w:rPr>
        <w:t xml:space="preserve"> Cases defined as per the MJSO syphilis outbreak case definition: </w:t>
      </w:r>
    </w:p>
    <w:p w14:paraId="57B04B56" w14:textId="77777777" w:rsidR="00EB11F0" w:rsidRPr="00214F4B" w:rsidRDefault="00EB11F0" w:rsidP="00EB11F0">
      <w:pPr>
        <w:pStyle w:val="ListParagraph"/>
        <w:spacing w:after="0" w:line="240" w:lineRule="auto"/>
        <w:ind w:left="-426" w:right="119"/>
        <w:contextualSpacing w:val="0"/>
      </w:pPr>
      <w:r w:rsidRPr="00214F4B">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214F4B">
        <w:rPr>
          <w:b/>
          <w:sz w:val="16"/>
          <w:szCs w:val="16"/>
        </w:rPr>
        <w:t>AND</w:t>
      </w:r>
      <w:r w:rsidRPr="00214F4B">
        <w:rPr>
          <w:sz w:val="16"/>
          <w:szCs w:val="16"/>
        </w:rPr>
        <w:t>, is an Aboriginal or Torres Strait Islander person who resides in any of the following outbreak declared regions</w:t>
      </w:r>
      <w:r w:rsidRPr="00214F4B">
        <w:rPr>
          <w:rFonts w:cs="Arial"/>
          <w:sz w:val="16"/>
          <w:szCs w:val="16"/>
        </w:rPr>
        <w:t xml:space="preserve"> as defined and documented by that jurisdiction</w:t>
      </w:r>
      <w:r w:rsidRPr="00214F4B">
        <w:rPr>
          <w:rFonts w:ascii="Arial" w:hAnsi="Arial" w:cs="Arial"/>
          <w:sz w:val="16"/>
          <w:szCs w:val="16"/>
        </w:rPr>
        <w:t>,</w:t>
      </w:r>
      <w:r w:rsidRPr="00214F4B">
        <w:rPr>
          <w:sz w:val="16"/>
          <w:szCs w:val="16"/>
        </w:rPr>
        <w:t xml:space="preserve"> at or after the dates indicated: </w:t>
      </w:r>
      <w:r w:rsidRPr="00214F4B">
        <w:rPr>
          <w:b/>
          <w:i/>
          <w:sz w:val="16"/>
          <w:szCs w:val="16"/>
        </w:rPr>
        <w:t>Qld</w:t>
      </w:r>
      <w:r w:rsidRPr="00214F4B">
        <w:rPr>
          <w:sz w:val="16"/>
          <w:szCs w:val="16"/>
        </w:rPr>
        <w:t xml:space="preserve"> - North West Hospital and Health Service area (from 1 January 2011); </w:t>
      </w:r>
      <w:r w:rsidRPr="00214F4B">
        <w:rPr>
          <w:color w:val="000000" w:themeColor="text1"/>
          <w:sz w:val="16"/>
          <w:szCs w:val="16"/>
        </w:rPr>
        <w:t xml:space="preserve">Torres and Cape </w:t>
      </w:r>
      <w:r w:rsidRPr="00214F4B">
        <w:rPr>
          <w:sz w:val="16"/>
          <w:szCs w:val="16"/>
        </w:rPr>
        <w:t xml:space="preserve">Hospital and Health Service area (from 1 December 2012); Cairns and Hinterland Hospital and Health Service area(from1 August 2013); Townsville Hospital and Health Service area (from 1 January 2014); </w:t>
      </w:r>
      <w:r w:rsidRPr="00214F4B">
        <w:rPr>
          <w:b/>
          <w:i/>
          <w:sz w:val="16"/>
          <w:szCs w:val="16"/>
        </w:rPr>
        <w:t>NT</w:t>
      </w:r>
      <w:r w:rsidRPr="00214F4B">
        <w:rPr>
          <w:sz w:val="16"/>
          <w:szCs w:val="16"/>
        </w:rPr>
        <w:t xml:space="preserve"> - Alice Springs Rural and Urban or Barkly district (from 1 July 2013); Katherine district (from 1 May 2014); East Arnhem district (from 1 November 2015); Darwin Rural and Urban (from 1 January 2017); </w:t>
      </w:r>
      <w:r w:rsidRPr="00214F4B">
        <w:rPr>
          <w:b/>
          <w:i/>
          <w:sz w:val="16"/>
          <w:szCs w:val="16"/>
        </w:rPr>
        <w:t>WA</w:t>
      </w:r>
      <w:r w:rsidRPr="00214F4B">
        <w:rPr>
          <w:sz w:val="16"/>
          <w:szCs w:val="16"/>
        </w:rPr>
        <w:t xml:space="preserve"> - Kimberley region (from 1 June 2014); Pilbara region (from 1 February 2018); Goldfields region (from 1 January 2019); </w:t>
      </w:r>
      <w:r w:rsidRPr="00214F4B">
        <w:rPr>
          <w:b/>
          <w:i/>
          <w:sz w:val="16"/>
          <w:szCs w:val="16"/>
        </w:rPr>
        <w:t>SA</w:t>
      </w:r>
      <w:r w:rsidRPr="00214F4B">
        <w:rPr>
          <w:b/>
          <w:sz w:val="16"/>
          <w:szCs w:val="16"/>
        </w:rPr>
        <w:t xml:space="preserve"> </w:t>
      </w:r>
      <w:r w:rsidRPr="00214F4B">
        <w:rPr>
          <w:sz w:val="16"/>
          <w:szCs w:val="16"/>
        </w:rPr>
        <w:t xml:space="preserve"> - Far North and Western and Eyre regions (from 15 November 2016); Adelaide (from 1 February 2018) (category 1 outbreak cases) </w:t>
      </w:r>
      <w:r w:rsidRPr="00214F4B">
        <w:rPr>
          <w:b/>
          <w:sz w:val="16"/>
          <w:szCs w:val="16"/>
        </w:rPr>
        <w:t>OR</w:t>
      </w:r>
      <w:r w:rsidRPr="00214F4B">
        <w:rPr>
          <w:sz w:val="16"/>
          <w:szCs w:val="16"/>
        </w:rPr>
        <w:t xml:space="preserve">,  is a sexual contact of a confirmed outbreak case (category 2 outbreak cases). </w:t>
      </w:r>
    </w:p>
    <w:p w14:paraId="57B04B57" w14:textId="77777777" w:rsidR="00EB11F0" w:rsidRPr="00214F4B" w:rsidRDefault="00EB11F0" w:rsidP="00EB11F0">
      <w:pPr>
        <w:spacing w:after="0" w:line="240" w:lineRule="auto"/>
        <w:ind w:left="-426" w:right="119" w:hanging="141"/>
        <w:rPr>
          <w:sz w:val="16"/>
          <w:szCs w:val="16"/>
        </w:rPr>
      </w:pPr>
      <w:r w:rsidRPr="00214F4B">
        <w:rPr>
          <w:b/>
          <w:sz w:val="16"/>
          <w:szCs w:val="16"/>
          <w:vertAlign w:val="superscript"/>
        </w:rPr>
        <w:t>β</w:t>
      </w:r>
      <w:r w:rsidRPr="00214F4B">
        <w:rPr>
          <w:sz w:val="16"/>
          <w:szCs w:val="16"/>
          <w:vertAlign w:val="superscript"/>
        </w:rPr>
        <w:t xml:space="preserve"> </w:t>
      </w:r>
      <w:r w:rsidRPr="00214F4B">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Pilbara and Goldfield regions in Western Australia, and; Far North, Western and Eyre and Adelaide regions in South Australia.</w:t>
      </w:r>
    </w:p>
    <w:p w14:paraId="57B04B58" w14:textId="77777777" w:rsidR="00EB11F0" w:rsidRPr="00214F4B" w:rsidRDefault="00EB11F0" w:rsidP="00EB11F0">
      <w:pPr>
        <w:spacing w:after="0" w:line="240" w:lineRule="auto"/>
        <w:ind w:left="-426" w:right="119" w:hanging="141"/>
        <w:rPr>
          <w:sz w:val="16"/>
          <w:szCs w:val="16"/>
        </w:rPr>
      </w:pPr>
      <w:r w:rsidRPr="00214F4B">
        <w:rPr>
          <w:rFonts w:ascii="Calibri" w:eastAsia="Times New Roman" w:hAnsi="Calibri" w:cs="Arial"/>
          <w:sz w:val="20"/>
          <w:szCs w:val="20"/>
          <w:vertAlign w:val="superscript"/>
          <w:lang w:eastAsia="en-AU"/>
        </w:rPr>
        <w:t>«</w:t>
      </w:r>
      <w:r w:rsidRPr="00214F4B">
        <w:rPr>
          <w:rFonts w:ascii="Calibri" w:eastAsia="Times New Roman" w:hAnsi="Calibri" w:cs="Arial"/>
          <w:sz w:val="20"/>
          <w:szCs w:val="20"/>
          <w:lang w:eastAsia="en-AU"/>
        </w:rPr>
        <w:t xml:space="preserve"> </w:t>
      </w:r>
      <w:r w:rsidRPr="00214F4B">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B59" w14:textId="77777777" w:rsidR="00EB11F0" w:rsidRPr="00214F4B" w:rsidRDefault="00EB11F0" w:rsidP="00EB11F0">
      <w:pPr>
        <w:spacing w:after="0" w:line="240" w:lineRule="auto"/>
        <w:ind w:left="-426" w:right="119" w:hanging="141"/>
        <w:rPr>
          <w:sz w:val="16"/>
          <w:szCs w:val="16"/>
        </w:rPr>
      </w:pPr>
      <w:r w:rsidRPr="00214F4B">
        <w:rPr>
          <w:rFonts w:ascii="Agency FB" w:hAnsi="Agency FB"/>
          <w:sz w:val="20"/>
          <w:szCs w:val="16"/>
          <w:vertAlign w:val="superscript"/>
        </w:rPr>
        <w:t>§</w:t>
      </w:r>
      <w:r w:rsidRPr="00214F4B">
        <w:rPr>
          <w:rFonts w:ascii="Agency FB" w:hAnsi="Agency FB"/>
          <w:sz w:val="20"/>
          <w:szCs w:val="16"/>
        </w:rPr>
        <w:t xml:space="preserve"> </w:t>
      </w:r>
      <w:r w:rsidRPr="00214F4B">
        <w:rPr>
          <w:sz w:val="16"/>
          <w:szCs w:val="16"/>
        </w:rPr>
        <w:t>Aboriginal and Torres Strait Islander people who are sexual contacts of a confirmed outbreak case and reside outside an outbreak declared region at the time of diagnosis.</w:t>
      </w:r>
    </w:p>
    <w:p w14:paraId="57B04B5A" w14:textId="77777777" w:rsidR="00EB11F0" w:rsidRPr="00214F4B" w:rsidRDefault="00EB11F0" w:rsidP="00EB11F0">
      <w:pPr>
        <w:spacing w:after="0" w:line="240" w:lineRule="auto"/>
        <w:ind w:left="-426" w:right="119" w:hanging="141"/>
        <w:rPr>
          <w:sz w:val="16"/>
          <w:szCs w:val="16"/>
        </w:rPr>
      </w:pPr>
      <w:r w:rsidRPr="00214F4B">
        <w:rPr>
          <w:sz w:val="20"/>
          <w:szCs w:val="16"/>
          <w:vertAlign w:val="superscript"/>
        </w:rPr>
        <w:t>µ</w:t>
      </w:r>
      <w:r w:rsidRPr="00214F4B">
        <w:rPr>
          <w:sz w:val="20"/>
          <w:szCs w:val="16"/>
        </w:rPr>
        <w:t xml:space="preserve"> </w:t>
      </w:r>
      <w:r w:rsidRPr="00214F4B">
        <w:rPr>
          <w:sz w:val="16"/>
          <w:szCs w:val="16"/>
        </w:rPr>
        <w:t>Non-Indigenous people who are sexual contacts of a confirmed outbreak case and reside in or out of an outbreak declared region at the time of diagnosis.</w:t>
      </w:r>
    </w:p>
    <w:p w14:paraId="57B04B5B" w14:textId="77777777" w:rsidR="00EB11F0" w:rsidRPr="00216285" w:rsidRDefault="00EB11F0" w:rsidP="00EB11F0">
      <w:pPr>
        <w:pStyle w:val="ListParagraph"/>
        <w:spacing w:after="0" w:line="240" w:lineRule="auto"/>
        <w:ind w:left="-567" w:right="119"/>
        <w:contextualSpacing w:val="0"/>
        <w:rPr>
          <w:rFonts w:ascii="Arial" w:hAnsi="Arial" w:cs="Arial"/>
          <w:b/>
        </w:rPr>
      </w:pPr>
      <w:r w:rsidRPr="00214F4B">
        <w:rPr>
          <w:b/>
          <w:sz w:val="16"/>
          <w:szCs w:val="16"/>
        </w:rPr>
        <w:t>ᵞ</w:t>
      </w:r>
      <w:r w:rsidRPr="00214F4B">
        <w:rPr>
          <w:sz w:val="16"/>
          <w:szCs w:val="16"/>
        </w:rPr>
        <w:t xml:space="preserve"> </w:t>
      </w:r>
      <w:proofErr w:type="gramStart"/>
      <w:r w:rsidRPr="00214F4B">
        <w:rPr>
          <w:sz w:val="16"/>
          <w:szCs w:val="16"/>
          <w:u w:val="single"/>
        </w:rPr>
        <w:t>Please</w:t>
      </w:r>
      <w:proofErr w:type="gramEnd"/>
      <w:r w:rsidRPr="00214F4B">
        <w:rPr>
          <w:sz w:val="16"/>
          <w:szCs w:val="16"/>
          <w:u w:val="single"/>
        </w:rPr>
        <w:t xml:space="preserve"> note that </w:t>
      </w:r>
      <w:r w:rsidRPr="00214F4B">
        <w:rPr>
          <w:b/>
          <w:sz w:val="16"/>
          <w:szCs w:val="16"/>
          <w:u w:val="single"/>
        </w:rPr>
        <w:t>all data are provisional</w:t>
      </w:r>
      <w:r w:rsidRPr="00214F4B">
        <w:rPr>
          <w:sz w:val="16"/>
          <w:szCs w:val="16"/>
          <w:u w:val="single"/>
        </w:rPr>
        <w:t xml:space="preserve"> and subject to change due to ongoing case investigation</w:t>
      </w:r>
      <w:r w:rsidRPr="00214F4B">
        <w:rPr>
          <w:sz w:val="16"/>
          <w:szCs w:val="16"/>
        </w:rPr>
        <w:t>.</w:t>
      </w:r>
    </w:p>
    <w:p w14:paraId="57B04B5C" w14:textId="77777777" w:rsidR="00580C89" w:rsidRDefault="00580C89">
      <w:pPr>
        <w:rPr>
          <w:rFonts w:ascii="Arial" w:hAnsi="Arial" w:cs="Arial"/>
          <w:b/>
          <w:sz w:val="28"/>
          <w:szCs w:val="24"/>
        </w:rPr>
      </w:pPr>
      <w:r>
        <w:rPr>
          <w:rFonts w:ascii="Arial" w:hAnsi="Arial" w:cs="Arial"/>
          <w:b/>
          <w:sz w:val="28"/>
          <w:szCs w:val="24"/>
        </w:rPr>
        <w:br w:type="page"/>
      </w:r>
    </w:p>
    <w:p w14:paraId="57B04B5D" w14:textId="77777777" w:rsidR="00EB11F0" w:rsidRPr="00F03247" w:rsidRDefault="00EB11F0" w:rsidP="00EB11F0">
      <w:pPr>
        <w:spacing w:after="0" w:line="240" w:lineRule="auto"/>
        <w:ind w:left="-567" w:right="261"/>
        <w:jc w:val="center"/>
        <w:rPr>
          <w:rFonts w:ascii="Arial" w:hAnsi="Arial" w:cs="Arial"/>
          <w:b/>
          <w:sz w:val="28"/>
          <w:szCs w:val="24"/>
        </w:rPr>
      </w:pPr>
      <w:r w:rsidRPr="00F03247">
        <w:rPr>
          <w:rFonts w:ascii="Arial" w:hAnsi="Arial" w:cs="Arial"/>
          <w:b/>
          <w:sz w:val="28"/>
          <w:szCs w:val="24"/>
        </w:rPr>
        <w:lastRenderedPageBreak/>
        <w:t xml:space="preserve">MULTIJURISDICTIONAL SYPHILIS OUTBREAK </w:t>
      </w:r>
      <w:r w:rsidRPr="00F03247">
        <w:rPr>
          <w:rFonts w:ascii="Arial" w:hAnsi="Arial" w:cs="Arial"/>
          <w:b/>
          <w:sz w:val="28"/>
          <w:szCs w:val="24"/>
        </w:rPr>
        <w:br/>
        <w:t>SURVEILLANCE REPORT: AUGUST 2019</w:t>
      </w:r>
    </w:p>
    <w:p w14:paraId="57B04B5E" w14:textId="77777777" w:rsidR="00EB11F0" w:rsidRPr="00F03247" w:rsidRDefault="00EB11F0" w:rsidP="00EB11F0">
      <w:pPr>
        <w:spacing w:after="0" w:line="120" w:lineRule="auto"/>
        <w:ind w:left="-567" w:right="-612"/>
        <w:jc w:val="center"/>
        <w:rPr>
          <w:rFonts w:ascii="Arial" w:hAnsi="Arial" w:cs="Arial"/>
          <w:b/>
          <w:sz w:val="24"/>
          <w:szCs w:val="24"/>
        </w:rPr>
      </w:pPr>
    </w:p>
    <w:p w14:paraId="57B04B5F" w14:textId="77777777" w:rsidR="00EB11F0" w:rsidRPr="00F03247" w:rsidRDefault="00EB11F0" w:rsidP="00EB11F0">
      <w:pPr>
        <w:spacing w:after="0" w:line="240" w:lineRule="auto"/>
        <w:ind w:left="-567" w:right="119"/>
        <w:jc w:val="center"/>
        <w:rPr>
          <w:rFonts w:ascii="Arial" w:hAnsi="Arial" w:cs="Arial"/>
          <w:b/>
          <w:sz w:val="24"/>
          <w:szCs w:val="24"/>
        </w:rPr>
      </w:pPr>
      <w:r w:rsidRPr="00F03247">
        <w:rPr>
          <w:rFonts w:ascii="Arial" w:hAnsi="Arial" w:cs="Arial"/>
          <w:b/>
          <w:sz w:val="24"/>
          <w:szCs w:val="24"/>
        </w:rPr>
        <w:t>This surveillance report has been authorised by Health Departments in outbreak affected jurisdictions and the Office of Health Protection.</w:t>
      </w:r>
    </w:p>
    <w:p w14:paraId="57B04B60" w14:textId="77777777" w:rsidR="00EB11F0" w:rsidRPr="00F03247" w:rsidRDefault="00EB11F0" w:rsidP="00EB11F0">
      <w:pPr>
        <w:spacing w:after="0" w:line="240" w:lineRule="auto"/>
        <w:ind w:right="-613"/>
        <w:rPr>
          <w:rFonts w:ascii="Arial" w:hAnsi="Arial" w:cs="Arial"/>
          <w:sz w:val="20"/>
          <w:szCs w:val="20"/>
        </w:rPr>
      </w:pPr>
    </w:p>
    <w:p w14:paraId="57B04B61" w14:textId="77777777" w:rsidR="00EB11F0" w:rsidRPr="00F03247" w:rsidRDefault="00EB11F0" w:rsidP="00EB11F0">
      <w:pPr>
        <w:pStyle w:val="PlainText"/>
        <w:ind w:left="-709" w:right="-23"/>
        <w:jc w:val="both"/>
        <w:rPr>
          <w:color w:val="000000" w:themeColor="text1"/>
        </w:rPr>
      </w:pPr>
      <w:r w:rsidRPr="00F03247">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F03247">
        <w:rPr>
          <w:rFonts w:cs="Arial"/>
          <w:color w:val="000000" w:themeColor="text1"/>
          <w:szCs w:val="20"/>
        </w:rPr>
        <w:t xml:space="preserve">rural areas of northern Australia. </w:t>
      </w:r>
      <w:r w:rsidRPr="00F03247">
        <w:rPr>
          <w:color w:val="000000" w:themeColor="text1"/>
        </w:rPr>
        <w:t xml:space="preserve">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w:t>
      </w:r>
    </w:p>
    <w:p w14:paraId="57B04B62" w14:textId="77777777" w:rsidR="00EB11F0" w:rsidRPr="00F03247" w:rsidRDefault="00EB11F0" w:rsidP="00EB11F0">
      <w:pPr>
        <w:pStyle w:val="PlainText"/>
        <w:ind w:left="-709" w:right="-23"/>
        <w:rPr>
          <w:color w:val="000000" w:themeColor="text1"/>
        </w:rPr>
      </w:pPr>
    </w:p>
    <w:p w14:paraId="57B04B63" w14:textId="77777777" w:rsidR="00EB11F0" w:rsidRPr="00F03247" w:rsidRDefault="00EB11F0" w:rsidP="00EB11F0">
      <w:pPr>
        <w:pStyle w:val="PlainText"/>
        <w:ind w:left="-709" w:right="-23"/>
        <w:rPr>
          <w:color w:val="000000" w:themeColor="text1"/>
        </w:rPr>
      </w:pPr>
      <w:r w:rsidRPr="00F03247">
        <w:rPr>
          <w:color w:val="000000" w:themeColor="text1"/>
        </w:rPr>
        <w:t>This surveillance report summarises the outbreak epidemiological data as of 31 July 2019 (current status).</w:t>
      </w:r>
    </w:p>
    <w:p w14:paraId="57B04B64" w14:textId="77777777" w:rsidR="00EB11F0" w:rsidRPr="00F03247" w:rsidRDefault="00EB11F0" w:rsidP="00EB11F0">
      <w:pPr>
        <w:pStyle w:val="PlainText"/>
        <w:ind w:left="-709" w:right="-23"/>
        <w:rPr>
          <w:color w:val="000000" w:themeColor="text1"/>
        </w:rPr>
      </w:pPr>
    </w:p>
    <w:p w14:paraId="57B04B65" w14:textId="77777777" w:rsidR="00EB11F0" w:rsidRPr="00F03247" w:rsidRDefault="00EB11F0" w:rsidP="00EB11F0">
      <w:pPr>
        <w:pStyle w:val="PlainText"/>
        <w:ind w:left="-709" w:right="-23"/>
        <w:rPr>
          <w:color w:val="000000" w:themeColor="text1"/>
        </w:rPr>
      </w:pPr>
      <w:r w:rsidRPr="00F03247">
        <w:rPr>
          <w:b/>
          <w:color w:val="000000" w:themeColor="text1"/>
        </w:rPr>
        <w:t>Please note:</w:t>
      </w:r>
      <w:r w:rsidRPr="00F03247">
        <w:rPr>
          <w:color w:val="000000" w:themeColor="text1"/>
        </w:rPr>
        <w:t xml:space="preserve"> the MJSO Surveillance Report was formerly known as the MJSO Communique. Historical epidemiological data and MJSO activities are published in earlier MJSO Communiques available at </w:t>
      </w:r>
      <w:r w:rsidRPr="00F03247">
        <w:rPr>
          <w:i/>
          <w:szCs w:val="20"/>
        </w:rPr>
        <w:t xml:space="preserve">http://www.health.gov.au/internet/main/publishing.nsf/Content/ohp-infectious-syphilis-outbreak.htm </w:t>
      </w:r>
    </w:p>
    <w:p w14:paraId="57B04B66" w14:textId="77777777" w:rsidR="00EB11F0" w:rsidRPr="00F03247" w:rsidRDefault="00EB11F0" w:rsidP="00EB11F0">
      <w:pPr>
        <w:pStyle w:val="PlainText"/>
        <w:ind w:left="-709" w:right="-23"/>
      </w:pPr>
    </w:p>
    <w:p w14:paraId="57B04B67" w14:textId="77777777" w:rsidR="00EB11F0" w:rsidRPr="00F03247" w:rsidRDefault="00EB11F0" w:rsidP="00EB11F0">
      <w:pPr>
        <w:spacing w:after="0" w:line="240" w:lineRule="auto"/>
        <w:ind w:left="-709" w:right="-23"/>
        <w:jc w:val="both"/>
        <w:rPr>
          <w:rFonts w:ascii="Arial" w:hAnsi="Arial" w:cs="Arial"/>
          <w:b/>
        </w:rPr>
      </w:pPr>
      <w:r w:rsidRPr="00F03247">
        <w:rPr>
          <w:rFonts w:ascii="Arial" w:hAnsi="Arial" w:cs="Arial"/>
          <w:b/>
        </w:rPr>
        <w:t>Current status</w:t>
      </w:r>
    </w:p>
    <w:p w14:paraId="57B04B68" w14:textId="77777777" w:rsidR="00EB11F0" w:rsidRPr="00F03247" w:rsidRDefault="00EB11F0" w:rsidP="00EB11F0">
      <w:pPr>
        <w:spacing w:after="0" w:line="240" w:lineRule="auto"/>
        <w:ind w:left="-709" w:right="-23"/>
        <w:jc w:val="both"/>
        <w:rPr>
          <w:rFonts w:ascii="Arial" w:hAnsi="Arial" w:cs="Arial"/>
          <w:sz w:val="20"/>
          <w:szCs w:val="20"/>
        </w:rPr>
      </w:pPr>
      <w:r w:rsidRPr="00F03247">
        <w:rPr>
          <w:rFonts w:ascii="Arial" w:hAnsi="Arial" w:cs="Arial"/>
          <w:sz w:val="20"/>
          <w:szCs w:val="20"/>
        </w:rPr>
        <w:t xml:space="preserve">Outbreak data to </w:t>
      </w:r>
      <w:r w:rsidRPr="00F03247">
        <w:rPr>
          <w:rFonts w:ascii="Arial" w:hAnsi="Arial" w:cs="Arial"/>
          <w:color w:val="000000" w:themeColor="text1"/>
          <w:sz w:val="20"/>
          <w:szCs w:val="20"/>
        </w:rPr>
        <w:t>31 July 2019</w:t>
      </w:r>
      <w:r w:rsidRPr="00F03247">
        <w:rPr>
          <w:rFonts w:ascii="Arial" w:hAnsi="Arial" w:cs="Arial"/>
          <w:sz w:val="20"/>
          <w:szCs w:val="20"/>
          <w:vertAlign w:val="superscript"/>
        </w:rPr>
        <w:t>ȶ</w:t>
      </w:r>
      <w:r w:rsidRPr="00F03247">
        <w:rPr>
          <w:rFonts w:ascii="Arial" w:hAnsi="Arial" w:cs="Arial"/>
          <w:sz w:val="20"/>
          <w:szCs w:val="20"/>
        </w:rPr>
        <w:t xml:space="preserve"> are summarised in Figure 1, Table 1 and Table 2 below.</w:t>
      </w:r>
    </w:p>
    <w:p w14:paraId="57B04B69" w14:textId="77777777" w:rsidR="00EB11F0" w:rsidRPr="00F03247" w:rsidRDefault="00EB11F0" w:rsidP="00EB11F0">
      <w:pPr>
        <w:spacing w:after="0" w:line="240" w:lineRule="auto"/>
        <w:ind w:left="-709" w:right="-23"/>
        <w:jc w:val="both"/>
        <w:rPr>
          <w:rFonts w:ascii="Arial" w:hAnsi="Arial" w:cs="Arial"/>
          <w:sz w:val="20"/>
          <w:szCs w:val="20"/>
        </w:rPr>
      </w:pPr>
    </w:p>
    <w:p w14:paraId="57B04B6A" w14:textId="77777777" w:rsidR="00EB11F0" w:rsidRPr="00EB5142" w:rsidRDefault="00EB11F0" w:rsidP="00EB11F0">
      <w:pPr>
        <w:spacing w:after="0" w:line="240" w:lineRule="auto"/>
        <w:ind w:left="-709" w:right="-23"/>
        <w:jc w:val="both"/>
        <w:rPr>
          <w:rFonts w:ascii="Arial" w:hAnsi="Arial" w:cs="Arial"/>
          <w:sz w:val="20"/>
          <w:szCs w:val="20"/>
        </w:rPr>
      </w:pPr>
      <w:r w:rsidRPr="00F03247">
        <w:rPr>
          <w:rFonts w:ascii="Arial" w:hAnsi="Arial" w:cs="Arial"/>
          <w:sz w:val="20"/>
          <w:szCs w:val="20"/>
        </w:rPr>
        <w:t>Outbreak cases are reported as either category 1 or category 2: category 1 cases include Aboriginal and Torres Strait Islander people residing in an outbreak declared region</w:t>
      </w:r>
      <w:r w:rsidRPr="00F03247">
        <w:rPr>
          <w:rFonts w:ascii="Arial" w:hAnsi="Arial" w:cs="Arial"/>
          <w:sz w:val="20"/>
          <w:szCs w:val="20"/>
          <w:vertAlign w:val="superscript"/>
        </w:rPr>
        <w:t>β</w:t>
      </w:r>
      <w:r w:rsidRPr="00F03247">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w:t>
      </w:r>
      <w:r w:rsidRPr="00EB5142">
        <w:rPr>
          <w:rFonts w:ascii="Arial" w:hAnsi="Arial" w:cs="Arial"/>
          <w:sz w:val="20"/>
          <w:szCs w:val="20"/>
        </w:rPr>
        <w:t xml:space="preserve">at the time of diagnosis and non-Indigenous people regardless of where they reside. </w:t>
      </w:r>
    </w:p>
    <w:p w14:paraId="57B04B6B" w14:textId="77777777" w:rsidR="00EB11F0" w:rsidRPr="00EB5142" w:rsidRDefault="00EB11F0" w:rsidP="00EB11F0">
      <w:pPr>
        <w:spacing w:after="0" w:line="240" w:lineRule="auto"/>
        <w:ind w:left="-709" w:right="-23"/>
        <w:jc w:val="both"/>
        <w:rPr>
          <w:rFonts w:ascii="Arial" w:hAnsi="Arial" w:cs="Arial"/>
          <w:sz w:val="20"/>
          <w:szCs w:val="20"/>
        </w:rPr>
      </w:pPr>
    </w:p>
    <w:p w14:paraId="57B04B6C" w14:textId="77777777" w:rsidR="00EB11F0" w:rsidRPr="00F03247" w:rsidRDefault="00EB11F0" w:rsidP="00EB11F0">
      <w:pPr>
        <w:spacing w:after="0" w:line="240" w:lineRule="auto"/>
        <w:ind w:left="-709" w:right="-23"/>
        <w:jc w:val="both"/>
        <w:rPr>
          <w:rFonts w:ascii="Arial" w:hAnsi="Arial" w:cs="Arial"/>
          <w:sz w:val="20"/>
          <w:szCs w:val="20"/>
        </w:rPr>
      </w:pPr>
      <w:r w:rsidRPr="00EB5142">
        <w:rPr>
          <w:rFonts w:ascii="Arial" w:hAnsi="Arial" w:cs="Arial"/>
          <w:sz w:val="20"/>
          <w:szCs w:val="20"/>
        </w:rPr>
        <w:t xml:space="preserve">Between 1 – </w:t>
      </w:r>
      <w:r w:rsidRPr="00EB5142">
        <w:rPr>
          <w:rFonts w:ascii="Arial" w:hAnsi="Arial" w:cs="Arial"/>
          <w:color w:val="000000" w:themeColor="text1"/>
          <w:sz w:val="20"/>
          <w:szCs w:val="20"/>
        </w:rPr>
        <w:t>31 July 2019</w:t>
      </w:r>
      <w:r w:rsidRPr="00EB5142">
        <w:rPr>
          <w:rFonts w:ascii="Arial" w:hAnsi="Arial" w:cs="Arial"/>
          <w:sz w:val="20"/>
          <w:szCs w:val="20"/>
          <w:vertAlign w:val="superscript"/>
        </w:rPr>
        <w:t>ȶ</w:t>
      </w:r>
      <w:r w:rsidRPr="00EB5142">
        <w:rPr>
          <w:rFonts w:ascii="Arial" w:hAnsi="Arial" w:cs="Arial"/>
          <w:sz w:val="20"/>
          <w:szCs w:val="20"/>
        </w:rPr>
        <w:t xml:space="preserve">, there were 58 outbreak cases (category 1 and 2 cases) reported from the four outbreak affected jurisdictions: 17 in Queensland; 24 in the Northern Territory; 16 in Western Australia and; </w:t>
      </w:r>
      <w:proofErr w:type="gramStart"/>
      <w:r w:rsidRPr="00EB5142">
        <w:rPr>
          <w:rFonts w:ascii="Arial" w:hAnsi="Arial" w:cs="Arial"/>
          <w:sz w:val="20"/>
          <w:szCs w:val="20"/>
        </w:rPr>
        <w:t>1</w:t>
      </w:r>
      <w:proofErr w:type="gramEnd"/>
      <w:r w:rsidRPr="00EB5142">
        <w:rPr>
          <w:rFonts w:ascii="Arial" w:hAnsi="Arial" w:cs="Arial"/>
          <w:sz w:val="20"/>
          <w:szCs w:val="20"/>
        </w:rPr>
        <w:t xml:space="preserve"> in South Australia (Figure 1, Table 1 and Table 2).  From the commencement of the outbreak to </w:t>
      </w:r>
      <w:r w:rsidRPr="00EB5142">
        <w:rPr>
          <w:rFonts w:ascii="Arial" w:hAnsi="Arial" w:cs="Arial"/>
          <w:color w:val="000000" w:themeColor="text1"/>
          <w:sz w:val="20"/>
          <w:szCs w:val="20"/>
        </w:rPr>
        <w:t xml:space="preserve">31 July </w:t>
      </w:r>
      <w:r w:rsidRPr="00EB5142">
        <w:rPr>
          <w:rFonts w:ascii="Arial" w:hAnsi="Arial" w:cs="Arial"/>
          <w:sz w:val="20"/>
          <w:szCs w:val="20"/>
        </w:rPr>
        <w:t>2019</w:t>
      </w:r>
      <w:r w:rsidRPr="00EB5142">
        <w:rPr>
          <w:rFonts w:ascii="Arial" w:hAnsi="Arial" w:cs="Arial"/>
          <w:sz w:val="20"/>
          <w:szCs w:val="20"/>
          <w:vertAlign w:val="superscript"/>
        </w:rPr>
        <w:t xml:space="preserve"> ȶ</w:t>
      </w:r>
      <w:r w:rsidRPr="00EB5142">
        <w:rPr>
          <w:rFonts w:ascii="Arial" w:hAnsi="Arial" w:cs="Arial"/>
          <w:sz w:val="20"/>
          <w:szCs w:val="20"/>
        </w:rPr>
        <w:t>, there were a total of 2909 outbreak cases (category 1 and 2 cases) reported across the four outbreak affected jurisdictions: 1373 in Queensland (from January 2011); 1102 in the Northern Territory (from July 2013); 358 in Western Australia (from June 2014), and; 76 in South Australia (from November 2016) (Table 1 and 2).</w:t>
      </w:r>
    </w:p>
    <w:p w14:paraId="57B04B6D" w14:textId="77777777" w:rsidR="00EB11F0" w:rsidRPr="00F03247" w:rsidRDefault="00EB11F0" w:rsidP="00EB11F0">
      <w:pPr>
        <w:spacing w:after="0" w:line="240" w:lineRule="auto"/>
        <w:ind w:left="-709" w:right="-23"/>
        <w:jc w:val="both"/>
        <w:rPr>
          <w:rFonts w:ascii="Arial" w:hAnsi="Arial" w:cs="Arial"/>
          <w:sz w:val="20"/>
          <w:szCs w:val="20"/>
        </w:rPr>
      </w:pPr>
    </w:p>
    <w:p w14:paraId="57B04B6E" w14:textId="77777777" w:rsidR="00EB11F0" w:rsidRPr="00F03247" w:rsidRDefault="00EB11F0" w:rsidP="00EB11F0">
      <w:pPr>
        <w:spacing w:after="0" w:line="240" w:lineRule="auto"/>
        <w:ind w:left="-709" w:right="-23"/>
        <w:jc w:val="both"/>
        <w:rPr>
          <w:rFonts w:ascii="Arial" w:hAnsi="Arial" w:cs="Arial"/>
          <w:sz w:val="20"/>
          <w:szCs w:val="20"/>
          <w:vertAlign w:val="superscript"/>
        </w:rPr>
      </w:pPr>
      <w:r w:rsidRPr="00F03247">
        <w:rPr>
          <w:rFonts w:ascii="Arial" w:hAnsi="Arial" w:cs="Arial"/>
          <w:b/>
          <w:sz w:val="20"/>
          <w:szCs w:val="20"/>
        </w:rPr>
        <w:t>Figure 1</w:t>
      </w:r>
      <w:r w:rsidRPr="00F03247">
        <w:rPr>
          <w:rFonts w:ascii="Arial" w:hAnsi="Arial" w:cs="Arial"/>
          <w:sz w:val="20"/>
          <w:szCs w:val="20"/>
        </w:rPr>
        <w:t>. Epidemic curve showing category 1 infectious syphilis</w:t>
      </w:r>
      <w:r w:rsidRPr="00F03247">
        <w:rPr>
          <w:rFonts w:ascii="Arial" w:hAnsi="Arial" w:cs="Arial"/>
          <w:sz w:val="20"/>
          <w:szCs w:val="20"/>
          <w:vertAlign w:val="superscript"/>
        </w:rPr>
        <w:t xml:space="preserve"> α</w:t>
      </w:r>
      <w:r w:rsidRPr="00F03247">
        <w:rPr>
          <w:rFonts w:ascii="Arial" w:hAnsi="Arial" w:cs="Arial"/>
          <w:sz w:val="20"/>
          <w:szCs w:val="20"/>
        </w:rPr>
        <w:t xml:space="preserve"> outbreak cases notified in Aboriginal and Torres Strait Islander people residing in affected regions</w:t>
      </w:r>
      <w:r w:rsidRPr="00F03247">
        <w:rPr>
          <w:rFonts w:ascii="Arial" w:hAnsi="Arial" w:cs="Arial"/>
          <w:sz w:val="20"/>
          <w:szCs w:val="20"/>
          <w:vertAlign w:val="superscript"/>
        </w:rPr>
        <w:t>β</w:t>
      </w:r>
      <w:r w:rsidRPr="00F03247">
        <w:rPr>
          <w:rFonts w:ascii="Arial" w:hAnsi="Arial" w:cs="Arial"/>
          <w:sz w:val="20"/>
          <w:szCs w:val="20"/>
        </w:rPr>
        <w:t xml:space="preserve"> of Queensland, the Northern Territory, Western Australia and South Australia from commencement of the outbreak in each jurisdiction to </w:t>
      </w:r>
      <w:r w:rsidRPr="00F03247">
        <w:rPr>
          <w:rFonts w:ascii="Arial" w:hAnsi="Arial" w:cs="Arial"/>
          <w:color w:val="000000" w:themeColor="text1"/>
          <w:sz w:val="20"/>
          <w:szCs w:val="20"/>
        </w:rPr>
        <w:t>3</w:t>
      </w:r>
      <w:r>
        <w:rPr>
          <w:rFonts w:ascii="Arial" w:hAnsi="Arial" w:cs="Arial"/>
          <w:color w:val="000000" w:themeColor="text1"/>
          <w:sz w:val="20"/>
          <w:szCs w:val="20"/>
        </w:rPr>
        <w:t>1 July</w:t>
      </w:r>
      <w:r w:rsidRPr="00F03247">
        <w:rPr>
          <w:rFonts w:ascii="Arial" w:hAnsi="Arial" w:cs="Arial"/>
          <w:color w:val="000000" w:themeColor="text1"/>
          <w:sz w:val="20"/>
          <w:szCs w:val="20"/>
        </w:rPr>
        <w:t xml:space="preserve"> 2019</w:t>
      </w:r>
      <w:r w:rsidRPr="00F03247">
        <w:rPr>
          <w:rFonts w:ascii="Arial" w:hAnsi="Arial" w:cs="Arial"/>
          <w:sz w:val="20"/>
          <w:szCs w:val="20"/>
          <w:vertAlign w:val="superscript"/>
        </w:rPr>
        <w:t xml:space="preserve">ȶ ᵞ </w:t>
      </w:r>
    </w:p>
    <w:p w14:paraId="57B04B6F" w14:textId="77777777" w:rsidR="00EB11F0" w:rsidRPr="00F03247" w:rsidRDefault="00EB11F0" w:rsidP="00EB11F0">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57B04ECE" wp14:editId="57B04ECF">
            <wp:extent cx="6721433" cy="3902710"/>
            <wp:effectExtent l="0" t="0" r="3810" b="2540"/>
            <wp:docPr id="7" name="Picture 7"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July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1126" cy="3908338"/>
                    </a:xfrm>
                    <a:prstGeom prst="rect">
                      <a:avLst/>
                    </a:prstGeom>
                    <a:noFill/>
                  </pic:spPr>
                </pic:pic>
              </a:graphicData>
            </a:graphic>
          </wp:inline>
        </w:drawing>
      </w:r>
      <w:r w:rsidRPr="00F03247">
        <w:rPr>
          <w:rFonts w:ascii="Arial" w:hAnsi="Arial" w:cs="Arial"/>
          <w:b/>
          <w:sz w:val="20"/>
          <w:szCs w:val="20"/>
        </w:rPr>
        <w:br w:type="page"/>
      </w:r>
    </w:p>
    <w:p w14:paraId="57B04B70" w14:textId="77777777" w:rsidR="00EB11F0" w:rsidRPr="00F03247" w:rsidRDefault="00EB11F0" w:rsidP="00EB11F0">
      <w:pPr>
        <w:spacing w:after="0" w:line="240" w:lineRule="auto"/>
        <w:ind w:left="-567"/>
        <w:rPr>
          <w:rFonts w:ascii="Arial" w:hAnsi="Arial" w:cs="Arial"/>
          <w:b/>
          <w:sz w:val="20"/>
          <w:szCs w:val="20"/>
        </w:rPr>
      </w:pPr>
    </w:p>
    <w:p w14:paraId="57B04B71" w14:textId="77777777" w:rsidR="00EB11F0" w:rsidRPr="00F03247" w:rsidRDefault="00EB11F0" w:rsidP="00EB11F0">
      <w:pPr>
        <w:spacing w:after="0" w:line="240" w:lineRule="auto"/>
        <w:ind w:left="-709"/>
        <w:rPr>
          <w:rFonts w:ascii="Arial" w:hAnsi="Arial" w:cs="Arial"/>
          <w:sz w:val="20"/>
          <w:szCs w:val="20"/>
        </w:rPr>
      </w:pPr>
      <w:r w:rsidRPr="00F03247">
        <w:rPr>
          <w:rFonts w:ascii="Arial" w:hAnsi="Arial" w:cs="Arial"/>
          <w:b/>
          <w:sz w:val="20"/>
          <w:szCs w:val="20"/>
        </w:rPr>
        <w:t>Table 1</w:t>
      </w:r>
      <w:r w:rsidRPr="00F03247">
        <w:rPr>
          <w:rFonts w:ascii="Arial" w:hAnsi="Arial" w:cs="Arial"/>
          <w:sz w:val="20"/>
          <w:szCs w:val="20"/>
        </w:rPr>
        <w:t>.</w:t>
      </w:r>
      <w:r w:rsidRPr="00F03247">
        <w:rPr>
          <w:rFonts w:ascii="Arial" w:hAnsi="Arial" w:cs="Arial"/>
          <w:b/>
          <w:sz w:val="20"/>
          <w:szCs w:val="20"/>
        </w:rPr>
        <w:t xml:space="preserve"> </w:t>
      </w:r>
      <w:r w:rsidRPr="00F03247">
        <w:rPr>
          <w:rFonts w:ascii="Arial" w:hAnsi="Arial" w:cs="Arial"/>
          <w:sz w:val="20"/>
          <w:szCs w:val="20"/>
        </w:rPr>
        <w:t>Characteristics of category 1 infectious syphilis</w:t>
      </w:r>
      <w:r w:rsidRPr="00F03247">
        <w:rPr>
          <w:rFonts w:ascii="Arial" w:hAnsi="Arial" w:cs="Arial"/>
          <w:sz w:val="20"/>
          <w:szCs w:val="20"/>
          <w:vertAlign w:val="superscript"/>
        </w:rPr>
        <w:t>α</w:t>
      </w:r>
      <w:r w:rsidRPr="00F03247">
        <w:rPr>
          <w:rFonts w:ascii="Arial" w:hAnsi="Arial" w:cs="Arial"/>
          <w:sz w:val="20"/>
          <w:szCs w:val="20"/>
        </w:rPr>
        <w:t xml:space="preserve"> outbreak cases notified in Aboriginal and Torres Strait Islander people residing in affected regions</w:t>
      </w:r>
      <w:r w:rsidRPr="00F03247">
        <w:rPr>
          <w:rFonts w:ascii="Arial" w:hAnsi="Arial" w:cs="Arial"/>
          <w:sz w:val="20"/>
          <w:szCs w:val="20"/>
          <w:vertAlign w:val="superscript"/>
        </w:rPr>
        <w:t>β</w:t>
      </w:r>
      <w:r w:rsidRPr="00F03247">
        <w:rPr>
          <w:rFonts w:ascii="Arial" w:hAnsi="Arial" w:cs="Arial"/>
          <w:sz w:val="20"/>
          <w:szCs w:val="20"/>
        </w:rPr>
        <w:t xml:space="preserve"> of Queensland, the Northern Territory, Western Australia and South Australia, to </w:t>
      </w:r>
      <w:r w:rsidRPr="00F03247">
        <w:rPr>
          <w:rFonts w:ascii="Arial" w:hAnsi="Arial" w:cs="Arial"/>
          <w:sz w:val="20"/>
          <w:szCs w:val="20"/>
        </w:rPr>
        <w:br/>
      </w:r>
      <w:r>
        <w:rPr>
          <w:rFonts w:ascii="Arial" w:hAnsi="Arial" w:cs="Arial"/>
          <w:sz w:val="20"/>
          <w:szCs w:val="20"/>
        </w:rPr>
        <w:t xml:space="preserve">31 July </w:t>
      </w:r>
      <w:r w:rsidRPr="00F03247">
        <w:rPr>
          <w:rFonts w:ascii="Arial" w:hAnsi="Arial" w:cs="Arial"/>
          <w:sz w:val="20"/>
          <w:szCs w:val="20"/>
        </w:rPr>
        <w:t>2019</w:t>
      </w:r>
      <w:r w:rsidRPr="00F03247">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EB11F0" w:rsidRPr="00F03247" w14:paraId="57B04B79" w14:textId="77777777" w:rsidTr="00EB11F0">
        <w:trPr>
          <w:tblHeader/>
        </w:trPr>
        <w:tc>
          <w:tcPr>
            <w:tcW w:w="3975" w:type="dxa"/>
            <w:tcBorders>
              <w:bottom w:val="single" w:sz="4" w:space="0" w:color="auto"/>
            </w:tcBorders>
          </w:tcPr>
          <w:p w14:paraId="57B04B72" w14:textId="77777777" w:rsidR="00EB11F0" w:rsidRPr="00F03247" w:rsidRDefault="00EB11F0" w:rsidP="00EB11F0">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57B04B73" w14:textId="77777777" w:rsidR="00EB11F0" w:rsidRPr="00F03247" w:rsidRDefault="00EB11F0" w:rsidP="00EB11F0">
            <w:pPr>
              <w:ind w:left="34" w:hanging="34"/>
              <w:jc w:val="center"/>
              <w:rPr>
                <w:rFonts w:ascii="Calibri" w:eastAsia="Times New Roman" w:hAnsi="Calibri" w:cs="Arial"/>
                <w:b/>
                <w:sz w:val="20"/>
                <w:szCs w:val="20"/>
                <w:lang w:eastAsia="en-AU"/>
              </w:rPr>
            </w:pPr>
            <w:r w:rsidRPr="00F03247">
              <w:rPr>
                <w:rFonts w:ascii="Calibri" w:eastAsia="Times New Roman" w:hAnsi="Calibri" w:cs="Arial"/>
                <w:b/>
                <w:sz w:val="20"/>
                <w:szCs w:val="20"/>
                <w:lang w:eastAsia="en-AU"/>
              </w:rPr>
              <w:t xml:space="preserve">North Qld </w:t>
            </w:r>
            <w:r w:rsidRPr="00F03247">
              <w:rPr>
                <w:rFonts w:ascii="Calibri" w:eastAsia="Times New Roman" w:hAnsi="Calibri" w:cs="Arial"/>
                <w:b/>
                <w:sz w:val="20"/>
                <w:szCs w:val="20"/>
                <w:lang w:eastAsia="en-AU"/>
              </w:rPr>
              <w:br/>
            </w:r>
            <w:r w:rsidRPr="00F03247">
              <w:rPr>
                <w:rFonts w:ascii="Calibri" w:eastAsia="Times New Roman" w:hAnsi="Calibri" w:cs="Arial"/>
                <w:sz w:val="20"/>
                <w:szCs w:val="20"/>
                <w:lang w:eastAsia="en-AU"/>
              </w:rPr>
              <w:t>(four HHSs</w:t>
            </w:r>
            <w:r w:rsidRPr="00F03247">
              <w:rPr>
                <w:rFonts w:ascii="Calibri" w:eastAsia="Times New Roman" w:hAnsi="Calibri" w:cs="Arial"/>
                <w:sz w:val="20"/>
                <w:szCs w:val="20"/>
                <w:vertAlign w:val="superscript"/>
                <w:lang w:eastAsia="en-AU"/>
              </w:rPr>
              <w:t>β</w:t>
            </w:r>
            <w:r w:rsidRPr="00F03247">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B74" w14:textId="77777777" w:rsidR="00EB11F0" w:rsidRPr="00F03247" w:rsidRDefault="00EB11F0" w:rsidP="00EB11F0">
            <w:pPr>
              <w:ind w:left="34" w:hanging="34"/>
              <w:jc w:val="center"/>
              <w:rPr>
                <w:rFonts w:ascii="Calibri" w:eastAsia="Times New Roman" w:hAnsi="Calibri" w:cs="Arial"/>
                <w:sz w:val="20"/>
                <w:szCs w:val="20"/>
                <w:lang w:eastAsia="en-AU"/>
              </w:rPr>
            </w:pPr>
            <w:r w:rsidRPr="00F03247">
              <w:rPr>
                <w:rFonts w:ascii="Calibri" w:eastAsia="Times New Roman" w:hAnsi="Calibri" w:cs="Arial"/>
                <w:b/>
                <w:sz w:val="20"/>
                <w:szCs w:val="20"/>
                <w:lang w:eastAsia="en-AU"/>
              </w:rPr>
              <w:t xml:space="preserve">NT </w:t>
            </w:r>
          </w:p>
          <w:p w14:paraId="57B04B75" w14:textId="77777777" w:rsidR="00EB11F0" w:rsidRPr="00F03247" w:rsidRDefault="00EB11F0" w:rsidP="00EB11F0">
            <w:pPr>
              <w:ind w:left="34" w:hanging="34"/>
              <w:jc w:val="center"/>
              <w:rPr>
                <w:rFonts w:ascii="Calibri" w:eastAsia="Times New Roman" w:hAnsi="Calibri" w:cs="Arial"/>
                <w:b/>
                <w:sz w:val="20"/>
                <w:szCs w:val="20"/>
                <w:lang w:eastAsia="en-AU"/>
              </w:rPr>
            </w:pPr>
            <w:r w:rsidRPr="00F03247">
              <w:rPr>
                <w:rFonts w:ascii="Calibri" w:eastAsia="Times New Roman" w:hAnsi="Calibri" w:cs="Arial"/>
                <w:sz w:val="20"/>
                <w:szCs w:val="20"/>
                <w:lang w:eastAsia="en-AU"/>
              </w:rPr>
              <w:t>(seven regions</w:t>
            </w:r>
            <w:r w:rsidRPr="00F03247">
              <w:rPr>
                <w:rFonts w:ascii="Calibri" w:eastAsia="Times New Roman" w:hAnsi="Calibri" w:cs="Arial"/>
                <w:sz w:val="20"/>
                <w:szCs w:val="20"/>
                <w:vertAlign w:val="superscript"/>
                <w:lang w:eastAsia="en-AU"/>
              </w:rPr>
              <w:t xml:space="preserve"> β</w:t>
            </w:r>
            <w:r w:rsidRPr="00F03247">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B76" w14:textId="77777777" w:rsidR="00EB11F0" w:rsidRPr="000B7CD5" w:rsidRDefault="00EB11F0" w:rsidP="00EB11F0">
            <w:pPr>
              <w:ind w:left="34" w:hanging="34"/>
              <w:jc w:val="center"/>
              <w:rPr>
                <w:rFonts w:ascii="Calibri" w:eastAsia="Times New Roman" w:hAnsi="Calibri" w:cs="Arial"/>
                <w:b/>
                <w:sz w:val="20"/>
                <w:szCs w:val="20"/>
                <w:lang w:eastAsia="en-AU"/>
              </w:rPr>
            </w:pPr>
            <w:r w:rsidRPr="000B7CD5">
              <w:rPr>
                <w:rFonts w:ascii="Calibri" w:eastAsia="Times New Roman" w:hAnsi="Calibri" w:cs="Arial"/>
                <w:b/>
                <w:sz w:val="20"/>
                <w:szCs w:val="20"/>
                <w:lang w:eastAsia="en-AU"/>
              </w:rPr>
              <w:t>WA</w:t>
            </w:r>
            <w:r w:rsidRPr="000B7CD5">
              <w:rPr>
                <w:rFonts w:ascii="Calibri" w:eastAsia="Times New Roman" w:hAnsi="Calibri" w:cs="Arial"/>
                <w:b/>
                <w:sz w:val="20"/>
                <w:szCs w:val="20"/>
                <w:lang w:eastAsia="en-AU"/>
              </w:rPr>
              <w:br/>
            </w:r>
            <w:r w:rsidRPr="000B7CD5">
              <w:rPr>
                <w:rFonts w:ascii="Calibri" w:eastAsia="Times New Roman" w:hAnsi="Calibri" w:cs="Arial"/>
                <w:sz w:val="20"/>
                <w:szCs w:val="20"/>
                <w:lang w:eastAsia="en-AU"/>
              </w:rPr>
              <w:t xml:space="preserve"> (three regions</w:t>
            </w:r>
            <w:r w:rsidRPr="000B7CD5">
              <w:rPr>
                <w:rFonts w:ascii="Calibri" w:eastAsia="Times New Roman" w:hAnsi="Calibri" w:cs="Arial"/>
                <w:sz w:val="20"/>
                <w:szCs w:val="20"/>
                <w:vertAlign w:val="superscript"/>
                <w:lang w:eastAsia="en-AU"/>
              </w:rPr>
              <w:t xml:space="preserve"> β</w:t>
            </w:r>
            <w:r w:rsidRPr="000B7CD5">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B77" w14:textId="77777777" w:rsidR="00EB11F0" w:rsidRPr="00F03247" w:rsidRDefault="00EB11F0" w:rsidP="00EB11F0">
            <w:pPr>
              <w:ind w:left="34" w:hanging="34"/>
              <w:jc w:val="center"/>
              <w:rPr>
                <w:rFonts w:ascii="Calibri" w:eastAsia="Times New Roman" w:hAnsi="Calibri" w:cs="Arial"/>
                <w:b/>
                <w:sz w:val="20"/>
                <w:szCs w:val="20"/>
                <w:lang w:eastAsia="en-AU"/>
              </w:rPr>
            </w:pPr>
            <w:r w:rsidRPr="00F03247">
              <w:rPr>
                <w:rFonts w:ascii="Calibri" w:eastAsia="Times New Roman" w:hAnsi="Calibri" w:cs="Arial"/>
                <w:b/>
                <w:sz w:val="20"/>
                <w:szCs w:val="20"/>
                <w:lang w:eastAsia="en-AU"/>
              </w:rPr>
              <w:t>SA</w:t>
            </w:r>
          </w:p>
          <w:p w14:paraId="57B04B78" w14:textId="77777777" w:rsidR="00EB11F0" w:rsidRPr="00F03247" w:rsidRDefault="00EB11F0" w:rsidP="00EB11F0">
            <w:pPr>
              <w:ind w:left="34" w:hanging="34"/>
              <w:jc w:val="center"/>
              <w:rPr>
                <w:rFonts w:ascii="Calibri" w:eastAsia="Times New Roman" w:hAnsi="Calibri" w:cs="Arial"/>
                <w:sz w:val="20"/>
                <w:szCs w:val="20"/>
                <w:lang w:eastAsia="en-AU"/>
              </w:rPr>
            </w:pPr>
            <w:r w:rsidRPr="00F03247">
              <w:rPr>
                <w:rFonts w:ascii="Calibri" w:eastAsia="Times New Roman" w:hAnsi="Calibri" w:cs="Arial"/>
                <w:sz w:val="20"/>
                <w:szCs w:val="20"/>
                <w:lang w:eastAsia="en-AU"/>
              </w:rPr>
              <w:t>(three regions</w:t>
            </w:r>
            <w:r w:rsidRPr="00F03247">
              <w:rPr>
                <w:rFonts w:ascii="Calibri" w:eastAsia="Times New Roman" w:hAnsi="Calibri" w:cs="Arial"/>
                <w:sz w:val="20"/>
                <w:szCs w:val="20"/>
                <w:vertAlign w:val="superscript"/>
                <w:lang w:eastAsia="en-AU"/>
              </w:rPr>
              <w:t xml:space="preserve"> β</w:t>
            </w:r>
            <w:r w:rsidRPr="00F03247">
              <w:rPr>
                <w:rFonts w:ascii="Calibri" w:eastAsia="Times New Roman" w:hAnsi="Calibri" w:cs="Arial"/>
                <w:sz w:val="20"/>
                <w:szCs w:val="20"/>
                <w:lang w:eastAsia="en-AU"/>
              </w:rPr>
              <w:t>)</w:t>
            </w:r>
          </w:p>
        </w:tc>
      </w:tr>
      <w:tr w:rsidR="00EB11F0" w:rsidRPr="00F03247" w14:paraId="57B04B7F" w14:textId="77777777" w:rsidTr="00EB11F0">
        <w:tc>
          <w:tcPr>
            <w:tcW w:w="3975" w:type="dxa"/>
            <w:tcBorders>
              <w:right w:val="nil"/>
            </w:tcBorders>
            <w:shd w:val="clear" w:color="auto" w:fill="DBE5F1" w:themeFill="accent1" w:themeFillTint="33"/>
          </w:tcPr>
          <w:p w14:paraId="57B04B7A" w14:textId="77777777" w:rsidR="00EB11F0" w:rsidRPr="00F03247" w:rsidRDefault="00EB11F0" w:rsidP="00EB11F0">
            <w:pPr>
              <w:ind w:left="34" w:hanging="34"/>
              <w:rPr>
                <w:rFonts w:ascii="Calibri" w:eastAsia="Times New Roman" w:hAnsi="Calibri" w:cs="Arial"/>
                <w:b/>
                <w:sz w:val="20"/>
                <w:szCs w:val="20"/>
                <w:lang w:eastAsia="en-AU"/>
              </w:rPr>
            </w:pPr>
            <w:r w:rsidRPr="00F03247">
              <w:rPr>
                <w:rFonts w:ascii="Calibri" w:eastAsia="Times New Roman" w:hAnsi="Calibri" w:cs="Arial"/>
                <w:b/>
                <w:sz w:val="20"/>
                <w:szCs w:val="20"/>
                <w:lang w:eastAsia="en-AU"/>
              </w:rPr>
              <w:t xml:space="preserve">Situation to-date, </w:t>
            </w:r>
            <w:r>
              <w:rPr>
                <w:rFonts w:ascii="Calibri" w:eastAsia="Times New Roman" w:hAnsi="Calibri" w:cs="Arial"/>
                <w:b/>
                <w:sz w:val="20"/>
                <w:szCs w:val="20"/>
                <w:lang w:eastAsia="en-AU"/>
              </w:rPr>
              <w:t>31 July</w:t>
            </w:r>
            <w:r w:rsidRPr="00F03247">
              <w:rPr>
                <w:rFonts w:ascii="Calibri" w:eastAsia="Times New Roman" w:hAnsi="Calibri" w:cs="Arial"/>
                <w:b/>
                <w:sz w:val="20"/>
                <w:szCs w:val="20"/>
                <w:lang w:eastAsia="en-AU"/>
              </w:rPr>
              <w:t xml:space="preserve"> 2019</w:t>
            </w:r>
          </w:p>
        </w:tc>
        <w:tc>
          <w:tcPr>
            <w:tcW w:w="1701" w:type="dxa"/>
            <w:tcBorders>
              <w:left w:val="nil"/>
              <w:bottom w:val="single" w:sz="4" w:space="0" w:color="auto"/>
              <w:right w:val="nil"/>
            </w:tcBorders>
            <w:shd w:val="clear" w:color="auto" w:fill="DBE5F1" w:themeFill="accent1" w:themeFillTint="33"/>
          </w:tcPr>
          <w:p w14:paraId="57B04B7B" w14:textId="77777777" w:rsidR="00EB11F0" w:rsidRPr="00F03247" w:rsidRDefault="00EB11F0"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B7C" w14:textId="77777777" w:rsidR="00EB11F0" w:rsidRPr="00F03247" w:rsidRDefault="00EB11F0" w:rsidP="00EB11F0">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B7D" w14:textId="77777777" w:rsidR="00EB11F0" w:rsidRPr="000B7CD5" w:rsidRDefault="00EB11F0" w:rsidP="00EB11F0">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B7E" w14:textId="77777777" w:rsidR="00EB11F0" w:rsidRPr="00A94758" w:rsidRDefault="00EB11F0" w:rsidP="00EB11F0">
            <w:pPr>
              <w:ind w:left="34" w:hanging="34"/>
              <w:rPr>
                <w:rFonts w:ascii="Calibri" w:eastAsia="Times New Roman" w:hAnsi="Calibri" w:cs="Arial"/>
                <w:sz w:val="20"/>
                <w:szCs w:val="20"/>
                <w:lang w:eastAsia="en-AU"/>
              </w:rPr>
            </w:pPr>
          </w:p>
        </w:tc>
      </w:tr>
      <w:tr w:rsidR="00EB11F0" w:rsidRPr="00F03247" w14:paraId="57B04B85" w14:textId="77777777" w:rsidTr="00EB11F0">
        <w:trPr>
          <w:trHeight w:val="365"/>
        </w:trPr>
        <w:tc>
          <w:tcPr>
            <w:tcW w:w="3975" w:type="dxa"/>
            <w:vAlign w:val="center"/>
          </w:tcPr>
          <w:p w14:paraId="57B04B80"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B81"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B82"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B83"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B84"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November 2016</w:t>
            </w:r>
          </w:p>
        </w:tc>
      </w:tr>
      <w:tr w:rsidR="00EB11F0" w:rsidRPr="00F03247" w14:paraId="57B04B8B" w14:textId="77777777" w:rsidTr="00EB11F0">
        <w:tc>
          <w:tcPr>
            <w:tcW w:w="3975" w:type="dxa"/>
          </w:tcPr>
          <w:p w14:paraId="57B04B86"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Total number of cases</w:t>
            </w:r>
            <w:r w:rsidRPr="00F03247">
              <w:rPr>
                <w:rFonts w:ascii="Calibri" w:eastAsia="Times New Roman" w:hAnsi="Calibri" w:cs="Arial"/>
                <w:b/>
                <w:sz w:val="20"/>
                <w:szCs w:val="20"/>
                <w:vertAlign w:val="superscript"/>
                <w:lang w:eastAsia="en-AU"/>
              </w:rPr>
              <w:t xml:space="preserve"> </w:t>
            </w:r>
            <w:r w:rsidRPr="00F03247">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B87"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1340</w:t>
            </w:r>
          </w:p>
        </w:tc>
        <w:tc>
          <w:tcPr>
            <w:tcW w:w="1560" w:type="dxa"/>
            <w:shd w:val="clear" w:color="auto" w:fill="B6DDE8" w:themeFill="accent5" w:themeFillTint="66"/>
            <w:vAlign w:val="center"/>
          </w:tcPr>
          <w:p w14:paraId="57B04B88"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1091</w:t>
            </w:r>
          </w:p>
        </w:tc>
        <w:tc>
          <w:tcPr>
            <w:tcW w:w="1672" w:type="dxa"/>
            <w:shd w:val="clear" w:color="auto" w:fill="CCC0D9" w:themeFill="accent4" w:themeFillTint="66"/>
            <w:vAlign w:val="center"/>
          </w:tcPr>
          <w:p w14:paraId="57B04B89"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358</w:t>
            </w:r>
          </w:p>
        </w:tc>
        <w:tc>
          <w:tcPr>
            <w:tcW w:w="1559" w:type="dxa"/>
            <w:shd w:val="clear" w:color="auto" w:fill="FBD4B4" w:themeFill="accent6" w:themeFillTint="66"/>
          </w:tcPr>
          <w:p w14:paraId="57B04B8A"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74</w:t>
            </w:r>
          </w:p>
        </w:tc>
      </w:tr>
      <w:tr w:rsidR="00EB11F0" w:rsidRPr="00F03247" w14:paraId="57B04B91" w14:textId="77777777" w:rsidTr="00EB11F0">
        <w:tc>
          <w:tcPr>
            <w:tcW w:w="3975" w:type="dxa"/>
            <w:shd w:val="clear" w:color="auto" w:fill="auto"/>
          </w:tcPr>
          <w:p w14:paraId="57B04B8C"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B8D"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B8E"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46% / 54%</w:t>
            </w:r>
          </w:p>
        </w:tc>
        <w:tc>
          <w:tcPr>
            <w:tcW w:w="1672" w:type="dxa"/>
            <w:shd w:val="clear" w:color="auto" w:fill="CCC0D9" w:themeFill="accent4" w:themeFillTint="66"/>
            <w:vAlign w:val="center"/>
          </w:tcPr>
          <w:p w14:paraId="57B04B8F"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42% / 58%</w:t>
            </w:r>
          </w:p>
        </w:tc>
        <w:tc>
          <w:tcPr>
            <w:tcW w:w="1559" w:type="dxa"/>
            <w:shd w:val="clear" w:color="auto" w:fill="FBD4B4" w:themeFill="accent6" w:themeFillTint="66"/>
          </w:tcPr>
          <w:p w14:paraId="57B04B90"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54% / 46%</w:t>
            </w:r>
          </w:p>
        </w:tc>
      </w:tr>
      <w:tr w:rsidR="00EB11F0" w:rsidRPr="00F03247" w14:paraId="57B04B97" w14:textId="77777777" w:rsidTr="00EB11F0">
        <w:tc>
          <w:tcPr>
            <w:tcW w:w="3975" w:type="dxa"/>
            <w:shd w:val="clear" w:color="auto" w:fill="auto"/>
          </w:tcPr>
          <w:p w14:paraId="57B04B92"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B93"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66%</w:t>
            </w:r>
          </w:p>
        </w:tc>
        <w:tc>
          <w:tcPr>
            <w:tcW w:w="1560" w:type="dxa"/>
            <w:shd w:val="clear" w:color="auto" w:fill="B6DDE8" w:themeFill="accent5" w:themeFillTint="66"/>
            <w:vAlign w:val="center"/>
          </w:tcPr>
          <w:p w14:paraId="57B04B94"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61%</w:t>
            </w:r>
          </w:p>
        </w:tc>
        <w:tc>
          <w:tcPr>
            <w:tcW w:w="1672" w:type="dxa"/>
            <w:shd w:val="clear" w:color="auto" w:fill="CCC0D9" w:themeFill="accent4" w:themeFillTint="66"/>
            <w:vAlign w:val="center"/>
          </w:tcPr>
          <w:p w14:paraId="57B04B95"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68%</w:t>
            </w:r>
          </w:p>
        </w:tc>
        <w:tc>
          <w:tcPr>
            <w:tcW w:w="1559" w:type="dxa"/>
            <w:shd w:val="clear" w:color="auto" w:fill="FBD4B4" w:themeFill="accent6" w:themeFillTint="66"/>
          </w:tcPr>
          <w:p w14:paraId="57B04B96" w14:textId="77777777" w:rsidR="00EB11F0" w:rsidRPr="00A94758" w:rsidRDefault="00EB11F0" w:rsidP="00EB11F0">
            <w:pPr>
              <w:tabs>
                <w:tab w:val="left" w:pos="465"/>
                <w:tab w:val="center" w:pos="663"/>
              </w:tabs>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47%</w:t>
            </w:r>
          </w:p>
        </w:tc>
      </w:tr>
      <w:tr w:rsidR="00EB11F0" w:rsidRPr="00F03247" w14:paraId="57B04B9D" w14:textId="77777777" w:rsidTr="00EB11F0">
        <w:tc>
          <w:tcPr>
            <w:tcW w:w="3975" w:type="dxa"/>
            <w:shd w:val="clear" w:color="auto" w:fill="auto"/>
          </w:tcPr>
          <w:p w14:paraId="57B04B98"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Congenital cases, confirmed (probable)</w:t>
            </w:r>
            <w:r w:rsidRPr="00F03247">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B99"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B9A"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B9B"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1 (0)</w:t>
            </w:r>
          </w:p>
        </w:tc>
        <w:tc>
          <w:tcPr>
            <w:tcW w:w="1559" w:type="dxa"/>
            <w:shd w:val="clear" w:color="auto" w:fill="FBD4B4" w:themeFill="accent6" w:themeFillTint="66"/>
          </w:tcPr>
          <w:p w14:paraId="57B04B9C"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1 (0)</w:t>
            </w:r>
          </w:p>
        </w:tc>
      </w:tr>
      <w:tr w:rsidR="00EB11F0" w:rsidRPr="00F03247" w14:paraId="57B04BA3" w14:textId="77777777" w:rsidTr="00EB11F0">
        <w:tc>
          <w:tcPr>
            <w:tcW w:w="3975" w:type="dxa"/>
            <w:tcBorders>
              <w:bottom w:val="single" w:sz="4" w:space="0" w:color="auto"/>
            </w:tcBorders>
            <w:shd w:val="clear" w:color="auto" w:fill="auto"/>
          </w:tcPr>
          <w:p w14:paraId="57B04B9E"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B9F"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BA0"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BA1"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BA2"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0 (0)</w:t>
            </w:r>
          </w:p>
        </w:tc>
      </w:tr>
      <w:tr w:rsidR="00EB11F0" w:rsidRPr="00F03247" w14:paraId="57B04BA5" w14:textId="77777777" w:rsidTr="00EB11F0">
        <w:tc>
          <w:tcPr>
            <w:tcW w:w="10467" w:type="dxa"/>
            <w:gridSpan w:val="5"/>
            <w:tcBorders>
              <w:bottom w:val="single" w:sz="4" w:space="0" w:color="auto"/>
            </w:tcBorders>
            <w:shd w:val="clear" w:color="auto" w:fill="DBE5F1" w:themeFill="accent1" w:themeFillTint="33"/>
          </w:tcPr>
          <w:p w14:paraId="57B04BA4" w14:textId="77777777" w:rsidR="00EB11F0" w:rsidRPr="00A94758" w:rsidRDefault="00EB11F0" w:rsidP="00EB11F0">
            <w:pPr>
              <w:ind w:left="34" w:hanging="34"/>
              <w:rPr>
                <w:rFonts w:ascii="Calibri" w:eastAsia="Times New Roman" w:hAnsi="Calibri" w:cs="Arial"/>
                <w:sz w:val="20"/>
                <w:szCs w:val="20"/>
                <w:lang w:eastAsia="en-AU"/>
              </w:rPr>
            </w:pPr>
            <w:r w:rsidRPr="00A94758">
              <w:rPr>
                <w:rFonts w:ascii="Calibri" w:eastAsia="Times New Roman" w:hAnsi="Calibri" w:cs="Arial"/>
                <w:b/>
                <w:sz w:val="20"/>
                <w:szCs w:val="20"/>
                <w:lang w:eastAsia="en-AU"/>
              </w:rPr>
              <w:t>Last reporting month, 1 – 31 July 2019</w:t>
            </w:r>
          </w:p>
        </w:tc>
      </w:tr>
      <w:tr w:rsidR="00EB11F0" w:rsidRPr="00F03247" w14:paraId="57B04BAB" w14:textId="77777777" w:rsidTr="00EB11F0">
        <w:tc>
          <w:tcPr>
            <w:tcW w:w="3975" w:type="dxa"/>
            <w:shd w:val="clear" w:color="auto" w:fill="auto"/>
          </w:tcPr>
          <w:p w14:paraId="57B04BA6"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Number of cases</w:t>
            </w:r>
            <w:r w:rsidRPr="00F03247">
              <w:rPr>
                <w:rFonts w:ascii="Calibri" w:eastAsia="Times New Roman" w:hAnsi="Calibri" w:cs="Arial"/>
                <w:b/>
                <w:sz w:val="20"/>
                <w:szCs w:val="20"/>
                <w:vertAlign w:val="superscript"/>
                <w:lang w:eastAsia="en-AU"/>
              </w:rPr>
              <w:t xml:space="preserve"> </w:t>
            </w:r>
            <w:r w:rsidRPr="00F03247">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BA7"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17</w:t>
            </w:r>
          </w:p>
        </w:tc>
        <w:tc>
          <w:tcPr>
            <w:tcW w:w="1560" w:type="dxa"/>
            <w:shd w:val="clear" w:color="auto" w:fill="B6DDE8" w:themeFill="accent5" w:themeFillTint="66"/>
            <w:vAlign w:val="center"/>
          </w:tcPr>
          <w:p w14:paraId="57B04BA8"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23</w:t>
            </w:r>
          </w:p>
        </w:tc>
        <w:tc>
          <w:tcPr>
            <w:tcW w:w="1672" w:type="dxa"/>
            <w:shd w:val="clear" w:color="auto" w:fill="CCC0D9" w:themeFill="accent4" w:themeFillTint="66"/>
            <w:vAlign w:val="center"/>
          </w:tcPr>
          <w:p w14:paraId="57B04BA9"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16</w:t>
            </w:r>
          </w:p>
        </w:tc>
        <w:tc>
          <w:tcPr>
            <w:tcW w:w="1559" w:type="dxa"/>
            <w:shd w:val="clear" w:color="auto" w:fill="FBD4B4" w:themeFill="accent6" w:themeFillTint="66"/>
          </w:tcPr>
          <w:p w14:paraId="57B04BAA"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1</w:t>
            </w:r>
          </w:p>
        </w:tc>
      </w:tr>
      <w:tr w:rsidR="00EB11F0" w:rsidRPr="00F03247" w14:paraId="57B04BB1" w14:textId="77777777" w:rsidTr="00EB11F0">
        <w:tc>
          <w:tcPr>
            <w:tcW w:w="3975" w:type="dxa"/>
            <w:shd w:val="clear" w:color="auto" w:fill="auto"/>
          </w:tcPr>
          <w:p w14:paraId="57B04BAC"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BAD" w14:textId="77777777" w:rsidR="00EB11F0" w:rsidRPr="00B731A6" w:rsidRDefault="00EB11F0" w:rsidP="00EB11F0">
            <w:pPr>
              <w:ind w:left="34" w:hanging="34"/>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35% / 65%</w:t>
            </w:r>
          </w:p>
        </w:tc>
        <w:tc>
          <w:tcPr>
            <w:tcW w:w="1560" w:type="dxa"/>
            <w:shd w:val="clear" w:color="auto" w:fill="B6DDE8" w:themeFill="accent5" w:themeFillTint="66"/>
            <w:vAlign w:val="center"/>
          </w:tcPr>
          <w:p w14:paraId="57B04BAE"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39% / 61%</w:t>
            </w:r>
          </w:p>
        </w:tc>
        <w:tc>
          <w:tcPr>
            <w:tcW w:w="1672" w:type="dxa"/>
            <w:shd w:val="clear" w:color="auto" w:fill="CCC0D9" w:themeFill="accent4" w:themeFillTint="66"/>
            <w:vAlign w:val="center"/>
          </w:tcPr>
          <w:p w14:paraId="57B04BAF"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31% / 69%</w:t>
            </w:r>
          </w:p>
        </w:tc>
        <w:tc>
          <w:tcPr>
            <w:tcW w:w="1559" w:type="dxa"/>
            <w:shd w:val="clear" w:color="auto" w:fill="FBD4B4" w:themeFill="accent6" w:themeFillTint="66"/>
          </w:tcPr>
          <w:p w14:paraId="57B04BB0"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100% / 0%</w:t>
            </w:r>
          </w:p>
        </w:tc>
      </w:tr>
      <w:tr w:rsidR="00EB11F0" w:rsidRPr="00F03247" w14:paraId="57B04BB7" w14:textId="77777777" w:rsidTr="00EB11F0">
        <w:tc>
          <w:tcPr>
            <w:tcW w:w="3975" w:type="dxa"/>
            <w:shd w:val="clear" w:color="auto" w:fill="auto"/>
          </w:tcPr>
          <w:p w14:paraId="57B04BB2" w14:textId="77777777" w:rsidR="00EB11F0" w:rsidRPr="00F03247" w:rsidRDefault="00EB11F0" w:rsidP="00EB11F0">
            <w:pPr>
              <w:ind w:left="34" w:hanging="34"/>
              <w:rPr>
                <w:rFonts w:ascii="Calibri" w:eastAsia="Times New Roman" w:hAnsi="Calibri" w:cs="Arial"/>
                <w:sz w:val="20"/>
                <w:szCs w:val="20"/>
                <w:lang w:eastAsia="en-AU"/>
              </w:rPr>
            </w:pPr>
            <w:r w:rsidRPr="00F03247">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BB3" w14:textId="77777777" w:rsidR="00EB11F0" w:rsidRPr="00B731A6" w:rsidRDefault="00EB11F0" w:rsidP="00EB11F0">
            <w:pPr>
              <w:jc w:val="center"/>
              <w:rPr>
                <w:rFonts w:ascii="Calibri" w:eastAsia="Times New Roman" w:hAnsi="Calibri" w:cs="Arial"/>
                <w:sz w:val="20"/>
                <w:szCs w:val="20"/>
                <w:lang w:eastAsia="en-AU"/>
              </w:rPr>
            </w:pPr>
            <w:r w:rsidRPr="00B731A6">
              <w:rPr>
                <w:rFonts w:ascii="Calibri" w:eastAsia="Times New Roman" w:hAnsi="Calibri" w:cs="Arial"/>
                <w:sz w:val="20"/>
                <w:szCs w:val="20"/>
                <w:lang w:eastAsia="en-AU"/>
              </w:rPr>
              <w:t>41%</w:t>
            </w:r>
          </w:p>
        </w:tc>
        <w:tc>
          <w:tcPr>
            <w:tcW w:w="1560" w:type="dxa"/>
            <w:shd w:val="clear" w:color="auto" w:fill="B6DDE8" w:themeFill="accent5" w:themeFillTint="66"/>
            <w:vAlign w:val="center"/>
          </w:tcPr>
          <w:p w14:paraId="57B04BB4"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39%</w:t>
            </w:r>
          </w:p>
        </w:tc>
        <w:tc>
          <w:tcPr>
            <w:tcW w:w="1672" w:type="dxa"/>
            <w:shd w:val="clear" w:color="auto" w:fill="CCC0D9" w:themeFill="accent4" w:themeFillTint="66"/>
            <w:vAlign w:val="center"/>
          </w:tcPr>
          <w:p w14:paraId="57B04BB5" w14:textId="77777777" w:rsidR="00EB11F0" w:rsidRPr="000B7CD5" w:rsidRDefault="00EB11F0" w:rsidP="00EB11F0">
            <w:pPr>
              <w:ind w:left="34" w:hanging="34"/>
              <w:jc w:val="center"/>
              <w:rPr>
                <w:rFonts w:ascii="Calibri" w:eastAsia="Times New Roman" w:hAnsi="Calibri" w:cs="Arial"/>
                <w:sz w:val="20"/>
                <w:szCs w:val="20"/>
                <w:lang w:eastAsia="en-AU"/>
              </w:rPr>
            </w:pPr>
            <w:r w:rsidRPr="000B7CD5">
              <w:rPr>
                <w:rFonts w:ascii="Calibri" w:eastAsia="Times New Roman" w:hAnsi="Calibri" w:cs="Arial"/>
                <w:sz w:val="20"/>
                <w:szCs w:val="20"/>
                <w:lang w:eastAsia="en-AU"/>
              </w:rPr>
              <w:t>63%</w:t>
            </w:r>
          </w:p>
        </w:tc>
        <w:tc>
          <w:tcPr>
            <w:tcW w:w="1559" w:type="dxa"/>
            <w:shd w:val="clear" w:color="auto" w:fill="FBD4B4" w:themeFill="accent6" w:themeFillTint="66"/>
          </w:tcPr>
          <w:p w14:paraId="57B04BB6" w14:textId="77777777" w:rsidR="00EB11F0" w:rsidRPr="00A94758" w:rsidRDefault="00EB11F0" w:rsidP="00EB11F0">
            <w:pPr>
              <w:ind w:left="34" w:hanging="34"/>
              <w:jc w:val="center"/>
              <w:rPr>
                <w:rFonts w:ascii="Calibri" w:eastAsia="Times New Roman" w:hAnsi="Calibri" w:cs="Arial"/>
                <w:sz w:val="20"/>
                <w:szCs w:val="20"/>
                <w:lang w:eastAsia="en-AU"/>
              </w:rPr>
            </w:pPr>
            <w:r w:rsidRPr="00A94758">
              <w:rPr>
                <w:rFonts w:ascii="Calibri" w:eastAsia="Times New Roman" w:hAnsi="Calibri" w:cs="Arial"/>
                <w:sz w:val="20"/>
                <w:szCs w:val="20"/>
                <w:lang w:eastAsia="en-AU"/>
              </w:rPr>
              <w:t>0%</w:t>
            </w:r>
          </w:p>
        </w:tc>
      </w:tr>
    </w:tbl>
    <w:p w14:paraId="57B04BB8" w14:textId="77777777" w:rsidR="00EB11F0" w:rsidRPr="00F03247" w:rsidRDefault="00EB11F0" w:rsidP="00EB11F0">
      <w:pPr>
        <w:pStyle w:val="ListParagraph"/>
        <w:spacing w:before="60" w:after="0" w:line="240" w:lineRule="auto"/>
        <w:ind w:left="-567"/>
        <w:contextualSpacing w:val="0"/>
        <w:rPr>
          <w:b/>
          <w:sz w:val="16"/>
          <w:szCs w:val="16"/>
          <w:vertAlign w:val="superscript"/>
        </w:rPr>
      </w:pPr>
    </w:p>
    <w:p w14:paraId="57B04BB9" w14:textId="77777777" w:rsidR="00EB11F0" w:rsidRPr="00F03247" w:rsidRDefault="00EB11F0" w:rsidP="00EB11F0">
      <w:pPr>
        <w:pStyle w:val="ListParagraph"/>
        <w:spacing w:before="60" w:after="0" w:line="240" w:lineRule="auto"/>
        <w:ind w:left="-709"/>
        <w:contextualSpacing w:val="0"/>
        <w:rPr>
          <w:rFonts w:ascii="Arial" w:hAnsi="Arial" w:cs="Arial"/>
          <w:sz w:val="20"/>
          <w:szCs w:val="16"/>
        </w:rPr>
      </w:pPr>
      <w:r w:rsidRPr="00F03247">
        <w:rPr>
          <w:rFonts w:ascii="Arial" w:hAnsi="Arial" w:cs="Arial"/>
          <w:b/>
          <w:sz w:val="20"/>
          <w:szCs w:val="16"/>
        </w:rPr>
        <w:t xml:space="preserve">Table 2. </w:t>
      </w:r>
      <w:r w:rsidRPr="00F03247">
        <w:rPr>
          <w:rFonts w:ascii="Arial" w:hAnsi="Arial" w:cs="Arial"/>
          <w:sz w:val="20"/>
          <w:szCs w:val="16"/>
        </w:rPr>
        <w:t>Number of category 2 infectious syphilis</w:t>
      </w:r>
      <w:r w:rsidRPr="00F03247">
        <w:rPr>
          <w:rFonts w:ascii="Arial" w:hAnsi="Arial" w:cs="Arial"/>
          <w:sz w:val="20"/>
          <w:szCs w:val="20"/>
          <w:vertAlign w:val="superscript"/>
        </w:rPr>
        <w:t>α</w:t>
      </w:r>
      <w:r w:rsidRPr="00F03247">
        <w:rPr>
          <w:rFonts w:ascii="Arial" w:hAnsi="Arial" w:cs="Arial"/>
          <w:sz w:val="20"/>
          <w:szCs w:val="20"/>
        </w:rPr>
        <w:t xml:space="preserve"> cases</w:t>
      </w:r>
      <w:r w:rsidRPr="00F03247">
        <w:rPr>
          <w:rFonts w:ascii="Arial" w:hAnsi="Arial" w:cs="Arial"/>
          <w:sz w:val="20"/>
          <w:szCs w:val="16"/>
        </w:rPr>
        <w:t>, to 3</w:t>
      </w:r>
      <w:r>
        <w:rPr>
          <w:rFonts w:ascii="Arial" w:hAnsi="Arial" w:cs="Arial"/>
          <w:sz w:val="20"/>
          <w:szCs w:val="16"/>
        </w:rPr>
        <w:t>1 July</w:t>
      </w:r>
      <w:r w:rsidRPr="00F03247">
        <w:rPr>
          <w:rFonts w:ascii="Arial" w:hAnsi="Arial" w:cs="Arial"/>
          <w:sz w:val="20"/>
          <w:szCs w:val="16"/>
        </w:rPr>
        <w:t xml:space="preserve"> 2019</w:t>
      </w:r>
      <w:r w:rsidRPr="00F03247">
        <w:rPr>
          <w:rFonts w:ascii="Arial" w:hAnsi="Arial" w:cs="Arial"/>
          <w:sz w:val="20"/>
          <w:szCs w:val="20"/>
          <w:vertAlign w:val="superscript"/>
        </w:rPr>
        <w:t xml:space="preserve"> ȶ ᵞ</w:t>
      </w:r>
      <w:r w:rsidRPr="00F03247">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EB11F0" w:rsidRPr="00F03247" w14:paraId="57B04BC0" w14:textId="77777777" w:rsidTr="00EB11F0">
        <w:trPr>
          <w:tblHeader/>
        </w:trPr>
        <w:tc>
          <w:tcPr>
            <w:tcW w:w="3964" w:type="dxa"/>
            <w:tcBorders>
              <w:bottom w:val="single" w:sz="4" w:space="0" w:color="auto"/>
            </w:tcBorders>
          </w:tcPr>
          <w:p w14:paraId="57B04BBA" w14:textId="77777777" w:rsidR="00EB11F0" w:rsidRPr="00F03247" w:rsidRDefault="00EB11F0" w:rsidP="00EB11F0">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57B04BBB" w14:textId="77777777" w:rsidR="00EB11F0" w:rsidRPr="00F03247" w:rsidRDefault="00EB11F0" w:rsidP="00EB11F0">
            <w:pPr>
              <w:pStyle w:val="ListParagraph"/>
              <w:spacing w:before="60"/>
              <w:ind w:left="0"/>
              <w:contextualSpacing w:val="0"/>
              <w:jc w:val="center"/>
              <w:rPr>
                <w:rFonts w:ascii="Calibri" w:eastAsia="Times New Roman" w:hAnsi="Calibri" w:cs="Arial"/>
                <w:b/>
                <w:sz w:val="20"/>
                <w:szCs w:val="20"/>
                <w:lang w:eastAsia="en-AU"/>
              </w:rPr>
            </w:pPr>
            <w:r w:rsidRPr="00F03247">
              <w:rPr>
                <w:rFonts w:ascii="Calibri" w:eastAsia="Times New Roman" w:hAnsi="Calibri" w:cs="Arial"/>
                <w:b/>
                <w:sz w:val="20"/>
                <w:szCs w:val="20"/>
                <w:lang w:eastAsia="en-AU"/>
              </w:rPr>
              <w:t xml:space="preserve">North Qld </w:t>
            </w:r>
            <w:r w:rsidRPr="00F03247">
              <w:rPr>
                <w:rFonts w:ascii="Calibri" w:eastAsia="Times New Roman" w:hAnsi="Calibri" w:cs="Arial"/>
                <w:b/>
                <w:sz w:val="20"/>
                <w:szCs w:val="20"/>
                <w:lang w:eastAsia="en-AU"/>
              </w:rPr>
              <w:br/>
            </w:r>
            <w:r w:rsidRPr="00F03247">
              <w:rPr>
                <w:rFonts w:ascii="Calibri" w:eastAsia="Times New Roman" w:hAnsi="Calibri" w:cs="Arial"/>
                <w:sz w:val="20"/>
                <w:szCs w:val="20"/>
                <w:lang w:eastAsia="en-AU"/>
              </w:rPr>
              <w:t>(four HHSs</w:t>
            </w:r>
            <w:r w:rsidRPr="00F03247">
              <w:rPr>
                <w:rFonts w:ascii="Calibri" w:eastAsia="Times New Roman" w:hAnsi="Calibri" w:cs="Arial"/>
                <w:sz w:val="20"/>
                <w:szCs w:val="20"/>
                <w:vertAlign w:val="superscript"/>
                <w:lang w:eastAsia="en-AU"/>
              </w:rPr>
              <w:t>β</w:t>
            </w:r>
            <w:r w:rsidRPr="00F03247">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BBC" w14:textId="77777777" w:rsidR="00EB11F0" w:rsidRPr="00F03247" w:rsidRDefault="00EB11F0" w:rsidP="00EB11F0">
            <w:pPr>
              <w:pStyle w:val="ListParagraph"/>
              <w:spacing w:before="60"/>
              <w:ind w:left="0"/>
              <w:contextualSpacing w:val="0"/>
              <w:jc w:val="center"/>
              <w:rPr>
                <w:rFonts w:ascii="Calibri" w:hAnsi="Calibri"/>
                <w:b/>
                <w:sz w:val="20"/>
                <w:szCs w:val="16"/>
              </w:rPr>
            </w:pPr>
            <w:r w:rsidRPr="00F03247">
              <w:rPr>
                <w:rFonts w:ascii="Calibri" w:eastAsia="Times New Roman" w:hAnsi="Calibri" w:cs="Arial"/>
                <w:b/>
                <w:sz w:val="20"/>
                <w:szCs w:val="20"/>
                <w:lang w:eastAsia="en-AU"/>
              </w:rPr>
              <w:t xml:space="preserve">NT </w:t>
            </w:r>
            <w:r w:rsidRPr="00F03247">
              <w:rPr>
                <w:rFonts w:ascii="Calibri" w:eastAsia="Times New Roman" w:hAnsi="Calibri" w:cs="Arial"/>
                <w:b/>
                <w:sz w:val="20"/>
                <w:szCs w:val="20"/>
                <w:lang w:eastAsia="en-AU"/>
              </w:rPr>
              <w:br/>
            </w:r>
            <w:r w:rsidRPr="00F03247">
              <w:rPr>
                <w:rFonts w:ascii="Calibri" w:eastAsia="Times New Roman" w:hAnsi="Calibri" w:cs="Arial"/>
                <w:sz w:val="20"/>
                <w:szCs w:val="20"/>
                <w:lang w:eastAsia="en-AU"/>
              </w:rPr>
              <w:t>(seven regions</w:t>
            </w:r>
            <w:r w:rsidRPr="00F03247">
              <w:rPr>
                <w:rFonts w:ascii="Calibri" w:eastAsia="Times New Roman" w:hAnsi="Calibri" w:cs="Arial"/>
                <w:sz w:val="20"/>
                <w:szCs w:val="20"/>
                <w:vertAlign w:val="superscript"/>
                <w:lang w:eastAsia="en-AU"/>
              </w:rPr>
              <w:t xml:space="preserve"> β</w:t>
            </w:r>
            <w:r w:rsidRPr="00F03247">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BBD" w14:textId="77777777" w:rsidR="00EB11F0" w:rsidRPr="00F03247" w:rsidRDefault="00EB11F0" w:rsidP="00EB11F0">
            <w:pPr>
              <w:pStyle w:val="ListParagraph"/>
              <w:spacing w:before="60"/>
              <w:ind w:left="0"/>
              <w:contextualSpacing w:val="0"/>
              <w:jc w:val="center"/>
              <w:rPr>
                <w:rFonts w:ascii="Calibri" w:hAnsi="Calibri"/>
                <w:b/>
                <w:sz w:val="20"/>
                <w:szCs w:val="16"/>
              </w:rPr>
            </w:pPr>
            <w:r w:rsidRPr="00F03247">
              <w:rPr>
                <w:rFonts w:ascii="Calibri" w:eastAsia="Times New Roman" w:hAnsi="Calibri" w:cs="Arial"/>
                <w:b/>
                <w:sz w:val="20"/>
                <w:szCs w:val="20"/>
                <w:lang w:eastAsia="en-AU"/>
              </w:rPr>
              <w:t>WA</w:t>
            </w:r>
            <w:r w:rsidRPr="00F03247">
              <w:rPr>
                <w:rFonts w:ascii="Calibri" w:eastAsia="Times New Roman" w:hAnsi="Calibri" w:cs="Arial"/>
                <w:b/>
                <w:sz w:val="20"/>
                <w:szCs w:val="20"/>
                <w:lang w:eastAsia="en-AU"/>
              </w:rPr>
              <w:br/>
            </w:r>
            <w:r w:rsidRPr="00F03247">
              <w:rPr>
                <w:rFonts w:ascii="Calibri" w:eastAsia="Times New Roman" w:hAnsi="Calibri" w:cs="Arial"/>
                <w:sz w:val="20"/>
                <w:szCs w:val="20"/>
                <w:lang w:eastAsia="en-AU"/>
              </w:rPr>
              <w:t xml:space="preserve"> (three regions</w:t>
            </w:r>
            <w:r w:rsidRPr="00F03247">
              <w:rPr>
                <w:rFonts w:ascii="Calibri" w:eastAsia="Times New Roman" w:hAnsi="Calibri" w:cs="Arial"/>
                <w:sz w:val="20"/>
                <w:szCs w:val="20"/>
                <w:vertAlign w:val="superscript"/>
                <w:lang w:eastAsia="en-AU"/>
              </w:rPr>
              <w:t xml:space="preserve"> β</w:t>
            </w:r>
            <w:r w:rsidRPr="00F03247">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BBE" w14:textId="77777777" w:rsidR="00EB11F0" w:rsidRPr="00F03247" w:rsidRDefault="00EB11F0" w:rsidP="00EB11F0">
            <w:pPr>
              <w:ind w:left="34" w:hanging="34"/>
              <w:jc w:val="center"/>
              <w:rPr>
                <w:rFonts w:ascii="Calibri" w:eastAsia="Times New Roman" w:hAnsi="Calibri" w:cs="Arial"/>
                <w:b/>
                <w:sz w:val="20"/>
                <w:szCs w:val="20"/>
                <w:lang w:eastAsia="en-AU"/>
              </w:rPr>
            </w:pPr>
            <w:r w:rsidRPr="00F03247">
              <w:rPr>
                <w:rFonts w:ascii="Calibri" w:eastAsia="Times New Roman" w:hAnsi="Calibri" w:cs="Arial"/>
                <w:b/>
                <w:sz w:val="20"/>
                <w:szCs w:val="20"/>
                <w:lang w:eastAsia="en-AU"/>
              </w:rPr>
              <w:t>SA</w:t>
            </w:r>
          </w:p>
          <w:p w14:paraId="57B04BBF" w14:textId="77777777" w:rsidR="00EB11F0" w:rsidRPr="00F03247" w:rsidRDefault="00EB11F0" w:rsidP="00EB11F0">
            <w:pPr>
              <w:pStyle w:val="ListParagraph"/>
              <w:spacing w:before="60"/>
              <w:ind w:left="0"/>
              <w:contextualSpacing w:val="0"/>
              <w:jc w:val="center"/>
              <w:rPr>
                <w:rFonts w:ascii="Calibri" w:hAnsi="Calibri"/>
                <w:b/>
                <w:sz w:val="20"/>
                <w:szCs w:val="16"/>
              </w:rPr>
            </w:pPr>
            <w:r w:rsidRPr="00F03247">
              <w:rPr>
                <w:rFonts w:ascii="Calibri" w:eastAsia="Times New Roman" w:hAnsi="Calibri" w:cs="Arial"/>
                <w:sz w:val="20"/>
                <w:szCs w:val="20"/>
                <w:lang w:eastAsia="en-AU"/>
              </w:rPr>
              <w:t>(three regions</w:t>
            </w:r>
            <w:r w:rsidRPr="00F03247">
              <w:rPr>
                <w:rFonts w:ascii="Calibri" w:eastAsia="Times New Roman" w:hAnsi="Calibri" w:cs="Arial"/>
                <w:sz w:val="20"/>
                <w:szCs w:val="20"/>
                <w:vertAlign w:val="superscript"/>
                <w:lang w:eastAsia="en-AU"/>
              </w:rPr>
              <w:t xml:space="preserve"> β</w:t>
            </w:r>
            <w:r w:rsidRPr="00F03247">
              <w:rPr>
                <w:rFonts w:ascii="Calibri" w:eastAsia="Times New Roman" w:hAnsi="Calibri" w:cs="Arial"/>
                <w:sz w:val="20"/>
                <w:szCs w:val="20"/>
                <w:lang w:eastAsia="en-AU"/>
              </w:rPr>
              <w:t>)</w:t>
            </w:r>
          </w:p>
        </w:tc>
      </w:tr>
      <w:tr w:rsidR="00EB11F0" w:rsidRPr="00F03247" w14:paraId="57B04BC2" w14:textId="77777777" w:rsidTr="00EB11F0">
        <w:tc>
          <w:tcPr>
            <w:tcW w:w="10456" w:type="dxa"/>
            <w:gridSpan w:val="5"/>
            <w:shd w:val="clear" w:color="auto" w:fill="DBE5F1" w:themeFill="accent1" w:themeFillTint="33"/>
          </w:tcPr>
          <w:p w14:paraId="57B04BC1" w14:textId="77777777" w:rsidR="00EB11F0" w:rsidRPr="00A94758" w:rsidRDefault="00EB11F0" w:rsidP="00EB11F0">
            <w:pPr>
              <w:pStyle w:val="ListParagraph"/>
              <w:spacing w:before="60"/>
              <w:ind w:left="0"/>
              <w:contextualSpacing w:val="0"/>
              <w:rPr>
                <w:b/>
                <w:sz w:val="16"/>
                <w:szCs w:val="16"/>
              </w:rPr>
            </w:pPr>
            <w:r w:rsidRPr="00A94758">
              <w:rPr>
                <w:b/>
                <w:sz w:val="20"/>
                <w:szCs w:val="16"/>
              </w:rPr>
              <w:t xml:space="preserve">Situation to-date, </w:t>
            </w:r>
            <w:r w:rsidRPr="00A94758">
              <w:rPr>
                <w:rFonts w:ascii="Calibri" w:eastAsia="Times New Roman" w:hAnsi="Calibri" w:cs="Arial"/>
                <w:b/>
                <w:sz w:val="20"/>
                <w:szCs w:val="20"/>
                <w:lang w:eastAsia="en-AU"/>
              </w:rPr>
              <w:t>31 July 2019</w:t>
            </w:r>
          </w:p>
        </w:tc>
      </w:tr>
      <w:tr w:rsidR="00EB11F0" w:rsidRPr="00F03247" w14:paraId="57B04BC8" w14:textId="77777777" w:rsidTr="00EB11F0">
        <w:tc>
          <w:tcPr>
            <w:tcW w:w="3964" w:type="dxa"/>
            <w:shd w:val="clear" w:color="auto" w:fill="auto"/>
          </w:tcPr>
          <w:p w14:paraId="57B04BC3" w14:textId="77777777" w:rsidR="00EB11F0" w:rsidRPr="00A94758" w:rsidRDefault="00EB11F0" w:rsidP="00EB11F0">
            <w:pPr>
              <w:pStyle w:val="ListParagraph"/>
              <w:spacing w:before="60"/>
              <w:ind w:left="0"/>
              <w:contextualSpacing w:val="0"/>
              <w:rPr>
                <w:sz w:val="20"/>
                <w:szCs w:val="16"/>
              </w:rPr>
            </w:pPr>
            <w:r w:rsidRPr="00A94758">
              <w:rPr>
                <w:sz w:val="20"/>
                <w:szCs w:val="16"/>
              </w:rPr>
              <w:t>Outbreak commencement month/year</w:t>
            </w:r>
          </w:p>
        </w:tc>
        <w:tc>
          <w:tcPr>
            <w:tcW w:w="1701" w:type="dxa"/>
            <w:shd w:val="clear" w:color="auto" w:fill="B8CCE4" w:themeFill="accent1" w:themeFillTint="66"/>
          </w:tcPr>
          <w:p w14:paraId="57B04BC4"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January 2011</w:t>
            </w:r>
          </w:p>
        </w:tc>
        <w:tc>
          <w:tcPr>
            <w:tcW w:w="1560" w:type="dxa"/>
            <w:shd w:val="clear" w:color="auto" w:fill="B6DDE8" w:themeFill="accent5" w:themeFillTint="66"/>
          </w:tcPr>
          <w:p w14:paraId="57B04BC5"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July 2013</w:t>
            </w:r>
          </w:p>
        </w:tc>
        <w:tc>
          <w:tcPr>
            <w:tcW w:w="1672" w:type="dxa"/>
            <w:shd w:val="clear" w:color="auto" w:fill="CCC0D9" w:themeFill="accent4" w:themeFillTint="66"/>
          </w:tcPr>
          <w:p w14:paraId="57B04BC6"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June 2014</w:t>
            </w:r>
          </w:p>
        </w:tc>
        <w:tc>
          <w:tcPr>
            <w:tcW w:w="1559" w:type="dxa"/>
            <w:shd w:val="clear" w:color="auto" w:fill="FBD4B4" w:themeFill="accent6" w:themeFillTint="66"/>
          </w:tcPr>
          <w:p w14:paraId="57B04BC7"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November 2016</w:t>
            </w:r>
          </w:p>
        </w:tc>
      </w:tr>
      <w:tr w:rsidR="00EB11F0" w:rsidRPr="00F03247" w14:paraId="57B04BCE" w14:textId="77777777" w:rsidTr="00EB11F0">
        <w:tc>
          <w:tcPr>
            <w:tcW w:w="3964" w:type="dxa"/>
            <w:shd w:val="clear" w:color="auto" w:fill="auto"/>
          </w:tcPr>
          <w:p w14:paraId="57B04BC9" w14:textId="77777777" w:rsidR="00EB11F0" w:rsidRPr="00A94758" w:rsidRDefault="00EB11F0" w:rsidP="00EB11F0">
            <w:pPr>
              <w:pStyle w:val="ListParagraph"/>
              <w:spacing w:before="60"/>
              <w:ind w:left="0"/>
              <w:contextualSpacing w:val="0"/>
              <w:rPr>
                <w:sz w:val="16"/>
                <w:szCs w:val="16"/>
              </w:rPr>
            </w:pPr>
            <w:r w:rsidRPr="00A94758">
              <w:rPr>
                <w:sz w:val="20"/>
                <w:szCs w:val="16"/>
              </w:rPr>
              <w:t>Aboriginal and Torres Strait Islander people</w:t>
            </w:r>
            <w:r w:rsidRPr="00A94758">
              <w:rPr>
                <w:rFonts w:ascii="Agency FB" w:hAnsi="Agency FB"/>
                <w:sz w:val="20"/>
                <w:szCs w:val="16"/>
                <w:vertAlign w:val="superscript"/>
              </w:rPr>
              <w:t>§</w:t>
            </w:r>
          </w:p>
        </w:tc>
        <w:tc>
          <w:tcPr>
            <w:tcW w:w="1701" w:type="dxa"/>
            <w:shd w:val="clear" w:color="auto" w:fill="B8CCE4" w:themeFill="accent1" w:themeFillTint="66"/>
          </w:tcPr>
          <w:p w14:paraId="57B04BCA"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13</w:t>
            </w:r>
          </w:p>
        </w:tc>
        <w:tc>
          <w:tcPr>
            <w:tcW w:w="1560" w:type="dxa"/>
            <w:shd w:val="clear" w:color="auto" w:fill="B6DDE8" w:themeFill="accent5" w:themeFillTint="66"/>
          </w:tcPr>
          <w:p w14:paraId="57B04BCB"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2</w:t>
            </w:r>
          </w:p>
        </w:tc>
        <w:tc>
          <w:tcPr>
            <w:tcW w:w="1672" w:type="dxa"/>
            <w:shd w:val="clear" w:color="auto" w:fill="CCC0D9" w:themeFill="accent4" w:themeFillTint="66"/>
            <w:vAlign w:val="center"/>
          </w:tcPr>
          <w:p w14:paraId="57B04BCC"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c>
          <w:tcPr>
            <w:tcW w:w="1559" w:type="dxa"/>
            <w:shd w:val="clear" w:color="auto" w:fill="FBD4B4" w:themeFill="accent6" w:themeFillTint="66"/>
          </w:tcPr>
          <w:p w14:paraId="57B04BCD"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r>
      <w:tr w:rsidR="00EB11F0" w:rsidRPr="00F03247" w14:paraId="57B04BD4" w14:textId="77777777" w:rsidTr="00EB11F0">
        <w:tc>
          <w:tcPr>
            <w:tcW w:w="3964" w:type="dxa"/>
            <w:tcBorders>
              <w:bottom w:val="single" w:sz="4" w:space="0" w:color="auto"/>
            </w:tcBorders>
            <w:shd w:val="clear" w:color="auto" w:fill="auto"/>
          </w:tcPr>
          <w:p w14:paraId="57B04BCF" w14:textId="77777777" w:rsidR="00EB11F0" w:rsidRPr="00A94758" w:rsidRDefault="00EB11F0" w:rsidP="00EB11F0">
            <w:pPr>
              <w:pStyle w:val="ListParagraph"/>
              <w:spacing w:before="60"/>
              <w:ind w:left="0"/>
              <w:contextualSpacing w:val="0"/>
              <w:rPr>
                <w:sz w:val="16"/>
                <w:szCs w:val="16"/>
              </w:rPr>
            </w:pPr>
            <w:r w:rsidRPr="00A94758">
              <w:rPr>
                <w:sz w:val="20"/>
                <w:szCs w:val="16"/>
              </w:rPr>
              <w:t>Non-Indigenous people</w:t>
            </w:r>
            <w:r w:rsidRPr="00A94758">
              <w:rPr>
                <w:sz w:val="20"/>
                <w:szCs w:val="16"/>
                <w:vertAlign w:val="superscript"/>
              </w:rPr>
              <w:t>µ</w:t>
            </w:r>
          </w:p>
        </w:tc>
        <w:tc>
          <w:tcPr>
            <w:tcW w:w="1701" w:type="dxa"/>
            <w:tcBorders>
              <w:bottom w:val="single" w:sz="4" w:space="0" w:color="auto"/>
            </w:tcBorders>
            <w:shd w:val="clear" w:color="auto" w:fill="B8CCE4" w:themeFill="accent1" w:themeFillTint="66"/>
          </w:tcPr>
          <w:p w14:paraId="57B04BD0"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20</w:t>
            </w:r>
          </w:p>
        </w:tc>
        <w:tc>
          <w:tcPr>
            <w:tcW w:w="1560" w:type="dxa"/>
            <w:tcBorders>
              <w:bottom w:val="single" w:sz="4" w:space="0" w:color="auto"/>
            </w:tcBorders>
            <w:shd w:val="clear" w:color="auto" w:fill="B6DDE8" w:themeFill="accent5" w:themeFillTint="66"/>
          </w:tcPr>
          <w:p w14:paraId="57B04BD1"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9</w:t>
            </w:r>
          </w:p>
        </w:tc>
        <w:tc>
          <w:tcPr>
            <w:tcW w:w="1672" w:type="dxa"/>
            <w:tcBorders>
              <w:bottom w:val="single" w:sz="4" w:space="0" w:color="auto"/>
            </w:tcBorders>
            <w:shd w:val="clear" w:color="auto" w:fill="CCC0D9" w:themeFill="accent4" w:themeFillTint="66"/>
            <w:vAlign w:val="center"/>
          </w:tcPr>
          <w:p w14:paraId="57B04BD2"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c>
          <w:tcPr>
            <w:tcW w:w="1559" w:type="dxa"/>
            <w:tcBorders>
              <w:bottom w:val="single" w:sz="4" w:space="0" w:color="auto"/>
            </w:tcBorders>
            <w:shd w:val="clear" w:color="auto" w:fill="FBD4B4" w:themeFill="accent6" w:themeFillTint="66"/>
          </w:tcPr>
          <w:p w14:paraId="57B04BD3"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2</w:t>
            </w:r>
          </w:p>
        </w:tc>
      </w:tr>
      <w:tr w:rsidR="00EB11F0" w:rsidRPr="00F03247" w14:paraId="57B04BD6" w14:textId="77777777" w:rsidTr="00EB11F0">
        <w:tc>
          <w:tcPr>
            <w:tcW w:w="10456" w:type="dxa"/>
            <w:gridSpan w:val="5"/>
            <w:shd w:val="clear" w:color="auto" w:fill="DBE5F1" w:themeFill="accent1" w:themeFillTint="33"/>
            <w:vAlign w:val="center"/>
          </w:tcPr>
          <w:p w14:paraId="57B04BD5" w14:textId="77777777" w:rsidR="00EB11F0" w:rsidRPr="00A94758" w:rsidRDefault="00EB11F0" w:rsidP="00EB11F0">
            <w:pPr>
              <w:pStyle w:val="ListParagraph"/>
              <w:spacing w:before="60"/>
              <w:ind w:left="0"/>
              <w:contextualSpacing w:val="0"/>
              <w:rPr>
                <w:b/>
                <w:sz w:val="20"/>
                <w:szCs w:val="16"/>
              </w:rPr>
            </w:pPr>
            <w:r w:rsidRPr="00A94758">
              <w:rPr>
                <w:b/>
                <w:sz w:val="20"/>
                <w:szCs w:val="16"/>
              </w:rPr>
              <w:t xml:space="preserve">Last reporting month, 1 </w:t>
            </w:r>
            <w:r w:rsidRPr="00A94758">
              <w:rPr>
                <w:rFonts w:ascii="Calibri" w:eastAsia="Times New Roman" w:hAnsi="Calibri" w:cs="Arial"/>
                <w:b/>
                <w:sz w:val="20"/>
                <w:szCs w:val="20"/>
                <w:lang w:eastAsia="en-AU"/>
              </w:rPr>
              <w:t>–</w:t>
            </w:r>
            <w:r w:rsidRPr="00A94758">
              <w:rPr>
                <w:b/>
                <w:sz w:val="20"/>
                <w:szCs w:val="16"/>
              </w:rPr>
              <w:t xml:space="preserve"> </w:t>
            </w:r>
            <w:r w:rsidRPr="00A94758">
              <w:rPr>
                <w:rFonts w:ascii="Calibri" w:eastAsia="Times New Roman" w:hAnsi="Calibri" w:cs="Arial"/>
                <w:b/>
                <w:sz w:val="20"/>
                <w:szCs w:val="20"/>
                <w:lang w:eastAsia="en-AU"/>
              </w:rPr>
              <w:t>31 July 2019</w:t>
            </w:r>
          </w:p>
        </w:tc>
      </w:tr>
      <w:tr w:rsidR="00EB11F0" w:rsidRPr="00F03247" w14:paraId="57B04BDC" w14:textId="77777777" w:rsidTr="00EB11F0">
        <w:trPr>
          <w:trHeight w:val="85"/>
        </w:trPr>
        <w:tc>
          <w:tcPr>
            <w:tcW w:w="3964" w:type="dxa"/>
            <w:shd w:val="clear" w:color="auto" w:fill="auto"/>
          </w:tcPr>
          <w:p w14:paraId="57B04BD7" w14:textId="77777777" w:rsidR="00EB11F0" w:rsidRPr="00A94758" w:rsidRDefault="00EB11F0" w:rsidP="00EB11F0">
            <w:pPr>
              <w:pStyle w:val="ListParagraph"/>
              <w:spacing w:before="60"/>
              <w:ind w:left="0"/>
              <w:contextualSpacing w:val="0"/>
              <w:rPr>
                <w:sz w:val="16"/>
                <w:szCs w:val="16"/>
              </w:rPr>
            </w:pPr>
            <w:r w:rsidRPr="00A94758">
              <w:rPr>
                <w:sz w:val="20"/>
                <w:szCs w:val="16"/>
              </w:rPr>
              <w:t>Aboriginal and Torres Strait Islander people</w:t>
            </w:r>
            <w:r w:rsidRPr="00A94758">
              <w:rPr>
                <w:rFonts w:ascii="Agency FB" w:hAnsi="Agency FB"/>
                <w:sz w:val="20"/>
                <w:szCs w:val="16"/>
                <w:vertAlign w:val="superscript"/>
              </w:rPr>
              <w:t>§</w:t>
            </w:r>
          </w:p>
        </w:tc>
        <w:tc>
          <w:tcPr>
            <w:tcW w:w="1701" w:type="dxa"/>
            <w:shd w:val="clear" w:color="auto" w:fill="B8CCE4" w:themeFill="accent1" w:themeFillTint="66"/>
          </w:tcPr>
          <w:p w14:paraId="57B04BD8"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c>
          <w:tcPr>
            <w:tcW w:w="1560" w:type="dxa"/>
            <w:shd w:val="clear" w:color="auto" w:fill="B6DDE8" w:themeFill="accent5" w:themeFillTint="66"/>
          </w:tcPr>
          <w:p w14:paraId="57B04BD9"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c>
          <w:tcPr>
            <w:tcW w:w="1672" w:type="dxa"/>
            <w:shd w:val="clear" w:color="auto" w:fill="CCC0D9" w:themeFill="accent4" w:themeFillTint="66"/>
            <w:vAlign w:val="center"/>
          </w:tcPr>
          <w:p w14:paraId="57B04BDA"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c>
          <w:tcPr>
            <w:tcW w:w="1559" w:type="dxa"/>
            <w:shd w:val="clear" w:color="auto" w:fill="FBD4B4" w:themeFill="accent6" w:themeFillTint="66"/>
          </w:tcPr>
          <w:p w14:paraId="57B04BDB"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r>
      <w:tr w:rsidR="00EB11F0" w:rsidRPr="00F03247" w14:paraId="57B04BE2" w14:textId="77777777" w:rsidTr="00EB11F0">
        <w:tc>
          <w:tcPr>
            <w:tcW w:w="3964" w:type="dxa"/>
            <w:shd w:val="clear" w:color="auto" w:fill="auto"/>
          </w:tcPr>
          <w:p w14:paraId="57B04BDD" w14:textId="77777777" w:rsidR="00EB11F0" w:rsidRPr="00A94758" w:rsidRDefault="00EB11F0" w:rsidP="00EB11F0">
            <w:pPr>
              <w:pStyle w:val="ListParagraph"/>
              <w:spacing w:before="60"/>
              <w:ind w:left="0"/>
              <w:contextualSpacing w:val="0"/>
              <w:rPr>
                <w:sz w:val="16"/>
                <w:szCs w:val="16"/>
              </w:rPr>
            </w:pPr>
            <w:r w:rsidRPr="00A94758">
              <w:rPr>
                <w:sz w:val="20"/>
                <w:szCs w:val="16"/>
              </w:rPr>
              <w:t>Non-Indigenous people</w:t>
            </w:r>
            <w:r w:rsidRPr="00A94758">
              <w:rPr>
                <w:sz w:val="20"/>
                <w:szCs w:val="16"/>
                <w:vertAlign w:val="superscript"/>
              </w:rPr>
              <w:t>µ</w:t>
            </w:r>
          </w:p>
        </w:tc>
        <w:tc>
          <w:tcPr>
            <w:tcW w:w="1701" w:type="dxa"/>
            <w:shd w:val="clear" w:color="auto" w:fill="B8CCE4" w:themeFill="accent1" w:themeFillTint="66"/>
          </w:tcPr>
          <w:p w14:paraId="57B04BDE"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c>
          <w:tcPr>
            <w:tcW w:w="1560" w:type="dxa"/>
            <w:shd w:val="clear" w:color="auto" w:fill="B6DDE8" w:themeFill="accent5" w:themeFillTint="66"/>
          </w:tcPr>
          <w:p w14:paraId="57B04BDF"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1</w:t>
            </w:r>
          </w:p>
        </w:tc>
        <w:tc>
          <w:tcPr>
            <w:tcW w:w="1672" w:type="dxa"/>
            <w:shd w:val="clear" w:color="auto" w:fill="CCC0D9" w:themeFill="accent4" w:themeFillTint="66"/>
            <w:vAlign w:val="center"/>
          </w:tcPr>
          <w:p w14:paraId="57B04BE0" w14:textId="77777777" w:rsidR="00EB11F0" w:rsidRPr="00A94758" w:rsidRDefault="00EB11F0" w:rsidP="00EB11F0">
            <w:pPr>
              <w:pStyle w:val="ListParagraph"/>
              <w:spacing w:before="60"/>
              <w:ind w:left="0"/>
              <w:contextualSpacing w:val="0"/>
              <w:jc w:val="center"/>
              <w:rPr>
                <w:b/>
                <w:sz w:val="16"/>
                <w:szCs w:val="16"/>
              </w:rPr>
            </w:pPr>
            <w:r w:rsidRPr="00A94758">
              <w:rPr>
                <w:b/>
                <w:sz w:val="16"/>
                <w:szCs w:val="16"/>
              </w:rPr>
              <w:t>-</w:t>
            </w:r>
          </w:p>
        </w:tc>
        <w:tc>
          <w:tcPr>
            <w:tcW w:w="1559" w:type="dxa"/>
            <w:shd w:val="clear" w:color="auto" w:fill="FBD4B4" w:themeFill="accent6" w:themeFillTint="66"/>
          </w:tcPr>
          <w:p w14:paraId="57B04BE1" w14:textId="77777777" w:rsidR="00EB11F0" w:rsidRPr="00A94758" w:rsidRDefault="00EB11F0" w:rsidP="00EB11F0">
            <w:pPr>
              <w:pStyle w:val="ListParagraph"/>
              <w:spacing w:before="60"/>
              <w:ind w:left="0"/>
              <w:contextualSpacing w:val="0"/>
              <w:jc w:val="center"/>
              <w:rPr>
                <w:sz w:val="20"/>
                <w:szCs w:val="16"/>
              </w:rPr>
            </w:pPr>
            <w:r w:rsidRPr="00A94758">
              <w:rPr>
                <w:sz w:val="20"/>
                <w:szCs w:val="16"/>
              </w:rPr>
              <w:t>-</w:t>
            </w:r>
          </w:p>
        </w:tc>
      </w:tr>
    </w:tbl>
    <w:p w14:paraId="57B04BE3" w14:textId="77777777" w:rsidR="00EB11F0" w:rsidRPr="00F03247" w:rsidRDefault="00EB11F0" w:rsidP="00EB11F0">
      <w:pPr>
        <w:pStyle w:val="ListParagraph"/>
        <w:spacing w:before="60" w:after="0" w:line="240" w:lineRule="auto"/>
        <w:ind w:left="-567"/>
        <w:contextualSpacing w:val="0"/>
        <w:rPr>
          <w:b/>
          <w:sz w:val="16"/>
          <w:szCs w:val="16"/>
        </w:rPr>
      </w:pPr>
    </w:p>
    <w:p w14:paraId="57B04BE4" w14:textId="77777777" w:rsidR="00EB11F0" w:rsidRPr="00F03247" w:rsidRDefault="00EB11F0" w:rsidP="00EB11F0">
      <w:pPr>
        <w:pStyle w:val="ListParagraph"/>
        <w:spacing w:before="60" w:after="0" w:line="240" w:lineRule="auto"/>
        <w:ind w:left="-709"/>
        <w:contextualSpacing w:val="0"/>
        <w:jc w:val="both"/>
        <w:rPr>
          <w:b/>
          <w:sz w:val="16"/>
          <w:szCs w:val="16"/>
        </w:rPr>
      </w:pPr>
      <w:r w:rsidRPr="00F03247">
        <w:rPr>
          <w:b/>
          <w:sz w:val="16"/>
          <w:szCs w:val="16"/>
        </w:rPr>
        <w:t>Notes:</w:t>
      </w:r>
    </w:p>
    <w:p w14:paraId="57B04BE5" w14:textId="77777777" w:rsidR="00EB11F0" w:rsidRPr="00F03247" w:rsidRDefault="00EB11F0" w:rsidP="00EB11F0">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BE6" w14:textId="77777777" w:rsidR="00EB11F0" w:rsidRPr="00F03247" w:rsidRDefault="00EB11F0" w:rsidP="00EB11F0">
      <w:pPr>
        <w:pStyle w:val="ListParagraph"/>
        <w:spacing w:after="0" w:line="240" w:lineRule="auto"/>
        <w:ind w:left="-567" w:right="119"/>
        <w:contextualSpacing w:val="0"/>
        <w:rPr>
          <w:sz w:val="16"/>
          <w:szCs w:val="16"/>
        </w:rPr>
      </w:pPr>
      <w:proofErr w:type="gramStart"/>
      <w:r w:rsidRPr="00F03247">
        <w:rPr>
          <w:b/>
          <w:sz w:val="16"/>
          <w:szCs w:val="16"/>
          <w:vertAlign w:val="superscript"/>
        </w:rPr>
        <w:t>α</w:t>
      </w:r>
      <w:proofErr w:type="gramEnd"/>
      <w:r w:rsidRPr="00F03247">
        <w:rPr>
          <w:sz w:val="16"/>
          <w:szCs w:val="16"/>
        </w:rPr>
        <w:t xml:space="preserve"> Cases defined as per the MJSO syphilis outbreak case definition: </w:t>
      </w:r>
    </w:p>
    <w:p w14:paraId="57B04BE7" w14:textId="77777777" w:rsidR="00EB11F0" w:rsidRPr="00F03247" w:rsidRDefault="00EB11F0" w:rsidP="00EB11F0">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and Health Service area (from 1 December 2012); Cairns and Hinterland Hospital and Health Service area(from1 August 2013); Townsville Hospital and Health Service area (from 1 January 2014); </w:t>
      </w:r>
      <w:r w:rsidRPr="00F03247">
        <w:rPr>
          <w:b/>
          <w:i/>
          <w:sz w:val="16"/>
          <w:szCs w:val="16"/>
        </w:rPr>
        <w:t>NT</w:t>
      </w:r>
      <w:r w:rsidRPr="00F03247">
        <w:rPr>
          <w:sz w:val="16"/>
          <w:szCs w:val="16"/>
        </w:rPr>
        <w:t xml:space="preserve"> - Alice Springs Rural and Urban or Barkly district (from 1 July 2013); Katherine district (from 1 May 2014); East Arnhem district (from 1 November 2015); Darwin Rural and Urban (from 1 January 2017); </w:t>
      </w:r>
      <w:r w:rsidRPr="00F03247">
        <w:rPr>
          <w:b/>
          <w:i/>
          <w:sz w:val="16"/>
          <w:szCs w:val="16"/>
        </w:rPr>
        <w:t>WA</w:t>
      </w:r>
      <w:r w:rsidRPr="00F03247">
        <w:rPr>
          <w:sz w:val="16"/>
          <w:szCs w:val="16"/>
        </w:rPr>
        <w:t xml:space="preserve"> - Kimberley region (from 1 June 2014); Pilbara region (from 1 February 2018); Goldfields region (from 1 January 2019); </w:t>
      </w:r>
      <w:r w:rsidRPr="00F03247">
        <w:rPr>
          <w:b/>
          <w:i/>
          <w:sz w:val="16"/>
          <w:szCs w:val="16"/>
        </w:rPr>
        <w:t>SA</w:t>
      </w:r>
      <w:r w:rsidRPr="00F03247">
        <w:rPr>
          <w:b/>
          <w:sz w:val="16"/>
          <w:szCs w:val="16"/>
        </w:rPr>
        <w:t xml:space="preserve"> </w:t>
      </w:r>
      <w:r w:rsidRPr="00F03247">
        <w:rPr>
          <w:sz w:val="16"/>
          <w:szCs w:val="16"/>
        </w:rPr>
        <w:t xml:space="preserve"> - Far North and Western and Eyre regions (from 15 November 2016); Adelaide (from 1 February 2018) (category 1 outbreak cases) </w:t>
      </w:r>
      <w:r w:rsidRPr="00F03247">
        <w:rPr>
          <w:b/>
          <w:sz w:val="16"/>
          <w:szCs w:val="16"/>
        </w:rPr>
        <w:t>OR</w:t>
      </w:r>
      <w:r w:rsidRPr="00F03247">
        <w:rPr>
          <w:sz w:val="16"/>
          <w:szCs w:val="16"/>
        </w:rPr>
        <w:t xml:space="preserve">,  is a sexual contact of a confirmed outbreak case (category 2 outbreak cases). </w:t>
      </w:r>
    </w:p>
    <w:p w14:paraId="57B04BE8" w14:textId="77777777" w:rsidR="00EB11F0" w:rsidRPr="00F03247" w:rsidRDefault="00EB11F0" w:rsidP="00EB11F0">
      <w:pPr>
        <w:spacing w:after="0" w:line="240" w:lineRule="auto"/>
        <w:ind w:left="-426" w:right="119" w:hanging="141"/>
        <w:rPr>
          <w:sz w:val="16"/>
          <w:szCs w:val="16"/>
        </w:rPr>
      </w:pPr>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Pilbara and Goldfield regions in Western Australia, and; Far North, Western and Eyre and Adelaide regions in South Australia.</w:t>
      </w:r>
    </w:p>
    <w:p w14:paraId="57B04BE9" w14:textId="77777777" w:rsidR="00EB11F0" w:rsidRPr="00F03247" w:rsidRDefault="00EB11F0" w:rsidP="00EB11F0">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BEA" w14:textId="77777777" w:rsidR="00EB11F0" w:rsidRPr="00F03247" w:rsidRDefault="00EB11F0" w:rsidP="00EB11F0">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Aboriginal and Torres Strait Islander people who are sexual contacts of a confirmed outbreak case and reside outside an outbreak declared region at the time of diagnosis.</w:t>
      </w:r>
    </w:p>
    <w:p w14:paraId="57B04BEB" w14:textId="77777777" w:rsidR="00EB11F0" w:rsidRPr="00F03247" w:rsidRDefault="00EB11F0" w:rsidP="00EB11F0">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Non-Indigenous people who are sexual contacts of a confirmed outbreak case and reside in or out of an outbreak declared region at the time of diagnosis.</w:t>
      </w:r>
    </w:p>
    <w:p w14:paraId="57B04BEC" w14:textId="77777777" w:rsidR="00EB11F0" w:rsidRPr="00216285" w:rsidRDefault="00EB11F0" w:rsidP="00EB11F0">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proofErr w:type="gramStart"/>
      <w:r w:rsidRPr="00F03247">
        <w:rPr>
          <w:sz w:val="16"/>
          <w:szCs w:val="16"/>
          <w:u w:val="single"/>
        </w:rPr>
        <w:t>Please</w:t>
      </w:r>
      <w:proofErr w:type="gramEnd"/>
      <w:r w:rsidRPr="00F03247">
        <w:rPr>
          <w:sz w:val="16"/>
          <w:szCs w:val="16"/>
          <w:u w:val="single"/>
        </w:rPr>
        <w:t xml:space="preserv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p w14:paraId="57B04BED" w14:textId="77777777" w:rsidR="00580C89" w:rsidRDefault="00580C89">
      <w:pPr>
        <w:rPr>
          <w:rFonts w:ascii="Arial" w:hAnsi="Arial" w:cs="Arial"/>
          <w:b/>
          <w:sz w:val="28"/>
          <w:szCs w:val="24"/>
        </w:rPr>
      </w:pPr>
      <w:r>
        <w:rPr>
          <w:rFonts w:ascii="Arial" w:hAnsi="Arial" w:cs="Arial"/>
          <w:b/>
          <w:sz w:val="28"/>
          <w:szCs w:val="24"/>
        </w:rPr>
        <w:br w:type="page"/>
      </w:r>
    </w:p>
    <w:p w14:paraId="57B04BEE" w14:textId="77777777" w:rsidR="00EB11F0" w:rsidRPr="00F03247" w:rsidRDefault="00EB11F0" w:rsidP="00EB11F0">
      <w:pPr>
        <w:spacing w:after="0" w:line="240" w:lineRule="auto"/>
        <w:ind w:left="-567" w:right="261"/>
        <w:jc w:val="center"/>
        <w:rPr>
          <w:rFonts w:ascii="Arial" w:hAnsi="Arial" w:cs="Arial"/>
          <w:b/>
          <w:sz w:val="28"/>
          <w:szCs w:val="24"/>
        </w:rPr>
      </w:pPr>
      <w:r w:rsidRPr="00F03247">
        <w:rPr>
          <w:rFonts w:ascii="Arial" w:hAnsi="Arial" w:cs="Arial"/>
          <w:b/>
          <w:sz w:val="28"/>
          <w:szCs w:val="24"/>
        </w:rPr>
        <w:lastRenderedPageBreak/>
        <w:t xml:space="preserve">MULTIJURISDICTIONAL SYPHILIS OUTBREAK </w:t>
      </w:r>
      <w:r w:rsidRPr="00F03247">
        <w:rPr>
          <w:rFonts w:ascii="Arial" w:hAnsi="Arial" w:cs="Arial"/>
          <w:b/>
          <w:sz w:val="28"/>
          <w:szCs w:val="24"/>
        </w:rPr>
        <w:br/>
        <w:t xml:space="preserve">SURVEILLANCE REPORT: </w:t>
      </w:r>
      <w:r>
        <w:rPr>
          <w:rFonts w:ascii="Arial" w:hAnsi="Arial" w:cs="Arial"/>
          <w:b/>
          <w:sz w:val="28"/>
          <w:szCs w:val="24"/>
        </w:rPr>
        <w:t>SEPTEMBER</w:t>
      </w:r>
      <w:r w:rsidRPr="00F03247">
        <w:rPr>
          <w:rFonts w:ascii="Arial" w:hAnsi="Arial" w:cs="Arial"/>
          <w:b/>
          <w:sz w:val="28"/>
          <w:szCs w:val="24"/>
        </w:rPr>
        <w:t xml:space="preserve"> 2019</w:t>
      </w:r>
    </w:p>
    <w:p w14:paraId="57B04BEF" w14:textId="77777777" w:rsidR="00EB11F0" w:rsidRPr="00F03247" w:rsidRDefault="00EB11F0" w:rsidP="00EB11F0">
      <w:pPr>
        <w:spacing w:after="0" w:line="120" w:lineRule="auto"/>
        <w:ind w:left="-567" w:right="-612"/>
        <w:jc w:val="center"/>
        <w:rPr>
          <w:rFonts w:ascii="Arial" w:hAnsi="Arial" w:cs="Arial"/>
          <w:b/>
          <w:sz w:val="24"/>
          <w:szCs w:val="24"/>
        </w:rPr>
      </w:pPr>
    </w:p>
    <w:p w14:paraId="57B04BF0" w14:textId="77777777" w:rsidR="00EB11F0" w:rsidRPr="00F03247" w:rsidRDefault="00EB11F0" w:rsidP="00EB11F0">
      <w:pPr>
        <w:spacing w:after="0" w:line="240" w:lineRule="auto"/>
        <w:ind w:left="-567" w:right="119"/>
        <w:jc w:val="center"/>
        <w:rPr>
          <w:rFonts w:ascii="Arial" w:hAnsi="Arial" w:cs="Arial"/>
          <w:b/>
          <w:sz w:val="24"/>
          <w:szCs w:val="24"/>
        </w:rPr>
      </w:pPr>
      <w:r w:rsidRPr="00F03247">
        <w:rPr>
          <w:rFonts w:ascii="Arial" w:hAnsi="Arial" w:cs="Arial"/>
          <w:b/>
          <w:sz w:val="24"/>
          <w:szCs w:val="24"/>
        </w:rPr>
        <w:t>This surveillance report has been authorised by Health Departments in outbreak affected jurisdictions and the Office of Health Protection.</w:t>
      </w:r>
    </w:p>
    <w:p w14:paraId="57B04BF1" w14:textId="77777777" w:rsidR="00EB11F0" w:rsidRPr="00F03247" w:rsidRDefault="00EB11F0" w:rsidP="00EB11F0">
      <w:pPr>
        <w:spacing w:after="0" w:line="240" w:lineRule="auto"/>
        <w:ind w:right="-613"/>
        <w:rPr>
          <w:rFonts w:ascii="Arial" w:hAnsi="Arial" w:cs="Arial"/>
          <w:sz w:val="20"/>
          <w:szCs w:val="20"/>
        </w:rPr>
      </w:pPr>
    </w:p>
    <w:p w14:paraId="57B04BF2" w14:textId="77777777" w:rsidR="00EB11F0" w:rsidRPr="00F06C90" w:rsidRDefault="00EB11F0" w:rsidP="00EB11F0">
      <w:pPr>
        <w:pStyle w:val="PlainText"/>
        <w:ind w:left="-709" w:right="-23"/>
        <w:jc w:val="both"/>
        <w:rPr>
          <w:color w:val="000000" w:themeColor="text1"/>
        </w:rPr>
      </w:pPr>
      <w:r w:rsidRPr="00F06C90">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 xml:space="preserve">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2019. </w:t>
      </w:r>
    </w:p>
    <w:p w14:paraId="57B04BF3" w14:textId="77777777" w:rsidR="00EB11F0" w:rsidRPr="00F06C90" w:rsidRDefault="00EB11F0" w:rsidP="00EB11F0">
      <w:pPr>
        <w:pStyle w:val="PlainText"/>
        <w:ind w:left="-709" w:right="-23"/>
        <w:rPr>
          <w:color w:val="000000" w:themeColor="text1"/>
        </w:rPr>
      </w:pPr>
    </w:p>
    <w:p w14:paraId="57B04BF4" w14:textId="77777777" w:rsidR="00EB11F0" w:rsidRPr="00F06C90" w:rsidRDefault="00EB11F0" w:rsidP="00EB11F0">
      <w:pPr>
        <w:pStyle w:val="PlainText"/>
        <w:ind w:left="-709" w:right="-23"/>
        <w:rPr>
          <w:color w:val="000000" w:themeColor="text1"/>
        </w:rPr>
      </w:pPr>
      <w:r w:rsidRPr="00F06C90">
        <w:rPr>
          <w:color w:val="000000" w:themeColor="text1"/>
        </w:rPr>
        <w:t>This surveillance report summarises the outbreak epidemiological data as of 31 August 2019 (current status).</w:t>
      </w:r>
    </w:p>
    <w:p w14:paraId="57B04BF5" w14:textId="77777777" w:rsidR="00EB11F0" w:rsidRPr="00F06C90" w:rsidRDefault="00EB11F0" w:rsidP="00EB11F0">
      <w:pPr>
        <w:pStyle w:val="PlainText"/>
        <w:ind w:left="-709" w:right="-23"/>
        <w:rPr>
          <w:color w:val="000000" w:themeColor="text1"/>
        </w:rPr>
      </w:pPr>
    </w:p>
    <w:p w14:paraId="57B04BF6" w14:textId="77777777" w:rsidR="00EB11F0" w:rsidRPr="00F06C90" w:rsidRDefault="00EB11F0" w:rsidP="00EB11F0">
      <w:pPr>
        <w:pStyle w:val="PlainText"/>
        <w:ind w:left="-709" w:right="-23"/>
        <w:rPr>
          <w:color w:val="000000" w:themeColor="text1"/>
        </w:rPr>
      </w:pPr>
      <w:r w:rsidRPr="00F06C90">
        <w:rPr>
          <w:b/>
          <w:color w:val="000000" w:themeColor="text1"/>
        </w:rPr>
        <w:t>Please note:</w:t>
      </w:r>
      <w:r w:rsidRPr="00F06C90">
        <w:rPr>
          <w:color w:val="000000" w:themeColor="text1"/>
        </w:rPr>
        <w:t xml:space="preserve"> the MJSO Surveillance Report was formerly known as the MJSO Communique. Historical epidemiological data and MJSO activities are published in earlier MJSO Communiques available at </w:t>
      </w:r>
      <w:r w:rsidRPr="00F06C90">
        <w:rPr>
          <w:i/>
          <w:szCs w:val="20"/>
        </w:rPr>
        <w:t xml:space="preserve">http://www.health.gov.au/internet/main/publishing.nsf/Content/ohp-infectious-syphilis-outbreak.htm </w:t>
      </w:r>
    </w:p>
    <w:p w14:paraId="57B04BF7" w14:textId="77777777" w:rsidR="00EB11F0" w:rsidRPr="00F06C90" w:rsidRDefault="00EB11F0" w:rsidP="00EB11F0">
      <w:pPr>
        <w:pStyle w:val="PlainText"/>
        <w:ind w:left="-709" w:right="-23"/>
      </w:pPr>
    </w:p>
    <w:p w14:paraId="57B04BF8" w14:textId="77777777" w:rsidR="00EB11F0" w:rsidRPr="00F06C90" w:rsidRDefault="00EB11F0" w:rsidP="00EB11F0">
      <w:pPr>
        <w:spacing w:after="0" w:line="240" w:lineRule="auto"/>
        <w:ind w:left="-709" w:right="-23"/>
        <w:jc w:val="both"/>
        <w:rPr>
          <w:rFonts w:ascii="Arial" w:hAnsi="Arial" w:cs="Arial"/>
          <w:b/>
        </w:rPr>
      </w:pPr>
      <w:r w:rsidRPr="00F06C90">
        <w:rPr>
          <w:rFonts w:ascii="Arial" w:hAnsi="Arial" w:cs="Arial"/>
          <w:b/>
        </w:rPr>
        <w:t>Current status</w:t>
      </w:r>
    </w:p>
    <w:p w14:paraId="57B04BF9" w14:textId="77777777" w:rsidR="00EB11F0" w:rsidRPr="00F06C90"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Pr="00F06C90">
        <w:rPr>
          <w:rFonts w:ascii="Arial" w:hAnsi="Arial" w:cs="Arial"/>
          <w:color w:val="000000" w:themeColor="text1"/>
          <w:sz w:val="20"/>
          <w:szCs w:val="20"/>
        </w:rPr>
        <w:t>31 August 2019</w:t>
      </w:r>
      <w:r w:rsidRPr="00F06C90">
        <w:rPr>
          <w:rFonts w:ascii="Arial" w:hAnsi="Arial" w:cs="Arial"/>
          <w:sz w:val="20"/>
          <w:szCs w:val="20"/>
          <w:vertAlign w:val="superscript"/>
        </w:rPr>
        <w:t>ȶ</w:t>
      </w:r>
      <w:r w:rsidRPr="00F06C90">
        <w:rPr>
          <w:rFonts w:ascii="Arial" w:hAnsi="Arial" w:cs="Arial"/>
          <w:sz w:val="20"/>
          <w:szCs w:val="20"/>
        </w:rPr>
        <w:t xml:space="preserve"> are summarised in Figure 1, Table 1 and Table 2 below.</w:t>
      </w:r>
    </w:p>
    <w:p w14:paraId="57B04BFA" w14:textId="77777777" w:rsidR="00EB11F0" w:rsidRPr="00F06C90" w:rsidRDefault="00EB11F0" w:rsidP="00EB11F0">
      <w:pPr>
        <w:spacing w:after="0" w:line="240" w:lineRule="auto"/>
        <w:ind w:left="-709" w:right="-23"/>
        <w:jc w:val="both"/>
        <w:rPr>
          <w:rFonts w:ascii="Arial" w:hAnsi="Arial" w:cs="Arial"/>
          <w:sz w:val="20"/>
          <w:szCs w:val="20"/>
        </w:rPr>
      </w:pPr>
    </w:p>
    <w:p w14:paraId="57B04BFB" w14:textId="77777777" w:rsidR="00EB11F0" w:rsidRPr="00FE129B"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Outbreak cases are reported as either category 1 or category 2: category 1 cases include Aboriginal and Torres Strait Islander people residing in an outbreak declared region</w:t>
      </w:r>
      <w:r w:rsidRPr="00F06C90">
        <w:rPr>
          <w:rFonts w:ascii="Arial" w:hAnsi="Arial" w:cs="Arial"/>
          <w:sz w:val="20"/>
          <w:szCs w:val="20"/>
          <w:vertAlign w:val="superscript"/>
        </w:rPr>
        <w:t>β</w:t>
      </w:r>
      <w:r w:rsidRPr="00F06C90">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w:t>
      </w:r>
      <w:r w:rsidRPr="00FE129B">
        <w:rPr>
          <w:rFonts w:ascii="Arial" w:hAnsi="Arial" w:cs="Arial"/>
          <w:sz w:val="20"/>
          <w:szCs w:val="20"/>
        </w:rPr>
        <w:t xml:space="preserve">outbreak area at the time of diagnosis and non-Indigenous people regardless of where they reside. </w:t>
      </w:r>
    </w:p>
    <w:p w14:paraId="57B04BFC" w14:textId="77777777" w:rsidR="00EB11F0" w:rsidRPr="00FE129B" w:rsidRDefault="00EB11F0" w:rsidP="00EB11F0">
      <w:pPr>
        <w:spacing w:after="0" w:line="240" w:lineRule="auto"/>
        <w:ind w:left="-709" w:right="-23"/>
        <w:jc w:val="both"/>
        <w:rPr>
          <w:rFonts w:ascii="Arial" w:hAnsi="Arial" w:cs="Arial"/>
          <w:sz w:val="20"/>
          <w:szCs w:val="20"/>
        </w:rPr>
      </w:pPr>
    </w:p>
    <w:p w14:paraId="57B04BFD" w14:textId="77777777" w:rsidR="00EB11F0" w:rsidRPr="00FE129B" w:rsidRDefault="00EB11F0" w:rsidP="00EB11F0">
      <w:pPr>
        <w:spacing w:after="0" w:line="240" w:lineRule="auto"/>
        <w:ind w:left="-709" w:right="-23"/>
        <w:jc w:val="both"/>
        <w:rPr>
          <w:rFonts w:ascii="Arial" w:hAnsi="Arial" w:cs="Arial"/>
          <w:sz w:val="20"/>
          <w:szCs w:val="20"/>
        </w:rPr>
      </w:pPr>
      <w:r w:rsidRPr="00FE129B">
        <w:rPr>
          <w:rFonts w:ascii="Arial" w:hAnsi="Arial" w:cs="Arial"/>
          <w:sz w:val="20"/>
          <w:szCs w:val="20"/>
        </w:rPr>
        <w:t xml:space="preserve">Between 1 – </w:t>
      </w:r>
      <w:r w:rsidRPr="00FE129B">
        <w:rPr>
          <w:rFonts w:ascii="Arial" w:hAnsi="Arial" w:cs="Arial"/>
          <w:color w:val="000000" w:themeColor="text1"/>
          <w:sz w:val="20"/>
          <w:szCs w:val="20"/>
        </w:rPr>
        <w:t>31 August 2019</w:t>
      </w:r>
      <w:r w:rsidRPr="00FE129B">
        <w:rPr>
          <w:rFonts w:ascii="Arial" w:hAnsi="Arial" w:cs="Arial"/>
          <w:sz w:val="20"/>
          <w:szCs w:val="20"/>
          <w:vertAlign w:val="superscript"/>
        </w:rPr>
        <w:t>ȶ</w:t>
      </w:r>
      <w:r w:rsidRPr="00FE129B">
        <w:rPr>
          <w:rFonts w:ascii="Arial" w:hAnsi="Arial" w:cs="Arial"/>
          <w:sz w:val="20"/>
          <w:szCs w:val="20"/>
        </w:rPr>
        <w:t xml:space="preserve">, there were </w:t>
      </w:r>
      <w:r>
        <w:rPr>
          <w:rFonts w:ascii="Arial" w:hAnsi="Arial" w:cs="Arial"/>
          <w:sz w:val="20"/>
          <w:szCs w:val="20"/>
        </w:rPr>
        <w:t>58</w:t>
      </w:r>
      <w:r w:rsidRPr="00FE129B">
        <w:rPr>
          <w:rFonts w:ascii="Arial" w:hAnsi="Arial" w:cs="Arial"/>
          <w:sz w:val="20"/>
          <w:szCs w:val="20"/>
        </w:rPr>
        <w:t xml:space="preserve"> outbreak cases (category 1 and 2 cases) reported from the four outbreak affected jurisdictions: 4 in Queensland;</w:t>
      </w:r>
      <w:r>
        <w:rPr>
          <w:rFonts w:ascii="Arial" w:hAnsi="Arial" w:cs="Arial"/>
          <w:sz w:val="20"/>
          <w:szCs w:val="20"/>
        </w:rPr>
        <w:t xml:space="preserve"> 32</w:t>
      </w:r>
      <w:r w:rsidRPr="00FE129B">
        <w:rPr>
          <w:rFonts w:ascii="Arial" w:hAnsi="Arial" w:cs="Arial"/>
          <w:sz w:val="20"/>
          <w:szCs w:val="20"/>
        </w:rPr>
        <w:t xml:space="preserve"> in the Northern Territory; 20 in Western Australia and; </w:t>
      </w:r>
      <w:proofErr w:type="gramStart"/>
      <w:r w:rsidRPr="00FE129B">
        <w:rPr>
          <w:rFonts w:ascii="Arial" w:hAnsi="Arial" w:cs="Arial"/>
          <w:sz w:val="20"/>
          <w:szCs w:val="20"/>
        </w:rPr>
        <w:t>2</w:t>
      </w:r>
      <w:proofErr w:type="gramEnd"/>
      <w:r w:rsidRPr="00FE129B">
        <w:rPr>
          <w:rFonts w:ascii="Arial" w:hAnsi="Arial" w:cs="Arial"/>
          <w:sz w:val="20"/>
          <w:szCs w:val="20"/>
        </w:rPr>
        <w:t xml:space="preserve"> in South Australia (Figure 1, Table 1 and Table 2).  From the commencement of the outbreak to </w:t>
      </w:r>
      <w:r w:rsidRPr="00FE129B">
        <w:rPr>
          <w:rFonts w:ascii="Arial" w:hAnsi="Arial" w:cs="Arial"/>
          <w:color w:val="000000" w:themeColor="text1"/>
          <w:sz w:val="20"/>
          <w:szCs w:val="20"/>
        </w:rPr>
        <w:t xml:space="preserve">31 August </w:t>
      </w:r>
      <w:r w:rsidRPr="00FE129B">
        <w:rPr>
          <w:rFonts w:ascii="Arial" w:hAnsi="Arial" w:cs="Arial"/>
          <w:sz w:val="20"/>
          <w:szCs w:val="20"/>
        </w:rPr>
        <w:t>2019</w:t>
      </w:r>
      <w:r w:rsidRPr="00FE129B">
        <w:rPr>
          <w:rFonts w:ascii="Arial" w:hAnsi="Arial" w:cs="Arial"/>
          <w:sz w:val="20"/>
          <w:szCs w:val="20"/>
          <w:vertAlign w:val="superscript"/>
        </w:rPr>
        <w:t xml:space="preserve"> ȶ</w:t>
      </w:r>
      <w:r w:rsidRPr="00FE129B">
        <w:rPr>
          <w:rFonts w:ascii="Arial" w:hAnsi="Arial" w:cs="Arial"/>
          <w:sz w:val="20"/>
          <w:szCs w:val="20"/>
        </w:rPr>
        <w:t>, there were a total of 2974 outbreak cases (category 1 and 2 cases) reported across the four outbreak affected jurisdictions: 1379 in Queensland (from January 2011); 1136 in the Northern Territory (from July 2013); 381 in Western Australia (from June 2014), and; 78 in South Australia (from November 2016) (Table 1 and 2).</w:t>
      </w:r>
    </w:p>
    <w:p w14:paraId="57B04BFE" w14:textId="77777777" w:rsidR="00EB11F0" w:rsidRPr="0018764B" w:rsidRDefault="00EB11F0" w:rsidP="00EB11F0">
      <w:pPr>
        <w:spacing w:after="0" w:line="240" w:lineRule="auto"/>
        <w:ind w:left="-709" w:right="-23"/>
        <w:jc w:val="both"/>
        <w:rPr>
          <w:rFonts w:ascii="Arial" w:hAnsi="Arial" w:cs="Arial"/>
          <w:sz w:val="20"/>
          <w:szCs w:val="20"/>
          <w:highlight w:val="yellow"/>
        </w:rPr>
      </w:pPr>
    </w:p>
    <w:p w14:paraId="57B04BFF" w14:textId="77777777" w:rsidR="00EB11F0" w:rsidRPr="00F03247" w:rsidRDefault="00EB11F0" w:rsidP="00EB11F0">
      <w:pPr>
        <w:spacing w:after="0" w:line="240" w:lineRule="auto"/>
        <w:ind w:left="-709" w:right="-23"/>
        <w:jc w:val="both"/>
        <w:rPr>
          <w:rFonts w:ascii="Arial" w:hAnsi="Arial" w:cs="Arial"/>
          <w:sz w:val="20"/>
          <w:szCs w:val="20"/>
          <w:vertAlign w:val="superscript"/>
        </w:rPr>
      </w:pPr>
      <w:r w:rsidRPr="00F06C90">
        <w:rPr>
          <w:rFonts w:ascii="Arial" w:hAnsi="Arial" w:cs="Arial"/>
          <w:b/>
          <w:sz w:val="20"/>
          <w:szCs w:val="20"/>
        </w:rPr>
        <w:t>Figure 1</w:t>
      </w:r>
      <w:r w:rsidRPr="00F06C90">
        <w:rPr>
          <w:rFonts w:ascii="Arial" w:hAnsi="Arial" w:cs="Arial"/>
          <w:sz w:val="20"/>
          <w:szCs w:val="20"/>
        </w:rPr>
        <w:t>. Epidemic curve showing category 1 infectious syphilis</w:t>
      </w:r>
      <w:r w:rsidRPr="00F06C90">
        <w:rPr>
          <w:rFonts w:ascii="Arial" w:hAnsi="Arial" w:cs="Arial"/>
          <w:sz w:val="20"/>
          <w:szCs w:val="20"/>
          <w:vertAlign w:val="superscript"/>
        </w:rPr>
        <w:t xml:space="preserve"> α</w:t>
      </w:r>
      <w:r w:rsidRPr="00F06C90">
        <w:rPr>
          <w:rFonts w:ascii="Arial" w:hAnsi="Arial" w:cs="Arial"/>
          <w:sz w:val="20"/>
          <w:szCs w:val="20"/>
        </w:rPr>
        <w:t xml:space="preserve"> outbreak cases notified in Aboriginal and Torres Strait Islander people residing in affected regions</w:t>
      </w:r>
      <w:r w:rsidRPr="00F06C90">
        <w:rPr>
          <w:rFonts w:ascii="Arial" w:hAnsi="Arial" w:cs="Arial"/>
          <w:sz w:val="20"/>
          <w:szCs w:val="20"/>
          <w:vertAlign w:val="superscript"/>
        </w:rPr>
        <w:t>β</w:t>
      </w:r>
      <w:r w:rsidRPr="00F06C90">
        <w:rPr>
          <w:rFonts w:ascii="Arial" w:hAnsi="Arial" w:cs="Arial"/>
          <w:sz w:val="20"/>
          <w:szCs w:val="20"/>
        </w:rPr>
        <w:t xml:space="preserve"> of Queensland, the Northern Territory, Western Australia and South Australia from commencement of the outbreak in each jurisdiction to </w:t>
      </w:r>
      <w:r w:rsidRPr="00F06C90">
        <w:rPr>
          <w:rFonts w:ascii="Arial" w:hAnsi="Arial" w:cs="Arial"/>
          <w:color w:val="000000" w:themeColor="text1"/>
          <w:sz w:val="20"/>
          <w:szCs w:val="20"/>
        </w:rPr>
        <w:t>31 August 2019</w:t>
      </w:r>
      <w:r w:rsidRPr="00F06C90">
        <w:rPr>
          <w:rFonts w:ascii="Arial" w:hAnsi="Arial" w:cs="Arial"/>
          <w:sz w:val="20"/>
          <w:szCs w:val="20"/>
          <w:vertAlign w:val="superscript"/>
        </w:rPr>
        <w:t>ȶ ᵞ</w:t>
      </w:r>
      <w:r w:rsidRPr="00F03247">
        <w:rPr>
          <w:rFonts w:ascii="Arial" w:hAnsi="Arial" w:cs="Arial"/>
          <w:sz w:val="20"/>
          <w:szCs w:val="20"/>
          <w:vertAlign w:val="superscript"/>
        </w:rPr>
        <w:t xml:space="preserve"> </w:t>
      </w:r>
    </w:p>
    <w:p w14:paraId="57B04C00" w14:textId="77777777" w:rsidR="00EB11F0" w:rsidRPr="00F03247" w:rsidRDefault="00EB11F0" w:rsidP="00EB11F0">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57B04ED0" wp14:editId="57B04ED1">
            <wp:extent cx="6734175" cy="4112260"/>
            <wp:effectExtent l="0" t="0" r="9525" b="2540"/>
            <wp:docPr id="8" name="Picture 8"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1 August 2019ȶ ᵞ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52200" cy="4123267"/>
                    </a:xfrm>
                    <a:prstGeom prst="rect">
                      <a:avLst/>
                    </a:prstGeom>
                    <a:noFill/>
                  </pic:spPr>
                </pic:pic>
              </a:graphicData>
            </a:graphic>
          </wp:inline>
        </w:drawing>
      </w:r>
      <w:r w:rsidRPr="00F03247">
        <w:rPr>
          <w:rFonts w:ascii="Arial" w:hAnsi="Arial" w:cs="Arial"/>
          <w:b/>
          <w:sz w:val="20"/>
          <w:szCs w:val="20"/>
        </w:rPr>
        <w:br w:type="page"/>
      </w:r>
    </w:p>
    <w:p w14:paraId="57B04C01" w14:textId="77777777" w:rsidR="00EB11F0" w:rsidRPr="00F03247" w:rsidRDefault="00EB11F0" w:rsidP="00EB11F0">
      <w:pPr>
        <w:spacing w:after="0" w:line="240" w:lineRule="auto"/>
        <w:ind w:left="-567"/>
        <w:rPr>
          <w:rFonts w:ascii="Arial" w:hAnsi="Arial" w:cs="Arial"/>
          <w:b/>
          <w:sz w:val="20"/>
          <w:szCs w:val="20"/>
        </w:rPr>
      </w:pPr>
    </w:p>
    <w:p w14:paraId="57B04C02" w14:textId="77777777" w:rsidR="00EB11F0" w:rsidRPr="00F06C90" w:rsidRDefault="00EB11F0" w:rsidP="00EB11F0">
      <w:pPr>
        <w:spacing w:after="0" w:line="240" w:lineRule="auto"/>
        <w:ind w:left="-709"/>
        <w:rPr>
          <w:rFonts w:ascii="Arial" w:hAnsi="Arial" w:cs="Arial"/>
          <w:sz w:val="20"/>
          <w:szCs w:val="20"/>
        </w:rPr>
      </w:pPr>
      <w:r w:rsidRPr="00F06C90">
        <w:rPr>
          <w:rFonts w:ascii="Arial" w:hAnsi="Arial" w:cs="Arial"/>
          <w:b/>
          <w:sz w:val="20"/>
          <w:szCs w:val="20"/>
        </w:rPr>
        <w:t>Table 1</w:t>
      </w:r>
      <w:r w:rsidRPr="00F06C90">
        <w:rPr>
          <w:rFonts w:ascii="Arial" w:hAnsi="Arial" w:cs="Arial"/>
          <w:sz w:val="20"/>
          <w:szCs w:val="20"/>
        </w:rPr>
        <w:t>.</w:t>
      </w:r>
      <w:r w:rsidRPr="00F06C90">
        <w:rPr>
          <w:rFonts w:ascii="Arial" w:hAnsi="Arial" w:cs="Arial"/>
          <w:b/>
          <w:sz w:val="20"/>
          <w:szCs w:val="20"/>
        </w:rPr>
        <w:t xml:space="preserve"> </w:t>
      </w:r>
      <w:r w:rsidRPr="00F06C90">
        <w:rPr>
          <w:rFonts w:ascii="Arial" w:hAnsi="Arial" w:cs="Arial"/>
          <w:sz w:val="20"/>
          <w:szCs w:val="20"/>
        </w:rPr>
        <w:t>Characteristics of category 1 infectious syphilis</w:t>
      </w:r>
      <w:r w:rsidRPr="00F06C90">
        <w:rPr>
          <w:rFonts w:ascii="Arial" w:hAnsi="Arial" w:cs="Arial"/>
          <w:sz w:val="20"/>
          <w:szCs w:val="20"/>
          <w:vertAlign w:val="superscript"/>
        </w:rPr>
        <w:t>α</w:t>
      </w:r>
      <w:r w:rsidRPr="00F06C90">
        <w:rPr>
          <w:rFonts w:ascii="Arial" w:hAnsi="Arial" w:cs="Arial"/>
          <w:sz w:val="20"/>
          <w:szCs w:val="20"/>
        </w:rPr>
        <w:t xml:space="preserve"> outbreak cases notified in Aboriginal and Torres Strait Islander people residing in affected regions</w:t>
      </w:r>
      <w:r w:rsidRPr="00F06C90">
        <w:rPr>
          <w:rFonts w:ascii="Arial" w:hAnsi="Arial" w:cs="Arial"/>
          <w:sz w:val="20"/>
          <w:szCs w:val="20"/>
          <w:vertAlign w:val="superscript"/>
        </w:rPr>
        <w:t>β</w:t>
      </w:r>
      <w:r w:rsidRPr="00F06C90">
        <w:rPr>
          <w:rFonts w:ascii="Arial" w:hAnsi="Arial" w:cs="Arial"/>
          <w:sz w:val="20"/>
          <w:szCs w:val="20"/>
        </w:rPr>
        <w:t xml:space="preserve"> of Queensland, the Northern Territory, Western Australia and South Australia, to </w:t>
      </w:r>
      <w:r w:rsidRPr="00F06C90">
        <w:rPr>
          <w:rFonts w:ascii="Arial" w:hAnsi="Arial" w:cs="Arial"/>
          <w:sz w:val="20"/>
          <w:szCs w:val="20"/>
        </w:rPr>
        <w:br/>
        <w:t>31 August 2019</w:t>
      </w:r>
      <w:r w:rsidRPr="00F06C90">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EB11F0" w:rsidRPr="00A61871" w14:paraId="57B04C0A" w14:textId="77777777" w:rsidTr="00EB11F0">
        <w:trPr>
          <w:tblHeader/>
        </w:trPr>
        <w:tc>
          <w:tcPr>
            <w:tcW w:w="3975" w:type="dxa"/>
            <w:tcBorders>
              <w:bottom w:val="single" w:sz="4" w:space="0" w:color="auto"/>
            </w:tcBorders>
          </w:tcPr>
          <w:p w14:paraId="57B04C03" w14:textId="77777777" w:rsidR="00EB11F0" w:rsidRPr="00F06C90" w:rsidRDefault="00EB11F0" w:rsidP="00EB11F0">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57B04C04" w14:textId="77777777" w:rsidR="00EB11F0" w:rsidRPr="00A61871" w:rsidRDefault="00EB11F0" w:rsidP="00EB11F0">
            <w:pPr>
              <w:ind w:left="34" w:hanging="34"/>
              <w:jc w:val="center"/>
              <w:rPr>
                <w:rFonts w:ascii="Calibri" w:eastAsia="Times New Roman" w:hAnsi="Calibri" w:cs="Arial"/>
                <w:b/>
                <w:sz w:val="20"/>
                <w:szCs w:val="20"/>
                <w:lang w:eastAsia="en-AU"/>
              </w:rPr>
            </w:pPr>
            <w:r w:rsidRPr="00A61871">
              <w:rPr>
                <w:rFonts w:ascii="Calibri" w:eastAsia="Times New Roman" w:hAnsi="Calibri" w:cs="Arial"/>
                <w:b/>
                <w:sz w:val="20"/>
                <w:szCs w:val="20"/>
                <w:lang w:eastAsia="en-AU"/>
              </w:rPr>
              <w:t xml:space="preserve">North Qld </w:t>
            </w:r>
            <w:r w:rsidRPr="00A61871">
              <w:rPr>
                <w:rFonts w:ascii="Calibri" w:eastAsia="Times New Roman" w:hAnsi="Calibri" w:cs="Arial"/>
                <w:b/>
                <w:sz w:val="20"/>
                <w:szCs w:val="20"/>
                <w:lang w:eastAsia="en-AU"/>
              </w:rPr>
              <w:br/>
            </w:r>
            <w:r w:rsidRPr="00A61871">
              <w:rPr>
                <w:rFonts w:ascii="Calibri" w:eastAsia="Times New Roman" w:hAnsi="Calibri" w:cs="Arial"/>
                <w:sz w:val="20"/>
                <w:szCs w:val="20"/>
                <w:lang w:eastAsia="en-AU"/>
              </w:rPr>
              <w:t>(four HHSs</w:t>
            </w:r>
            <w:r w:rsidRPr="00A61871">
              <w:rPr>
                <w:rFonts w:ascii="Calibri" w:eastAsia="Times New Roman" w:hAnsi="Calibri" w:cs="Arial"/>
                <w:sz w:val="20"/>
                <w:szCs w:val="20"/>
                <w:vertAlign w:val="superscript"/>
                <w:lang w:eastAsia="en-AU"/>
              </w:rPr>
              <w:t>β</w:t>
            </w:r>
            <w:r w:rsidRPr="00A6187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C05"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b/>
                <w:sz w:val="20"/>
                <w:szCs w:val="20"/>
                <w:lang w:eastAsia="en-AU"/>
              </w:rPr>
              <w:t xml:space="preserve">NT </w:t>
            </w:r>
          </w:p>
          <w:p w14:paraId="57B04C06" w14:textId="77777777" w:rsidR="00EB11F0" w:rsidRPr="00A61871" w:rsidRDefault="00EB11F0" w:rsidP="00EB11F0">
            <w:pPr>
              <w:ind w:left="34" w:hanging="34"/>
              <w:jc w:val="center"/>
              <w:rPr>
                <w:rFonts w:ascii="Calibri" w:eastAsia="Times New Roman" w:hAnsi="Calibri" w:cs="Arial"/>
                <w:b/>
                <w:sz w:val="20"/>
                <w:szCs w:val="20"/>
                <w:lang w:eastAsia="en-AU"/>
              </w:rPr>
            </w:pPr>
            <w:r w:rsidRPr="00A61871">
              <w:rPr>
                <w:rFonts w:ascii="Calibri" w:eastAsia="Times New Roman" w:hAnsi="Calibri" w:cs="Arial"/>
                <w:sz w:val="20"/>
                <w:szCs w:val="20"/>
                <w:lang w:eastAsia="en-AU"/>
              </w:rPr>
              <w:t>(seven regions</w:t>
            </w:r>
            <w:r w:rsidRPr="00A61871">
              <w:rPr>
                <w:rFonts w:ascii="Calibri" w:eastAsia="Times New Roman" w:hAnsi="Calibri" w:cs="Arial"/>
                <w:sz w:val="20"/>
                <w:szCs w:val="20"/>
                <w:vertAlign w:val="superscript"/>
                <w:lang w:eastAsia="en-AU"/>
              </w:rPr>
              <w:t xml:space="preserve"> β</w:t>
            </w:r>
            <w:r w:rsidRPr="00A6187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C07" w14:textId="77777777" w:rsidR="00EB11F0" w:rsidRPr="00A61871" w:rsidRDefault="00EB11F0" w:rsidP="00EB11F0">
            <w:pPr>
              <w:ind w:left="34" w:hanging="34"/>
              <w:jc w:val="center"/>
              <w:rPr>
                <w:rFonts w:ascii="Calibri" w:eastAsia="Times New Roman" w:hAnsi="Calibri" w:cs="Arial"/>
                <w:b/>
                <w:sz w:val="20"/>
                <w:szCs w:val="20"/>
                <w:lang w:eastAsia="en-AU"/>
              </w:rPr>
            </w:pPr>
            <w:r w:rsidRPr="00A61871">
              <w:rPr>
                <w:rFonts w:ascii="Calibri" w:eastAsia="Times New Roman" w:hAnsi="Calibri" w:cs="Arial"/>
                <w:b/>
                <w:sz w:val="20"/>
                <w:szCs w:val="20"/>
                <w:lang w:eastAsia="en-AU"/>
              </w:rPr>
              <w:t>WA</w:t>
            </w:r>
            <w:r w:rsidRPr="00A61871">
              <w:rPr>
                <w:rFonts w:ascii="Calibri" w:eastAsia="Times New Roman" w:hAnsi="Calibri" w:cs="Arial"/>
                <w:b/>
                <w:sz w:val="20"/>
                <w:szCs w:val="20"/>
                <w:lang w:eastAsia="en-AU"/>
              </w:rPr>
              <w:br/>
            </w:r>
            <w:r w:rsidRPr="00A61871">
              <w:rPr>
                <w:rFonts w:ascii="Calibri" w:eastAsia="Times New Roman" w:hAnsi="Calibri" w:cs="Arial"/>
                <w:sz w:val="20"/>
                <w:szCs w:val="20"/>
                <w:lang w:eastAsia="en-AU"/>
              </w:rPr>
              <w:t xml:space="preserve"> (three regions</w:t>
            </w:r>
            <w:r w:rsidRPr="00A61871">
              <w:rPr>
                <w:rFonts w:ascii="Calibri" w:eastAsia="Times New Roman" w:hAnsi="Calibri" w:cs="Arial"/>
                <w:sz w:val="20"/>
                <w:szCs w:val="20"/>
                <w:vertAlign w:val="superscript"/>
                <w:lang w:eastAsia="en-AU"/>
              </w:rPr>
              <w:t xml:space="preserve"> β</w:t>
            </w:r>
            <w:r w:rsidRPr="00A6187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C08" w14:textId="77777777" w:rsidR="00EB11F0" w:rsidRPr="00A61871" w:rsidRDefault="00EB11F0" w:rsidP="00EB11F0">
            <w:pPr>
              <w:ind w:left="34" w:hanging="34"/>
              <w:jc w:val="center"/>
              <w:rPr>
                <w:rFonts w:ascii="Calibri" w:eastAsia="Times New Roman" w:hAnsi="Calibri" w:cs="Arial"/>
                <w:b/>
                <w:sz w:val="20"/>
                <w:szCs w:val="20"/>
                <w:lang w:eastAsia="en-AU"/>
              </w:rPr>
            </w:pPr>
            <w:r w:rsidRPr="00A61871">
              <w:rPr>
                <w:rFonts w:ascii="Calibri" w:eastAsia="Times New Roman" w:hAnsi="Calibri" w:cs="Arial"/>
                <w:b/>
                <w:sz w:val="20"/>
                <w:szCs w:val="20"/>
                <w:lang w:eastAsia="en-AU"/>
              </w:rPr>
              <w:t>SA</w:t>
            </w:r>
          </w:p>
          <w:p w14:paraId="57B04C09"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(three regions</w:t>
            </w:r>
            <w:r w:rsidRPr="00A61871">
              <w:rPr>
                <w:rFonts w:ascii="Calibri" w:eastAsia="Times New Roman" w:hAnsi="Calibri" w:cs="Arial"/>
                <w:sz w:val="20"/>
                <w:szCs w:val="20"/>
                <w:vertAlign w:val="superscript"/>
                <w:lang w:eastAsia="en-AU"/>
              </w:rPr>
              <w:t xml:space="preserve"> β</w:t>
            </w:r>
            <w:r w:rsidRPr="00A61871">
              <w:rPr>
                <w:rFonts w:ascii="Calibri" w:eastAsia="Times New Roman" w:hAnsi="Calibri" w:cs="Arial"/>
                <w:sz w:val="20"/>
                <w:szCs w:val="20"/>
                <w:lang w:eastAsia="en-AU"/>
              </w:rPr>
              <w:t>)</w:t>
            </w:r>
          </w:p>
        </w:tc>
      </w:tr>
      <w:tr w:rsidR="00EB11F0" w:rsidRPr="00A61871" w14:paraId="57B04C10" w14:textId="77777777" w:rsidTr="00EB11F0">
        <w:tc>
          <w:tcPr>
            <w:tcW w:w="3975" w:type="dxa"/>
            <w:tcBorders>
              <w:right w:val="nil"/>
            </w:tcBorders>
            <w:shd w:val="clear" w:color="auto" w:fill="DBE5F1" w:themeFill="accent1" w:themeFillTint="33"/>
          </w:tcPr>
          <w:p w14:paraId="57B04C0B" w14:textId="77777777" w:rsidR="00EB11F0" w:rsidRPr="00A61871" w:rsidRDefault="00EB11F0" w:rsidP="00EB11F0">
            <w:pPr>
              <w:ind w:left="34" w:hanging="34"/>
              <w:rPr>
                <w:rFonts w:ascii="Calibri" w:eastAsia="Times New Roman" w:hAnsi="Calibri" w:cs="Arial"/>
                <w:b/>
                <w:sz w:val="20"/>
                <w:szCs w:val="20"/>
                <w:lang w:eastAsia="en-AU"/>
              </w:rPr>
            </w:pPr>
            <w:r w:rsidRPr="00A61871">
              <w:rPr>
                <w:rFonts w:ascii="Calibri" w:eastAsia="Times New Roman" w:hAnsi="Calibri" w:cs="Arial"/>
                <w:b/>
                <w:sz w:val="20"/>
                <w:szCs w:val="20"/>
                <w:lang w:eastAsia="en-AU"/>
              </w:rPr>
              <w:t>Situation to-date, 31 August 2019</w:t>
            </w:r>
          </w:p>
        </w:tc>
        <w:tc>
          <w:tcPr>
            <w:tcW w:w="1701" w:type="dxa"/>
            <w:tcBorders>
              <w:left w:val="nil"/>
              <w:bottom w:val="single" w:sz="4" w:space="0" w:color="auto"/>
              <w:right w:val="nil"/>
            </w:tcBorders>
            <w:shd w:val="clear" w:color="auto" w:fill="DBE5F1" w:themeFill="accent1" w:themeFillTint="33"/>
          </w:tcPr>
          <w:p w14:paraId="57B04C0C" w14:textId="77777777" w:rsidR="00EB11F0" w:rsidRPr="00A61871" w:rsidRDefault="00EB11F0"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C0D" w14:textId="77777777" w:rsidR="00EB11F0" w:rsidRPr="00A61871" w:rsidRDefault="00EB11F0" w:rsidP="00EB11F0">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C0E" w14:textId="77777777" w:rsidR="00EB11F0" w:rsidRPr="00A61871" w:rsidRDefault="00EB11F0" w:rsidP="00EB11F0">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C0F" w14:textId="77777777" w:rsidR="00EB11F0" w:rsidRPr="00A61871" w:rsidRDefault="00EB11F0" w:rsidP="00EB11F0">
            <w:pPr>
              <w:ind w:left="34" w:hanging="34"/>
              <w:rPr>
                <w:rFonts w:ascii="Calibri" w:eastAsia="Times New Roman" w:hAnsi="Calibri" w:cs="Arial"/>
                <w:sz w:val="20"/>
                <w:szCs w:val="20"/>
                <w:lang w:eastAsia="en-AU"/>
              </w:rPr>
            </w:pPr>
          </w:p>
        </w:tc>
      </w:tr>
      <w:tr w:rsidR="00EB11F0" w:rsidRPr="00A61871" w14:paraId="57B04C16" w14:textId="77777777" w:rsidTr="00EB11F0">
        <w:trPr>
          <w:trHeight w:val="365"/>
        </w:trPr>
        <w:tc>
          <w:tcPr>
            <w:tcW w:w="3975" w:type="dxa"/>
            <w:vAlign w:val="center"/>
          </w:tcPr>
          <w:p w14:paraId="57B04C11"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C12"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C13"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C14"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C15"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November 2016</w:t>
            </w:r>
          </w:p>
        </w:tc>
      </w:tr>
      <w:tr w:rsidR="00EB11F0" w:rsidRPr="00A61871" w14:paraId="57B04C1C" w14:textId="77777777" w:rsidTr="00EB11F0">
        <w:tc>
          <w:tcPr>
            <w:tcW w:w="3975" w:type="dxa"/>
          </w:tcPr>
          <w:p w14:paraId="57B04C17"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Total number of cases</w:t>
            </w:r>
            <w:r w:rsidRPr="00A61871">
              <w:rPr>
                <w:rFonts w:ascii="Calibri" w:eastAsia="Times New Roman" w:hAnsi="Calibri" w:cs="Arial"/>
                <w:b/>
                <w:sz w:val="20"/>
                <w:szCs w:val="20"/>
                <w:vertAlign w:val="superscript"/>
                <w:lang w:eastAsia="en-AU"/>
              </w:rPr>
              <w:t xml:space="preserve"> </w:t>
            </w:r>
            <w:r w:rsidRPr="00A61871">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C18"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1346</w:t>
            </w:r>
          </w:p>
        </w:tc>
        <w:tc>
          <w:tcPr>
            <w:tcW w:w="1560" w:type="dxa"/>
            <w:shd w:val="clear" w:color="auto" w:fill="B6DDE8" w:themeFill="accent5" w:themeFillTint="66"/>
            <w:vAlign w:val="center"/>
          </w:tcPr>
          <w:p w14:paraId="57B04C19"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1124</w:t>
            </w:r>
          </w:p>
        </w:tc>
        <w:tc>
          <w:tcPr>
            <w:tcW w:w="1672" w:type="dxa"/>
            <w:shd w:val="clear" w:color="auto" w:fill="CCC0D9" w:themeFill="accent4" w:themeFillTint="66"/>
            <w:vAlign w:val="center"/>
          </w:tcPr>
          <w:p w14:paraId="57B04C1A"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381</w:t>
            </w:r>
          </w:p>
        </w:tc>
        <w:tc>
          <w:tcPr>
            <w:tcW w:w="1559" w:type="dxa"/>
            <w:shd w:val="clear" w:color="auto" w:fill="FBD4B4" w:themeFill="accent6" w:themeFillTint="66"/>
          </w:tcPr>
          <w:p w14:paraId="57B04C1B"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76</w:t>
            </w:r>
          </w:p>
        </w:tc>
      </w:tr>
      <w:tr w:rsidR="00EB11F0" w:rsidRPr="00A61871" w14:paraId="57B04C22" w14:textId="77777777" w:rsidTr="00EB11F0">
        <w:tc>
          <w:tcPr>
            <w:tcW w:w="3975" w:type="dxa"/>
            <w:shd w:val="clear" w:color="auto" w:fill="auto"/>
          </w:tcPr>
          <w:p w14:paraId="57B04C1D"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C1E"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C1F"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45% / 55%</w:t>
            </w:r>
          </w:p>
        </w:tc>
        <w:tc>
          <w:tcPr>
            <w:tcW w:w="1672" w:type="dxa"/>
            <w:shd w:val="clear" w:color="auto" w:fill="CCC0D9" w:themeFill="accent4" w:themeFillTint="66"/>
            <w:vAlign w:val="center"/>
          </w:tcPr>
          <w:p w14:paraId="57B04C20"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41% / 59%</w:t>
            </w:r>
          </w:p>
        </w:tc>
        <w:tc>
          <w:tcPr>
            <w:tcW w:w="1559" w:type="dxa"/>
            <w:shd w:val="clear" w:color="auto" w:fill="FBD4B4" w:themeFill="accent6" w:themeFillTint="66"/>
          </w:tcPr>
          <w:p w14:paraId="57B04C21"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53% / 47%</w:t>
            </w:r>
          </w:p>
        </w:tc>
      </w:tr>
      <w:tr w:rsidR="00EB11F0" w:rsidRPr="00A61871" w14:paraId="57B04C28" w14:textId="77777777" w:rsidTr="00EB11F0">
        <w:tc>
          <w:tcPr>
            <w:tcW w:w="3975" w:type="dxa"/>
            <w:shd w:val="clear" w:color="auto" w:fill="auto"/>
          </w:tcPr>
          <w:p w14:paraId="57B04C23"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C24"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66%</w:t>
            </w:r>
          </w:p>
        </w:tc>
        <w:tc>
          <w:tcPr>
            <w:tcW w:w="1560" w:type="dxa"/>
            <w:shd w:val="clear" w:color="auto" w:fill="B6DDE8" w:themeFill="accent5" w:themeFillTint="66"/>
            <w:vAlign w:val="center"/>
          </w:tcPr>
          <w:p w14:paraId="57B04C25"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61%</w:t>
            </w:r>
          </w:p>
        </w:tc>
        <w:tc>
          <w:tcPr>
            <w:tcW w:w="1672" w:type="dxa"/>
            <w:shd w:val="clear" w:color="auto" w:fill="CCC0D9" w:themeFill="accent4" w:themeFillTint="66"/>
            <w:vAlign w:val="center"/>
          </w:tcPr>
          <w:p w14:paraId="57B04C26"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67%</w:t>
            </w:r>
          </w:p>
        </w:tc>
        <w:tc>
          <w:tcPr>
            <w:tcW w:w="1559" w:type="dxa"/>
            <w:shd w:val="clear" w:color="auto" w:fill="FBD4B4" w:themeFill="accent6" w:themeFillTint="66"/>
          </w:tcPr>
          <w:p w14:paraId="57B04C27" w14:textId="77777777" w:rsidR="00EB11F0" w:rsidRPr="00A61871" w:rsidRDefault="00EB11F0" w:rsidP="00EB11F0">
            <w:pPr>
              <w:tabs>
                <w:tab w:val="left" w:pos="465"/>
                <w:tab w:val="center" w:pos="663"/>
              </w:tabs>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49%</w:t>
            </w:r>
          </w:p>
        </w:tc>
      </w:tr>
      <w:tr w:rsidR="00EB11F0" w:rsidRPr="00A61871" w14:paraId="57B04C2E" w14:textId="77777777" w:rsidTr="00EB11F0">
        <w:tc>
          <w:tcPr>
            <w:tcW w:w="3975" w:type="dxa"/>
            <w:shd w:val="clear" w:color="auto" w:fill="auto"/>
          </w:tcPr>
          <w:p w14:paraId="57B04C29"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Congenital cases, confirmed (probable)</w:t>
            </w:r>
            <w:r w:rsidRPr="00A61871">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C2A"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C2B"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C2C"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1 (0)</w:t>
            </w:r>
          </w:p>
        </w:tc>
        <w:tc>
          <w:tcPr>
            <w:tcW w:w="1559" w:type="dxa"/>
            <w:shd w:val="clear" w:color="auto" w:fill="FBD4B4" w:themeFill="accent6" w:themeFillTint="66"/>
          </w:tcPr>
          <w:p w14:paraId="57B04C2D"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1 (0)</w:t>
            </w:r>
          </w:p>
        </w:tc>
      </w:tr>
      <w:tr w:rsidR="00EB11F0" w:rsidRPr="00A61871" w14:paraId="57B04C34" w14:textId="77777777" w:rsidTr="00EB11F0">
        <w:tc>
          <w:tcPr>
            <w:tcW w:w="3975" w:type="dxa"/>
            <w:tcBorders>
              <w:bottom w:val="single" w:sz="4" w:space="0" w:color="auto"/>
            </w:tcBorders>
            <w:shd w:val="clear" w:color="auto" w:fill="auto"/>
          </w:tcPr>
          <w:p w14:paraId="57B04C2F"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C30"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C31"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C32"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C33"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0 (0)</w:t>
            </w:r>
          </w:p>
        </w:tc>
      </w:tr>
      <w:tr w:rsidR="00EB11F0" w:rsidRPr="00A61871" w14:paraId="57B04C36" w14:textId="77777777" w:rsidTr="00EB11F0">
        <w:tc>
          <w:tcPr>
            <w:tcW w:w="10467" w:type="dxa"/>
            <w:gridSpan w:val="5"/>
            <w:tcBorders>
              <w:bottom w:val="single" w:sz="4" w:space="0" w:color="auto"/>
            </w:tcBorders>
            <w:shd w:val="clear" w:color="auto" w:fill="DBE5F1" w:themeFill="accent1" w:themeFillTint="33"/>
          </w:tcPr>
          <w:p w14:paraId="57B04C35"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b/>
                <w:sz w:val="20"/>
                <w:szCs w:val="20"/>
                <w:lang w:eastAsia="en-AU"/>
              </w:rPr>
              <w:t>Last reporting month, 1 – 31 August 2019</w:t>
            </w:r>
          </w:p>
        </w:tc>
      </w:tr>
      <w:tr w:rsidR="00EB11F0" w:rsidRPr="00A61871" w14:paraId="57B04C3C" w14:textId="77777777" w:rsidTr="00EB11F0">
        <w:tc>
          <w:tcPr>
            <w:tcW w:w="3975" w:type="dxa"/>
            <w:shd w:val="clear" w:color="auto" w:fill="auto"/>
          </w:tcPr>
          <w:p w14:paraId="57B04C37"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Number of cases</w:t>
            </w:r>
            <w:r w:rsidRPr="00A61871">
              <w:rPr>
                <w:rFonts w:ascii="Calibri" w:eastAsia="Times New Roman" w:hAnsi="Calibri" w:cs="Arial"/>
                <w:b/>
                <w:sz w:val="20"/>
                <w:szCs w:val="20"/>
                <w:vertAlign w:val="superscript"/>
                <w:lang w:eastAsia="en-AU"/>
              </w:rPr>
              <w:t xml:space="preserve"> </w:t>
            </w:r>
            <w:r w:rsidRPr="00A61871">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C38"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4</w:t>
            </w:r>
          </w:p>
        </w:tc>
        <w:tc>
          <w:tcPr>
            <w:tcW w:w="1560" w:type="dxa"/>
            <w:shd w:val="clear" w:color="auto" w:fill="B6DDE8" w:themeFill="accent5" w:themeFillTint="66"/>
            <w:vAlign w:val="center"/>
          </w:tcPr>
          <w:p w14:paraId="57B04C39"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32</w:t>
            </w:r>
          </w:p>
        </w:tc>
        <w:tc>
          <w:tcPr>
            <w:tcW w:w="1672" w:type="dxa"/>
            <w:shd w:val="clear" w:color="auto" w:fill="CCC0D9" w:themeFill="accent4" w:themeFillTint="66"/>
            <w:vAlign w:val="center"/>
          </w:tcPr>
          <w:p w14:paraId="57B04C3A"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20</w:t>
            </w:r>
          </w:p>
        </w:tc>
        <w:tc>
          <w:tcPr>
            <w:tcW w:w="1559" w:type="dxa"/>
            <w:shd w:val="clear" w:color="auto" w:fill="FBD4B4" w:themeFill="accent6" w:themeFillTint="66"/>
          </w:tcPr>
          <w:p w14:paraId="57B04C3B"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2</w:t>
            </w:r>
          </w:p>
        </w:tc>
      </w:tr>
      <w:tr w:rsidR="00EB11F0" w:rsidRPr="00A61871" w14:paraId="57B04C42" w14:textId="77777777" w:rsidTr="00EB11F0">
        <w:tc>
          <w:tcPr>
            <w:tcW w:w="3975" w:type="dxa"/>
            <w:shd w:val="clear" w:color="auto" w:fill="auto"/>
          </w:tcPr>
          <w:p w14:paraId="57B04C3D"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C3E"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50% / 50%</w:t>
            </w:r>
          </w:p>
        </w:tc>
        <w:tc>
          <w:tcPr>
            <w:tcW w:w="1560" w:type="dxa"/>
            <w:shd w:val="clear" w:color="auto" w:fill="B6DDE8" w:themeFill="accent5" w:themeFillTint="66"/>
            <w:vAlign w:val="center"/>
          </w:tcPr>
          <w:p w14:paraId="57B04C3F"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47% / 53%</w:t>
            </w:r>
          </w:p>
        </w:tc>
        <w:tc>
          <w:tcPr>
            <w:tcW w:w="1672" w:type="dxa"/>
            <w:shd w:val="clear" w:color="auto" w:fill="CCC0D9" w:themeFill="accent4" w:themeFillTint="66"/>
            <w:vAlign w:val="center"/>
          </w:tcPr>
          <w:p w14:paraId="57B04C40"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35% / 65%</w:t>
            </w:r>
          </w:p>
        </w:tc>
        <w:tc>
          <w:tcPr>
            <w:tcW w:w="1559" w:type="dxa"/>
            <w:shd w:val="clear" w:color="auto" w:fill="FBD4B4" w:themeFill="accent6" w:themeFillTint="66"/>
          </w:tcPr>
          <w:p w14:paraId="57B04C41"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0% / 100%</w:t>
            </w:r>
          </w:p>
        </w:tc>
      </w:tr>
      <w:tr w:rsidR="00EB11F0" w:rsidRPr="00A61871" w14:paraId="57B04C48" w14:textId="77777777" w:rsidTr="00EB11F0">
        <w:tc>
          <w:tcPr>
            <w:tcW w:w="3975" w:type="dxa"/>
            <w:shd w:val="clear" w:color="auto" w:fill="auto"/>
          </w:tcPr>
          <w:p w14:paraId="57B04C43" w14:textId="77777777" w:rsidR="00EB11F0" w:rsidRPr="00A61871" w:rsidRDefault="00EB11F0" w:rsidP="00EB11F0">
            <w:pPr>
              <w:ind w:left="34" w:hanging="34"/>
              <w:rPr>
                <w:rFonts w:ascii="Calibri" w:eastAsia="Times New Roman" w:hAnsi="Calibri" w:cs="Arial"/>
                <w:sz w:val="20"/>
                <w:szCs w:val="20"/>
                <w:lang w:eastAsia="en-AU"/>
              </w:rPr>
            </w:pPr>
            <w:r w:rsidRPr="00A6187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C44" w14:textId="77777777" w:rsidR="00EB11F0" w:rsidRPr="00A61871" w:rsidRDefault="00EB11F0" w:rsidP="00EB11F0">
            <w:pPr>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50%</w:t>
            </w:r>
          </w:p>
        </w:tc>
        <w:tc>
          <w:tcPr>
            <w:tcW w:w="1560" w:type="dxa"/>
            <w:shd w:val="clear" w:color="auto" w:fill="B6DDE8" w:themeFill="accent5" w:themeFillTint="66"/>
            <w:vAlign w:val="center"/>
          </w:tcPr>
          <w:p w14:paraId="57B04C45"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56%</w:t>
            </w:r>
          </w:p>
        </w:tc>
        <w:tc>
          <w:tcPr>
            <w:tcW w:w="1672" w:type="dxa"/>
            <w:shd w:val="clear" w:color="auto" w:fill="CCC0D9" w:themeFill="accent4" w:themeFillTint="66"/>
            <w:vAlign w:val="center"/>
          </w:tcPr>
          <w:p w14:paraId="57B04C46"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55%</w:t>
            </w:r>
          </w:p>
        </w:tc>
        <w:tc>
          <w:tcPr>
            <w:tcW w:w="1559" w:type="dxa"/>
            <w:shd w:val="clear" w:color="auto" w:fill="FBD4B4" w:themeFill="accent6" w:themeFillTint="66"/>
          </w:tcPr>
          <w:p w14:paraId="57B04C47" w14:textId="77777777" w:rsidR="00EB11F0" w:rsidRPr="00A61871" w:rsidRDefault="00EB11F0" w:rsidP="00EB11F0">
            <w:pPr>
              <w:ind w:left="34" w:hanging="34"/>
              <w:jc w:val="center"/>
              <w:rPr>
                <w:rFonts w:ascii="Calibri" w:eastAsia="Times New Roman" w:hAnsi="Calibri" w:cs="Arial"/>
                <w:sz w:val="20"/>
                <w:szCs w:val="20"/>
                <w:lang w:eastAsia="en-AU"/>
              </w:rPr>
            </w:pPr>
            <w:r w:rsidRPr="00A61871">
              <w:rPr>
                <w:rFonts w:ascii="Calibri" w:eastAsia="Times New Roman" w:hAnsi="Calibri" w:cs="Arial"/>
                <w:sz w:val="20"/>
                <w:szCs w:val="20"/>
                <w:lang w:eastAsia="en-AU"/>
              </w:rPr>
              <w:t>100%</w:t>
            </w:r>
          </w:p>
        </w:tc>
      </w:tr>
    </w:tbl>
    <w:p w14:paraId="57B04C49" w14:textId="77777777" w:rsidR="00EB11F0" w:rsidRPr="00A61871" w:rsidRDefault="00EB11F0" w:rsidP="00EB11F0">
      <w:pPr>
        <w:pStyle w:val="ListParagraph"/>
        <w:spacing w:before="60" w:after="0" w:line="240" w:lineRule="auto"/>
        <w:ind w:left="-567"/>
        <w:contextualSpacing w:val="0"/>
        <w:rPr>
          <w:b/>
          <w:sz w:val="16"/>
          <w:szCs w:val="16"/>
          <w:vertAlign w:val="superscript"/>
        </w:rPr>
      </w:pPr>
    </w:p>
    <w:p w14:paraId="57B04C4A" w14:textId="77777777" w:rsidR="00EB11F0" w:rsidRPr="00A61871" w:rsidRDefault="00EB11F0" w:rsidP="00EB11F0">
      <w:pPr>
        <w:pStyle w:val="ListParagraph"/>
        <w:spacing w:before="60" w:after="0" w:line="240" w:lineRule="auto"/>
        <w:ind w:left="-709"/>
        <w:contextualSpacing w:val="0"/>
        <w:rPr>
          <w:rFonts w:ascii="Arial" w:hAnsi="Arial" w:cs="Arial"/>
          <w:sz w:val="20"/>
          <w:szCs w:val="16"/>
        </w:rPr>
      </w:pPr>
      <w:r w:rsidRPr="00A61871">
        <w:rPr>
          <w:rFonts w:ascii="Arial" w:hAnsi="Arial" w:cs="Arial"/>
          <w:b/>
          <w:sz w:val="20"/>
          <w:szCs w:val="16"/>
        </w:rPr>
        <w:t xml:space="preserve">Table 2. </w:t>
      </w:r>
      <w:r w:rsidRPr="00A61871">
        <w:rPr>
          <w:rFonts w:ascii="Arial" w:hAnsi="Arial" w:cs="Arial"/>
          <w:sz w:val="20"/>
          <w:szCs w:val="16"/>
        </w:rPr>
        <w:t>Number of category 2 infectious syphilis</w:t>
      </w:r>
      <w:r w:rsidRPr="00A61871">
        <w:rPr>
          <w:rFonts w:ascii="Arial" w:hAnsi="Arial" w:cs="Arial"/>
          <w:sz w:val="20"/>
          <w:szCs w:val="20"/>
          <w:vertAlign w:val="superscript"/>
        </w:rPr>
        <w:t>α</w:t>
      </w:r>
      <w:r w:rsidRPr="00A61871">
        <w:rPr>
          <w:rFonts w:ascii="Arial" w:hAnsi="Arial" w:cs="Arial"/>
          <w:sz w:val="20"/>
          <w:szCs w:val="20"/>
        </w:rPr>
        <w:t xml:space="preserve"> cases</w:t>
      </w:r>
      <w:r w:rsidRPr="00A61871">
        <w:rPr>
          <w:rFonts w:ascii="Arial" w:hAnsi="Arial" w:cs="Arial"/>
          <w:sz w:val="20"/>
          <w:szCs w:val="16"/>
        </w:rPr>
        <w:t>, to 31 August 2019</w:t>
      </w:r>
      <w:r w:rsidRPr="00A61871">
        <w:rPr>
          <w:rFonts w:ascii="Arial" w:hAnsi="Arial" w:cs="Arial"/>
          <w:sz w:val="20"/>
          <w:szCs w:val="20"/>
          <w:vertAlign w:val="superscript"/>
        </w:rPr>
        <w:t xml:space="preserve"> ȶ ᵞ</w:t>
      </w:r>
      <w:r w:rsidRPr="00A61871">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EB11F0" w:rsidRPr="00A61871" w14:paraId="57B04C51" w14:textId="77777777" w:rsidTr="00EB11F0">
        <w:trPr>
          <w:tblHeader/>
        </w:trPr>
        <w:tc>
          <w:tcPr>
            <w:tcW w:w="3964" w:type="dxa"/>
            <w:tcBorders>
              <w:bottom w:val="single" w:sz="4" w:space="0" w:color="auto"/>
            </w:tcBorders>
          </w:tcPr>
          <w:p w14:paraId="57B04C4B" w14:textId="77777777" w:rsidR="00EB11F0" w:rsidRPr="00A61871" w:rsidRDefault="00EB11F0" w:rsidP="00EB11F0">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57B04C4C" w14:textId="77777777" w:rsidR="00EB11F0" w:rsidRPr="00A61871" w:rsidRDefault="00EB11F0" w:rsidP="00EB11F0">
            <w:pPr>
              <w:pStyle w:val="ListParagraph"/>
              <w:spacing w:before="60"/>
              <w:ind w:left="0"/>
              <w:contextualSpacing w:val="0"/>
              <w:jc w:val="center"/>
              <w:rPr>
                <w:rFonts w:ascii="Calibri" w:eastAsia="Times New Roman" w:hAnsi="Calibri" w:cs="Arial"/>
                <w:b/>
                <w:sz w:val="20"/>
                <w:szCs w:val="20"/>
                <w:lang w:eastAsia="en-AU"/>
              </w:rPr>
            </w:pPr>
            <w:r w:rsidRPr="00A61871">
              <w:rPr>
                <w:rFonts w:ascii="Calibri" w:eastAsia="Times New Roman" w:hAnsi="Calibri" w:cs="Arial"/>
                <w:b/>
                <w:sz w:val="20"/>
                <w:szCs w:val="20"/>
                <w:lang w:eastAsia="en-AU"/>
              </w:rPr>
              <w:t xml:space="preserve">North Qld </w:t>
            </w:r>
            <w:r w:rsidRPr="00A61871">
              <w:rPr>
                <w:rFonts w:ascii="Calibri" w:eastAsia="Times New Roman" w:hAnsi="Calibri" w:cs="Arial"/>
                <w:b/>
                <w:sz w:val="20"/>
                <w:szCs w:val="20"/>
                <w:lang w:eastAsia="en-AU"/>
              </w:rPr>
              <w:br/>
            </w:r>
            <w:r w:rsidRPr="00A61871">
              <w:rPr>
                <w:rFonts w:ascii="Calibri" w:eastAsia="Times New Roman" w:hAnsi="Calibri" w:cs="Arial"/>
                <w:sz w:val="20"/>
                <w:szCs w:val="20"/>
                <w:lang w:eastAsia="en-AU"/>
              </w:rPr>
              <w:t>(four HHSs</w:t>
            </w:r>
            <w:r w:rsidRPr="00A61871">
              <w:rPr>
                <w:rFonts w:ascii="Calibri" w:eastAsia="Times New Roman" w:hAnsi="Calibri" w:cs="Arial"/>
                <w:sz w:val="20"/>
                <w:szCs w:val="20"/>
                <w:vertAlign w:val="superscript"/>
                <w:lang w:eastAsia="en-AU"/>
              </w:rPr>
              <w:t>β</w:t>
            </w:r>
            <w:r w:rsidRPr="00A6187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C4D" w14:textId="77777777" w:rsidR="00EB11F0" w:rsidRPr="00A61871" w:rsidRDefault="00EB11F0" w:rsidP="00EB11F0">
            <w:pPr>
              <w:pStyle w:val="ListParagraph"/>
              <w:spacing w:before="60"/>
              <w:ind w:left="0"/>
              <w:contextualSpacing w:val="0"/>
              <w:jc w:val="center"/>
              <w:rPr>
                <w:rFonts w:ascii="Calibri" w:hAnsi="Calibri"/>
                <w:b/>
                <w:sz w:val="20"/>
                <w:szCs w:val="16"/>
              </w:rPr>
            </w:pPr>
            <w:r w:rsidRPr="00A61871">
              <w:rPr>
                <w:rFonts w:ascii="Calibri" w:eastAsia="Times New Roman" w:hAnsi="Calibri" w:cs="Arial"/>
                <w:b/>
                <w:sz w:val="20"/>
                <w:szCs w:val="20"/>
                <w:lang w:eastAsia="en-AU"/>
              </w:rPr>
              <w:t xml:space="preserve">NT </w:t>
            </w:r>
            <w:r w:rsidRPr="00A61871">
              <w:rPr>
                <w:rFonts w:ascii="Calibri" w:eastAsia="Times New Roman" w:hAnsi="Calibri" w:cs="Arial"/>
                <w:b/>
                <w:sz w:val="20"/>
                <w:szCs w:val="20"/>
                <w:lang w:eastAsia="en-AU"/>
              </w:rPr>
              <w:br/>
            </w:r>
            <w:r w:rsidRPr="00A61871">
              <w:rPr>
                <w:rFonts w:ascii="Calibri" w:eastAsia="Times New Roman" w:hAnsi="Calibri" w:cs="Arial"/>
                <w:sz w:val="20"/>
                <w:szCs w:val="20"/>
                <w:lang w:eastAsia="en-AU"/>
              </w:rPr>
              <w:t>(seven regions</w:t>
            </w:r>
            <w:r w:rsidRPr="00A61871">
              <w:rPr>
                <w:rFonts w:ascii="Calibri" w:eastAsia="Times New Roman" w:hAnsi="Calibri" w:cs="Arial"/>
                <w:sz w:val="20"/>
                <w:szCs w:val="20"/>
                <w:vertAlign w:val="superscript"/>
                <w:lang w:eastAsia="en-AU"/>
              </w:rPr>
              <w:t xml:space="preserve"> β</w:t>
            </w:r>
            <w:r w:rsidRPr="00A6187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C4E" w14:textId="77777777" w:rsidR="00EB11F0" w:rsidRPr="00A61871" w:rsidRDefault="00EB11F0" w:rsidP="00EB11F0">
            <w:pPr>
              <w:pStyle w:val="ListParagraph"/>
              <w:spacing w:before="60"/>
              <w:ind w:left="0"/>
              <w:contextualSpacing w:val="0"/>
              <w:jc w:val="center"/>
              <w:rPr>
                <w:rFonts w:ascii="Calibri" w:hAnsi="Calibri"/>
                <w:b/>
                <w:sz w:val="20"/>
                <w:szCs w:val="16"/>
              </w:rPr>
            </w:pPr>
            <w:r w:rsidRPr="00A61871">
              <w:rPr>
                <w:rFonts w:ascii="Calibri" w:eastAsia="Times New Roman" w:hAnsi="Calibri" w:cs="Arial"/>
                <w:b/>
                <w:sz w:val="20"/>
                <w:szCs w:val="20"/>
                <w:lang w:eastAsia="en-AU"/>
              </w:rPr>
              <w:t>WA</w:t>
            </w:r>
            <w:r w:rsidRPr="00A61871">
              <w:rPr>
                <w:rFonts w:ascii="Calibri" w:eastAsia="Times New Roman" w:hAnsi="Calibri" w:cs="Arial"/>
                <w:b/>
                <w:sz w:val="20"/>
                <w:szCs w:val="20"/>
                <w:lang w:eastAsia="en-AU"/>
              </w:rPr>
              <w:br/>
            </w:r>
            <w:r w:rsidRPr="00A61871">
              <w:rPr>
                <w:rFonts w:ascii="Calibri" w:eastAsia="Times New Roman" w:hAnsi="Calibri" w:cs="Arial"/>
                <w:sz w:val="20"/>
                <w:szCs w:val="20"/>
                <w:lang w:eastAsia="en-AU"/>
              </w:rPr>
              <w:t xml:space="preserve"> (three regions</w:t>
            </w:r>
            <w:r w:rsidRPr="00A61871">
              <w:rPr>
                <w:rFonts w:ascii="Calibri" w:eastAsia="Times New Roman" w:hAnsi="Calibri" w:cs="Arial"/>
                <w:sz w:val="20"/>
                <w:szCs w:val="20"/>
                <w:vertAlign w:val="superscript"/>
                <w:lang w:eastAsia="en-AU"/>
              </w:rPr>
              <w:t xml:space="preserve"> β</w:t>
            </w:r>
            <w:r w:rsidRPr="00A6187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C4F" w14:textId="77777777" w:rsidR="00EB11F0" w:rsidRPr="00A61871" w:rsidRDefault="00EB11F0" w:rsidP="00EB11F0">
            <w:pPr>
              <w:ind w:left="34" w:hanging="34"/>
              <w:jc w:val="center"/>
              <w:rPr>
                <w:rFonts w:ascii="Calibri" w:eastAsia="Times New Roman" w:hAnsi="Calibri" w:cs="Arial"/>
                <w:b/>
                <w:sz w:val="20"/>
                <w:szCs w:val="20"/>
                <w:lang w:eastAsia="en-AU"/>
              </w:rPr>
            </w:pPr>
            <w:r w:rsidRPr="00A61871">
              <w:rPr>
                <w:rFonts w:ascii="Calibri" w:eastAsia="Times New Roman" w:hAnsi="Calibri" w:cs="Arial"/>
                <w:b/>
                <w:sz w:val="20"/>
                <w:szCs w:val="20"/>
                <w:lang w:eastAsia="en-AU"/>
              </w:rPr>
              <w:t>SA</w:t>
            </w:r>
          </w:p>
          <w:p w14:paraId="57B04C50" w14:textId="77777777" w:rsidR="00EB11F0" w:rsidRPr="00A61871" w:rsidRDefault="00EB11F0" w:rsidP="00EB11F0">
            <w:pPr>
              <w:pStyle w:val="ListParagraph"/>
              <w:spacing w:before="60"/>
              <w:ind w:left="0"/>
              <w:contextualSpacing w:val="0"/>
              <w:jc w:val="center"/>
              <w:rPr>
                <w:rFonts w:ascii="Calibri" w:hAnsi="Calibri"/>
                <w:b/>
                <w:sz w:val="20"/>
                <w:szCs w:val="16"/>
              </w:rPr>
            </w:pPr>
            <w:r w:rsidRPr="00A61871">
              <w:rPr>
                <w:rFonts w:ascii="Calibri" w:eastAsia="Times New Roman" w:hAnsi="Calibri" w:cs="Arial"/>
                <w:sz w:val="20"/>
                <w:szCs w:val="20"/>
                <w:lang w:eastAsia="en-AU"/>
              </w:rPr>
              <w:t>(three regions</w:t>
            </w:r>
            <w:r w:rsidRPr="00A61871">
              <w:rPr>
                <w:rFonts w:ascii="Calibri" w:eastAsia="Times New Roman" w:hAnsi="Calibri" w:cs="Arial"/>
                <w:sz w:val="20"/>
                <w:szCs w:val="20"/>
                <w:vertAlign w:val="superscript"/>
                <w:lang w:eastAsia="en-AU"/>
              </w:rPr>
              <w:t xml:space="preserve"> β</w:t>
            </w:r>
            <w:r w:rsidRPr="00A61871">
              <w:rPr>
                <w:rFonts w:ascii="Calibri" w:eastAsia="Times New Roman" w:hAnsi="Calibri" w:cs="Arial"/>
                <w:sz w:val="20"/>
                <w:szCs w:val="20"/>
                <w:lang w:eastAsia="en-AU"/>
              </w:rPr>
              <w:t>)</w:t>
            </w:r>
          </w:p>
        </w:tc>
      </w:tr>
      <w:tr w:rsidR="00EB11F0" w:rsidRPr="00A61871" w14:paraId="57B04C53" w14:textId="77777777" w:rsidTr="00EB11F0">
        <w:tc>
          <w:tcPr>
            <w:tcW w:w="10456" w:type="dxa"/>
            <w:gridSpan w:val="5"/>
            <w:shd w:val="clear" w:color="auto" w:fill="DBE5F1" w:themeFill="accent1" w:themeFillTint="33"/>
          </w:tcPr>
          <w:p w14:paraId="57B04C52" w14:textId="77777777" w:rsidR="00EB11F0" w:rsidRPr="00A61871" w:rsidRDefault="00EB11F0" w:rsidP="00EB11F0">
            <w:pPr>
              <w:pStyle w:val="ListParagraph"/>
              <w:spacing w:before="60"/>
              <w:ind w:left="0"/>
              <w:contextualSpacing w:val="0"/>
              <w:rPr>
                <w:b/>
                <w:sz w:val="16"/>
                <w:szCs w:val="16"/>
              </w:rPr>
            </w:pPr>
            <w:r w:rsidRPr="00A61871">
              <w:rPr>
                <w:b/>
                <w:sz w:val="20"/>
                <w:szCs w:val="16"/>
              </w:rPr>
              <w:t xml:space="preserve">Situation to-date, </w:t>
            </w:r>
            <w:r w:rsidRPr="00A61871">
              <w:rPr>
                <w:rFonts w:ascii="Calibri" w:eastAsia="Times New Roman" w:hAnsi="Calibri" w:cs="Arial"/>
                <w:b/>
                <w:sz w:val="20"/>
                <w:szCs w:val="20"/>
                <w:lang w:eastAsia="en-AU"/>
              </w:rPr>
              <w:t>31 August 2019</w:t>
            </w:r>
          </w:p>
        </w:tc>
      </w:tr>
      <w:tr w:rsidR="00EB11F0" w:rsidRPr="00A61871" w14:paraId="57B04C59" w14:textId="77777777" w:rsidTr="00EB11F0">
        <w:tc>
          <w:tcPr>
            <w:tcW w:w="3964" w:type="dxa"/>
            <w:shd w:val="clear" w:color="auto" w:fill="auto"/>
          </w:tcPr>
          <w:p w14:paraId="57B04C54" w14:textId="77777777" w:rsidR="00EB11F0" w:rsidRPr="00A61871" w:rsidRDefault="00EB11F0" w:rsidP="00EB11F0">
            <w:pPr>
              <w:pStyle w:val="ListParagraph"/>
              <w:spacing w:before="60"/>
              <w:ind w:left="0"/>
              <w:contextualSpacing w:val="0"/>
              <w:rPr>
                <w:sz w:val="20"/>
                <w:szCs w:val="16"/>
              </w:rPr>
            </w:pPr>
            <w:r w:rsidRPr="00A61871">
              <w:rPr>
                <w:sz w:val="20"/>
                <w:szCs w:val="16"/>
              </w:rPr>
              <w:t>Outbreak commencement month/year</w:t>
            </w:r>
          </w:p>
        </w:tc>
        <w:tc>
          <w:tcPr>
            <w:tcW w:w="1701" w:type="dxa"/>
            <w:shd w:val="clear" w:color="auto" w:fill="B8CCE4" w:themeFill="accent1" w:themeFillTint="66"/>
          </w:tcPr>
          <w:p w14:paraId="57B04C55"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January 2011</w:t>
            </w:r>
          </w:p>
        </w:tc>
        <w:tc>
          <w:tcPr>
            <w:tcW w:w="1560" w:type="dxa"/>
            <w:shd w:val="clear" w:color="auto" w:fill="B6DDE8" w:themeFill="accent5" w:themeFillTint="66"/>
          </w:tcPr>
          <w:p w14:paraId="57B04C56"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July 2013</w:t>
            </w:r>
          </w:p>
        </w:tc>
        <w:tc>
          <w:tcPr>
            <w:tcW w:w="1672" w:type="dxa"/>
            <w:shd w:val="clear" w:color="auto" w:fill="CCC0D9" w:themeFill="accent4" w:themeFillTint="66"/>
          </w:tcPr>
          <w:p w14:paraId="57B04C57"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June 2014</w:t>
            </w:r>
          </w:p>
        </w:tc>
        <w:tc>
          <w:tcPr>
            <w:tcW w:w="1559" w:type="dxa"/>
            <w:shd w:val="clear" w:color="auto" w:fill="FBD4B4" w:themeFill="accent6" w:themeFillTint="66"/>
          </w:tcPr>
          <w:p w14:paraId="57B04C58"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November 2016</w:t>
            </w:r>
          </w:p>
        </w:tc>
      </w:tr>
      <w:tr w:rsidR="00EB11F0" w:rsidRPr="00A61871" w14:paraId="57B04C5F" w14:textId="77777777" w:rsidTr="00EB11F0">
        <w:tc>
          <w:tcPr>
            <w:tcW w:w="3964" w:type="dxa"/>
            <w:shd w:val="clear" w:color="auto" w:fill="auto"/>
          </w:tcPr>
          <w:p w14:paraId="57B04C5A" w14:textId="77777777" w:rsidR="00EB11F0" w:rsidRPr="00A61871" w:rsidRDefault="00EB11F0" w:rsidP="00EB11F0">
            <w:pPr>
              <w:pStyle w:val="ListParagraph"/>
              <w:spacing w:before="60"/>
              <w:ind w:left="0"/>
              <w:contextualSpacing w:val="0"/>
              <w:rPr>
                <w:sz w:val="16"/>
                <w:szCs w:val="16"/>
              </w:rPr>
            </w:pPr>
            <w:r w:rsidRPr="00A61871">
              <w:rPr>
                <w:sz w:val="20"/>
                <w:szCs w:val="16"/>
              </w:rPr>
              <w:t>Aboriginal and Torres Strait Islander people</w:t>
            </w:r>
            <w:r w:rsidRPr="00A61871">
              <w:rPr>
                <w:rFonts w:ascii="Agency FB" w:hAnsi="Agency FB"/>
                <w:sz w:val="20"/>
                <w:szCs w:val="16"/>
                <w:vertAlign w:val="superscript"/>
              </w:rPr>
              <w:t>§</w:t>
            </w:r>
          </w:p>
        </w:tc>
        <w:tc>
          <w:tcPr>
            <w:tcW w:w="1701" w:type="dxa"/>
            <w:shd w:val="clear" w:color="auto" w:fill="B8CCE4" w:themeFill="accent1" w:themeFillTint="66"/>
          </w:tcPr>
          <w:p w14:paraId="57B04C5B"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13</w:t>
            </w:r>
          </w:p>
        </w:tc>
        <w:tc>
          <w:tcPr>
            <w:tcW w:w="1560" w:type="dxa"/>
            <w:shd w:val="clear" w:color="auto" w:fill="B6DDE8" w:themeFill="accent5" w:themeFillTint="66"/>
          </w:tcPr>
          <w:p w14:paraId="57B04C5C"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2</w:t>
            </w:r>
          </w:p>
        </w:tc>
        <w:tc>
          <w:tcPr>
            <w:tcW w:w="1672" w:type="dxa"/>
            <w:shd w:val="clear" w:color="auto" w:fill="CCC0D9" w:themeFill="accent4" w:themeFillTint="66"/>
            <w:vAlign w:val="center"/>
          </w:tcPr>
          <w:p w14:paraId="57B04C5D"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c>
          <w:tcPr>
            <w:tcW w:w="1559" w:type="dxa"/>
            <w:shd w:val="clear" w:color="auto" w:fill="FBD4B4" w:themeFill="accent6" w:themeFillTint="66"/>
          </w:tcPr>
          <w:p w14:paraId="57B04C5E"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r>
      <w:tr w:rsidR="00EB11F0" w:rsidRPr="00A61871" w14:paraId="57B04C65" w14:textId="77777777" w:rsidTr="00EB11F0">
        <w:tc>
          <w:tcPr>
            <w:tcW w:w="3964" w:type="dxa"/>
            <w:tcBorders>
              <w:bottom w:val="single" w:sz="4" w:space="0" w:color="auto"/>
            </w:tcBorders>
            <w:shd w:val="clear" w:color="auto" w:fill="auto"/>
          </w:tcPr>
          <w:p w14:paraId="57B04C60" w14:textId="77777777" w:rsidR="00EB11F0" w:rsidRPr="00A61871" w:rsidRDefault="00EB11F0" w:rsidP="00EB11F0">
            <w:pPr>
              <w:pStyle w:val="ListParagraph"/>
              <w:spacing w:before="60"/>
              <w:ind w:left="0"/>
              <w:contextualSpacing w:val="0"/>
              <w:rPr>
                <w:sz w:val="16"/>
                <w:szCs w:val="16"/>
              </w:rPr>
            </w:pPr>
            <w:r w:rsidRPr="00A61871">
              <w:rPr>
                <w:sz w:val="20"/>
                <w:szCs w:val="16"/>
              </w:rPr>
              <w:t>Non-Indigenous people</w:t>
            </w:r>
            <w:r w:rsidRPr="00A61871">
              <w:rPr>
                <w:sz w:val="20"/>
                <w:szCs w:val="16"/>
                <w:vertAlign w:val="superscript"/>
              </w:rPr>
              <w:t>µ</w:t>
            </w:r>
          </w:p>
        </w:tc>
        <w:tc>
          <w:tcPr>
            <w:tcW w:w="1701" w:type="dxa"/>
            <w:tcBorders>
              <w:bottom w:val="single" w:sz="4" w:space="0" w:color="auto"/>
            </w:tcBorders>
            <w:shd w:val="clear" w:color="auto" w:fill="B8CCE4" w:themeFill="accent1" w:themeFillTint="66"/>
          </w:tcPr>
          <w:p w14:paraId="57B04C61"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20</w:t>
            </w:r>
          </w:p>
        </w:tc>
        <w:tc>
          <w:tcPr>
            <w:tcW w:w="1560" w:type="dxa"/>
            <w:tcBorders>
              <w:bottom w:val="single" w:sz="4" w:space="0" w:color="auto"/>
            </w:tcBorders>
            <w:shd w:val="clear" w:color="auto" w:fill="B6DDE8" w:themeFill="accent5" w:themeFillTint="66"/>
          </w:tcPr>
          <w:p w14:paraId="57B04C62"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10</w:t>
            </w:r>
          </w:p>
        </w:tc>
        <w:tc>
          <w:tcPr>
            <w:tcW w:w="1672" w:type="dxa"/>
            <w:tcBorders>
              <w:bottom w:val="single" w:sz="4" w:space="0" w:color="auto"/>
            </w:tcBorders>
            <w:shd w:val="clear" w:color="auto" w:fill="CCC0D9" w:themeFill="accent4" w:themeFillTint="66"/>
            <w:vAlign w:val="center"/>
          </w:tcPr>
          <w:p w14:paraId="57B04C63"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c>
          <w:tcPr>
            <w:tcW w:w="1559" w:type="dxa"/>
            <w:tcBorders>
              <w:bottom w:val="single" w:sz="4" w:space="0" w:color="auto"/>
            </w:tcBorders>
            <w:shd w:val="clear" w:color="auto" w:fill="FBD4B4" w:themeFill="accent6" w:themeFillTint="66"/>
          </w:tcPr>
          <w:p w14:paraId="57B04C64"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2</w:t>
            </w:r>
          </w:p>
        </w:tc>
      </w:tr>
      <w:tr w:rsidR="00EB11F0" w:rsidRPr="00A61871" w14:paraId="57B04C67" w14:textId="77777777" w:rsidTr="00EB11F0">
        <w:tc>
          <w:tcPr>
            <w:tcW w:w="10456" w:type="dxa"/>
            <w:gridSpan w:val="5"/>
            <w:shd w:val="clear" w:color="auto" w:fill="DBE5F1" w:themeFill="accent1" w:themeFillTint="33"/>
            <w:vAlign w:val="center"/>
          </w:tcPr>
          <w:p w14:paraId="57B04C66" w14:textId="77777777" w:rsidR="00EB11F0" w:rsidRPr="00A61871" w:rsidRDefault="00EB11F0" w:rsidP="00EB11F0">
            <w:pPr>
              <w:pStyle w:val="ListParagraph"/>
              <w:spacing w:before="60"/>
              <w:ind w:left="0"/>
              <w:contextualSpacing w:val="0"/>
              <w:rPr>
                <w:b/>
                <w:sz w:val="20"/>
                <w:szCs w:val="16"/>
              </w:rPr>
            </w:pPr>
            <w:r w:rsidRPr="00A61871">
              <w:rPr>
                <w:b/>
                <w:sz w:val="20"/>
                <w:szCs w:val="16"/>
              </w:rPr>
              <w:t xml:space="preserve">Last reporting month, 1 </w:t>
            </w:r>
            <w:r w:rsidRPr="00A61871">
              <w:rPr>
                <w:rFonts w:ascii="Calibri" w:eastAsia="Times New Roman" w:hAnsi="Calibri" w:cs="Arial"/>
                <w:b/>
                <w:sz w:val="20"/>
                <w:szCs w:val="20"/>
                <w:lang w:eastAsia="en-AU"/>
              </w:rPr>
              <w:t>–</w:t>
            </w:r>
            <w:r w:rsidRPr="00A61871">
              <w:rPr>
                <w:b/>
                <w:sz w:val="20"/>
                <w:szCs w:val="16"/>
              </w:rPr>
              <w:t xml:space="preserve"> </w:t>
            </w:r>
            <w:r w:rsidRPr="00A61871">
              <w:rPr>
                <w:rFonts w:ascii="Calibri" w:eastAsia="Times New Roman" w:hAnsi="Calibri" w:cs="Arial"/>
                <w:b/>
                <w:sz w:val="20"/>
                <w:szCs w:val="20"/>
                <w:lang w:eastAsia="en-AU"/>
              </w:rPr>
              <w:t>31 August 2019</w:t>
            </w:r>
          </w:p>
        </w:tc>
      </w:tr>
      <w:tr w:rsidR="00EB11F0" w:rsidRPr="00A61871" w14:paraId="57B04C6D" w14:textId="77777777" w:rsidTr="00EB11F0">
        <w:trPr>
          <w:trHeight w:val="85"/>
        </w:trPr>
        <w:tc>
          <w:tcPr>
            <w:tcW w:w="3964" w:type="dxa"/>
            <w:shd w:val="clear" w:color="auto" w:fill="auto"/>
          </w:tcPr>
          <w:p w14:paraId="57B04C68" w14:textId="77777777" w:rsidR="00EB11F0" w:rsidRPr="00A61871" w:rsidRDefault="00EB11F0" w:rsidP="00EB11F0">
            <w:pPr>
              <w:pStyle w:val="ListParagraph"/>
              <w:spacing w:before="60"/>
              <w:ind w:left="0"/>
              <w:contextualSpacing w:val="0"/>
              <w:rPr>
                <w:sz w:val="16"/>
                <w:szCs w:val="16"/>
              </w:rPr>
            </w:pPr>
            <w:r w:rsidRPr="00A61871">
              <w:rPr>
                <w:sz w:val="20"/>
                <w:szCs w:val="16"/>
              </w:rPr>
              <w:t>Aboriginal and Torres Strait Islander people</w:t>
            </w:r>
            <w:r w:rsidRPr="00A61871">
              <w:rPr>
                <w:rFonts w:ascii="Agency FB" w:hAnsi="Agency FB"/>
                <w:sz w:val="20"/>
                <w:szCs w:val="16"/>
                <w:vertAlign w:val="superscript"/>
              </w:rPr>
              <w:t>§</w:t>
            </w:r>
          </w:p>
        </w:tc>
        <w:tc>
          <w:tcPr>
            <w:tcW w:w="1701" w:type="dxa"/>
            <w:shd w:val="clear" w:color="auto" w:fill="B8CCE4" w:themeFill="accent1" w:themeFillTint="66"/>
          </w:tcPr>
          <w:p w14:paraId="57B04C69"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c>
          <w:tcPr>
            <w:tcW w:w="1560" w:type="dxa"/>
            <w:shd w:val="clear" w:color="auto" w:fill="B6DDE8" w:themeFill="accent5" w:themeFillTint="66"/>
          </w:tcPr>
          <w:p w14:paraId="57B04C6A"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c>
          <w:tcPr>
            <w:tcW w:w="1672" w:type="dxa"/>
            <w:shd w:val="clear" w:color="auto" w:fill="CCC0D9" w:themeFill="accent4" w:themeFillTint="66"/>
            <w:vAlign w:val="center"/>
          </w:tcPr>
          <w:p w14:paraId="57B04C6B"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c>
          <w:tcPr>
            <w:tcW w:w="1559" w:type="dxa"/>
            <w:shd w:val="clear" w:color="auto" w:fill="FBD4B4" w:themeFill="accent6" w:themeFillTint="66"/>
          </w:tcPr>
          <w:p w14:paraId="57B04C6C"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r>
      <w:tr w:rsidR="00EB11F0" w:rsidRPr="00F03247" w14:paraId="57B04C73" w14:textId="77777777" w:rsidTr="00EB11F0">
        <w:tc>
          <w:tcPr>
            <w:tcW w:w="3964" w:type="dxa"/>
            <w:shd w:val="clear" w:color="auto" w:fill="auto"/>
          </w:tcPr>
          <w:p w14:paraId="57B04C6E" w14:textId="77777777" w:rsidR="00EB11F0" w:rsidRPr="00A61871" w:rsidRDefault="00EB11F0" w:rsidP="00EB11F0">
            <w:pPr>
              <w:pStyle w:val="ListParagraph"/>
              <w:spacing w:before="60"/>
              <w:ind w:left="0"/>
              <w:contextualSpacing w:val="0"/>
              <w:rPr>
                <w:sz w:val="16"/>
                <w:szCs w:val="16"/>
              </w:rPr>
            </w:pPr>
            <w:r w:rsidRPr="00A61871">
              <w:rPr>
                <w:sz w:val="20"/>
                <w:szCs w:val="16"/>
              </w:rPr>
              <w:t>Non-Indigenous people</w:t>
            </w:r>
            <w:r w:rsidRPr="00A61871">
              <w:rPr>
                <w:sz w:val="20"/>
                <w:szCs w:val="16"/>
                <w:vertAlign w:val="superscript"/>
              </w:rPr>
              <w:t>µ</w:t>
            </w:r>
          </w:p>
        </w:tc>
        <w:tc>
          <w:tcPr>
            <w:tcW w:w="1701" w:type="dxa"/>
            <w:shd w:val="clear" w:color="auto" w:fill="B8CCE4" w:themeFill="accent1" w:themeFillTint="66"/>
          </w:tcPr>
          <w:p w14:paraId="57B04C6F" w14:textId="77777777" w:rsidR="00EB11F0" w:rsidRPr="00A61871" w:rsidRDefault="00EB11F0" w:rsidP="00EB11F0">
            <w:pPr>
              <w:pStyle w:val="ListParagraph"/>
              <w:spacing w:before="60"/>
              <w:ind w:left="0"/>
              <w:contextualSpacing w:val="0"/>
              <w:jc w:val="center"/>
              <w:rPr>
                <w:sz w:val="20"/>
                <w:szCs w:val="16"/>
              </w:rPr>
            </w:pPr>
            <w:r w:rsidRPr="00A61871">
              <w:rPr>
                <w:sz w:val="20"/>
                <w:szCs w:val="16"/>
              </w:rPr>
              <w:t>-</w:t>
            </w:r>
          </w:p>
        </w:tc>
        <w:tc>
          <w:tcPr>
            <w:tcW w:w="1560" w:type="dxa"/>
            <w:shd w:val="clear" w:color="auto" w:fill="B6DDE8" w:themeFill="accent5" w:themeFillTint="66"/>
          </w:tcPr>
          <w:p w14:paraId="57B04C70" w14:textId="77777777" w:rsidR="00EB11F0" w:rsidRPr="00A61871" w:rsidRDefault="00EB11F0" w:rsidP="00EB11F0">
            <w:pPr>
              <w:pStyle w:val="ListParagraph"/>
              <w:spacing w:before="60"/>
              <w:ind w:left="0"/>
              <w:contextualSpacing w:val="0"/>
              <w:jc w:val="center"/>
              <w:rPr>
                <w:sz w:val="20"/>
                <w:szCs w:val="16"/>
              </w:rPr>
            </w:pPr>
            <w:r>
              <w:rPr>
                <w:sz w:val="20"/>
                <w:szCs w:val="16"/>
              </w:rPr>
              <w:t>-</w:t>
            </w:r>
          </w:p>
        </w:tc>
        <w:tc>
          <w:tcPr>
            <w:tcW w:w="1672" w:type="dxa"/>
            <w:shd w:val="clear" w:color="auto" w:fill="CCC0D9" w:themeFill="accent4" w:themeFillTint="66"/>
            <w:vAlign w:val="center"/>
          </w:tcPr>
          <w:p w14:paraId="57B04C71" w14:textId="77777777" w:rsidR="00EB11F0" w:rsidRPr="00A61871" w:rsidRDefault="00EB11F0" w:rsidP="00EB11F0">
            <w:pPr>
              <w:pStyle w:val="ListParagraph"/>
              <w:spacing w:before="60"/>
              <w:ind w:left="0"/>
              <w:contextualSpacing w:val="0"/>
              <w:jc w:val="center"/>
              <w:rPr>
                <w:b/>
                <w:sz w:val="16"/>
                <w:szCs w:val="16"/>
              </w:rPr>
            </w:pPr>
            <w:r w:rsidRPr="00A61871">
              <w:rPr>
                <w:b/>
                <w:sz w:val="16"/>
                <w:szCs w:val="16"/>
              </w:rPr>
              <w:t>-</w:t>
            </w:r>
          </w:p>
        </w:tc>
        <w:tc>
          <w:tcPr>
            <w:tcW w:w="1559" w:type="dxa"/>
            <w:shd w:val="clear" w:color="auto" w:fill="FBD4B4" w:themeFill="accent6" w:themeFillTint="66"/>
          </w:tcPr>
          <w:p w14:paraId="57B04C72" w14:textId="77777777" w:rsidR="00EB11F0" w:rsidRPr="00A94758" w:rsidRDefault="00EB11F0" w:rsidP="00EB11F0">
            <w:pPr>
              <w:pStyle w:val="ListParagraph"/>
              <w:spacing w:before="60"/>
              <w:ind w:left="0"/>
              <w:contextualSpacing w:val="0"/>
              <w:jc w:val="center"/>
              <w:rPr>
                <w:sz w:val="20"/>
                <w:szCs w:val="16"/>
              </w:rPr>
            </w:pPr>
            <w:r w:rsidRPr="00A61871">
              <w:rPr>
                <w:sz w:val="20"/>
                <w:szCs w:val="16"/>
              </w:rPr>
              <w:t>-</w:t>
            </w:r>
          </w:p>
        </w:tc>
      </w:tr>
    </w:tbl>
    <w:p w14:paraId="57B04C74" w14:textId="77777777" w:rsidR="00EB11F0" w:rsidRPr="00F03247" w:rsidRDefault="00EB11F0" w:rsidP="00EB11F0">
      <w:pPr>
        <w:pStyle w:val="ListParagraph"/>
        <w:spacing w:before="60" w:after="0" w:line="240" w:lineRule="auto"/>
        <w:ind w:left="-567"/>
        <w:contextualSpacing w:val="0"/>
        <w:rPr>
          <w:b/>
          <w:sz w:val="16"/>
          <w:szCs w:val="16"/>
        </w:rPr>
      </w:pPr>
    </w:p>
    <w:p w14:paraId="57B04C75" w14:textId="77777777" w:rsidR="00EB11F0" w:rsidRPr="00F03247" w:rsidRDefault="00EB11F0" w:rsidP="00EB11F0">
      <w:pPr>
        <w:pStyle w:val="ListParagraph"/>
        <w:spacing w:before="60" w:after="0" w:line="240" w:lineRule="auto"/>
        <w:ind w:left="-709"/>
        <w:contextualSpacing w:val="0"/>
        <w:jc w:val="both"/>
        <w:rPr>
          <w:b/>
          <w:sz w:val="16"/>
          <w:szCs w:val="16"/>
        </w:rPr>
      </w:pPr>
      <w:r w:rsidRPr="00F03247">
        <w:rPr>
          <w:b/>
          <w:sz w:val="16"/>
          <w:szCs w:val="16"/>
        </w:rPr>
        <w:t>Notes:</w:t>
      </w:r>
    </w:p>
    <w:p w14:paraId="57B04C76" w14:textId="77777777" w:rsidR="00EB11F0" w:rsidRPr="00F03247" w:rsidRDefault="00EB11F0" w:rsidP="00EB11F0">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C77" w14:textId="77777777" w:rsidR="00EB11F0" w:rsidRPr="00F03247" w:rsidRDefault="00EB11F0" w:rsidP="00EB11F0">
      <w:pPr>
        <w:pStyle w:val="ListParagraph"/>
        <w:spacing w:after="0" w:line="240" w:lineRule="auto"/>
        <w:ind w:left="-567" w:right="119"/>
        <w:contextualSpacing w:val="0"/>
        <w:rPr>
          <w:sz w:val="16"/>
          <w:szCs w:val="16"/>
        </w:rPr>
      </w:pPr>
      <w:proofErr w:type="gramStart"/>
      <w:r w:rsidRPr="00F03247">
        <w:rPr>
          <w:b/>
          <w:sz w:val="16"/>
          <w:szCs w:val="16"/>
          <w:vertAlign w:val="superscript"/>
        </w:rPr>
        <w:t>α</w:t>
      </w:r>
      <w:proofErr w:type="gramEnd"/>
      <w:r w:rsidRPr="00F03247">
        <w:rPr>
          <w:sz w:val="16"/>
          <w:szCs w:val="16"/>
        </w:rPr>
        <w:t xml:space="preserve"> Cases defined as per the MJSO syphilis outbreak case definition: </w:t>
      </w:r>
    </w:p>
    <w:p w14:paraId="57B04C78" w14:textId="77777777" w:rsidR="00EB11F0" w:rsidRPr="00F03247" w:rsidRDefault="00EB11F0" w:rsidP="00EB11F0">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and Health Service area (from 1 December 2012); Cairns and Hinterland Hospital and Health Service area(from1 August 2013); Townsville Hospital and Health Service area (from 1 January 2014); </w:t>
      </w:r>
      <w:r w:rsidRPr="00F03247">
        <w:rPr>
          <w:b/>
          <w:i/>
          <w:sz w:val="16"/>
          <w:szCs w:val="16"/>
        </w:rPr>
        <w:t>NT</w:t>
      </w:r>
      <w:r w:rsidRPr="00F03247">
        <w:rPr>
          <w:sz w:val="16"/>
          <w:szCs w:val="16"/>
        </w:rPr>
        <w:t xml:space="preserve"> - Alice Springs Rural and Urban or Barkly district (from 1 July 2013); Katherine district (from 1 May 2014); East Arnhem district (from 1 November 2015); Darwin Rural and Urban (from 1 January 2017); </w:t>
      </w:r>
      <w:r w:rsidRPr="00F03247">
        <w:rPr>
          <w:b/>
          <w:i/>
          <w:sz w:val="16"/>
          <w:szCs w:val="16"/>
        </w:rPr>
        <w:t>WA</w:t>
      </w:r>
      <w:r w:rsidRPr="00F03247">
        <w:rPr>
          <w:sz w:val="16"/>
          <w:szCs w:val="16"/>
        </w:rPr>
        <w:t xml:space="preserve"> - Kimberley region (from 1 June 2014); Pilbara region (from 1 February 2018); Goldfields region (from 1 January 2019); </w:t>
      </w:r>
      <w:r w:rsidRPr="00F03247">
        <w:rPr>
          <w:b/>
          <w:i/>
          <w:sz w:val="16"/>
          <w:szCs w:val="16"/>
        </w:rPr>
        <w:t>SA</w:t>
      </w:r>
      <w:r w:rsidRPr="00F03247">
        <w:rPr>
          <w:b/>
          <w:sz w:val="16"/>
          <w:szCs w:val="16"/>
        </w:rPr>
        <w:t xml:space="preserve"> </w:t>
      </w:r>
      <w:r w:rsidRPr="00F03247">
        <w:rPr>
          <w:sz w:val="16"/>
          <w:szCs w:val="16"/>
        </w:rPr>
        <w:t xml:space="preserve"> - Far North and Western and Eyre regions (from 15 November 2016); Adelaide (from 1 February 2018) (category 1 outbreak cases) </w:t>
      </w:r>
      <w:r w:rsidRPr="00F03247">
        <w:rPr>
          <w:b/>
          <w:sz w:val="16"/>
          <w:szCs w:val="16"/>
        </w:rPr>
        <w:t>OR</w:t>
      </w:r>
      <w:r w:rsidRPr="00F03247">
        <w:rPr>
          <w:sz w:val="16"/>
          <w:szCs w:val="16"/>
        </w:rPr>
        <w:t xml:space="preserve">,  is a sexual contact of a confirmed outbreak case (category 2 outbreak cases). </w:t>
      </w:r>
    </w:p>
    <w:p w14:paraId="57B04C79" w14:textId="77777777" w:rsidR="00EB11F0" w:rsidRPr="00F03247" w:rsidRDefault="00EB11F0" w:rsidP="00EB11F0">
      <w:pPr>
        <w:spacing w:after="0" w:line="240" w:lineRule="auto"/>
        <w:ind w:left="-426" w:right="119" w:hanging="141"/>
        <w:rPr>
          <w:sz w:val="16"/>
          <w:szCs w:val="16"/>
        </w:rPr>
      </w:pPr>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Pilbara and Goldfield regions in Western Australia, and; Far North, Western and Eyre and Adelaide regions in South Australia.</w:t>
      </w:r>
    </w:p>
    <w:p w14:paraId="57B04C7A" w14:textId="77777777" w:rsidR="00EB11F0" w:rsidRPr="00F03247" w:rsidRDefault="00EB11F0" w:rsidP="00EB11F0">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C7B" w14:textId="77777777" w:rsidR="00EB11F0" w:rsidRPr="00F03247" w:rsidRDefault="00EB11F0" w:rsidP="00EB11F0">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Aboriginal and Torres Strait Islander people who are sexual contacts of a confirmed outbreak case and reside outside an outbreak declared region at the time of diagnosis.</w:t>
      </w:r>
    </w:p>
    <w:p w14:paraId="57B04C7C" w14:textId="77777777" w:rsidR="00EB11F0" w:rsidRPr="00F03247" w:rsidRDefault="00EB11F0" w:rsidP="00EB11F0">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Non-Indigenous people who are sexual contacts of a confirmed outbreak case and reside in or out of an outbreak declared region at the time of diagnosis.</w:t>
      </w:r>
    </w:p>
    <w:p w14:paraId="57B04C7D" w14:textId="77777777" w:rsidR="00EB11F0" w:rsidRPr="00216285" w:rsidRDefault="00EB11F0" w:rsidP="00EB11F0">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proofErr w:type="gramStart"/>
      <w:r w:rsidRPr="00F03247">
        <w:rPr>
          <w:sz w:val="16"/>
          <w:szCs w:val="16"/>
          <w:u w:val="single"/>
        </w:rPr>
        <w:t>Please</w:t>
      </w:r>
      <w:proofErr w:type="gramEnd"/>
      <w:r w:rsidRPr="00F03247">
        <w:rPr>
          <w:sz w:val="16"/>
          <w:szCs w:val="16"/>
          <w:u w:val="single"/>
        </w:rPr>
        <w:t xml:space="preserv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p w14:paraId="57B04C7E" w14:textId="77777777" w:rsidR="00580C89" w:rsidRDefault="00580C89">
      <w:pPr>
        <w:rPr>
          <w:rFonts w:ascii="Arial" w:hAnsi="Arial" w:cs="Arial"/>
          <w:b/>
          <w:sz w:val="28"/>
          <w:szCs w:val="24"/>
        </w:rPr>
      </w:pPr>
      <w:r>
        <w:rPr>
          <w:rFonts w:ascii="Arial" w:hAnsi="Arial" w:cs="Arial"/>
          <w:b/>
          <w:sz w:val="28"/>
          <w:szCs w:val="24"/>
        </w:rPr>
        <w:br w:type="page"/>
      </w:r>
    </w:p>
    <w:p w14:paraId="57B04C7F" w14:textId="77777777" w:rsidR="00EB11F0" w:rsidRPr="00F03247" w:rsidRDefault="00EB11F0" w:rsidP="00EB11F0">
      <w:pPr>
        <w:spacing w:after="0" w:line="240" w:lineRule="auto"/>
        <w:ind w:left="-567" w:right="261"/>
        <w:jc w:val="center"/>
        <w:rPr>
          <w:rFonts w:ascii="Arial" w:hAnsi="Arial" w:cs="Arial"/>
          <w:b/>
          <w:sz w:val="28"/>
          <w:szCs w:val="24"/>
        </w:rPr>
      </w:pPr>
      <w:r w:rsidRPr="00F03247">
        <w:rPr>
          <w:rFonts w:ascii="Arial" w:hAnsi="Arial" w:cs="Arial"/>
          <w:b/>
          <w:sz w:val="28"/>
          <w:szCs w:val="24"/>
        </w:rPr>
        <w:lastRenderedPageBreak/>
        <w:t xml:space="preserve">MULTIJURISDICTIONAL SYPHILIS OUTBREAK </w:t>
      </w:r>
      <w:r w:rsidRPr="00F03247">
        <w:rPr>
          <w:rFonts w:ascii="Arial" w:hAnsi="Arial" w:cs="Arial"/>
          <w:b/>
          <w:sz w:val="28"/>
          <w:szCs w:val="24"/>
        </w:rPr>
        <w:br/>
        <w:t xml:space="preserve">SURVEILLANCE REPORT: </w:t>
      </w:r>
      <w:r>
        <w:rPr>
          <w:rFonts w:ascii="Arial" w:hAnsi="Arial" w:cs="Arial"/>
          <w:b/>
          <w:sz w:val="28"/>
          <w:szCs w:val="24"/>
        </w:rPr>
        <w:t>OCTOBER</w:t>
      </w:r>
      <w:r w:rsidRPr="00F03247">
        <w:rPr>
          <w:rFonts w:ascii="Arial" w:hAnsi="Arial" w:cs="Arial"/>
          <w:b/>
          <w:sz w:val="28"/>
          <w:szCs w:val="24"/>
        </w:rPr>
        <w:t xml:space="preserve"> 2019</w:t>
      </w:r>
    </w:p>
    <w:p w14:paraId="57B04C80" w14:textId="77777777" w:rsidR="00EB11F0" w:rsidRPr="00F03247" w:rsidRDefault="00EB11F0" w:rsidP="00EB11F0">
      <w:pPr>
        <w:spacing w:after="0" w:line="120" w:lineRule="auto"/>
        <w:ind w:left="-567" w:right="-612"/>
        <w:jc w:val="center"/>
        <w:rPr>
          <w:rFonts w:ascii="Arial" w:hAnsi="Arial" w:cs="Arial"/>
          <w:b/>
          <w:sz w:val="24"/>
          <w:szCs w:val="24"/>
        </w:rPr>
      </w:pPr>
    </w:p>
    <w:p w14:paraId="57B04C81" w14:textId="77777777" w:rsidR="00EB11F0" w:rsidRPr="00F03247" w:rsidRDefault="00EB11F0" w:rsidP="00EB11F0">
      <w:pPr>
        <w:spacing w:after="0" w:line="240" w:lineRule="auto"/>
        <w:ind w:left="-567" w:right="119"/>
        <w:jc w:val="center"/>
        <w:rPr>
          <w:rFonts w:ascii="Arial" w:hAnsi="Arial" w:cs="Arial"/>
          <w:b/>
          <w:sz w:val="24"/>
          <w:szCs w:val="24"/>
        </w:rPr>
      </w:pPr>
      <w:r w:rsidRPr="00F03247">
        <w:rPr>
          <w:rFonts w:ascii="Arial" w:hAnsi="Arial" w:cs="Arial"/>
          <w:b/>
          <w:sz w:val="24"/>
          <w:szCs w:val="24"/>
        </w:rPr>
        <w:t>This surveillance report has been authorised by Health Departments in outbreak affected jurisdictions and the Office of Health Protection.</w:t>
      </w:r>
    </w:p>
    <w:p w14:paraId="57B04C82" w14:textId="77777777" w:rsidR="00EB11F0" w:rsidRPr="00F03247" w:rsidRDefault="00EB11F0" w:rsidP="00EB11F0">
      <w:pPr>
        <w:spacing w:after="0" w:line="240" w:lineRule="auto"/>
        <w:ind w:right="-613"/>
        <w:rPr>
          <w:rFonts w:ascii="Arial" w:hAnsi="Arial" w:cs="Arial"/>
          <w:sz w:val="20"/>
          <w:szCs w:val="20"/>
        </w:rPr>
      </w:pPr>
    </w:p>
    <w:p w14:paraId="57B04C83" w14:textId="77777777" w:rsidR="00EB11F0" w:rsidRPr="00F06C90" w:rsidRDefault="00EB11F0" w:rsidP="00EB11F0">
      <w:pPr>
        <w:pStyle w:val="PlainText"/>
        <w:ind w:left="-709" w:right="-23"/>
        <w:jc w:val="both"/>
        <w:rPr>
          <w:color w:val="000000" w:themeColor="text1"/>
        </w:rPr>
      </w:pPr>
      <w:r w:rsidRPr="00F06C90">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w:t>
      </w:r>
      <w:r w:rsidRPr="003C2791">
        <w:rPr>
          <w:color w:val="000000" w:themeColor="text1"/>
        </w:rPr>
        <w:t>19. In September 2019, Qu</w:t>
      </w:r>
      <w:r>
        <w:rPr>
          <w:color w:val="000000" w:themeColor="text1"/>
        </w:rPr>
        <w:t>eensland declared the outbreak had spread to Central Queensland with the first notification in this region reported in June 2017.</w:t>
      </w:r>
    </w:p>
    <w:p w14:paraId="57B04C84" w14:textId="77777777" w:rsidR="00EB11F0" w:rsidRPr="00F06C90" w:rsidRDefault="00EB11F0" w:rsidP="00EB11F0">
      <w:pPr>
        <w:pStyle w:val="PlainText"/>
        <w:ind w:left="-709" w:right="-23"/>
        <w:rPr>
          <w:color w:val="000000" w:themeColor="text1"/>
        </w:rPr>
      </w:pPr>
    </w:p>
    <w:p w14:paraId="57B04C85" w14:textId="77777777" w:rsidR="00EB11F0" w:rsidRPr="00F06C90" w:rsidRDefault="00EB11F0" w:rsidP="00EB11F0">
      <w:pPr>
        <w:pStyle w:val="PlainText"/>
        <w:ind w:left="-709" w:right="-23"/>
        <w:rPr>
          <w:color w:val="000000" w:themeColor="text1"/>
        </w:rPr>
      </w:pPr>
      <w:r w:rsidRPr="00F06C90">
        <w:rPr>
          <w:color w:val="000000" w:themeColor="text1"/>
        </w:rPr>
        <w:t xml:space="preserve">This surveillance report summarises the outbreak </w:t>
      </w:r>
      <w:r>
        <w:rPr>
          <w:color w:val="000000" w:themeColor="text1"/>
        </w:rPr>
        <w:t>epidemiological data as of</w:t>
      </w:r>
      <w:r w:rsidRPr="00F06C90">
        <w:rPr>
          <w:color w:val="000000" w:themeColor="text1"/>
        </w:rPr>
        <w:t xml:space="preserve"> </w:t>
      </w:r>
      <w:r>
        <w:rPr>
          <w:color w:val="000000" w:themeColor="text1"/>
        </w:rPr>
        <w:t xml:space="preserve">30 September </w:t>
      </w:r>
      <w:r w:rsidRPr="00F06C90">
        <w:rPr>
          <w:color w:val="000000" w:themeColor="text1"/>
        </w:rPr>
        <w:t>2019 (current status).</w:t>
      </w:r>
    </w:p>
    <w:p w14:paraId="57B04C86" w14:textId="77777777" w:rsidR="00EB11F0" w:rsidRPr="00F06C90" w:rsidRDefault="00EB11F0" w:rsidP="00EB11F0">
      <w:pPr>
        <w:pStyle w:val="PlainText"/>
        <w:ind w:left="-709" w:right="-23"/>
        <w:rPr>
          <w:color w:val="000000" w:themeColor="text1"/>
        </w:rPr>
      </w:pPr>
    </w:p>
    <w:p w14:paraId="57B04C87" w14:textId="77777777" w:rsidR="00EB11F0" w:rsidRPr="00F06C90" w:rsidRDefault="00EB11F0" w:rsidP="00EB11F0">
      <w:pPr>
        <w:pStyle w:val="PlainText"/>
        <w:ind w:left="-709" w:right="-23"/>
        <w:rPr>
          <w:color w:val="000000" w:themeColor="text1"/>
        </w:rPr>
      </w:pPr>
      <w:r w:rsidRPr="00F06C90">
        <w:rPr>
          <w:b/>
          <w:color w:val="000000" w:themeColor="text1"/>
        </w:rPr>
        <w:t>Please note:</w:t>
      </w:r>
      <w:r w:rsidRPr="00F06C90">
        <w:rPr>
          <w:color w:val="000000" w:themeColor="text1"/>
        </w:rPr>
        <w:t xml:space="preserve"> the MJSO Surveillance Report was formerly known as the MJSO Communique. Historical epidemiological data and MJSO activities are published in earlier MJSO Communiques available at </w:t>
      </w:r>
      <w:r w:rsidRPr="00F06C90">
        <w:rPr>
          <w:i/>
          <w:szCs w:val="20"/>
        </w:rPr>
        <w:t xml:space="preserve">http://www.health.gov.au/internet/main/publishing.nsf/Content/ohp-infectious-syphilis-outbreak.htm </w:t>
      </w:r>
    </w:p>
    <w:p w14:paraId="57B04C88" w14:textId="77777777" w:rsidR="00EB11F0" w:rsidRPr="00F06C90" w:rsidRDefault="00EB11F0" w:rsidP="00EB11F0">
      <w:pPr>
        <w:pStyle w:val="PlainText"/>
        <w:ind w:left="-709" w:right="-23"/>
      </w:pPr>
    </w:p>
    <w:p w14:paraId="57B04C89" w14:textId="77777777" w:rsidR="00EB11F0" w:rsidRPr="00F06C90" w:rsidRDefault="00EB11F0" w:rsidP="00EB11F0">
      <w:pPr>
        <w:spacing w:after="0" w:line="240" w:lineRule="auto"/>
        <w:ind w:left="-709" w:right="-23"/>
        <w:jc w:val="both"/>
        <w:rPr>
          <w:rFonts w:ascii="Arial" w:hAnsi="Arial" w:cs="Arial"/>
          <w:b/>
        </w:rPr>
      </w:pPr>
      <w:r w:rsidRPr="00F06C90">
        <w:rPr>
          <w:rFonts w:ascii="Arial" w:hAnsi="Arial" w:cs="Arial"/>
          <w:b/>
        </w:rPr>
        <w:t>Current status</w:t>
      </w:r>
    </w:p>
    <w:p w14:paraId="57B04C8A" w14:textId="77777777" w:rsidR="00EB11F0" w:rsidRPr="00F06C90"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Pr="00F06C90">
        <w:rPr>
          <w:rFonts w:ascii="Arial" w:hAnsi="Arial" w:cs="Arial"/>
          <w:color w:val="000000" w:themeColor="text1"/>
          <w:sz w:val="20"/>
          <w:szCs w:val="20"/>
        </w:rPr>
        <w:t>3</w:t>
      </w:r>
      <w:r>
        <w:rPr>
          <w:rFonts w:ascii="Arial" w:hAnsi="Arial" w:cs="Arial"/>
          <w:color w:val="000000" w:themeColor="text1"/>
          <w:sz w:val="20"/>
          <w:szCs w:val="20"/>
        </w:rPr>
        <w:t xml:space="preserve">0 September </w:t>
      </w:r>
      <w:r w:rsidRPr="00F06C90">
        <w:rPr>
          <w:rFonts w:ascii="Arial" w:hAnsi="Arial" w:cs="Arial"/>
          <w:color w:val="000000" w:themeColor="text1"/>
          <w:sz w:val="20"/>
          <w:szCs w:val="20"/>
        </w:rPr>
        <w:t>2019</w:t>
      </w:r>
      <w:r w:rsidRPr="00F06C90">
        <w:rPr>
          <w:rFonts w:ascii="Arial" w:hAnsi="Arial" w:cs="Arial"/>
          <w:sz w:val="20"/>
          <w:szCs w:val="20"/>
          <w:vertAlign w:val="superscript"/>
        </w:rPr>
        <w:t>ȶ</w:t>
      </w:r>
      <w:r w:rsidRPr="00F06C90">
        <w:rPr>
          <w:rFonts w:ascii="Arial" w:hAnsi="Arial" w:cs="Arial"/>
          <w:sz w:val="20"/>
          <w:szCs w:val="20"/>
        </w:rPr>
        <w:t xml:space="preserve"> are summarised in Figure 1, Table 1 and Table 2 below.</w:t>
      </w:r>
    </w:p>
    <w:p w14:paraId="57B04C8B" w14:textId="77777777" w:rsidR="00EB11F0" w:rsidRPr="00F06C90" w:rsidRDefault="00EB11F0" w:rsidP="00EB11F0">
      <w:pPr>
        <w:spacing w:after="0" w:line="240" w:lineRule="auto"/>
        <w:ind w:left="-709" w:right="-23"/>
        <w:jc w:val="both"/>
        <w:rPr>
          <w:rFonts w:ascii="Arial" w:hAnsi="Arial" w:cs="Arial"/>
          <w:sz w:val="20"/>
          <w:szCs w:val="20"/>
        </w:rPr>
      </w:pPr>
    </w:p>
    <w:p w14:paraId="57B04C8C" w14:textId="77777777" w:rsidR="00EB11F0" w:rsidRPr="00FE129B"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Outbreak cases are reported as either category 1 or category 2: category 1 cases include Aboriginal and Torres Strait Islander people residing in an outbreak declared region</w:t>
      </w:r>
      <w:r w:rsidRPr="00F06C90">
        <w:rPr>
          <w:rFonts w:ascii="Arial" w:hAnsi="Arial" w:cs="Arial"/>
          <w:sz w:val="20"/>
          <w:szCs w:val="20"/>
          <w:vertAlign w:val="superscript"/>
        </w:rPr>
        <w:t>β</w:t>
      </w:r>
      <w:r w:rsidRPr="00F06C90">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w:t>
      </w:r>
      <w:r w:rsidRPr="00FE129B">
        <w:rPr>
          <w:rFonts w:ascii="Arial" w:hAnsi="Arial" w:cs="Arial"/>
          <w:sz w:val="20"/>
          <w:szCs w:val="20"/>
        </w:rPr>
        <w:t xml:space="preserve">outbreak area at the time of diagnosis and non-Indigenous people regardless of where they reside. </w:t>
      </w:r>
    </w:p>
    <w:p w14:paraId="57B04C8D" w14:textId="77777777" w:rsidR="00EB11F0" w:rsidRPr="00FE129B" w:rsidRDefault="00EB11F0" w:rsidP="00EB11F0">
      <w:pPr>
        <w:spacing w:after="0" w:line="240" w:lineRule="auto"/>
        <w:ind w:left="-709" w:right="-23"/>
        <w:jc w:val="both"/>
        <w:rPr>
          <w:rFonts w:ascii="Arial" w:hAnsi="Arial" w:cs="Arial"/>
          <w:sz w:val="20"/>
          <w:szCs w:val="20"/>
        </w:rPr>
      </w:pPr>
    </w:p>
    <w:p w14:paraId="57B04C8E" w14:textId="77777777" w:rsidR="00EB11F0" w:rsidRPr="00432525" w:rsidRDefault="00EB11F0" w:rsidP="00EB11F0">
      <w:pPr>
        <w:spacing w:after="0" w:line="240" w:lineRule="auto"/>
        <w:ind w:left="-709" w:right="-23"/>
        <w:jc w:val="both"/>
        <w:rPr>
          <w:rFonts w:ascii="Arial" w:hAnsi="Arial" w:cs="Arial"/>
          <w:sz w:val="20"/>
          <w:szCs w:val="20"/>
        </w:rPr>
      </w:pPr>
      <w:r w:rsidRPr="00432525">
        <w:rPr>
          <w:rFonts w:ascii="Arial" w:hAnsi="Arial" w:cs="Arial"/>
          <w:sz w:val="20"/>
          <w:szCs w:val="20"/>
        </w:rPr>
        <w:t xml:space="preserve">Between 1 – </w:t>
      </w:r>
      <w:r w:rsidRPr="00432525">
        <w:rPr>
          <w:rFonts w:ascii="Arial" w:hAnsi="Arial" w:cs="Arial"/>
          <w:color w:val="000000" w:themeColor="text1"/>
          <w:sz w:val="20"/>
          <w:szCs w:val="20"/>
        </w:rPr>
        <w:t>30 September 2019</w:t>
      </w:r>
      <w:r w:rsidRPr="00432525">
        <w:rPr>
          <w:rFonts w:ascii="Arial" w:hAnsi="Arial" w:cs="Arial"/>
          <w:sz w:val="20"/>
          <w:szCs w:val="20"/>
          <w:vertAlign w:val="superscript"/>
        </w:rPr>
        <w:t>ȶ</w:t>
      </w:r>
      <w:r w:rsidRPr="00432525">
        <w:rPr>
          <w:rFonts w:ascii="Arial" w:hAnsi="Arial" w:cs="Arial"/>
          <w:sz w:val="20"/>
          <w:szCs w:val="20"/>
        </w:rPr>
        <w:t xml:space="preserve">, there were 67 outbreak cases (category 1 and 2 cases) reported from the four outbreak affected jurisdictions: 20 in Queensland; 32 in the Northern Territory; 12 in Western Australia and; </w:t>
      </w:r>
      <w:proofErr w:type="gramStart"/>
      <w:r w:rsidRPr="00432525">
        <w:rPr>
          <w:rFonts w:ascii="Arial" w:hAnsi="Arial" w:cs="Arial"/>
          <w:sz w:val="20"/>
          <w:szCs w:val="20"/>
        </w:rPr>
        <w:t>3</w:t>
      </w:r>
      <w:proofErr w:type="gramEnd"/>
      <w:r w:rsidRPr="00432525">
        <w:rPr>
          <w:rFonts w:ascii="Arial" w:hAnsi="Arial" w:cs="Arial"/>
          <w:sz w:val="20"/>
          <w:szCs w:val="20"/>
        </w:rPr>
        <w:t xml:space="preserve"> in South Australia (Figure 1, Table 1 and Table 2).  From the commencement of the outbreak to </w:t>
      </w:r>
      <w:r w:rsidRPr="00432525">
        <w:rPr>
          <w:rFonts w:ascii="Arial" w:hAnsi="Arial" w:cs="Arial"/>
          <w:color w:val="000000" w:themeColor="text1"/>
          <w:sz w:val="20"/>
          <w:szCs w:val="20"/>
        </w:rPr>
        <w:t xml:space="preserve">30 September </w:t>
      </w:r>
      <w:r w:rsidRPr="00432525">
        <w:rPr>
          <w:rFonts w:ascii="Arial" w:hAnsi="Arial" w:cs="Arial"/>
          <w:sz w:val="20"/>
          <w:szCs w:val="20"/>
        </w:rPr>
        <w:t>2019</w:t>
      </w:r>
      <w:r w:rsidRPr="00432525">
        <w:rPr>
          <w:rFonts w:ascii="Arial" w:hAnsi="Arial" w:cs="Arial"/>
          <w:sz w:val="20"/>
          <w:szCs w:val="20"/>
          <w:vertAlign w:val="superscript"/>
        </w:rPr>
        <w:t xml:space="preserve"> ȶ</w:t>
      </w:r>
      <w:r w:rsidRPr="00432525">
        <w:rPr>
          <w:rFonts w:ascii="Arial" w:hAnsi="Arial" w:cs="Arial"/>
          <w:sz w:val="20"/>
          <w:szCs w:val="20"/>
        </w:rPr>
        <w:t>, there were a total of 3090 outbreak cases (category 1 and 2 cases) reported across the four outbreak affected jurisdictions: 1445 in Queensland (from January 2011); 1169 in the Northern Territory (from July 2013); 394 in Western Australia (from June 2014), and; 82 in South Australia (from November 2016) (Table 1 and 2).</w:t>
      </w:r>
    </w:p>
    <w:p w14:paraId="57B04C8F" w14:textId="77777777" w:rsidR="00EB11F0" w:rsidRPr="00432525" w:rsidRDefault="00EB11F0" w:rsidP="00EB11F0">
      <w:pPr>
        <w:spacing w:after="0" w:line="240" w:lineRule="auto"/>
        <w:ind w:left="-709" w:right="-23"/>
        <w:jc w:val="both"/>
        <w:rPr>
          <w:rFonts w:ascii="Arial" w:hAnsi="Arial" w:cs="Arial"/>
          <w:sz w:val="20"/>
          <w:szCs w:val="20"/>
        </w:rPr>
      </w:pPr>
    </w:p>
    <w:p w14:paraId="57B04C90" w14:textId="77777777" w:rsidR="00EB11F0" w:rsidRPr="00F03247" w:rsidRDefault="00EB11F0" w:rsidP="00EB11F0">
      <w:pPr>
        <w:spacing w:after="0" w:line="240" w:lineRule="auto"/>
        <w:ind w:left="-709" w:right="-23"/>
        <w:jc w:val="both"/>
        <w:rPr>
          <w:rFonts w:ascii="Arial" w:hAnsi="Arial" w:cs="Arial"/>
          <w:sz w:val="20"/>
          <w:szCs w:val="20"/>
          <w:vertAlign w:val="superscript"/>
        </w:rPr>
      </w:pPr>
      <w:r w:rsidRPr="00F06C90">
        <w:rPr>
          <w:rFonts w:ascii="Arial" w:hAnsi="Arial" w:cs="Arial"/>
          <w:b/>
          <w:sz w:val="20"/>
          <w:szCs w:val="20"/>
        </w:rPr>
        <w:t>Figure 1</w:t>
      </w:r>
      <w:r w:rsidRPr="00F06C90">
        <w:rPr>
          <w:rFonts w:ascii="Arial" w:hAnsi="Arial" w:cs="Arial"/>
          <w:sz w:val="20"/>
          <w:szCs w:val="20"/>
        </w:rPr>
        <w:t>. Epidemic curve showing category 1 infectious syphilis</w:t>
      </w:r>
      <w:r w:rsidRPr="00F06C90">
        <w:rPr>
          <w:rFonts w:ascii="Arial" w:hAnsi="Arial" w:cs="Arial"/>
          <w:sz w:val="20"/>
          <w:szCs w:val="20"/>
          <w:vertAlign w:val="superscript"/>
        </w:rPr>
        <w:t xml:space="preserve"> α</w:t>
      </w:r>
      <w:r w:rsidRPr="00F06C90">
        <w:rPr>
          <w:rFonts w:ascii="Arial" w:hAnsi="Arial" w:cs="Arial"/>
          <w:sz w:val="20"/>
          <w:szCs w:val="20"/>
        </w:rPr>
        <w:t xml:space="preserve"> outbreak cases notified in Aboriginal and Torres Strait Islander people residing in affected regions</w:t>
      </w:r>
      <w:r w:rsidRPr="00F06C90">
        <w:rPr>
          <w:rFonts w:ascii="Arial" w:hAnsi="Arial" w:cs="Arial"/>
          <w:sz w:val="20"/>
          <w:szCs w:val="20"/>
          <w:vertAlign w:val="superscript"/>
        </w:rPr>
        <w:t>β</w:t>
      </w:r>
      <w:r w:rsidRPr="00F06C90">
        <w:rPr>
          <w:rFonts w:ascii="Arial" w:hAnsi="Arial" w:cs="Arial"/>
          <w:sz w:val="20"/>
          <w:szCs w:val="20"/>
        </w:rPr>
        <w:t xml:space="preserve"> of Queensland, the Northern Territory, Western Australia and South Australia from commencement of the outbreak in each jurisdiction to </w:t>
      </w:r>
      <w:r w:rsidRPr="00F06C90">
        <w:rPr>
          <w:rFonts w:ascii="Arial" w:hAnsi="Arial" w:cs="Arial"/>
          <w:color w:val="000000" w:themeColor="text1"/>
          <w:sz w:val="20"/>
          <w:szCs w:val="20"/>
        </w:rPr>
        <w:t>3</w:t>
      </w:r>
      <w:r>
        <w:rPr>
          <w:rFonts w:ascii="Arial" w:hAnsi="Arial" w:cs="Arial"/>
          <w:color w:val="000000" w:themeColor="text1"/>
          <w:sz w:val="20"/>
          <w:szCs w:val="20"/>
        </w:rPr>
        <w:t xml:space="preserve">0 September </w:t>
      </w:r>
      <w:r w:rsidRPr="00F06C90">
        <w:rPr>
          <w:rFonts w:ascii="Arial" w:hAnsi="Arial" w:cs="Arial"/>
          <w:color w:val="000000" w:themeColor="text1"/>
          <w:sz w:val="20"/>
          <w:szCs w:val="20"/>
        </w:rPr>
        <w:t>2019</w:t>
      </w:r>
      <w:r w:rsidRPr="00F06C90">
        <w:rPr>
          <w:rFonts w:ascii="Arial" w:hAnsi="Arial" w:cs="Arial"/>
          <w:sz w:val="20"/>
          <w:szCs w:val="20"/>
          <w:vertAlign w:val="superscript"/>
        </w:rPr>
        <w:t>ȶ ᵞ</w:t>
      </w:r>
      <w:r w:rsidRPr="00F03247">
        <w:rPr>
          <w:rFonts w:ascii="Arial" w:hAnsi="Arial" w:cs="Arial"/>
          <w:sz w:val="20"/>
          <w:szCs w:val="20"/>
          <w:vertAlign w:val="superscript"/>
        </w:rPr>
        <w:t xml:space="preserve"> </w:t>
      </w:r>
    </w:p>
    <w:p w14:paraId="57B04C91" w14:textId="77777777" w:rsidR="00EB11F0" w:rsidRPr="00F03247" w:rsidRDefault="00EB11F0" w:rsidP="00EB11F0">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57B04ED2" wp14:editId="57B04ED3">
            <wp:extent cx="6708327" cy="3912782"/>
            <wp:effectExtent l="0" t="0" r="0" b="0"/>
            <wp:docPr id="9" name="Picture 9" descr="Epidemic curve showing category 1 infectious syphilis outbreak cases notified in Aboriginal and Torres Strait Islander people residing in affected regions of Queensland, the Northern Territory, Western Australia and South Australia from commencement of the outbreak in each jurisdiction to 30 September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19310" cy="3919188"/>
                    </a:xfrm>
                    <a:prstGeom prst="rect">
                      <a:avLst/>
                    </a:prstGeom>
                    <a:noFill/>
                  </pic:spPr>
                </pic:pic>
              </a:graphicData>
            </a:graphic>
          </wp:inline>
        </w:drawing>
      </w:r>
      <w:r w:rsidRPr="00F03247">
        <w:rPr>
          <w:rFonts w:ascii="Arial" w:hAnsi="Arial" w:cs="Arial"/>
          <w:b/>
          <w:sz w:val="20"/>
          <w:szCs w:val="20"/>
        </w:rPr>
        <w:br w:type="page"/>
      </w:r>
    </w:p>
    <w:p w14:paraId="57B04C92" w14:textId="77777777" w:rsidR="00EB11F0" w:rsidRPr="00F03247" w:rsidRDefault="00EB11F0" w:rsidP="00EB11F0">
      <w:pPr>
        <w:spacing w:after="0" w:line="240" w:lineRule="auto"/>
        <w:ind w:left="-567"/>
        <w:rPr>
          <w:rFonts w:ascii="Arial" w:hAnsi="Arial" w:cs="Arial"/>
          <w:b/>
          <w:sz w:val="20"/>
          <w:szCs w:val="20"/>
        </w:rPr>
      </w:pPr>
    </w:p>
    <w:p w14:paraId="57B04C93" w14:textId="77777777" w:rsidR="00EB11F0" w:rsidRPr="00F06C90" w:rsidRDefault="00EB11F0" w:rsidP="00EB11F0">
      <w:pPr>
        <w:spacing w:after="0" w:line="240" w:lineRule="auto"/>
        <w:ind w:left="-709"/>
        <w:rPr>
          <w:rFonts w:ascii="Arial" w:hAnsi="Arial" w:cs="Arial"/>
          <w:sz w:val="20"/>
          <w:szCs w:val="20"/>
        </w:rPr>
      </w:pPr>
      <w:r w:rsidRPr="00F06C90">
        <w:rPr>
          <w:rFonts w:ascii="Arial" w:hAnsi="Arial" w:cs="Arial"/>
          <w:b/>
          <w:sz w:val="20"/>
          <w:szCs w:val="20"/>
        </w:rPr>
        <w:t>Table 1</w:t>
      </w:r>
      <w:r w:rsidRPr="00F06C90">
        <w:rPr>
          <w:rFonts w:ascii="Arial" w:hAnsi="Arial" w:cs="Arial"/>
          <w:sz w:val="20"/>
          <w:szCs w:val="20"/>
        </w:rPr>
        <w:t>.</w:t>
      </w:r>
      <w:r w:rsidRPr="00F06C90">
        <w:rPr>
          <w:rFonts w:ascii="Arial" w:hAnsi="Arial" w:cs="Arial"/>
          <w:b/>
          <w:sz w:val="20"/>
          <w:szCs w:val="20"/>
        </w:rPr>
        <w:t xml:space="preserve"> </w:t>
      </w:r>
      <w:r w:rsidRPr="00F06C90">
        <w:rPr>
          <w:rFonts w:ascii="Arial" w:hAnsi="Arial" w:cs="Arial"/>
          <w:sz w:val="20"/>
          <w:szCs w:val="20"/>
        </w:rPr>
        <w:t>Characteristics of category 1 infectious syphilis</w:t>
      </w:r>
      <w:r w:rsidRPr="00F06C90">
        <w:rPr>
          <w:rFonts w:ascii="Arial" w:hAnsi="Arial" w:cs="Arial"/>
          <w:sz w:val="20"/>
          <w:szCs w:val="20"/>
          <w:vertAlign w:val="superscript"/>
        </w:rPr>
        <w:t>α</w:t>
      </w:r>
      <w:r w:rsidRPr="00F06C90">
        <w:rPr>
          <w:rFonts w:ascii="Arial" w:hAnsi="Arial" w:cs="Arial"/>
          <w:sz w:val="20"/>
          <w:szCs w:val="20"/>
        </w:rPr>
        <w:t xml:space="preserve"> outbreak cases notified in Aboriginal and Torres Strait Islander people residing in affected regions</w:t>
      </w:r>
      <w:r w:rsidRPr="00F06C90">
        <w:rPr>
          <w:rFonts w:ascii="Arial" w:hAnsi="Arial" w:cs="Arial"/>
          <w:sz w:val="20"/>
          <w:szCs w:val="20"/>
          <w:vertAlign w:val="superscript"/>
        </w:rPr>
        <w:t>β</w:t>
      </w:r>
      <w:r w:rsidRPr="00F06C90">
        <w:rPr>
          <w:rFonts w:ascii="Arial" w:hAnsi="Arial" w:cs="Arial"/>
          <w:sz w:val="20"/>
          <w:szCs w:val="20"/>
        </w:rPr>
        <w:t xml:space="preserve"> of Queensland, the Northern Territory, Western Australia and South Australia, to </w:t>
      </w:r>
      <w:r w:rsidRPr="00F06C90">
        <w:rPr>
          <w:rFonts w:ascii="Arial" w:hAnsi="Arial" w:cs="Arial"/>
          <w:sz w:val="20"/>
          <w:szCs w:val="20"/>
        </w:rPr>
        <w:br/>
      </w:r>
      <w:r>
        <w:rPr>
          <w:rFonts w:ascii="Arial" w:hAnsi="Arial" w:cs="Arial"/>
          <w:sz w:val="20"/>
          <w:szCs w:val="20"/>
        </w:rPr>
        <w:t xml:space="preserve">30 September </w:t>
      </w:r>
      <w:r w:rsidRPr="00F06C90">
        <w:rPr>
          <w:rFonts w:ascii="Arial" w:hAnsi="Arial" w:cs="Arial"/>
          <w:sz w:val="20"/>
          <w:szCs w:val="20"/>
        </w:rPr>
        <w:t>2019</w:t>
      </w:r>
      <w:r w:rsidRPr="00F06C90">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EB11F0" w:rsidRPr="003C2791" w14:paraId="57B04C9B" w14:textId="77777777" w:rsidTr="00EB11F0">
        <w:trPr>
          <w:tblHeader/>
        </w:trPr>
        <w:tc>
          <w:tcPr>
            <w:tcW w:w="3975" w:type="dxa"/>
            <w:tcBorders>
              <w:bottom w:val="single" w:sz="4" w:space="0" w:color="auto"/>
            </w:tcBorders>
          </w:tcPr>
          <w:p w14:paraId="57B04C94" w14:textId="77777777" w:rsidR="00EB11F0" w:rsidRPr="003C2791" w:rsidRDefault="00EB11F0" w:rsidP="00EB11F0">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57B04C95" w14:textId="77777777" w:rsidR="00EB11F0" w:rsidRPr="003C2791" w:rsidRDefault="00EB11F0" w:rsidP="00EB11F0">
            <w:pPr>
              <w:ind w:left="34" w:hanging="34"/>
              <w:jc w:val="center"/>
              <w:rPr>
                <w:rFonts w:ascii="Calibri" w:eastAsia="Times New Roman" w:hAnsi="Calibri" w:cs="Arial"/>
                <w:b/>
                <w:sz w:val="20"/>
                <w:szCs w:val="20"/>
                <w:lang w:eastAsia="en-AU"/>
              </w:rPr>
            </w:pPr>
            <w:r w:rsidRPr="003C2791">
              <w:rPr>
                <w:rFonts w:ascii="Calibri" w:eastAsia="Times New Roman" w:hAnsi="Calibri" w:cs="Arial"/>
                <w:b/>
                <w:sz w:val="20"/>
                <w:szCs w:val="20"/>
                <w:lang w:eastAsia="en-AU"/>
              </w:rPr>
              <w:t xml:space="preserve">North Qld </w:t>
            </w:r>
            <w:r w:rsidRPr="003C2791">
              <w:rPr>
                <w:rFonts w:ascii="Calibri" w:eastAsia="Times New Roman" w:hAnsi="Calibri" w:cs="Arial"/>
                <w:b/>
                <w:sz w:val="20"/>
                <w:szCs w:val="20"/>
                <w:lang w:eastAsia="en-AU"/>
              </w:rPr>
              <w:br/>
            </w:r>
            <w:r w:rsidRPr="003C2791">
              <w:rPr>
                <w:rFonts w:ascii="Calibri" w:eastAsia="Times New Roman" w:hAnsi="Calibri" w:cs="Arial"/>
                <w:sz w:val="20"/>
                <w:szCs w:val="20"/>
                <w:lang w:eastAsia="en-AU"/>
              </w:rPr>
              <w:t>(five HHSs</w:t>
            </w:r>
            <w:r w:rsidRPr="003C2791">
              <w:rPr>
                <w:rFonts w:ascii="Calibri" w:eastAsia="Times New Roman" w:hAnsi="Calibri" w:cs="Arial"/>
                <w:sz w:val="20"/>
                <w:szCs w:val="20"/>
                <w:vertAlign w:val="superscript"/>
                <w:lang w:eastAsia="en-AU"/>
              </w:rPr>
              <w:t>β</w:t>
            </w:r>
            <w:r w:rsidRPr="003C279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C96"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b/>
                <w:sz w:val="20"/>
                <w:szCs w:val="20"/>
                <w:lang w:eastAsia="en-AU"/>
              </w:rPr>
              <w:t xml:space="preserve">NT </w:t>
            </w:r>
          </w:p>
          <w:p w14:paraId="57B04C97" w14:textId="77777777" w:rsidR="00EB11F0" w:rsidRPr="003C2791" w:rsidRDefault="00EB11F0" w:rsidP="00EB11F0">
            <w:pPr>
              <w:ind w:left="34" w:hanging="34"/>
              <w:jc w:val="center"/>
              <w:rPr>
                <w:rFonts w:ascii="Calibri" w:eastAsia="Times New Roman" w:hAnsi="Calibri" w:cs="Arial"/>
                <w:b/>
                <w:sz w:val="20"/>
                <w:szCs w:val="20"/>
                <w:lang w:eastAsia="en-AU"/>
              </w:rPr>
            </w:pPr>
            <w:r w:rsidRPr="003C2791">
              <w:rPr>
                <w:rFonts w:ascii="Calibri" w:eastAsia="Times New Roman" w:hAnsi="Calibri" w:cs="Arial"/>
                <w:sz w:val="20"/>
                <w:szCs w:val="20"/>
                <w:lang w:eastAsia="en-AU"/>
              </w:rPr>
              <w:t>(seven regions</w:t>
            </w:r>
            <w:r w:rsidRPr="003C2791">
              <w:rPr>
                <w:rFonts w:ascii="Calibri" w:eastAsia="Times New Roman" w:hAnsi="Calibri" w:cs="Arial"/>
                <w:sz w:val="20"/>
                <w:szCs w:val="20"/>
                <w:vertAlign w:val="superscript"/>
                <w:lang w:eastAsia="en-AU"/>
              </w:rPr>
              <w:t xml:space="preserve"> β</w:t>
            </w:r>
            <w:r w:rsidRPr="003C279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C98" w14:textId="77777777" w:rsidR="00EB11F0" w:rsidRPr="003C2791" w:rsidRDefault="00EB11F0" w:rsidP="00EB11F0">
            <w:pPr>
              <w:ind w:left="34" w:hanging="34"/>
              <w:jc w:val="center"/>
              <w:rPr>
                <w:rFonts w:ascii="Calibri" w:eastAsia="Times New Roman" w:hAnsi="Calibri" w:cs="Arial"/>
                <w:b/>
                <w:sz w:val="20"/>
                <w:szCs w:val="20"/>
                <w:lang w:eastAsia="en-AU"/>
              </w:rPr>
            </w:pPr>
            <w:r w:rsidRPr="003C2791">
              <w:rPr>
                <w:rFonts w:ascii="Calibri" w:eastAsia="Times New Roman" w:hAnsi="Calibri" w:cs="Arial"/>
                <w:b/>
                <w:sz w:val="20"/>
                <w:szCs w:val="20"/>
                <w:lang w:eastAsia="en-AU"/>
              </w:rPr>
              <w:t>WA</w:t>
            </w:r>
            <w:r w:rsidRPr="003C2791">
              <w:rPr>
                <w:rFonts w:ascii="Calibri" w:eastAsia="Times New Roman" w:hAnsi="Calibri" w:cs="Arial"/>
                <w:b/>
                <w:sz w:val="20"/>
                <w:szCs w:val="20"/>
                <w:lang w:eastAsia="en-AU"/>
              </w:rPr>
              <w:br/>
            </w:r>
            <w:r w:rsidRPr="003C2791">
              <w:rPr>
                <w:rFonts w:ascii="Calibri" w:eastAsia="Times New Roman" w:hAnsi="Calibri" w:cs="Arial"/>
                <w:sz w:val="20"/>
                <w:szCs w:val="20"/>
                <w:lang w:eastAsia="en-AU"/>
              </w:rPr>
              <w:t xml:space="preserve"> (three regions</w:t>
            </w:r>
            <w:r w:rsidRPr="003C2791">
              <w:rPr>
                <w:rFonts w:ascii="Calibri" w:eastAsia="Times New Roman" w:hAnsi="Calibri" w:cs="Arial"/>
                <w:sz w:val="20"/>
                <w:szCs w:val="20"/>
                <w:vertAlign w:val="superscript"/>
                <w:lang w:eastAsia="en-AU"/>
              </w:rPr>
              <w:t xml:space="preserve"> β</w:t>
            </w:r>
            <w:r w:rsidRPr="003C279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C99" w14:textId="77777777" w:rsidR="00EB11F0" w:rsidRPr="003C2791" w:rsidRDefault="00EB11F0" w:rsidP="00EB11F0">
            <w:pPr>
              <w:ind w:left="34" w:hanging="34"/>
              <w:jc w:val="center"/>
              <w:rPr>
                <w:rFonts w:ascii="Calibri" w:eastAsia="Times New Roman" w:hAnsi="Calibri" w:cs="Arial"/>
                <w:b/>
                <w:sz w:val="20"/>
                <w:szCs w:val="20"/>
                <w:lang w:eastAsia="en-AU"/>
              </w:rPr>
            </w:pPr>
            <w:r w:rsidRPr="003C2791">
              <w:rPr>
                <w:rFonts w:ascii="Calibri" w:eastAsia="Times New Roman" w:hAnsi="Calibri" w:cs="Arial"/>
                <w:b/>
                <w:sz w:val="20"/>
                <w:szCs w:val="20"/>
                <w:lang w:eastAsia="en-AU"/>
              </w:rPr>
              <w:t>SA</w:t>
            </w:r>
          </w:p>
          <w:p w14:paraId="57B04C9A"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(three regions</w:t>
            </w:r>
            <w:r w:rsidRPr="003C2791">
              <w:rPr>
                <w:rFonts w:ascii="Calibri" w:eastAsia="Times New Roman" w:hAnsi="Calibri" w:cs="Arial"/>
                <w:sz w:val="20"/>
                <w:szCs w:val="20"/>
                <w:vertAlign w:val="superscript"/>
                <w:lang w:eastAsia="en-AU"/>
              </w:rPr>
              <w:t xml:space="preserve"> β</w:t>
            </w:r>
            <w:r w:rsidRPr="003C2791">
              <w:rPr>
                <w:rFonts w:ascii="Calibri" w:eastAsia="Times New Roman" w:hAnsi="Calibri" w:cs="Arial"/>
                <w:sz w:val="20"/>
                <w:szCs w:val="20"/>
                <w:lang w:eastAsia="en-AU"/>
              </w:rPr>
              <w:t>)</w:t>
            </w:r>
          </w:p>
        </w:tc>
      </w:tr>
      <w:tr w:rsidR="00EB11F0" w:rsidRPr="003C2791" w14:paraId="57B04CA1" w14:textId="77777777" w:rsidTr="00EB11F0">
        <w:tc>
          <w:tcPr>
            <w:tcW w:w="3975" w:type="dxa"/>
            <w:tcBorders>
              <w:right w:val="nil"/>
            </w:tcBorders>
            <w:shd w:val="clear" w:color="auto" w:fill="DBE5F1" w:themeFill="accent1" w:themeFillTint="33"/>
          </w:tcPr>
          <w:p w14:paraId="57B04C9C" w14:textId="77777777" w:rsidR="00EB11F0" w:rsidRPr="003C2791" w:rsidRDefault="00EB11F0" w:rsidP="00EB11F0">
            <w:pPr>
              <w:ind w:left="34" w:hanging="34"/>
              <w:rPr>
                <w:rFonts w:ascii="Calibri" w:eastAsia="Times New Roman" w:hAnsi="Calibri" w:cs="Arial"/>
                <w:b/>
                <w:sz w:val="20"/>
                <w:szCs w:val="20"/>
                <w:lang w:eastAsia="en-AU"/>
              </w:rPr>
            </w:pPr>
            <w:r w:rsidRPr="003C2791">
              <w:rPr>
                <w:rFonts w:ascii="Calibri" w:eastAsia="Times New Roman" w:hAnsi="Calibri" w:cs="Arial"/>
                <w:b/>
                <w:sz w:val="20"/>
                <w:szCs w:val="20"/>
                <w:lang w:eastAsia="en-AU"/>
              </w:rPr>
              <w:t>Situation to-date, 30 September 2019</w:t>
            </w:r>
          </w:p>
        </w:tc>
        <w:tc>
          <w:tcPr>
            <w:tcW w:w="1701" w:type="dxa"/>
            <w:tcBorders>
              <w:left w:val="nil"/>
              <w:bottom w:val="single" w:sz="4" w:space="0" w:color="auto"/>
              <w:right w:val="nil"/>
            </w:tcBorders>
            <w:shd w:val="clear" w:color="auto" w:fill="DBE5F1" w:themeFill="accent1" w:themeFillTint="33"/>
          </w:tcPr>
          <w:p w14:paraId="57B04C9D" w14:textId="77777777" w:rsidR="00EB11F0" w:rsidRPr="003C2791" w:rsidRDefault="00EB11F0"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C9E" w14:textId="77777777" w:rsidR="00EB11F0" w:rsidRPr="003C2791" w:rsidRDefault="00EB11F0" w:rsidP="00EB11F0">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C9F" w14:textId="77777777" w:rsidR="00EB11F0" w:rsidRPr="003C2791" w:rsidRDefault="00EB11F0" w:rsidP="00EB11F0">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CA0" w14:textId="77777777" w:rsidR="00EB11F0" w:rsidRPr="003C2791" w:rsidRDefault="00EB11F0" w:rsidP="00EB11F0">
            <w:pPr>
              <w:ind w:left="34" w:hanging="34"/>
              <w:rPr>
                <w:rFonts w:ascii="Calibri" w:eastAsia="Times New Roman" w:hAnsi="Calibri" w:cs="Arial"/>
                <w:sz w:val="20"/>
                <w:szCs w:val="20"/>
                <w:lang w:eastAsia="en-AU"/>
              </w:rPr>
            </w:pPr>
          </w:p>
        </w:tc>
      </w:tr>
      <w:tr w:rsidR="00EB11F0" w:rsidRPr="003C2791" w14:paraId="57B04CA7" w14:textId="77777777" w:rsidTr="00EB11F0">
        <w:trPr>
          <w:trHeight w:val="365"/>
        </w:trPr>
        <w:tc>
          <w:tcPr>
            <w:tcW w:w="3975" w:type="dxa"/>
            <w:vAlign w:val="center"/>
          </w:tcPr>
          <w:p w14:paraId="57B04CA2"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CA3"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CA4"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CA5"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CA6"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November 2016</w:t>
            </w:r>
          </w:p>
        </w:tc>
      </w:tr>
      <w:tr w:rsidR="00EB11F0" w:rsidRPr="003C2791" w14:paraId="57B04CAD" w14:textId="77777777" w:rsidTr="00EB11F0">
        <w:tc>
          <w:tcPr>
            <w:tcW w:w="3975" w:type="dxa"/>
          </w:tcPr>
          <w:p w14:paraId="57B04CA8"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Total number of cases</w:t>
            </w:r>
            <w:r w:rsidRPr="003C2791">
              <w:rPr>
                <w:rFonts w:ascii="Calibri" w:eastAsia="Times New Roman" w:hAnsi="Calibri" w:cs="Arial"/>
                <w:b/>
                <w:sz w:val="20"/>
                <w:szCs w:val="20"/>
                <w:vertAlign w:val="superscript"/>
                <w:lang w:eastAsia="en-AU"/>
              </w:rPr>
              <w:t xml:space="preserve"> </w:t>
            </w:r>
            <w:r w:rsidRPr="003C2791">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CA9"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1412</w:t>
            </w:r>
          </w:p>
        </w:tc>
        <w:tc>
          <w:tcPr>
            <w:tcW w:w="1560" w:type="dxa"/>
            <w:shd w:val="clear" w:color="auto" w:fill="B6DDE8" w:themeFill="accent5" w:themeFillTint="66"/>
            <w:vAlign w:val="center"/>
          </w:tcPr>
          <w:p w14:paraId="57B04CAA"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1157</w:t>
            </w:r>
          </w:p>
        </w:tc>
        <w:tc>
          <w:tcPr>
            <w:tcW w:w="1672" w:type="dxa"/>
            <w:shd w:val="clear" w:color="auto" w:fill="CCC0D9" w:themeFill="accent4" w:themeFillTint="66"/>
            <w:vAlign w:val="center"/>
          </w:tcPr>
          <w:p w14:paraId="57B04CAB"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394</w:t>
            </w:r>
          </w:p>
        </w:tc>
        <w:tc>
          <w:tcPr>
            <w:tcW w:w="1559" w:type="dxa"/>
            <w:shd w:val="clear" w:color="auto" w:fill="FBD4B4" w:themeFill="accent6" w:themeFillTint="66"/>
          </w:tcPr>
          <w:p w14:paraId="57B04CAC"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80</w:t>
            </w:r>
          </w:p>
        </w:tc>
      </w:tr>
      <w:tr w:rsidR="00EB11F0" w:rsidRPr="003C2791" w14:paraId="57B04CB3" w14:textId="77777777" w:rsidTr="00EB11F0">
        <w:tc>
          <w:tcPr>
            <w:tcW w:w="3975" w:type="dxa"/>
            <w:shd w:val="clear" w:color="auto" w:fill="auto"/>
          </w:tcPr>
          <w:p w14:paraId="57B04CAE"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CAF"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CB0"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46% / 54%</w:t>
            </w:r>
          </w:p>
        </w:tc>
        <w:tc>
          <w:tcPr>
            <w:tcW w:w="1672" w:type="dxa"/>
            <w:shd w:val="clear" w:color="auto" w:fill="CCC0D9" w:themeFill="accent4" w:themeFillTint="66"/>
            <w:vAlign w:val="center"/>
          </w:tcPr>
          <w:p w14:paraId="57B04CB1"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42% / 58%</w:t>
            </w:r>
          </w:p>
        </w:tc>
        <w:tc>
          <w:tcPr>
            <w:tcW w:w="1559" w:type="dxa"/>
            <w:shd w:val="clear" w:color="auto" w:fill="FBD4B4" w:themeFill="accent6" w:themeFillTint="66"/>
          </w:tcPr>
          <w:p w14:paraId="57B04CB2"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54% / 46%</w:t>
            </w:r>
          </w:p>
        </w:tc>
      </w:tr>
      <w:tr w:rsidR="00EB11F0" w:rsidRPr="003C2791" w14:paraId="57B04CB9" w14:textId="77777777" w:rsidTr="00EB11F0">
        <w:tc>
          <w:tcPr>
            <w:tcW w:w="3975" w:type="dxa"/>
            <w:shd w:val="clear" w:color="auto" w:fill="auto"/>
          </w:tcPr>
          <w:p w14:paraId="57B04CB4"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CB5"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65%</w:t>
            </w:r>
          </w:p>
        </w:tc>
        <w:tc>
          <w:tcPr>
            <w:tcW w:w="1560" w:type="dxa"/>
            <w:shd w:val="clear" w:color="auto" w:fill="B6DDE8" w:themeFill="accent5" w:themeFillTint="66"/>
            <w:vAlign w:val="center"/>
          </w:tcPr>
          <w:p w14:paraId="57B04CB6"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61%</w:t>
            </w:r>
          </w:p>
        </w:tc>
        <w:tc>
          <w:tcPr>
            <w:tcW w:w="1672" w:type="dxa"/>
            <w:shd w:val="clear" w:color="auto" w:fill="CCC0D9" w:themeFill="accent4" w:themeFillTint="66"/>
            <w:vAlign w:val="center"/>
          </w:tcPr>
          <w:p w14:paraId="57B04CB7"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67%</w:t>
            </w:r>
          </w:p>
        </w:tc>
        <w:tc>
          <w:tcPr>
            <w:tcW w:w="1559" w:type="dxa"/>
            <w:shd w:val="clear" w:color="auto" w:fill="FBD4B4" w:themeFill="accent6" w:themeFillTint="66"/>
          </w:tcPr>
          <w:p w14:paraId="57B04CB8" w14:textId="77777777" w:rsidR="00EB11F0" w:rsidRPr="003C2791" w:rsidRDefault="00EB11F0" w:rsidP="00EB11F0">
            <w:pPr>
              <w:tabs>
                <w:tab w:val="left" w:pos="465"/>
                <w:tab w:val="center" w:pos="663"/>
              </w:tabs>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49%</w:t>
            </w:r>
          </w:p>
        </w:tc>
      </w:tr>
      <w:tr w:rsidR="00EB11F0" w:rsidRPr="003C2791" w14:paraId="57B04CBF" w14:textId="77777777" w:rsidTr="00EB11F0">
        <w:tc>
          <w:tcPr>
            <w:tcW w:w="3975" w:type="dxa"/>
            <w:shd w:val="clear" w:color="auto" w:fill="auto"/>
          </w:tcPr>
          <w:p w14:paraId="57B04CBA"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Congenital cases, confirmed (probable)</w:t>
            </w:r>
            <w:r w:rsidRPr="003C2791">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CBB"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CBC"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CBD"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1 (0)</w:t>
            </w:r>
          </w:p>
        </w:tc>
        <w:tc>
          <w:tcPr>
            <w:tcW w:w="1559" w:type="dxa"/>
            <w:shd w:val="clear" w:color="auto" w:fill="FBD4B4" w:themeFill="accent6" w:themeFillTint="66"/>
          </w:tcPr>
          <w:p w14:paraId="57B04CBE"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1 (0)</w:t>
            </w:r>
          </w:p>
        </w:tc>
      </w:tr>
      <w:tr w:rsidR="00EB11F0" w:rsidRPr="003C2791" w14:paraId="57B04CC5" w14:textId="77777777" w:rsidTr="00EB11F0">
        <w:tc>
          <w:tcPr>
            <w:tcW w:w="3975" w:type="dxa"/>
            <w:tcBorders>
              <w:bottom w:val="single" w:sz="4" w:space="0" w:color="auto"/>
            </w:tcBorders>
            <w:shd w:val="clear" w:color="auto" w:fill="auto"/>
          </w:tcPr>
          <w:p w14:paraId="57B04CC0"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CC1"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CC2"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CC3"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CC4"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0 (0)</w:t>
            </w:r>
          </w:p>
        </w:tc>
      </w:tr>
      <w:tr w:rsidR="00EB11F0" w:rsidRPr="003C2791" w14:paraId="57B04CC7" w14:textId="77777777" w:rsidTr="00EB11F0">
        <w:tc>
          <w:tcPr>
            <w:tcW w:w="10467" w:type="dxa"/>
            <w:gridSpan w:val="5"/>
            <w:tcBorders>
              <w:bottom w:val="single" w:sz="4" w:space="0" w:color="auto"/>
            </w:tcBorders>
            <w:shd w:val="clear" w:color="auto" w:fill="DBE5F1" w:themeFill="accent1" w:themeFillTint="33"/>
          </w:tcPr>
          <w:p w14:paraId="57B04CC6" w14:textId="77777777" w:rsidR="00EB11F0" w:rsidRPr="00432525" w:rsidRDefault="00EB11F0" w:rsidP="00EB11F0">
            <w:pPr>
              <w:ind w:left="34" w:hanging="34"/>
              <w:rPr>
                <w:rFonts w:ascii="Calibri" w:eastAsia="Times New Roman" w:hAnsi="Calibri" w:cs="Arial"/>
                <w:sz w:val="20"/>
                <w:szCs w:val="20"/>
                <w:lang w:eastAsia="en-AU"/>
              </w:rPr>
            </w:pPr>
            <w:r w:rsidRPr="00432525">
              <w:rPr>
                <w:rFonts w:ascii="Calibri" w:eastAsia="Times New Roman" w:hAnsi="Calibri" w:cs="Arial"/>
                <w:b/>
                <w:sz w:val="20"/>
                <w:szCs w:val="20"/>
                <w:lang w:eastAsia="en-AU"/>
              </w:rPr>
              <w:t>Last reporting month, 1 – 30 September 2019</w:t>
            </w:r>
          </w:p>
        </w:tc>
      </w:tr>
      <w:tr w:rsidR="00EB11F0" w:rsidRPr="003C2791" w14:paraId="57B04CCD" w14:textId="77777777" w:rsidTr="00EB11F0">
        <w:tc>
          <w:tcPr>
            <w:tcW w:w="3975" w:type="dxa"/>
            <w:shd w:val="clear" w:color="auto" w:fill="auto"/>
          </w:tcPr>
          <w:p w14:paraId="57B04CC8"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Number of cases</w:t>
            </w:r>
            <w:r w:rsidRPr="003C2791">
              <w:rPr>
                <w:rFonts w:ascii="Calibri" w:eastAsia="Times New Roman" w:hAnsi="Calibri" w:cs="Arial"/>
                <w:b/>
                <w:sz w:val="20"/>
                <w:szCs w:val="20"/>
                <w:vertAlign w:val="superscript"/>
                <w:lang w:eastAsia="en-AU"/>
              </w:rPr>
              <w:t xml:space="preserve"> </w:t>
            </w:r>
            <w:r w:rsidRPr="003C2791">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CC9"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20</w:t>
            </w:r>
          </w:p>
        </w:tc>
        <w:tc>
          <w:tcPr>
            <w:tcW w:w="1560" w:type="dxa"/>
            <w:shd w:val="clear" w:color="auto" w:fill="B6DDE8" w:themeFill="accent5" w:themeFillTint="66"/>
            <w:vAlign w:val="center"/>
          </w:tcPr>
          <w:p w14:paraId="57B04CCA"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32</w:t>
            </w:r>
          </w:p>
        </w:tc>
        <w:tc>
          <w:tcPr>
            <w:tcW w:w="1672" w:type="dxa"/>
            <w:shd w:val="clear" w:color="auto" w:fill="CCC0D9" w:themeFill="accent4" w:themeFillTint="66"/>
            <w:vAlign w:val="center"/>
          </w:tcPr>
          <w:p w14:paraId="57B04CCB"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12</w:t>
            </w:r>
          </w:p>
        </w:tc>
        <w:tc>
          <w:tcPr>
            <w:tcW w:w="1559" w:type="dxa"/>
            <w:shd w:val="clear" w:color="auto" w:fill="FBD4B4" w:themeFill="accent6" w:themeFillTint="66"/>
          </w:tcPr>
          <w:p w14:paraId="57B04CCC"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3</w:t>
            </w:r>
          </w:p>
        </w:tc>
      </w:tr>
      <w:tr w:rsidR="00EB11F0" w:rsidRPr="003C2791" w14:paraId="57B04CD3" w14:textId="77777777" w:rsidTr="00EB11F0">
        <w:tc>
          <w:tcPr>
            <w:tcW w:w="3975" w:type="dxa"/>
            <w:shd w:val="clear" w:color="auto" w:fill="auto"/>
          </w:tcPr>
          <w:p w14:paraId="57B04CCE"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CCF" w14:textId="77777777" w:rsidR="00EB11F0" w:rsidRPr="00432525" w:rsidRDefault="00EB11F0" w:rsidP="00EB11F0">
            <w:pPr>
              <w:ind w:left="34" w:hanging="34"/>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35% / 65%</w:t>
            </w:r>
          </w:p>
        </w:tc>
        <w:tc>
          <w:tcPr>
            <w:tcW w:w="1560" w:type="dxa"/>
            <w:shd w:val="clear" w:color="auto" w:fill="B6DDE8" w:themeFill="accent5" w:themeFillTint="66"/>
            <w:vAlign w:val="center"/>
          </w:tcPr>
          <w:p w14:paraId="57B04CD0"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53% / 47%</w:t>
            </w:r>
          </w:p>
        </w:tc>
        <w:tc>
          <w:tcPr>
            <w:tcW w:w="1672" w:type="dxa"/>
            <w:shd w:val="clear" w:color="auto" w:fill="CCC0D9" w:themeFill="accent4" w:themeFillTint="66"/>
            <w:vAlign w:val="center"/>
          </w:tcPr>
          <w:p w14:paraId="57B04CD1"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50% / 50%</w:t>
            </w:r>
          </w:p>
        </w:tc>
        <w:tc>
          <w:tcPr>
            <w:tcW w:w="1559" w:type="dxa"/>
            <w:shd w:val="clear" w:color="auto" w:fill="FBD4B4" w:themeFill="accent6" w:themeFillTint="66"/>
          </w:tcPr>
          <w:p w14:paraId="57B04CD2"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67% / 33%</w:t>
            </w:r>
          </w:p>
        </w:tc>
      </w:tr>
      <w:tr w:rsidR="00EB11F0" w:rsidRPr="00A61871" w14:paraId="57B04CD9" w14:textId="77777777" w:rsidTr="00EB11F0">
        <w:tc>
          <w:tcPr>
            <w:tcW w:w="3975" w:type="dxa"/>
            <w:shd w:val="clear" w:color="auto" w:fill="auto"/>
          </w:tcPr>
          <w:p w14:paraId="57B04CD4" w14:textId="77777777" w:rsidR="00EB11F0" w:rsidRPr="003C2791" w:rsidRDefault="00EB11F0" w:rsidP="00EB11F0">
            <w:pPr>
              <w:ind w:left="34" w:hanging="34"/>
              <w:rPr>
                <w:rFonts w:ascii="Calibri" w:eastAsia="Times New Roman" w:hAnsi="Calibri" w:cs="Arial"/>
                <w:sz w:val="20"/>
                <w:szCs w:val="20"/>
                <w:lang w:eastAsia="en-AU"/>
              </w:rPr>
            </w:pPr>
            <w:r w:rsidRPr="003C27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CD5" w14:textId="77777777" w:rsidR="00EB11F0" w:rsidRPr="00432525" w:rsidRDefault="00EB11F0" w:rsidP="00EB11F0">
            <w:pPr>
              <w:jc w:val="center"/>
              <w:rPr>
                <w:rFonts w:ascii="Calibri" w:eastAsia="Times New Roman" w:hAnsi="Calibri" w:cs="Arial"/>
                <w:sz w:val="20"/>
                <w:szCs w:val="20"/>
                <w:lang w:eastAsia="en-AU"/>
              </w:rPr>
            </w:pPr>
            <w:r w:rsidRPr="00432525">
              <w:rPr>
                <w:rFonts w:ascii="Calibri" w:eastAsia="Times New Roman" w:hAnsi="Calibri" w:cs="Arial"/>
                <w:sz w:val="20"/>
                <w:szCs w:val="20"/>
                <w:lang w:eastAsia="en-AU"/>
              </w:rPr>
              <w:t>45%</w:t>
            </w:r>
          </w:p>
        </w:tc>
        <w:tc>
          <w:tcPr>
            <w:tcW w:w="1560" w:type="dxa"/>
            <w:shd w:val="clear" w:color="auto" w:fill="B6DDE8" w:themeFill="accent5" w:themeFillTint="66"/>
            <w:vAlign w:val="center"/>
          </w:tcPr>
          <w:p w14:paraId="57B04CD6"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53%</w:t>
            </w:r>
          </w:p>
        </w:tc>
        <w:tc>
          <w:tcPr>
            <w:tcW w:w="1672" w:type="dxa"/>
            <w:shd w:val="clear" w:color="auto" w:fill="CCC0D9" w:themeFill="accent4" w:themeFillTint="66"/>
            <w:vAlign w:val="center"/>
          </w:tcPr>
          <w:p w14:paraId="57B04CD7"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75%</w:t>
            </w:r>
          </w:p>
        </w:tc>
        <w:tc>
          <w:tcPr>
            <w:tcW w:w="1559" w:type="dxa"/>
            <w:shd w:val="clear" w:color="auto" w:fill="FBD4B4" w:themeFill="accent6" w:themeFillTint="66"/>
          </w:tcPr>
          <w:p w14:paraId="57B04CD8" w14:textId="77777777" w:rsidR="00EB11F0" w:rsidRPr="003C2791" w:rsidRDefault="00EB11F0" w:rsidP="00EB11F0">
            <w:pPr>
              <w:ind w:left="34" w:hanging="34"/>
              <w:jc w:val="center"/>
              <w:rPr>
                <w:rFonts w:ascii="Calibri" w:eastAsia="Times New Roman" w:hAnsi="Calibri" w:cs="Arial"/>
                <w:sz w:val="20"/>
                <w:szCs w:val="20"/>
                <w:lang w:eastAsia="en-AU"/>
              </w:rPr>
            </w:pPr>
            <w:r w:rsidRPr="003C2791">
              <w:rPr>
                <w:rFonts w:ascii="Calibri" w:eastAsia="Times New Roman" w:hAnsi="Calibri" w:cs="Arial"/>
                <w:sz w:val="20"/>
                <w:szCs w:val="20"/>
                <w:lang w:eastAsia="en-AU"/>
              </w:rPr>
              <w:t>67%</w:t>
            </w:r>
          </w:p>
        </w:tc>
      </w:tr>
    </w:tbl>
    <w:p w14:paraId="57B04CDA" w14:textId="77777777" w:rsidR="00EB11F0" w:rsidRPr="00A61871" w:rsidRDefault="00EB11F0" w:rsidP="00EB11F0">
      <w:pPr>
        <w:pStyle w:val="ListParagraph"/>
        <w:spacing w:before="60" w:after="0" w:line="240" w:lineRule="auto"/>
        <w:ind w:left="-567"/>
        <w:contextualSpacing w:val="0"/>
        <w:rPr>
          <w:b/>
          <w:sz w:val="16"/>
          <w:szCs w:val="16"/>
          <w:vertAlign w:val="superscript"/>
        </w:rPr>
      </w:pPr>
    </w:p>
    <w:p w14:paraId="57B04CDB" w14:textId="77777777" w:rsidR="00EB11F0" w:rsidRPr="00A61871" w:rsidRDefault="00EB11F0" w:rsidP="00EB11F0">
      <w:pPr>
        <w:pStyle w:val="ListParagraph"/>
        <w:spacing w:before="60" w:after="0" w:line="240" w:lineRule="auto"/>
        <w:ind w:left="-709"/>
        <w:contextualSpacing w:val="0"/>
        <w:rPr>
          <w:rFonts w:ascii="Arial" w:hAnsi="Arial" w:cs="Arial"/>
          <w:sz w:val="20"/>
          <w:szCs w:val="16"/>
        </w:rPr>
      </w:pPr>
      <w:r w:rsidRPr="00A61871">
        <w:rPr>
          <w:rFonts w:ascii="Arial" w:hAnsi="Arial" w:cs="Arial"/>
          <w:b/>
          <w:sz w:val="20"/>
          <w:szCs w:val="16"/>
        </w:rPr>
        <w:t xml:space="preserve">Table 2. </w:t>
      </w:r>
      <w:r w:rsidRPr="00A61871">
        <w:rPr>
          <w:rFonts w:ascii="Arial" w:hAnsi="Arial" w:cs="Arial"/>
          <w:sz w:val="20"/>
          <w:szCs w:val="16"/>
        </w:rPr>
        <w:t>Number of category 2 infectious syphilis</w:t>
      </w:r>
      <w:r w:rsidRPr="00A61871">
        <w:rPr>
          <w:rFonts w:ascii="Arial" w:hAnsi="Arial" w:cs="Arial"/>
          <w:sz w:val="20"/>
          <w:szCs w:val="20"/>
          <w:vertAlign w:val="superscript"/>
        </w:rPr>
        <w:t>α</w:t>
      </w:r>
      <w:r w:rsidRPr="00A61871">
        <w:rPr>
          <w:rFonts w:ascii="Arial" w:hAnsi="Arial" w:cs="Arial"/>
          <w:sz w:val="20"/>
          <w:szCs w:val="20"/>
        </w:rPr>
        <w:t xml:space="preserve"> cases</w:t>
      </w:r>
      <w:r w:rsidRPr="00A61871">
        <w:rPr>
          <w:rFonts w:ascii="Arial" w:hAnsi="Arial" w:cs="Arial"/>
          <w:sz w:val="20"/>
          <w:szCs w:val="16"/>
        </w:rPr>
        <w:t>, to 3</w:t>
      </w:r>
      <w:r>
        <w:rPr>
          <w:rFonts w:ascii="Arial" w:hAnsi="Arial" w:cs="Arial"/>
          <w:sz w:val="20"/>
          <w:szCs w:val="16"/>
        </w:rPr>
        <w:t xml:space="preserve">0 September </w:t>
      </w:r>
      <w:r w:rsidRPr="00A61871">
        <w:rPr>
          <w:rFonts w:ascii="Arial" w:hAnsi="Arial" w:cs="Arial"/>
          <w:sz w:val="20"/>
          <w:szCs w:val="16"/>
        </w:rPr>
        <w:t>2019</w:t>
      </w:r>
      <w:r w:rsidRPr="00A61871">
        <w:rPr>
          <w:rFonts w:ascii="Arial" w:hAnsi="Arial" w:cs="Arial"/>
          <w:sz w:val="20"/>
          <w:szCs w:val="20"/>
          <w:vertAlign w:val="superscript"/>
        </w:rPr>
        <w:t xml:space="preserve"> ȶ ᵞ</w:t>
      </w:r>
      <w:r w:rsidRPr="00A61871">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EB11F0" w:rsidRPr="003C2791" w14:paraId="57B04CE2" w14:textId="77777777" w:rsidTr="00EB11F0">
        <w:trPr>
          <w:tblHeader/>
        </w:trPr>
        <w:tc>
          <w:tcPr>
            <w:tcW w:w="3964" w:type="dxa"/>
            <w:tcBorders>
              <w:bottom w:val="single" w:sz="4" w:space="0" w:color="auto"/>
            </w:tcBorders>
          </w:tcPr>
          <w:p w14:paraId="57B04CDC" w14:textId="77777777" w:rsidR="00EB11F0" w:rsidRPr="003C2791" w:rsidRDefault="00EB11F0" w:rsidP="00EB11F0">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57B04CDD" w14:textId="77777777" w:rsidR="00EB11F0" w:rsidRPr="003C2791" w:rsidRDefault="00EB11F0" w:rsidP="00EB11F0">
            <w:pPr>
              <w:pStyle w:val="ListParagraph"/>
              <w:spacing w:before="60"/>
              <w:ind w:left="0"/>
              <w:contextualSpacing w:val="0"/>
              <w:jc w:val="center"/>
              <w:rPr>
                <w:rFonts w:ascii="Calibri" w:eastAsia="Times New Roman" w:hAnsi="Calibri" w:cs="Arial"/>
                <w:b/>
                <w:sz w:val="20"/>
                <w:szCs w:val="20"/>
                <w:lang w:eastAsia="en-AU"/>
              </w:rPr>
            </w:pPr>
            <w:r w:rsidRPr="003C2791">
              <w:rPr>
                <w:rFonts w:ascii="Calibri" w:eastAsia="Times New Roman" w:hAnsi="Calibri" w:cs="Arial"/>
                <w:b/>
                <w:sz w:val="20"/>
                <w:szCs w:val="20"/>
                <w:lang w:eastAsia="en-AU"/>
              </w:rPr>
              <w:t xml:space="preserve">North Qld </w:t>
            </w:r>
            <w:r w:rsidRPr="003C2791">
              <w:rPr>
                <w:rFonts w:ascii="Calibri" w:eastAsia="Times New Roman" w:hAnsi="Calibri" w:cs="Arial"/>
                <w:b/>
                <w:sz w:val="20"/>
                <w:szCs w:val="20"/>
                <w:lang w:eastAsia="en-AU"/>
              </w:rPr>
              <w:br/>
            </w:r>
            <w:r w:rsidRPr="003C2791">
              <w:rPr>
                <w:rFonts w:ascii="Calibri" w:eastAsia="Times New Roman" w:hAnsi="Calibri" w:cs="Arial"/>
                <w:sz w:val="20"/>
                <w:szCs w:val="20"/>
                <w:lang w:eastAsia="en-AU"/>
              </w:rPr>
              <w:t>(five HHSs</w:t>
            </w:r>
            <w:r w:rsidRPr="003C2791">
              <w:rPr>
                <w:rFonts w:ascii="Calibri" w:eastAsia="Times New Roman" w:hAnsi="Calibri" w:cs="Arial"/>
                <w:sz w:val="20"/>
                <w:szCs w:val="20"/>
                <w:vertAlign w:val="superscript"/>
                <w:lang w:eastAsia="en-AU"/>
              </w:rPr>
              <w:t>β</w:t>
            </w:r>
            <w:r w:rsidRPr="003C279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CDE" w14:textId="77777777" w:rsidR="00EB11F0" w:rsidRPr="003C2791" w:rsidRDefault="00EB11F0" w:rsidP="00EB11F0">
            <w:pPr>
              <w:pStyle w:val="ListParagraph"/>
              <w:spacing w:before="60"/>
              <w:ind w:left="0"/>
              <w:contextualSpacing w:val="0"/>
              <w:jc w:val="center"/>
              <w:rPr>
                <w:rFonts w:ascii="Calibri" w:hAnsi="Calibri"/>
                <w:b/>
                <w:sz w:val="20"/>
                <w:szCs w:val="16"/>
              </w:rPr>
            </w:pPr>
            <w:r w:rsidRPr="003C2791">
              <w:rPr>
                <w:rFonts w:ascii="Calibri" w:eastAsia="Times New Roman" w:hAnsi="Calibri" w:cs="Arial"/>
                <w:b/>
                <w:sz w:val="20"/>
                <w:szCs w:val="20"/>
                <w:lang w:eastAsia="en-AU"/>
              </w:rPr>
              <w:t xml:space="preserve">NT </w:t>
            </w:r>
            <w:r w:rsidRPr="003C2791">
              <w:rPr>
                <w:rFonts w:ascii="Calibri" w:eastAsia="Times New Roman" w:hAnsi="Calibri" w:cs="Arial"/>
                <w:b/>
                <w:sz w:val="20"/>
                <w:szCs w:val="20"/>
                <w:lang w:eastAsia="en-AU"/>
              </w:rPr>
              <w:br/>
            </w:r>
            <w:r w:rsidRPr="003C2791">
              <w:rPr>
                <w:rFonts w:ascii="Calibri" w:eastAsia="Times New Roman" w:hAnsi="Calibri" w:cs="Arial"/>
                <w:sz w:val="20"/>
                <w:szCs w:val="20"/>
                <w:lang w:eastAsia="en-AU"/>
              </w:rPr>
              <w:t>(seven regions</w:t>
            </w:r>
            <w:r w:rsidRPr="003C2791">
              <w:rPr>
                <w:rFonts w:ascii="Calibri" w:eastAsia="Times New Roman" w:hAnsi="Calibri" w:cs="Arial"/>
                <w:sz w:val="20"/>
                <w:szCs w:val="20"/>
                <w:vertAlign w:val="superscript"/>
                <w:lang w:eastAsia="en-AU"/>
              </w:rPr>
              <w:t xml:space="preserve"> β</w:t>
            </w:r>
            <w:r w:rsidRPr="003C279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CDF" w14:textId="77777777" w:rsidR="00EB11F0" w:rsidRPr="003C2791" w:rsidRDefault="00EB11F0" w:rsidP="00EB11F0">
            <w:pPr>
              <w:pStyle w:val="ListParagraph"/>
              <w:spacing w:before="60"/>
              <w:ind w:left="0"/>
              <w:contextualSpacing w:val="0"/>
              <w:jc w:val="center"/>
              <w:rPr>
                <w:rFonts w:ascii="Calibri" w:hAnsi="Calibri"/>
                <w:b/>
                <w:sz w:val="20"/>
                <w:szCs w:val="16"/>
              </w:rPr>
            </w:pPr>
            <w:r w:rsidRPr="003C2791">
              <w:rPr>
                <w:rFonts w:ascii="Calibri" w:eastAsia="Times New Roman" w:hAnsi="Calibri" w:cs="Arial"/>
                <w:b/>
                <w:sz w:val="20"/>
                <w:szCs w:val="20"/>
                <w:lang w:eastAsia="en-AU"/>
              </w:rPr>
              <w:t>WA</w:t>
            </w:r>
            <w:r w:rsidRPr="003C2791">
              <w:rPr>
                <w:rFonts w:ascii="Calibri" w:eastAsia="Times New Roman" w:hAnsi="Calibri" w:cs="Arial"/>
                <w:b/>
                <w:sz w:val="20"/>
                <w:szCs w:val="20"/>
                <w:lang w:eastAsia="en-AU"/>
              </w:rPr>
              <w:br/>
            </w:r>
            <w:r w:rsidRPr="003C2791">
              <w:rPr>
                <w:rFonts w:ascii="Calibri" w:eastAsia="Times New Roman" w:hAnsi="Calibri" w:cs="Arial"/>
                <w:sz w:val="20"/>
                <w:szCs w:val="20"/>
                <w:lang w:eastAsia="en-AU"/>
              </w:rPr>
              <w:t xml:space="preserve"> (three regions</w:t>
            </w:r>
            <w:r w:rsidRPr="003C2791">
              <w:rPr>
                <w:rFonts w:ascii="Calibri" w:eastAsia="Times New Roman" w:hAnsi="Calibri" w:cs="Arial"/>
                <w:sz w:val="20"/>
                <w:szCs w:val="20"/>
                <w:vertAlign w:val="superscript"/>
                <w:lang w:eastAsia="en-AU"/>
              </w:rPr>
              <w:t xml:space="preserve"> β</w:t>
            </w:r>
            <w:r w:rsidRPr="003C279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CE0" w14:textId="77777777" w:rsidR="00EB11F0" w:rsidRPr="003C2791" w:rsidRDefault="00EB11F0" w:rsidP="00EB11F0">
            <w:pPr>
              <w:ind w:left="34" w:hanging="34"/>
              <w:jc w:val="center"/>
              <w:rPr>
                <w:rFonts w:ascii="Calibri" w:eastAsia="Times New Roman" w:hAnsi="Calibri" w:cs="Arial"/>
                <w:b/>
                <w:sz w:val="20"/>
                <w:szCs w:val="20"/>
                <w:lang w:eastAsia="en-AU"/>
              </w:rPr>
            </w:pPr>
            <w:r w:rsidRPr="003C2791">
              <w:rPr>
                <w:rFonts w:ascii="Calibri" w:eastAsia="Times New Roman" w:hAnsi="Calibri" w:cs="Arial"/>
                <w:b/>
                <w:sz w:val="20"/>
                <w:szCs w:val="20"/>
                <w:lang w:eastAsia="en-AU"/>
              </w:rPr>
              <w:t>SA</w:t>
            </w:r>
          </w:p>
          <w:p w14:paraId="57B04CE1" w14:textId="77777777" w:rsidR="00EB11F0" w:rsidRPr="003C2791" w:rsidRDefault="00EB11F0" w:rsidP="00EB11F0">
            <w:pPr>
              <w:pStyle w:val="ListParagraph"/>
              <w:spacing w:before="60"/>
              <w:ind w:left="0"/>
              <w:contextualSpacing w:val="0"/>
              <w:jc w:val="center"/>
              <w:rPr>
                <w:rFonts w:ascii="Calibri" w:hAnsi="Calibri"/>
                <w:b/>
                <w:sz w:val="20"/>
                <w:szCs w:val="16"/>
              </w:rPr>
            </w:pPr>
            <w:r w:rsidRPr="003C2791">
              <w:rPr>
                <w:rFonts w:ascii="Calibri" w:eastAsia="Times New Roman" w:hAnsi="Calibri" w:cs="Arial"/>
                <w:sz w:val="20"/>
                <w:szCs w:val="20"/>
                <w:lang w:eastAsia="en-AU"/>
              </w:rPr>
              <w:t>(three regions</w:t>
            </w:r>
            <w:r w:rsidRPr="003C2791">
              <w:rPr>
                <w:rFonts w:ascii="Calibri" w:eastAsia="Times New Roman" w:hAnsi="Calibri" w:cs="Arial"/>
                <w:sz w:val="20"/>
                <w:szCs w:val="20"/>
                <w:vertAlign w:val="superscript"/>
                <w:lang w:eastAsia="en-AU"/>
              </w:rPr>
              <w:t xml:space="preserve"> β</w:t>
            </w:r>
            <w:r w:rsidRPr="003C2791">
              <w:rPr>
                <w:rFonts w:ascii="Calibri" w:eastAsia="Times New Roman" w:hAnsi="Calibri" w:cs="Arial"/>
                <w:sz w:val="20"/>
                <w:szCs w:val="20"/>
                <w:lang w:eastAsia="en-AU"/>
              </w:rPr>
              <w:t>)</w:t>
            </w:r>
          </w:p>
        </w:tc>
      </w:tr>
      <w:tr w:rsidR="00EB11F0" w:rsidRPr="003C2791" w14:paraId="57B04CE4" w14:textId="77777777" w:rsidTr="00EB11F0">
        <w:tc>
          <w:tcPr>
            <w:tcW w:w="10456" w:type="dxa"/>
            <w:gridSpan w:val="5"/>
            <w:shd w:val="clear" w:color="auto" w:fill="DBE5F1" w:themeFill="accent1" w:themeFillTint="33"/>
          </w:tcPr>
          <w:p w14:paraId="57B04CE3" w14:textId="77777777" w:rsidR="00EB11F0" w:rsidRPr="003C2791" w:rsidRDefault="00EB11F0" w:rsidP="00EB11F0">
            <w:pPr>
              <w:pStyle w:val="ListParagraph"/>
              <w:spacing w:before="60"/>
              <w:ind w:left="0"/>
              <w:contextualSpacing w:val="0"/>
              <w:rPr>
                <w:b/>
                <w:sz w:val="16"/>
                <w:szCs w:val="16"/>
              </w:rPr>
            </w:pPr>
            <w:r w:rsidRPr="003C2791">
              <w:rPr>
                <w:b/>
                <w:sz w:val="20"/>
                <w:szCs w:val="16"/>
              </w:rPr>
              <w:t xml:space="preserve">Situation to-date, </w:t>
            </w:r>
            <w:r w:rsidRPr="003C2791">
              <w:rPr>
                <w:rFonts w:ascii="Calibri" w:eastAsia="Times New Roman" w:hAnsi="Calibri" w:cs="Arial"/>
                <w:b/>
                <w:sz w:val="20"/>
                <w:szCs w:val="20"/>
                <w:lang w:eastAsia="en-AU"/>
              </w:rPr>
              <w:t>30 September 2019</w:t>
            </w:r>
          </w:p>
        </w:tc>
      </w:tr>
      <w:tr w:rsidR="00EB11F0" w:rsidRPr="003C2791" w14:paraId="57B04CEA" w14:textId="77777777" w:rsidTr="00EB11F0">
        <w:tc>
          <w:tcPr>
            <w:tcW w:w="3964" w:type="dxa"/>
            <w:shd w:val="clear" w:color="auto" w:fill="auto"/>
          </w:tcPr>
          <w:p w14:paraId="57B04CE5" w14:textId="77777777" w:rsidR="00EB11F0" w:rsidRPr="003C2791" w:rsidRDefault="00EB11F0" w:rsidP="00EB11F0">
            <w:pPr>
              <w:pStyle w:val="ListParagraph"/>
              <w:spacing w:before="60"/>
              <w:ind w:left="0"/>
              <w:contextualSpacing w:val="0"/>
              <w:rPr>
                <w:sz w:val="20"/>
                <w:szCs w:val="16"/>
              </w:rPr>
            </w:pPr>
            <w:r w:rsidRPr="003C2791">
              <w:rPr>
                <w:sz w:val="20"/>
                <w:szCs w:val="16"/>
              </w:rPr>
              <w:t>Outbreak commencement month/year</w:t>
            </w:r>
          </w:p>
        </w:tc>
        <w:tc>
          <w:tcPr>
            <w:tcW w:w="1701" w:type="dxa"/>
            <w:shd w:val="clear" w:color="auto" w:fill="B8CCE4" w:themeFill="accent1" w:themeFillTint="66"/>
          </w:tcPr>
          <w:p w14:paraId="57B04CE6"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January 2011</w:t>
            </w:r>
          </w:p>
        </w:tc>
        <w:tc>
          <w:tcPr>
            <w:tcW w:w="1560" w:type="dxa"/>
            <w:shd w:val="clear" w:color="auto" w:fill="B6DDE8" w:themeFill="accent5" w:themeFillTint="66"/>
          </w:tcPr>
          <w:p w14:paraId="57B04CE7"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July 2013</w:t>
            </w:r>
          </w:p>
        </w:tc>
        <w:tc>
          <w:tcPr>
            <w:tcW w:w="1672" w:type="dxa"/>
            <w:shd w:val="clear" w:color="auto" w:fill="CCC0D9" w:themeFill="accent4" w:themeFillTint="66"/>
          </w:tcPr>
          <w:p w14:paraId="57B04CE8"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June 2014</w:t>
            </w:r>
          </w:p>
        </w:tc>
        <w:tc>
          <w:tcPr>
            <w:tcW w:w="1559" w:type="dxa"/>
            <w:shd w:val="clear" w:color="auto" w:fill="FBD4B4" w:themeFill="accent6" w:themeFillTint="66"/>
          </w:tcPr>
          <w:p w14:paraId="57B04CE9"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November 2016</w:t>
            </w:r>
          </w:p>
        </w:tc>
      </w:tr>
      <w:tr w:rsidR="00EB11F0" w:rsidRPr="003C2791" w14:paraId="57B04CF0" w14:textId="77777777" w:rsidTr="00EB11F0">
        <w:tc>
          <w:tcPr>
            <w:tcW w:w="3964" w:type="dxa"/>
            <w:shd w:val="clear" w:color="auto" w:fill="auto"/>
          </w:tcPr>
          <w:p w14:paraId="57B04CEB" w14:textId="77777777" w:rsidR="00EB11F0" w:rsidRPr="003C2791" w:rsidRDefault="00EB11F0" w:rsidP="00EB11F0">
            <w:pPr>
              <w:pStyle w:val="ListParagraph"/>
              <w:spacing w:before="60"/>
              <w:ind w:left="0"/>
              <w:contextualSpacing w:val="0"/>
              <w:rPr>
                <w:sz w:val="16"/>
                <w:szCs w:val="16"/>
              </w:rPr>
            </w:pPr>
            <w:r w:rsidRPr="003C2791">
              <w:rPr>
                <w:sz w:val="20"/>
                <w:szCs w:val="16"/>
              </w:rPr>
              <w:t>Aboriginal and Torres Strait Islander people</w:t>
            </w:r>
            <w:r w:rsidRPr="003C2791">
              <w:rPr>
                <w:rFonts w:ascii="Agency FB" w:hAnsi="Agency FB"/>
                <w:sz w:val="20"/>
                <w:szCs w:val="16"/>
                <w:vertAlign w:val="superscript"/>
              </w:rPr>
              <w:t>§</w:t>
            </w:r>
          </w:p>
        </w:tc>
        <w:tc>
          <w:tcPr>
            <w:tcW w:w="1701" w:type="dxa"/>
            <w:shd w:val="clear" w:color="auto" w:fill="B8CCE4" w:themeFill="accent1" w:themeFillTint="66"/>
          </w:tcPr>
          <w:p w14:paraId="57B04CEC"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13</w:t>
            </w:r>
          </w:p>
        </w:tc>
        <w:tc>
          <w:tcPr>
            <w:tcW w:w="1560" w:type="dxa"/>
            <w:shd w:val="clear" w:color="auto" w:fill="B6DDE8" w:themeFill="accent5" w:themeFillTint="66"/>
          </w:tcPr>
          <w:p w14:paraId="57B04CED"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2</w:t>
            </w:r>
          </w:p>
        </w:tc>
        <w:tc>
          <w:tcPr>
            <w:tcW w:w="1672" w:type="dxa"/>
            <w:shd w:val="clear" w:color="auto" w:fill="CCC0D9" w:themeFill="accent4" w:themeFillTint="66"/>
            <w:vAlign w:val="center"/>
          </w:tcPr>
          <w:p w14:paraId="57B04CEE"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c>
          <w:tcPr>
            <w:tcW w:w="1559" w:type="dxa"/>
            <w:shd w:val="clear" w:color="auto" w:fill="FBD4B4" w:themeFill="accent6" w:themeFillTint="66"/>
          </w:tcPr>
          <w:p w14:paraId="57B04CEF"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r>
      <w:tr w:rsidR="00EB11F0" w:rsidRPr="003C2791" w14:paraId="57B04CF6" w14:textId="77777777" w:rsidTr="00EB11F0">
        <w:tc>
          <w:tcPr>
            <w:tcW w:w="3964" w:type="dxa"/>
            <w:tcBorders>
              <w:bottom w:val="single" w:sz="4" w:space="0" w:color="auto"/>
            </w:tcBorders>
            <w:shd w:val="clear" w:color="auto" w:fill="auto"/>
          </w:tcPr>
          <w:p w14:paraId="57B04CF1" w14:textId="77777777" w:rsidR="00EB11F0" w:rsidRPr="003C2791" w:rsidRDefault="00EB11F0" w:rsidP="00EB11F0">
            <w:pPr>
              <w:pStyle w:val="ListParagraph"/>
              <w:spacing w:before="60"/>
              <w:ind w:left="0"/>
              <w:contextualSpacing w:val="0"/>
              <w:rPr>
                <w:sz w:val="16"/>
                <w:szCs w:val="16"/>
              </w:rPr>
            </w:pPr>
            <w:r w:rsidRPr="003C2791">
              <w:rPr>
                <w:sz w:val="20"/>
                <w:szCs w:val="16"/>
              </w:rPr>
              <w:t>Non-Indigenous people</w:t>
            </w:r>
            <w:r w:rsidRPr="003C2791">
              <w:rPr>
                <w:sz w:val="20"/>
                <w:szCs w:val="16"/>
                <w:vertAlign w:val="superscript"/>
              </w:rPr>
              <w:t>µ</w:t>
            </w:r>
          </w:p>
        </w:tc>
        <w:tc>
          <w:tcPr>
            <w:tcW w:w="1701" w:type="dxa"/>
            <w:tcBorders>
              <w:bottom w:val="single" w:sz="4" w:space="0" w:color="auto"/>
            </w:tcBorders>
            <w:shd w:val="clear" w:color="auto" w:fill="B8CCE4" w:themeFill="accent1" w:themeFillTint="66"/>
          </w:tcPr>
          <w:p w14:paraId="57B04CF2"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20</w:t>
            </w:r>
          </w:p>
        </w:tc>
        <w:tc>
          <w:tcPr>
            <w:tcW w:w="1560" w:type="dxa"/>
            <w:tcBorders>
              <w:bottom w:val="single" w:sz="4" w:space="0" w:color="auto"/>
            </w:tcBorders>
            <w:shd w:val="clear" w:color="auto" w:fill="B6DDE8" w:themeFill="accent5" w:themeFillTint="66"/>
          </w:tcPr>
          <w:p w14:paraId="57B04CF3"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10</w:t>
            </w:r>
          </w:p>
        </w:tc>
        <w:tc>
          <w:tcPr>
            <w:tcW w:w="1672" w:type="dxa"/>
            <w:tcBorders>
              <w:bottom w:val="single" w:sz="4" w:space="0" w:color="auto"/>
            </w:tcBorders>
            <w:shd w:val="clear" w:color="auto" w:fill="CCC0D9" w:themeFill="accent4" w:themeFillTint="66"/>
            <w:vAlign w:val="center"/>
          </w:tcPr>
          <w:p w14:paraId="57B04CF4"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c>
          <w:tcPr>
            <w:tcW w:w="1559" w:type="dxa"/>
            <w:tcBorders>
              <w:bottom w:val="single" w:sz="4" w:space="0" w:color="auto"/>
            </w:tcBorders>
            <w:shd w:val="clear" w:color="auto" w:fill="FBD4B4" w:themeFill="accent6" w:themeFillTint="66"/>
          </w:tcPr>
          <w:p w14:paraId="57B04CF5"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2</w:t>
            </w:r>
          </w:p>
        </w:tc>
      </w:tr>
      <w:tr w:rsidR="00EB11F0" w:rsidRPr="003C2791" w14:paraId="57B04CF8" w14:textId="77777777" w:rsidTr="00EB11F0">
        <w:tc>
          <w:tcPr>
            <w:tcW w:w="10456" w:type="dxa"/>
            <w:gridSpan w:val="5"/>
            <w:shd w:val="clear" w:color="auto" w:fill="DBE5F1" w:themeFill="accent1" w:themeFillTint="33"/>
            <w:vAlign w:val="center"/>
          </w:tcPr>
          <w:p w14:paraId="57B04CF7" w14:textId="77777777" w:rsidR="00EB11F0" w:rsidRPr="003C2791" w:rsidRDefault="00EB11F0" w:rsidP="00EB11F0">
            <w:pPr>
              <w:pStyle w:val="ListParagraph"/>
              <w:spacing w:before="60"/>
              <w:ind w:left="0"/>
              <w:contextualSpacing w:val="0"/>
              <w:rPr>
                <w:b/>
                <w:sz w:val="20"/>
                <w:szCs w:val="16"/>
              </w:rPr>
            </w:pPr>
            <w:r w:rsidRPr="003C2791">
              <w:rPr>
                <w:b/>
                <w:sz w:val="20"/>
                <w:szCs w:val="16"/>
              </w:rPr>
              <w:t xml:space="preserve">Last reporting month, 1 </w:t>
            </w:r>
            <w:r w:rsidRPr="003C2791">
              <w:rPr>
                <w:rFonts w:ascii="Calibri" w:eastAsia="Times New Roman" w:hAnsi="Calibri" w:cs="Arial"/>
                <w:b/>
                <w:sz w:val="20"/>
                <w:szCs w:val="20"/>
                <w:lang w:eastAsia="en-AU"/>
              </w:rPr>
              <w:t>–</w:t>
            </w:r>
            <w:r w:rsidRPr="003C2791">
              <w:rPr>
                <w:b/>
                <w:sz w:val="20"/>
                <w:szCs w:val="16"/>
              </w:rPr>
              <w:t xml:space="preserve"> </w:t>
            </w:r>
            <w:r w:rsidRPr="003C2791">
              <w:rPr>
                <w:rFonts w:ascii="Calibri" w:eastAsia="Times New Roman" w:hAnsi="Calibri" w:cs="Arial"/>
                <w:b/>
                <w:sz w:val="20"/>
                <w:szCs w:val="20"/>
                <w:lang w:eastAsia="en-AU"/>
              </w:rPr>
              <w:t>30 September 2019</w:t>
            </w:r>
          </w:p>
        </w:tc>
      </w:tr>
      <w:tr w:rsidR="00EB11F0" w:rsidRPr="003C2791" w14:paraId="57B04CFE" w14:textId="77777777" w:rsidTr="00EB11F0">
        <w:trPr>
          <w:trHeight w:val="85"/>
        </w:trPr>
        <w:tc>
          <w:tcPr>
            <w:tcW w:w="3964" w:type="dxa"/>
            <w:shd w:val="clear" w:color="auto" w:fill="auto"/>
          </w:tcPr>
          <w:p w14:paraId="57B04CF9" w14:textId="77777777" w:rsidR="00EB11F0" w:rsidRPr="003C2791" w:rsidRDefault="00EB11F0" w:rsidP="00EB11F0">
            <w:pPr>
              <w:pStyle w:val="ListParagraph"/>
              <w:spacing w:before="60"/>
              <w:ind w:left="0"/>
              <w:contextualSpacing w:val="0"/>
              <w:rPr>
                <w:sz w:val="16"/>
                <w:szCs w:val="16"/>
              </w:rPr>
            </w:pPr>
            <w:r w:rsidRPr="003C2791">
              <w:rPr>
                <w:sz w:val="20"/>
                <w:szCs w:val="16"/>
              </w:rPr>
              <w:t>Aboriginal and Torres Strait Islander people</w:t>
            </w:r>
            <w:r w:rsidRPr="003C2791">
              <w:rPr>
                <w:rFonts w:ascii="Agency FB" w:hAnsi="Agency FB"/>
                <w:sz w:val="20"/>
                <w:szCs w:val="16"/>
                <w:vertAlign w:val="superscript"/>
              </w:rPr>
              <w:t>§</w:t>
            </w:r>
          </w:p>
        </w:tc>
        <w:tc>
          <w:tcPr>
            <w:tcW w:w="1701" w:type="dxa"/>
            <w:shd w:val="clear" w:color="auto" w:fill="B8CCE4" w:themeFill="accent1" w:themeFillTint="66"/>
          </w:tcPr>
          <w:p w14:paraId="57B04CFA"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c>
          <w:tcPr>
            <w:tcW w:w="1560" w:type="dxa"/>
            <w:shd w:val="clear" w:color="auto" w:fill="B6DDE8" w:themeFill="accent5" w:themeFillTint="66"/>
          </w:tcPr>
          <w:p w14:paraId="57B04CFB"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c>
          <w:tcPr>
            <w:tcW w:w="1672" w:type="dxa"/>
            <w:shd w:val="clear" w:color="auto" w:fill="CCC0D9" w:themeFill="accent4" w:themeFillTint="66"/>
            <w:vAlign w:val="center"/>
          </w:tcPr>
          <w:p w14:paraId="57B04CFC"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c>
          <w:tcPr>
            <w:tcW w:w="1559" w:type="dxa"/>
            <w:shd w:val="clear" w:color="auto" w:fill="FBD4B4" w:themeFill="accent6" w:themeFillTint="66"/>
          </w:tcPr>
          <w:p w14:paraId="57B04CFD"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r>
      <w:tr w:rsidR="00EB11F0" w:rsidRPr="00F03247" w14:paraId="57B04D04" w14:textId="77777777" w:rsidTr="00EB11F0">
        <w:tc>
          <w:tcPr>
            <w:tcW w:w="3964" w:type="dxa"/>
            <w:shd w:val="clear" w:color="auto" w:fill="auto"/>
          </w:tcPr>
          <w:p w14:paraId="57B04CFF" w14:textId="77777777" w:rsidR="00EB11F0" w:rsidRPr="003C2791" w:rsidRDefault="00EB11F0" w:rsidP="00EB11F0">
            <w:pPr>
              <w:pStyle w:val="ListParagraph"/>
              <w:spacing w:before="60"/>
              <w:ind w:left="0"/>
              <w:contextualSpacing w:val="0"/>
              <w:rPr>
                <w:sz w:val="16"/>
                <w:szCs w:val="16"/>
              </w:rPr>
            </w:pPr>
            <w:r w:rsidRPr="003C2791">
              <w:rPr>
                <w:sz w:val="20"/>
                <w:szCs w:val="16"/>
              </w:rPr>
              <w:t>Non-Indigenous people</w:t>
            </w:r>
            <w:r w:rsidRPr="003C2791">
              <w:rPr>
                <w:sz w:val="20"/>
                <w:szCs w:val="16"/>
                <w:vertAlign w:val="superscript"/>
              </w:rPr>
              <w:t>µ</w:t>
            </w:r>
          </w:p>
        </w:tc>
        <w:tc>
          <w:tcPr>
            <w:tcW w:w="1701" w:type="dxa"/>
            <w:shd w:val="clear" w:color="auto" w:fill="B8CCE4" w:themeFill="accent1" w:themeFillTint="66"/>
          </w:tcPr>
          <w:p w14:paraId="57B04D00"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c>
          <w:tcPr>
            <w:tcW w:w="1560" w:type="dxa"/>
            <w:shd w:val="clear" w:color="auto" w:fill="B6DDE8" w:themeFill="accent5" w:themeFillTint="66"/>
          </w:tcPr>
          <w:p w14:paraId="57B04D01" w14:textId="77777777" w:rsidR="00EB11F0" w:rsidRPr="003C2791" w:rsidRDefault="00EB11F0" w:rsidP="00EB11F0">
            <w:pPr>
              <w:pStyle w:val="ListParagraph"/>
              <w:spacing w:before="60"/>
              <w:ind w:left="0"/>
              <w:contextualSpacing w:val="0"/>
              <w:jc w:val="center"/>
              <w:rPr>
                <w:sz w:val="20"/>
                <w:szCs w:val="16"/>
              </w:rPr>
            </w:pPr>
            <w:r w:rsidRPr="003C2791">
              <w:rPr>
                <w:sz w:val="20"/>
                <w:szCs w:val="16"/>
              </w:rPr>
              <w:t>-</w:t>
            </w:r>
          </w:p>
        </w:tc>
        <w:tc>
          <w:tcPr>
            <w:tcW w:w="1672" w:type="dxa"/>
            <w:shd w:val="clear" w:color="auto" w:fill="CCC0D9" w:themeFill="accent4" w:themeFillTint="66"/>
            <w:vAlign w:val="center"/>
          </w:tcPr>
          <w:p w14:paraId="57B04D02" w14:textId="77777777" w:rsidR="00EB11F0" w:rsidRPr="003C2791" w:rsidRDefault="00EB11F0" w:rsidP="00EB11F0">
            <w:pPr>
              <w:pStyle w:val="ListParagraph"/>
              <w:spacing w:before="60"/>
              <w:ind w:left="0"/>
              <w:contextualSpacing w:val="0"/>
              <w:jc w:val="center"/>
              <w:rPr>
                <w:b/>
                <w:sz w:val="16"/>
                <w:szCs w:val="16"/>
              </w:rPr>
            </w:pPr>
            <w:r w:rsidRPr="003C2791">
              <w:rPr>
                <w:b/>
                <w:sz w:val="16"/>
                <w:szCs w:val="16"/>
              </w:rPr>
              <w:t>-</w:t>
            </w:r>
          </w:p>
        </w:tc>
        <w:tc>
          <w:tcPr>
            <w:tcW w:w="1559" w:type="dxa"/>
            <w:shd w:val="clear" w:color="auto" w:fill="FBD4B4" w:themeFill="accent6" w:themeFillTint="66"/>
          </w:tcPr>
          <w:p w14:paraId="57B04D03" w14:textId="77777777" w:rsidR="00EB11F0" w:rsidRPr="00A94758" w:rsidRDefault="00EB11F0" w:rsidP="00EB11F0">
            <w:pPr>
              <w:pStyle w:val="ListParagraph"/>
              <w:spacing w:before="60"/>
              <w:ind w:left="0"/>
              <w:contextualSpacing w:val="0"/>
              <w:jc w:val="center"/>
              <w:rPr>
                <w:sz w:val="20"/>
                <w:szCs w:val="16"/>
              </w:rPr>
            </w:pPr>
            <w:r w:rsidRPr="003C2791">
              <w:rPr>
                <w:sz w:val="20"/>
                <w:szCs w:val="16"/>
              </w:rPr>
              <w:t>-</w:t>
            </w:r>
          </w:p>
        </w:tc>
      </w:tr>
    </w:tbl>
    <w:p w14:paraId="57B04D05" w14:textId="77777777" w:rsidR="00EB11F0" w:rsidRPr="00F03247" w:rsidRDefault="00EB11F0" w:rsidP="00EB11F0">
      <w:pPr>
        <w:pStyle w:val="ListParagraph"/>
        <w:spacing w:before="60" w:after="0" w:line="240" w:lineRule="auto"/>
        <w:ind w:left="-567"/>
        <w:contextualSpacing w:val="0"/>
        <w:rPr>
          <w:b/>
          <w:sz w:val="16"/>
          <w:szCs w:val="16"/>
        </w:rPr>
      </w:pPr>
    </w:p>
    <w:p w14:paraId="57B04D06" w14:textId="77777777" w:rsidR="00EB11F0" w:rsidRPr="00F03247" w:rsidRDefault="00EB11F0" w:rsidP="00EB11F0">
      <w:pPr>
        <w:pStyle w:val="ListParagraph"/>
        <w:spacing w:before="60" w:after="0" w:line="240" w:lineRule="auto"/>
        <w:ind w:left="-709"/>
        <w:contextualSpacing w:val="0"/>
        <w:jc w:val="both"/>
        <w:rPr>
          <w:b/>
          <w:sz w:val="16"/>
          <w:szCs w:val="16"/>
        </w:rPr>
      </w:pPr>
      <w:r w:rsidRPr="00F03247">
        <w:rPr>
          <w:b/>
          <w:sz w:val="16"/>
          <w:szCs w:val="16"/>
        </w:rPr>
        <w:t>Notes:</w:t>
      </w:r>
    </w:p>
    <w:p w14:paraId="57B04D07" w14:textId="77777777" w:rsidR="00EB11F0" w:rsidRPr="00F03247" w:rsidRDefault="00EB11F0" w:rsidP="00EB11F0">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D08" w14:textId="77777777" w:rsidR="00EB11F0" w:rsidRPr="00F03247" w:rsidRDefault="00EB11F0" w:rsidP="00EB11F0">
      <w:pPr>
        <w:pStyle w:val="ListParagraph"/>
        <w:spacing w:after="0" w:line="240" w:lineRule="auto"/>
        <w:ind w:left="-567" w:right="119"/>
        <w:contextualSpacing w:val="0"/>
        <w:rPr>
          <w:sz w:val="16"/>
          <w:szCs w:val="16"/>
        </w:rPr>
      </w:pPr>
      <w:proofErr w:type="gramStart"/>
      <w:r w:rsidRPr="00F03247">
        <w:rPr>
          <w:b/>
          <w:sz w:val="16"/>
          <w:szCs w:val="16"/>
          <w:vertAlign w:val="superscript"/>
        </w:rPr>
        <w:t>α</w:t>
      </w:r>
      <w:proofErr w:type="gramEnd"/>
      <w:r w:rsidRPr="00F03247">
        <w:rPr>
          <w:sz w:val="16"/>
          <w:szCs w:val="16"/>
        </w:rPr>
        <w:t xml:space="preserve"> Cases defined as per the MJSO syphilis outbreak case definition: </w:t>
      </w:r>
    </w:p>
    <w:p w14:paraId="57B04D09" w14:textId="77777777" w:rsidR="00EB11F0" w:rsidRPr="00F03247" w:rsidRDefault="00EB11F0" w:rsidP="00EB11F0">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 xml:space="preserve">and Health Service area (from 1 December 2012); Cairns and Hinterland Hospital and Health Service area (from1 August 2013); Townsville Hospital and Health Service area (from 1 January 2014); Central Queensland Hospital and Health Service  area (from 1 June 2017) </w:t>
      </w:r>
      <w:r w:rsidRPr="00546B60">
        <w:rPr>
          <w:b/>
          <w:i/>
          <w:sz w:val="16"/>
          <w:szCs w:val="16"/>
        </w:rPr>
        <w:t>NT</w:t>
      </w:r>
      <w:r w:rsidRPr="00546B60">
        <w:rPr>
          <w:sz w:val="16"/>
          <w:szCs w:val="16"/>
        </w:rPr>
        <w:t xml:space="preserve"> - Alice Springs Rural and Urban 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 Pilbara region (from 1 February 2018); Goldfields region (from 1 January 2019); </w:t>
      </w:r>
      <w:r w:rsidRPr="00F03247">
        <w:rPr>
          <w:b/>
          <w:i/>
          <w:sz w:val="16"/>
          <w:szCs w:val="16"/>
        </w:rPr>
        <w:t>SA</w:t>
      </w:r>
      <w:r w:rsidRPr="00F03247">
        <w:rPr>
          <w:b/>
          <w:sz w:val="16"/>
          <w:szCs w:val="16"/>
        </w:rPr>
        <w:t xml:space="preserve"> </w:t>
      </w:r>
      <w:r w:rsidRPr="00F03247">
        <w:rPr>
          <w:sz w:val="16"/>
          <w:szCs w:val="16"/>
        </w:rPr>
        <w:t xml:space="preserve"> - Far North and Western and Eyre regions (from 15 November 2016); Adelaide (from 1 February 2018) (category 1 outbreak cases) </w:t>
      </w:r>
      <w:r w:rsidRPr="00F03247">
        <w:rPr>
          <w:b/>
          <w:sz w:val="16"/>
          <w:szCs w:val="16"/>
        </w:rPr>
        <w:t>OR</w:t>
      </w:r>
      <w:r w:rsidRPr="00F03247">
        <w:rPr>
          <w:sz w:val="16"/>
          <w:szCs w:val="16"/>
        </w:rPr>
        <w:t xml:space="preserve">,  is a sexual contact of a confirmed outbreak case (category 2 outbreak cases). </w:t>
      </w:r>
    </w:p>
    <w:p w14:paraId="57B04D0A" w14:textId="77777777" w:rsidR="00EB11F0" w:rsidRPr="00F03247" w:rsidRDefault="00EB11F0" w:rsidP="00EB11F0">
      <w:pPr>
        <w:spacing w:after="0" w:line="240" w:lineRule="auto"/>
        <w:ind w:left="-426" w:right="119" w:hanging="141"/>
        <w:rPr>
          <w:sz w:val="16"/>
          <w:szCs w:val="16"/>
        </w:rPr>
      </w:pPr>
      <w:proofErr w:type="gramStart"/>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Pr>
          <w:sz w:val="16"/>
          <w:szCs w:val="16"/>
        </w:rPr>
        <w:t xml:space="preserve"> and Central Queensland</w:t>
      </w:r>
      <w:r w:rsidRPr="00F03247">
        <w:rPr>
          <w:sz w:val="16"/>
          <w:szCs w:val="16"/>
        </w:rPr>
        <w:t xml:space="preserve"> Hospital and Health Services in Queensland; Alice Springs Urban, Alice Springs Rural, Barkly, East Arnhem, Katherine, Darwin Urban and Darwin Rural regions in the Northern Territory;  Kimberley, Pilbara and Goldfield regions in Western Australia, and; Far North, Western and Eyre and Adelaide regions in South Australia.</w:t>
      </w:r>
      <w:proofErr w:type="gramEnd"/>
    </w:p>
    <w:p w14:paraId="57B04D0B" w14:textId="77777777" w:rsidR="00EB11F0" w:rsidRPr="00F03247" w:rsidRDefault="00EB11F0" w:rsidP="00EB11F0">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D0C" w14:textId="77777777" w:rsidR="00EB11F0" w:rsidRPr="00F03247" w:rsidRDefault="00EB11F0" w:rsidP="00EB11F0">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Aboriginal and Torres Strait Islander people who are sexual contacts of a confirmed outbreak case and reside outside an outbreak declared region at the time of diagnosis.</w:t>
      </w:r>
    </w:p>
    <w:p w14:paraId="57B04D0D" w14:textId="77777777" w:rsidR="00EB11F0" w:rsidRPr="00F03247" w:rsidRDefault="00EB11F0" w:rsidP="00EB11F0">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Non-Indigenous people who are sexual contacts of a confirmed outbreak case and reside in or out of an outbreak declared region at the time of diagnosis.</w:t>
      </w:r>
    </w:p>
    <w:p w14:paraId="57B04D0E" w14:textId="77777777" w:rsidR="00EB11F0" w:rsidRPr="00216285" w:rsidRDefault="00EB11F0" w:rsidP="00EB11F0">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proofErr w:type="gramStart"/>
      <w:r w:rsidRPr="00F03247">
        <w:rPr>
          <w:sz w:val="16"/>
          <w:szCs w:val="16"/>
          <w:u w:val="single"/>
        </w:rPr>
        <w:t>Please</w:t>
      </w:r>
      <w:proofErr w:type="gramEnd"/>
      <w:r w:rsidRPr="00F03247">
        <w:rPr>
          <w:sz w:val="16"/>
          <w:szCs w:val="16"/>
          <w:u w:val="single"/>
        </w:rPr>
        <w:t xml:space="preserv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p w14:paraId="57B04D0F" w14:textId="77777777" w:rsidR="00580C89" w:rsidRDefault="00580C89">
      <w:pPr>
        <w:rPr>
          <w:rFonts w:ascii="Arial" w:hAnsi="Arial" w:cs="Arial"/>
          <w:b/>
          <w:sz w:val="28"/>
          <w:szCs w:val="24"/>
        </w:rPr>
      </w:pPr>
      <w:r>
        <w:rPr>
          <w:rFonts w:ascii="Arial" w:hAnsi="Arial" w:cs="Arial"/>
          <w:b/>
          <w:sz w:val="28"/>
          <w:szCs w:val="24"/>
        </w:rPr>
        <w:br w:type="page"/>
      </w:r>
    </w:p>
    <w:p w14:paraId="57B04D10" w14:textId="77777777" w:rsidR="00EB11F0" w:rsidRPr="00F03247" w:rsidRDefault="00EB11F0" w:rsidP="00EB11F0">
      <w:pPr>
        <w:spacing w:after="0" w:line="240" w:lineRule="auto"/>
        <w:ind w:left="-567" w:right="261"/>
        <w:jc w:val="center"/>
        <w:rPr>
          <w:rFonts w:ascii="Arial" w:hAnsi="Arial" w:cs="Arial"/>
          <w:b/>
          <w:sz w:val="28"/>
          <w:szCs w:val="24"/>
        </w:rPr>
      </w:pPr>
      <w:r w:rsidRPr="00F03247">
        <w:rPr>
          <w:rFonts w:ascii="Arial" w:hAnsi="Arial" w:cs="Arial"/>
          <w:b/>
          <w:sz w:val="28"/>
          <w:szCs w:val="24"/>
        </w:rPr>
        <w:lastRenderedPageBreak/>
        <w:t xml:space="preserve">MULTIJURISDICTIONAL SYPHILIS OUTBREAK </w:t>
      </w:r>
      <w:r w:rsidRPr="00F03247">
        <w:rPr>
          <w:rFonts w:ascii="Arial" w:hAnsi="Arial" w:cs="Arial"/>
          <w:b/>
          <w:sz w:val="28"/>
          <w:szCs w:val="24"/>
        </w:rPr>
        <w:br/>
        <w:t xml:space="preserve">SURVEILLANCE REPORT: </w:t>
      </w:r>
      <w:r>
        <w:rPr>
          <w:rFonts w:ascii="Arial" w:hAnsi="Arial" w:cs="Arial"/>
          <w:b/>
          <w:sz w:val="28"/>
          <w:szCs w:val="24"/>
        </w:rPr>
        <w:t>NOVEMBER</w:t>
      </w:r>
      <w:r w:rsidRPr="00F03247">
        <w:rPr>
          <w:rFonts w:ascii="Arial" w:hAnsi="Arial" w:cs="Arial"/>
          <w:b/>
          <w:sz w:val="28"/>
          <w:szCs w:val="24"/>
        </w:rPr>
        <w:t xml:space="preserve"> 2019</w:t>
      </w:r>
    </w:p>
    <w:p w14:paraId="57B04D11" w14:textId="77777777" w:rsidR="00EB11F0" w:rsidRPr="00F03247" w:rsidRDefault="00EB11F0" w:rsidP="00EB11F0">
      <w:pPr>
        <w:spacing w:after="0" w:line="120" w:lineRule="auto"/>
        <w:ind w:left="-567" w:right="-612"/>
        <w:jc w:val="center"/>
        <w:rPr>
          <w:rFonts w:ascii="Arial" w:hAnsi="Arial" w:cs="Arial"/>
          <w:b/>
          <w:sz w:val="24"/>
          <w:szCs w:val="24"/>
        </w:rPr>
      </w:pPr>
    </w:p>
    <w:p w14:paraId="57B04D12" w14:textId="77777777" w:rsidR="00EB11F0" w:rsidRPr="00F03247" w:rsidRDefault="00EB11F0" w:rsidP="00EB11F0">
      <w:pPr>
        <w:spacing w:after="0" w:line="240" w:lineRule="auto"/>
        <w:ind w:left="-567" w:right="119"/>
        <w:jc w:val="center"/>
        <w:rPr>
          <w:rFonts w:ascii="Arial" w:hAnsi="Arial" w:cs="Arial"/>
          <w:b/>
          <w:sz w:val="24"/>
          <w:szCs w:val="24"/>
        </w:rPr>
      </w:pPr>
      <w:r w:rsidRPr="00F03247">
        <w:rPr>
          <w:rFonts w:ascii="Arial" w:hAnsi="Arial" w:cs="Arial"/>
          <w:b/>
          <w:sz w:val="24"/>
          <w:szCs w:val="24"/>
        </w:rPr>
        <w:t>This surveillance report has been authorised by Health Departments in outbreak affected jurisdictions and the Office of Health Protection.</w:t>
      </w:r>
    </w:p>
    <w:p w14:paraId="57B04D13" w14:textId="77777777" w:rsidR="00EB11F0" w:rsidRPr="00F03247" w:rsidRDefault="00EB11F0" w:rsidP="00EB11F0">
      <w:pPr>
        <w:spacing w:after="0" w:line="240" w:lineRule="auto"/>
        <w:ind w:right="-613"/>
        <w:rPr>
          <w:rFonts w:ascii="Arial" w:hAnsi="Arial" w:cs="Arial"/>
          <w:sz w:val="20"/>
          <w:szCs w:val="20"/>
        </w:rPr>
      </w:pPr>
    </w:p>
    <w:p w14:paraId="57B04D14" w14:textId="77777777" w:rsidR="00EB11F0" w:rsidRPr="00F06C90" w:rsidRDefault="00EB11F0" w:rsidP="00EB11F0">
      <w:pPr>
        <w:pStyle w:val="PlainText"/>
        <w:ind w:left="-709" w:right="-23"/>
        <w:jc w:val="both"/>
        <w:rPr>
          <w:color w:val="000000" w:themeColor="text1"/>
        </w:rPr>
      </w:pPr>
      <w:r w:rsidRPr="00F06C90">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w:t>
      </w:r>
      <w:r w:rsidRPr="003C2791">
        <w:rPr>
          <w:color w:val="000000" w:themeColor="text1"/>
        </w:rPr>
        <w:t>19. In September 2019, Qu</w:t>
      </w:r>
      <w:r>
        <w:rPr>
          <w:color w:val="000000" w:themeColor="text1"/>
        </w:rPr>
        <w:t>eensland declared the outbreak had spread to Central Queensland with the first notification in this region reported in June 2017.</w:t>
      </w:r>
    </w:p>
    <w:p w14:paraId="57B04D15" w14:textId="77777777" w:rsidR="00EB11F0" w:rsidRPr="00F06C90" w:rsidRDefault="00EB11F0" w:rsidP="00EB11F0">
      <w:pPr>
        <w:pStyle w:val="PlainText"/>
        <w:ind w:left="-709" w:right="-23"/>
        <w:rPr>
          <w:color w:val="000000" w:themeColor="text1"/>
        </w:rPr>
      </w:pPr>
    </w:p>
    <w:p w14:paraId="57B04D16" w14:textId="77777777" w:rsidR="00EB11F0" w:rsidRPr="00F06C90" w:rsidRDefault="00EB11F0" w:rsidP="00EB11F0">
      <w:pPr>
        <w:pStyle w:val="PlainText"/>
        <w:ind w:left="-709" w:right="-23"/>
        <w:rPr>
          <w:color w:val="000000" w:themeColor="text1"/>
        </w:rPr>
      </w:pPr>
      <w:r w:rsidRPr="00F06C90">
        <w:rPr>
          <w:color w:val="000000" w:themeColor="text1"/>
        </w:rPr>
        <w:t xml:space="preserve">This surveillance report summarises the outbreak </w:t>
      </w:r>
      <w:r>
        <w:rPr>
          <w:color w:val="000000" w:themeColor="text1"/>
        </w:rPr>
        <w:t>epidemiological data as of</w:t>
      </w:r>
      <w:r w:rsidRPr="00F06C90">
        <w:rPr>
          <w:color w:val="000000" w:themeColor="text1"/>
        </w:rPr>
        <w:t xml:space="preserve"> </w:t>
      </w:r>
      <w:r>
        <w:rPr>
          <w:color w:val="000000" w:themeColor="text1"/>
        </w:rPr>
        <w:t xml:space="preserve">31 October </w:t>
      </w:r>
      <w:r w:rsidRPr="00F06C90">
        <w:rPr>
          <w:color w:val="000000" w:themeColor="text1"/>
        </w:rPr>
        <w:t>2019 (current status).</w:t>
      </w:r>
    </w:p>
    <w:p w14:paraId="57B04D17" w14:textId="77777777" w:rsidR="00EB11F0" w:rsidRPr="00F06C90" w:rsidRDefault="00EB11F0" w:rsidP="00EB11F0">
      <w:pPr>
        <w:pStyle w:val="PlainText"/>
        <w:ind w:left="-709" w:right="-23"/>
        <w:rPr>
          <w:color w:val="000000" w:themeColor="text1"/>
        </w:rPr>
      </w:pPr>
    </w:p>
    <w:p w14:paraId="57B04D18" w14:textId="77777777" w:rsidR="00EB11F0" w:rsidRPr="00F06C90" w:rsidRDefault="00EB11F0" w:rsidP="00EB11F0">
      <w:pPr>
        <w:pStyle w:val="PlainText"/>
        <w:ind w:left="-709" w:right="-23"/>
        <w:rPr>
          <w:color w:val="000000" w:themeColor="text1"/>
        </w:rPr>
      </w:pPr>
      <w:r w:rsidRPr="00F06C90">
        <w:rPr>
          <w:b/>
          <w:color w:val="000000" w:themeColor="text1"/>
        </w:rPr>
        <w:t>Please note:</w:t>
      </w:r>
      <w:r w:rsidRPr="00F06C90">
        <w:rPr>
          <w:color w:val="000000" w:themeColor="text1"/>
        </w:rPr>
        <w:t xml:space="preserve"> the MJSO Surveillance Report was formerly known as the MJSO Communique. Historical epidemiological data and MJSO activities are published in earlier MJSO Communiques available at </w:t>
      </w:r>
      <w:r w:rsidRPr="00F06C90">
        <w:rPr>
          <w:i/>
          <w:szCs w:val="20"/>
        </w:rPr>
        <w:t xml:space="preserve">http://www.health.gov.au/internet/main/publishing.nsf/Content/ohp-infectious-syphilis-outbreak.htm </w:t>
      </w:r>
    </w:p>
    <w:p w14:paraId="57B04D19" w14:textId="77777777" w:rsidR="00EB11F0" w:rsidRPr="00F06C90" w:rsidRDefault="00EB11F0" w:rsidP="00EB11F0">
      <w:pPr>
        <w:pStyle w:val="PlainText"/>
        <w:ind w:left="-709" w:right="-23"/>
      </w:pPr>
    </w:p>
    <w:p w14:paraId="57B04D1A" w14:textId="77777777" w:rsidR="00EB11F0" w:rsidRPr="00F06C90" w:rsidRDefault="00EB11F0" w:rsidP="00EB11F0">
      <w:pPr>
        <w:spacing w:after="0" w:line="240" w:lineRule="auto"/>
        <w:ind w:left="-709" w:right="-23"/>
        <w:jc w:val="both"/>
        <w:rPr>
          <w:rFonts w:ascii="Arial" w:hAnsi="Arial" w:cs="Arial"/>
          <w:b/>
        </w:rPr>
      </w:pPr>
      <w:r w:rsidRPr="00F06C90">
        <w:rPr>
          <w:rFonts w:ascii="Arial" w:hAnsi="Arial" w:cs="Arial"/>
          <w:b/>
        </w:rPr>
        <w:t>Current status</w:t>
      </w:r>
    </w:p>
    <w:p w14:paraId="57B04D1B" w14:textId="77777777" w:rsidR="00EB11F0" w:rsidRPr="00F06C90"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Pr="00F06C90">
        <w:rPr>
          <w:rFonts w:ascii="Arial" w:hAnsi="Arial" w:cs="Arial"/>
          <w:color w:val="000000" w:themeColor="text1"/>
          <w:sz w:val="20"/>
          <w:szCs w:val="20"/>
        </w:rPr>
        <w:t>3</w:t>
      </w:r>
      <w:r>
        <w:rPr>
          <w:rFonts w:ascii="Arial" w:hAnsi="Arial" w:cs="Arial"/>
          <w:color w:val="000000" w:themeColor="text1"/>
          <w:sz w:val="20"/>
          <w:szCs w:val="20"/>
        </w:rPr>
        <w:t xml:space="preserve">1 October </w:t>
      </w:r>
      <w:r w:rsidRPr="00F06C90">
        <w:rPr>
          <w:rFonts w:ascii="Arial" w:hAnsi="Arial" w:cs="Arial"/>
          <w:color w:val="000000" w:themeColor="text1"/>
          <w:sz w:val="20"/>
          <w:szCs w:val="20"/>
        </w:rPr>
        <w:t>2019</w:t>
      </w:r>
      <w:r w:rsidRPr="00F06C90">
        <w:rPr>
          <w:rFonts w:ascii="Arial" w:hAnsi="Arial" w:cs="Arial"/>
          <w:sz w:val="20"/>
          <w:szCs w:val="20"/>
          <w:vertAlign w:val="superscript"/>
        </w:rPr>
        <w:t>ȶ</w:t>
      </w:r>
      <w:r w:rsidRPr="00F06C90">
        <w:rPr>
          <w:rFonts w:ascii="Arial" w:hAnsi="Arial" w:cs="Arial"/>
          <w:sz w:val="20"/>
          <w:szCs w:val="20"/>
        </w:rPr>
        <w:t xml:space="preserve"> are summarised in Figure 1, Table 1 and Table 2 below.</w:t>
      </w:r>
    </w:p>
    <w:p w14:paraId="57B04D1C" w14:textId="77777777" w:rsidR="00EB11F0" w:rsidRPr="00F06C90" w:rsidRDefault="00EB11F0" w:rsidP="00EB11F0">
      <w:pPr>
        <w:spacing w:after="0" w:line="240" w:lineRule="auto"/>
        <w:ind w:left="-709" w:right="-23"/>
        <w:jc w:val="both"/>
        <w:rPr>
          <w:rFonts w:ascii="Arial" w:hAnsi="Arial" w:cs="Arial"/>
          <w:sz w:val="20"/>
          <w:szCs w:val="20"/>
        </w:rPr>
      </w:pPr>
    </w:p>
    <w:p w14:paraId="57B04D1D" w14:textId="77777777" w:rsidR="00EB11F0" w:rsidRPr="00FE129B"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Outbreak cases are reported as either category 1 or category 2: category 1 cases include Aboriginal and Torres Strait Islander people residing in an outbreak declared region</w:t>
      </w:r>
      <w:r w:rsidRPr="00F06C90">
        <w:rPr>
          <w:rFonts w:ascii="Arial" w:hAnsi="Arial" w:cs="Arial"/>
          <w:sz w:val="20"/>
          <w:szCs w:val="20"/>
          <w:vertAlign w:val="superscript"/>
        </w:rPr>
        <w:t>β</w:t>
      </w:r>
      <w:r w:rsidRPr="00F06C90">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w:t>
      </w:r>
      <w:r w:rsidRPr="00FE129B">
        <w:rPr>
          <w:rFonts w:ascii="Arial" w:hAnsi="Arial" w:cs="Arial"/>
          <w:sz w:val="20"/>
          <w:szCs w:val="20"/>
        </w:rPr>
        <w:t xml:space="preserve">outbreak area at the time of diagnosis and non-Indigenous people regardless of where they reside. </w:t>
      </w:r>
    </w:p>
    <w:p w14:paraId="57B04D1E" w14:textId="77777777" w:rsidR="00EB11F0" w:rsidRPr="00FE129B" w:rsidRDefault="00EB11F0" w:rsidP="00EB11F0">
      <w:pPr>
        <w:spacing w:after="0" w:line="240" w:lineRule="auto"/>
        <w:ind w:left="-709" w:right="-23"/>
        <w:jc w:val="both"/>
        <w:rPr>
          <w:rFonts w:ascii="Arial" w:hAnsi="Arial" w:cs="Arial"/>
          <w:sz w:val="20"/>
          <w:szCs w:val="20"/>
        </w:rPr>
      </w:pPr>
    </w:p>
    <w:p w14:paraId="57B04D1F" w14:textId="77777777" w:rsidR="00EB11F0" w:rsidRPr="007B0DFB" w:rsidRDefault="00EB11F0" w:rsidP="00EB11F0">
      <w:pPr>
        <w:spacing w:after="0" w:line="240" w:lineRule="auto"/>
        <w:ind w:left="-709" w:right="-23"/>
        <w:jc w:val="both"/>
        <w:rPr>
          <w:rFonts w:ascii="Arial" w:hAnsi="Arial" w:cs="Arial"/>
          <w:sz w:val="20"/>
          <w:szCs w:val="20"/>
          <w:highlight w:val="green"/>
        </w:rPr>
      </w:pPr>
      <w:r w:rsidRPr="007B0DFB">
        <w:rPr>
          <w:rFonts w:ascii="Arial" w:hAnsi="Arial" w:cs="Arial"/>
          <w:sz w:val="20"/>
          <w:szCs w:val="20"/>
        </w:rPr>
        <w:t xml:space="preserve">Between 1 – </w:t>
      </w:r>
      <w:r w:rsidRPr="007B0DFB">
        <w:rPr>
          <w:rFonts w:ascii="Arial" w:hAnsi="Arial" w:cs="Arial"/>
          <w:color w:val="000000" w:themeColor="text1"/>
          <w:sz w:val="20"/>
          <w:szCs w:val="20"/>
        </w:rPr>
        <w:t>31 October 2019</w:t>
      </w:r>
      <w:r w:rsidRPr="007B0DFB">
        <w:rPr>
          <w:rFonts w:ascii="Arial" w:hAnsi="Arial" w:cs="Arial"/>
          <w:sz w:val="20"/>
          <w:szCs w:val="20"/>
          <w:vertAlign w:val="superscript"/>
        </w:rPr>
        <w:t>ȶ</w:t>
      </w:r>
      <w:r w:rsidRPr="007B0DFB">
        <w:rPr>
          <w:rFonts w:ascii="Arial" w:hAnsi="Arial" w:cs="Arial"/>
          <w:sz w:val="20"/>
          <w:szCs w:val="20"/>
        </w:rPr>
        <w:t xml:space="preserve">, there were 52 outbreak cases (category 1 and 2 cases) reported from the four outbreak affected jurisdictions: 12 in Queensland; 23 in the Northern Territory; 12 in Western Australia and; </w:t>
      </w:r>
      <w:proofErr w:type="gramStart"/>
      <w:r w:rsidRPr="007B0DFB">
        <w:rPr>
          <w:rFonts w:ascii="Arial" w:hAnsi="Arial" w:cs="Arial"/>
          <w:sz w:val="20"/>
          <w:szCs w:val="20"/>
        </w:rPr>
        <w:t>5</w:t>
      </w:r>
      <w:proofErr w:type="gramEnd"/>
      <w:r w:rsidRPr="007B0DFB">
        <w:rPr>
          <w:rFonts w:ascii="Arial" w:hAnsi="Arial" w:cs="Arial"/>
          <w:sz w:val="20"/>
          <w:szCs w:val="20"/>
        </w:rPr>
        <w:t xml:space="preserve"> in South Australia (Figure 1, Table 1 and Table 2).  From the commencement of the outbreak to </w:t>
      </w:r>
      <w:r w:rsidRPr="007B0DFB">
        <w:rPr>
          <w:rFonts w:ascii="Arial" w:hAnsi="Arial" w:cs="Arial"/>
          <w:color w:val="000000" w:themeColor="text1"/>
          <w:sz w:val="20"/>
          <w:szCs w:val="20"/>
        </w:rPr>
        <w:t xml:space="preserve">31 October </w:t>
      </w:r>
      <w:r w:rsidRPr="007B0DFB">
        <w:rPr>
          <w:rFonts w:ascii="Arial" w:hAnsi="Arial" w:cs="Arial"/>
          <w:sz w:val="20"/>
          <w:szCs w:val="20"/>
        </w:rPr>
        <w:t>2019</w:t>
      </w:r>
      <w:r w:rsidRPr="007B0DFB">
        <w:rPr>
          <w:rFonts w:ascii="Arial" w:hAnsi="Arial" w:cs="Arial"/>
          <w:sz w:val="20"/>
          <w:szCs w:val="20"/>
          <w:vertAlign w:val="superscript"/>
        </w:rPr>
        <w:t xml:space="preserve"> ȶ</w:t>
      </w:r>
      <w:r w:rsidRPr="007B0DFB">
        <w:rPr>
          <w:rFonts w:ascii="Arial" w:hAnsi="Arial" w:cs="Arial"/>
          <w:sz w:val="20"/>
          <w:szCs w:val="20"/>
        </w:rPr>
        <w:t>, there were a total of 3146 outbreak cases (category 1 and 2 cases) reported across the four outbreak affected jurisdictions: 1460 in Queensland (from January 2011); 1193 in the Northern Territory (from July 2013); 406 in Western Australia (from June 2014), and; 87 in South Australia (from November 2016) (Table 1 and 2).</w:t>
      </w:r>
    </w:p>
    <w:p w14:paraId="57B04D20" w14:textId="77777777" w:rsidR="00EB11F0" w:rsidRPr="007B0DFB" w:rsidRDefault="00EB11F0" w:rsidP="00EB11F0">
      <w:pPr>
        <w:spacing w:after="0" w:line="240" w:lineRule="auto"/>
        <w:ind w:left="-709" w:right="-23"/>
        <w:jc w:val="both"/>
        <w:rPr>
          <w:rFonts w:ascii="Arial" w:hAnsi="Arial" w:cs="Arial"/>
          <w:sz w:val="20"/>
          <w:szCs w:val="20"/>
          <w:highlight w:val="green"/>
        </w:rPr>
      </w:pPr>
    </w:p>
    <w:p w14:paraId="57B04D21" w14:textId="77777777" w:rsidR="00EB11F0" w:rsidRPr="00F03247" w:rsidRDefault="00EB11F0" w:rsidP="00EB11F0">
      <w:pPr>
        <w:spacing w:after="0" w:line="240" w:lineRule="auto"/>
        <w:ind w:left="-709" w:right="-23"/>
        <w:jc w:val="both"/>
        <w:rPr>
          <w:rFonts w:ascii="Arial" w:hAnsi="Arial" w:cs="Arial"/>
          <w:sz w:val="20"/>
          <w:szCs w:val="20"/>
          <w:vertAlign w:val="superscript"/>
        </w:rPr>
      </w:pPr>
      <w:r w:rsidRPr="007B0DFB">
        <w:rPr>
          <w:rFonts w:ascii="Arial" w:hAnsi="Arial" w:cs="Arial"/>
          <w:b/>
          <w:sz w:val="20"/>
          <w:szCs w:val="20"/>
        </w:rPr>
        <w:t>Figure 1</w:t>
      </w:r>
      <w:r w:rsidRPr="007B0DFB">
        <w:rPr>
          <w:rFonts w:ascii="Arial" w:hAnsi="Arial" w:cs="Arial"/>
          <w:sz w:val="20"/>
          <w:szCs w:val="20"/>
        </w:rPr>
        <w:t>. Epidemic curve showing category 1 infectious syphilis</w:t>
      </w:r>
      <w:r w:rsidRPr="007B0DFB">
        <w:rPr>
          <w:rFonts w:ascii="Arial" w:hAnsi="Arial" w:cs="Arial"/>
          <w:sz w:val="20"/>
          <w:szCs w:val="20"/>
          <w:vertAlign w:val="superscript"/>
        </w:rPr>
        <w:t xml:space="preserve"> α</w:t>
      </w:r>
      <w:r w:rsidRPr="007B0DFB">
        <w:rPr>
          <w:rFonts w:ascii="Arial" w:hAnsi="Arial" w:cs="Arial"/>
          <w:sz w:val="20"/>
          <w:szCs w:val="20"/>
        </w:rPr>
        <w:t xml:space="preserve"> outbreak cases notified in Aboriginal and Torres Strait Islander people residing in affected regions</w:t>
      </w:r>
      <w:r w:rsidRPr="007B0DFB">
        <w:rPr>
          <w:rFonts w:ascii="Arial" w:hAnsi="Arial" w:cs="Arial"/>
          <w:sz w:val="20"/>
          <w:szCs w:val="20"/>
          <w:vertAlign w:val="superscript"/>
        </w:rPr>
        <w:t>β</w:t>
      </w:r>
      <w:r w:rsidRPr="007B0DFB">
        <w:rPr>
          <w:rFonts w:ascii="Arial" w:hAnsi="Arial" w:cs="Arial"/>
          <w:sz w:val="20"/>
          <w:szCs w:val="20"/>
        </w:rPr>
        <w:t xml:space="preserve"> of Queensland, the Northern Territory, Western Australia and South Australia from commencement of the outbreak in each jurisdiction to </w:t>
      </w:r>
      <w:r w:rsidRPr="007B0DFB">
        <w:rPr>
          <w:rFonts w:ascii="Arial" w:hAnsi="Arial" w:cs="Arial"/>
          <w:color w:val="000000" w:themeColor="text1"/>
          <w:sz w:val="20"/>
          <w:szCs w:val="20"/>
        </w:rPr>
        <w:t>31 October 2019</w:t>
      </w:r>
      <w:r w:rsidRPr="007B0DFB">
        <w:rPr>
          <w:rFonts w:ascii="Arial" w:hAnsi="Arial" w:cs="Arial"/>
          <w:sz w:val="20"/>
          <w:szCs w:val="20"/>
          <w:vertAlign w:val="superscript"/>
        </w:rPr>
        <w:t>ȶ ᵞ</w:t>
      </w:r>
      <w:r w:rsidRPr="00F03247">
        <w:rPr>
          <w:rFonts w:ascii="Arial" w:hAnsi="Arial" w:cs="Arial"/>
          <w:sz w:val="20"/>
          <w:szCs w:val="20"/>
          <w:vertAlign w:val="superscript"/>
        </w:rPr>
        <w:t xml:space="preserve"> </w:t>
      </w:r>
    </w:p>
    <w:p w14:paraId="57B04D22" w14:textId="77777777" w:rsidR="00EB11F0" w:rsidRPr="00F03247" w:rsidRDefault="00EB11F0" w:rsidP="00EB11F0">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57B04ED4" wp14:editId="57B04ED5">
            <wp:extent cx="6772939" cy="3984922"/>
            <wp:effectExtent l="0" t="0" r="8890" b="0"/>
            <wp:docPr id="10" name="Picture 10"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October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93665" cy="3997117"/>
                    </a:xfrm>
                    <a:prstGeom prst="rect">
                      <a:avLst/>
                    </a:prstGeom>
                    <a:noFill/>
                  </pic:spPr>
                </pic:pic>
              </a:graphicData>
            </a:graphic>
          </wp:inline>
        </w:drawing>
      </w:r>
      <w:r w:rsidRPr="00F03247">
        <w:rPr>
          <w:rFonts w:ascii="Arial" w:hAnsi="Arial" w:cs="Arial"/>
          <w:b/>
          <w:sz w:val="20"/>
          <w:szCs w:val="20"/>
        </w:rPr>
        <w:br w:type="page"/>
      </w:r>
    </w:p>
    <w:p w14:paraId="57B04D23" w14:textId="77777777" w:rsidR="00EB11F0" w:rsidRPr="00F03247" w:rsidRDefault="00EB11F0" w:rsidP="00EB11F0">
      <w:pPr>
        <w:spacing w:after="0" w:line="240" w:lineRule="auto"/>
        <w:ind w:left="-567"/>
        <w:rPr>
          <w:rFonts w:ascii="Arial" w:hAnsi="Arial" w:cs="Arial"/>
          <w:b/>
          <w:sz w:val="20"/>
          <w:szCs w:val="20"/>
        </w:rPr>
      </w:pPr>
    </w:p>
    <w:p w14:paraId="57B04D24" w14:textId="77777777" w:rsidR="00EB11F0" w:rsidRPr="007B0DFB" w:rsidRDefault="00EB11F0" w:rsidP="00EB11F0">
      <w:pPr>
        <w:spacing w:after="0" w:line="240" w:lineRule="auto"/>
        <w:ind w:left="-709"/>
        <w:rPr>
          <w:rFonts w:ascii="Arial" w:hAnsi="Arial" w:cs="Arial"/>
          <w:sz w:val="20"/>
          <w:szCs w:val="20"/>
          <w:highlight w:val="green"/>
        </w:rPr>
      </w:pPr>
      <w:r w:rsidRPr="004065EC">
        <w:rPr>
          <w:rFonts w:ascii="Arial" w:hAnsi="Arial" w:cs="Arial"/>
          <w:b/>
          <w:sz w:val="20"/>
          <w:szCs w:val="20"/>
        </w:rPr>
        <w:t>Table 1</w:t>
      </w:r>
      <w:r w:rsidRPr="004065EC">
        <w:rPr>
          <w:rFonts w:ascii="Arial" w:hAnsi="Arial" w:cs="Arial"/>
          <w:sz w:val="20"/>
          <w:szCs w:val="20"/>
        </w:rPr>
        <w:t>.</w:t>
      </w:r>
      <w:r w:rsidRPr="004065EC">
        <w:rPr>
          <w:rFonts w:ascii="Arial" w:hAnsi="Arial" w:cs="Arial"/>
          <w:b/>
          <w:sz w:val="20"/>
          <w:szCs w:val="20"/>
        </w:rPr>
        <w:t xml:space="preserve"> </w:t>
      </w:r>
      <w:r w:rsidRPr="004065EC">
        <w:rPr>
          <w:rFonts w:ascii="Arial" w:hAnsi="Arial" w:cs="Arial"/>
          <w:sz w:val="20"/>
          <w:szCs w:val="20"/>
        </w:rPr>
        <w:t>Characteristics of category 1 infectious syphilis</w:t>
      </w:r>
      <w:r w:rsidRPr="004065EC">
        <w:rPr>
          <w:rFonts w:ascii="Arial" w:hAnsi="Arial" w:cs="Arial"/>
          <w:sz w:val="20"/>
          <w:szCs w:val="20"/>
          <w:vertAlign w:val="superscript"/>
        </w:rPr>
        <w:t>α</w:t>
      </w:r>
      <w:r w:rsidRPr="004065EC">
        <w:rPr>
          <w:rFonts w:ascii="Arial" w:hAnsi="Arial" w:cs="Arial"/>
          <w:sz w:val="20"/>
          <w:szCs w:val="20"/>
        </w:rPr>
        <w:t xml:space="preserve"> outbreak cases notified in Aboriginal and Torres Strait Islander people residing in affected regions</w:t>
      </w:r>
      <w:r w:rsidRPr="004065EC">
        <w:rPr>
          <w:rFonts w:ascii="Arial" w:hAnsi="Arial" w:cs="Arial"/>
          <w:sz w:val="20"/>
          <w:szCs w:val="20"/>
          <w:vertAlign w:val="superscript"/>
        </w:rPr>
        <w:t>β</w:t>
      </w:r>
      <w:r w:rsidRPr="004065EC">
        <w:rPr>
          <w:rFonts w:ascii="Arial" w:hAnsi="Arial" w:cs="Arial"/>
          <w:sz w:val="20"/>
          <w:szCs w:val="20"/>
        </w:rPr>
        <w:t xml:space="preserve"> of Queensland, the Northern Territory, Western Australia and South Australia, to </w:t>
      </w:r>
      <w:r w:rsidRPr="004065EC">
        <w:rPr>
          <w:rFonts w:ascii="Arial" w:hAnsi="Arial" w:cs="Arial"/>
          <w:sz w:val="20"/>
          <w:szCs w:val="20"/>
        </w:rPr>
        <w:br/>
        <w:t>31 October 2019</w:t>
      </w:r>
      <w:r w:rsidRPr="004065EC">
        <w:rPr>
          <w:rFonts w:ascii="Arial" w:hAnsi="Arial" w:cs="Arial"/>
          <w:sz w:val="20"/>
          <w:szCs w:val="20"/>
          <w:vertAlign w:val="superscript"/>
        </w:rPr>
        <w:t xml:space="preserve"> ȶ ᵞ</w:t>
      </w:r>
      <w:r w:rsidRPr="007B0DFB">
        <w:rPr>
          <w:rFonts w:ascii="Arial" w:hAnsi="Arial" w:cs="Arial"/>
          <w:sz w:val="20"/>
          <w:szCs w:val="20"/>
          <w:highlight w:val="green"/>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EB11F0" w:rsidRPr="00F20E91" w14:paraId="57B04D2C" w14:textId="77777777" w:rsidTr="00EB11F0">
        <w:trPr>
          <w:tblHeader/>
        </w:trPr>
        <w:tc>
          <w:tcPr>
            <w:tcW w:w="3975" w:type="dxa"/>
            <w:tcBorders>
              <w:bottom w:val="single" w:sz="4" w:space="0" w:color="auto"/>
            </w:tcBorders>
          </w:tcPr>
          <w:p w14:paraId="57B04D25" w14:textId="77777777" w:rsidR="00EB11F0" w:rsidRPr="004065EC" w:rsidRDefault="00EB11F0" w:rsidP="00EB11F0">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57B04D26" w14:textId="77777777" w:rsidR="00EB11F0" w:rsidRPr="00F20E91" w:rsidRDefault="00EB11F0" w:rsidP="00EB11F0">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North Qld </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(five HHSs</w:t>
            </w:r>
            <w:r w:rsidRPr="00F20E91">
              <w:rPr>
                <w:rFonts w:ascii="Calibri" w:eastAsia="Times New Roman" w:hAnsi="Calibri" w:cs="Arial"/>
                <w:sz w:val="20"/>
                <w:szCs w:val="20"/>
                <w:vertAlign w:val="superscript"/>
                <w:lang w:eastAsia="en-AU"/>
              </w:rPr>
              <w:t>β</w:t>
            </w:r>
            <w:r w:rsidRPr="00F20E9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D27"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b/>
                <w:sz w:val="20"/>
                <w:szCs w:val="20"/>
                <w:lang w:eastAsia="en-AU"/>
              </w:rPr>
              <w:t xml:space="preserve">NT </w:t>
            </w:r>
          </w:p>
          <w:p w14:paraId="57B04D28" w14:textId="77777777" w:rsidR="00EB11F0" w:rsidRPr="00F20E91" w:rsidRDefault="00EB11F0" w:rsidP="00EB11F0">
            <w:pPr>
              <w:ind w:left="34" w:hanging="34"/>
              <w:jc w:val="center"/>
              <w:rPr>
                <w:rFonts w:ascii="Calibri" w:eastAsia="Times New Roman" w:hAnsi="Calibri" w:cs="Arial"/>
                <w:b/>
                <w:sz w:val="20"/>
                <w:szCs w:val="20"/>
                <w:lang w:eastAsia="en-AU"/>
              </w:rPr>
            </w:pPr>
            <w:r w:rsidRPr="00F20E91">
              <w:rPr>
                <w:rFonts w:ascii="Calibri" w:eastAsia="Times New Roman" w:hAnsi="Calibri" w:cs="Arial"/>
                <w:sz w:val="20"/>
                <w:szCs w:val="20"/>
                <w:lang w:eastAsia="en-AU"/>
              </w:rPr>
              <w:t>(seven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D29" w14:textId="77777777" w:rsidR="00EB11F0" w:rsidRPr="00F20E91" w:rsidRDefault="00EB11F0" w:rsidP="00EB11F0">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WA</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 xml:space="preserve"> (three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D2A" w14:textId="77777777" w:rsidR="00EB11F0" w:rsidRPr="00F20E91" w:rsidRDefault="00EB11F0" w:rsidP="00EB11F0">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SA</w:t>
            </w:r>
          </w:p>
          <w:p w14:paraId="57B04D2B"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(three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r>
      <w:tr w:rsidR="00EB11F0" w:rsidRPr="00F20E91" w14:paraId="57B04D32" w14:textId="77777777" w:rsidTr="00EB11F0">
        <w:tc>
          <w:tcPr>
            <w:tcW w:w="3975" w:type="dxa"/>
            <w:tcBorders>
              <w:right w:val="nil"/>
            </w:tcBorders>
            <w:shd w:val="clear" w:color="auto" w:fill="DBE5F1" w:themeFill="accent1" w:themeFillTint="33"/>
          </w:tcPr>
          <w:p w14:paraId="57B04D2D" w14:textId="77777777" w:rsidR="00EB11F0" w:rsidRPr="00F20E91" w:rsidRDefault="00EB11F0" w:rsidP="00EB11F0">
            <w:pPr>
              <w:ind w:left="34" w:hanging="34"/>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Situation to-date, 31 October 2019</w:t>
            </w:r>
          </w:p>
        </w:tc>
        <w:tc>
          <w:tcPr>
            <w:tcW w:w="1701" w:type="dxa"/>
            <w:tcBorders>
              <w:left w:val="nil"/>
              <w:bottom w:val="single" w:sz="4" w:space="0" w:color="auto"/>
              <w:right w:val="nil"/>
            </w:tcBorders>
            <w:shd w:val="clear" w:color="auto" w:fill="DBE5F1" w:themeFill="accent1" w:themeFillTint="33"/>
          </w:tcPr>
          <w:p w14:paraId="57B04D2E" w14:textId="77777777" w:rsidR="00EB11F0" w:rsidRPr="00F20E91" w:rsidRDefault="00EB11F0"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D2F" w14:textId="77777777" w:rsidR="00EB11F0" w:rsidRPr="00F20E91" w:rsidRDefault="00EB11F0" w:rsidP="00EB11F0">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D30" w14:textId="77777777" w:rsidR="00EB11F0" w:rsidRPr="00F20E91" w:rsidRDefault="00EB11F0" w:rsidP="00EB11F0">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D31" w14:textId="77777777" w:rsidR="00EB11F0" w:rsidRPr="00F20E91" w:rsidRDefault="00EB11F0" w:rsidP="00EB11F0">
            <w:pPr>
              <w:ind w:left="34" w:hanging="34"/>
              <w:rPr>
                <w:rFonts w:ascii="Calibri" w:eastAsia="Times New Roman" w:hAnsi="Calibri" w:cs="Arial"/>
                <w:sz w:val="20"/>
                <w:szCs w:val="20"/>
                <w:lang w:eastAsia="en-AU"/>
              </w:rPr>
            </w:pPr>
          </w:p>
        </w:tc>
      </w:tr>
      <w:tr w:rsidR="00EB11F0" w:rsidRPr="00F20E91" w14:paraId="57B04D38" w14:textId="77777777" w:rsidTr="00EB11F0">
        <w:trPr>
          <w:trHeight w:val="365"/>
        </w:trPr>
        <w:tc>
          <w:tcPr>
            <w:tcW w:w="3975" w:type="dxa"/>
            <w:vAlign w:val="center"/>
          </w:tcPr>
          <w:p w14:paraId="57B04D33"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D34"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D35"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D36"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D37"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November 2016</w:t>
            </w:r>
          </w:p>
        </w:tc>
      </w:tr>
      <w:tr w:rsidR="00EB11F0" w:rsidRPr="00F20E91" w14:paraId="57B04D3E" w14:textId="77777777" w:rsidTr="00EB11F0">
        <w:tc>
          <w:tcPr>
            <w:tcW w:w="3975" w:type="dxa"/>
          </w:tcPr>
          <w:p w14:paraId="57B04D39"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Total 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D3A"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1423</w:t>
            </w:r>
          </w:p>
        </w:tc>
        <w:tc>
          <w:tcPr>
            <w:tcW w:w="1560" w:type="dxa"/>
            <w:shd w:val="clear" w:color="auto" w:fill="B6DDE8" w:themeFill="accent5" w:themeFillTint="66"/>
            <w:vAlign w:val="center"/>
          </w:tcPr>
          <w:p w14:paraId="57B04D3B"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1181</w:t>
            </w:r>
          </w:p>
        </w:tc>
        <w:tc>
          <w:tcPr>
            <w:tcW w:w="1672" w:type="dxa"/>
            <w:shd w:val="clear" w:color="auto" w:fill="CCC0D9" w:themeFill="accent4" w:themeFillTint="66"/>
            <w:vAlign w:val="center"/>
          </w:tcPr>
          <w:p w14:paraId="57B04D3C"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406</w:t>
            </w:r>
          </w:p>
        </w:tc>
        <w:tc>
          <w:tcPr>
            <w:tcW w:w="1559" w:type="dxa"/>
            <w:shd w:val="clear" w:color="auto" w:fill="FBD4B4" w:themeFill="accent6" w:themeFillTint="66"/>
          </w:tcPr>
          <w:p w14:paraId="57B04D3D"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85</w:t>
            </w:r>
          </w:p>
        </w:tc>
      </w:tr>
      <w:tr w:rsidR="00EB11F0" w:rsidRPr="00F20E91" w14:paraId="57B04D44" w14:textId="77777777" w:rsidTr="00EB11F0">
        <w:tc>
          <w:tcPr>
            <w:tcW w:w="3975" w:type="dxa"/>
            <w:shd w:val="clear" w:color="auto" w:fill="auto"/>
          </w:tcPr>
          <w:p w14:paraId="57B04D3F"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D40"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D41"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45% / 55%</w:t>
            </w:r>
          </w:p>
        </w:tc>
        <w:tc>
          <w:tcPr>
            <w:tcW w:w="1672" w:type="dxa"/>
            <w:shd w:val="clear" w:color="auto" w:fill="CCC0D9" w:themeFill="accent4" w:themeFillTint="66"/>
            <w:vAlign w:val="center"/>
          </w:tcPr>
          <w:p w14:paraId="57B04D42"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41% / 59%</w:t>
            </w:r>
          </w:p>
        </w:tc>
        <w:tc>
          <w:tcPr>
            <w:tcW w:w="1559" w:type="dxa"/>
            <w:shd w:val="clear" w:color="auto" w:fill="FBD4B4" w:themeFill="accent6" w:themeFillTint="66"/>
          </w:tcPr>
          <w:p w14:paraId="57B04D43"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54% / 46%</w:t>
            </w:r>
          </w:p>
        </w:tc>
      </w:tr>
      <w:tr w:rsidR="00EB11F0" w:rsidRPr="00F20E91" w14:paraId="57B04D4A" w14:textId="77777777" w:rsidTr="00EB11F0">
        <w:tc>
          <w:tcPr>
            <w:tcW w:w="3975" w:type="dxa"/>
            <w:shd w:val="clear" w:color="auto" w:fill="auto"/>
          </w:tcPr>
          <w:p w14:paraId="57B04D45"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D46"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65%</w:t>
            </w:r>
          </w:p>
        </w:tc>
        <w:tc>
          <w:tcPr>
            <w:tcW w:w="1560" w:type="dxa"/>
            <w:shd w:val="clear" w:color="auto" w:fill="B6DDE8" w:themeFill="accent5" w:themeFillTint="66"/>
            <w:vAlign w:val="center"/>
          </w:tcPr>
          <w:p w14:paraId="57B04D47"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61%</w:t>
            </w:r>
          </w:p>
        </w:tc>
        <w:tc>
          <w:tcPr>
            <w:tcW w:w="1672" w:type="dxa"/>
            <w:shd w:val="clear" w:color="auto" w:fill="CCC0D9" w:themeFill="accent4" w:themeFillTint="66"/>
            <w:vAlign w:val="center"/>
          </w:tcPr>
          <w:p w14:paraId="57B04D48"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70%</w:t>
            </w:r>
          </w:p>
        </w:tc>
        <w:tc>
          <w:tcPr>
            <w:tcW w:w="1559" w:type="dxa"/>
            <w:shd w:val="clear" w:color="auto" w:fill="FBD4B4" w:themeFill="accent6" w:themeFillTint="66"/>
          </w:tcPr>
          <w:p w14:paraId="57B04D49" w14:textId="77777777" w:rsidR="00EB11F0" w:rsidRPr="00F20E91" w:rsidRDefault="00EB11F0" w:rsidP="00EB11F0">
            <w:pPr>
              <w:tabs>
                <w:tab w:val="left" w:pos="465"/>
                <w:tab w:val="center" w:pos="663"/>
              </w:tabs>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48%</w:t>
            </w:r>
          </w:p>
        </w:tc>
      </w:tr>
      <w:tr w:rsidR="00EB11F0" w:rsidRPr="00F20E91" w14:paraId="57B04D50" w14:textId="77777777" w:rsidTr="00EB11F0">
        <w:tc>
          <w:tcPr>
            <w:tcW w:w="3975" w:type="dxa"/>
            <w:shd w:val="clear" w:color="auto" w:fill="auto"/>
          </w:tcPr>
          <w:p w14:paraId="57B04D4B"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Congenital cases, confirmed (probable)</w:t>
            </w:r>
            <w:r w:rsidRPr="00F20E91">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D4C"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D4D"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D4E"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1 (0)</w:t>
            </w:r>
          </w:p>
        </w:tc>
        <w:tc>
          <w:tcPr>
            <w:tcW w:w="1559" w:type="dxa"/>
            <w:shd w:val="clear" w:color="auto" w:fill="FBD4B4" w:themeFill="accent6" w:themeFillTint="66"/>
          </w:tcPr>
          <w:p w14:paraId="57B04D4F"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1 (0)</w:t>
            </w:r>
          </w:p>
        </w:tc>
      </w:tr>
      <w:tr w:rsidR="00EB11F0" w:rsidRPr="00F20E91" w14:paraId="57B04D56" w14:textId="77777777" w:rsidTr="00EB11F0">
        <w:tc>
          <w:tcPr>
            <w:tcW w:w="3975" w:type="dxa"/>
            <w:tcBorders>
              <w:bottom w:val="single" w:sz="4" w:space="0" w:color="auto"/>
            </w:tcBorders>
            <w:shd w:val="clear" w:color="auto" w:fill="auto"/>
          </w:tcPr>
          <w:p w14:paraId="57B04D51"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D52"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D53"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D54"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D55"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0 (0)</w:t>
            </w:r>
          </w:p>
        </w:tc>
      </w:tr>
      <w:tr w:rsidR="00EB11F0" w:rsidRPr="00F20E91" w14:paraId="57B04D58" w14:textId="77777777" w:rsidTr="00EB11F0">
        <w:tc>
          <w:tcPr>
            <w:tcW w:w="10467" w:type="dxa"/>
            <w:gridSpan w:val="5"/>
            <w:tcBorders>
              <w:bottom w:val="single" w:sz="4" w:space="0" w:color="auto"/>
            </w:tcBorders>
            <w:shd w:val="clear" w:color="auto" w:fill="DBE5F1" w:themeFill="accent1" w:themeFillTint="33"/>
          </w:tcPr>
          <w:p w14:paraId="57B04D57"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b/>
                <w:sz w:val="20"/>
                <w:szCs w:val="20"/>
                <w:lang w:eastAsia="en-AU"/>
              </w:rPr>
              <w:t>Last reporting month, 1 – 31 October 2019</w:t>
            </w:r>
          </w:p>
        </w:tc>
      </w:tr>
      <w:tr w:rsidR="00EB11F0" w:rsidRPr="00F20E91" w14:paraId="57B04D5E" w14:textId="77777777" w:rsidTr="00EB11F0">
        <w:tc>
          <w:tcPr>
            <w:tcW w:w="3975" w:type="dxa"/>
            <w:shd w:val="clear" w:color="auto" w:fill="auto"/>
          </w:tcPr>
          <w:p w14:paraId="57B04D59"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D5A"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9</w:t>
            </w:r>
          </w:p>
        </w:tc>
        <w:tc>
          <w:tcPr>
            <w:tcW w:w="1560" w:type="dxa"/>
            <w:shd w:val="clear" w:color="auto" w:fill="B6DDE8" w:themeFill="accent5" w:themeFillTint="66"/>
            <w:vAlign w:val="center"/>
          </w:tcPr>
          <w:p w14:paraId="57B04D5B"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23</w:t>
            </w:r>
          </w:p>
        </w:tc>
        <w:tc>
          <w:tcPr>
            <w:tcW w:w="1672" w:type="dxa"/>
            <w:shd w:val="clear" w:color="auto" w:fill="CCC0D9" w:themeFill="accent4" w:themeFillTint="66"/>
            <w:vAlign w:val="center"/>
          </w:tcPr>
          <w:p w14:paraId="57B04D5C"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12</w:t>
            </w:r>
          </w:p>
        </w:tc>
        <w:tc>
          <w:tcPr>
            <w:tcW w:w="1559" w:type="dxa"/>
            <w:shd w:val="clear" w:color="auto" w:fill="FBD4B4" w:themeFill="accent6" w:themeFillTint="66"/>
          </w:tcPr>
          <w:p w14:paraId="57B04D5D"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5</w:t>
            </w:r>
          </w:p>
        </w:tc>
      </w:tr>
      <w:tr w:rsidR="00EB11F0" w:rsidRPr="00F20E91" w14:paraId="57B04D64" w14:textId="77777777" w:rsidTr="00EB11F0">
        <w:tc>
          <w:tcPr>
            <w:tcW w:w="3975" w:type="dxa"/>
            <w:shd w:val="clear" w:color="auto" w:fill="auto"/>
          </w:tcPr>
          <w:p w14:paraId="57B04D5F"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D60"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44% / 56%</w:t>
            </w:r>
          </w:p>
        </w:tc>
        <w:tc>
          <w:tcPr>
            <w:tcW w:w="1560" w:type="dxa"/>
            <w:shd w:val="clear" w:color="auto" w:fill="B6DDE8" w:themeFill="accent5" w:themeFillTint="66"/>
            <w:vAlign w:val="center"/>
          </w:tcPr>
          <w:p w14:paraId="57B04D61"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35% / 65%</w:t>
            </w:r>
          </w:p>
        </w:tc>
        <w:tc>
          <w:tcPr>
            <w:tcW w:w="1672" w:type="dxa"/>
            <w:shd w:val="clear" w:color="auto" w:fill="CCC0D9" w:themeFill="accent4" w:themeFillTint="66"/>
            <w:vAlign w:val="center"/>
          </w:tcPr>
          <w:p w14:paraId="57B04D62"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33% / 67%</w:t>
            </w:r>
          </w:p>
        </w:tc>
        <w:tc>
          <w:tcPr>
            <w:tcW w:w="1559" w:type="dxa"/>
            <w:shd w:val="clear" w:color="auto" w:fill="FBD4B4" w:themeFill="accent6" w:themeFillTint="66"/>
          </w:tcPr>
          <w:p w14:paraId="57B04D63"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60% / 40%</w:t>
            </w:r>
          </w:p>
        </w:tc>
      </w:tr>
      <w:tr w:rsidR="00EB11F0" w:rsidRPr="00F20E91" w14:paraId="57B04D6A" w14:textId="77777777" w:rsidTr="00EB11F0">
        <w:tc>
          <w:tcPr>
            <w:tcW w:w="3975" w:type="dxa"/>
            <w:shd w:val="clear" w:color="auto" w:fill="auto"/>
          </w:tcPr>
          <w:p w14:paraId="57B04D65" w14:textId="77777777" w:rsidR="00EB11F0" w:rsidRPr="00F20E91" w:rsidRDefault="00EB11F0" w:rsidP="00EB11F0">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D66" w14:textId="77777777" w:rsidR="00EB11F0" w:rsidRPr="00F20E91" w:rsidRDefault="00EB11F0" w:rsidP="00EB11F0">
            <w:pPr>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67%</w:t>
            </w:r>
          </w:p>
        </w:tc>
        <w:tc>
          <w:tcPr>
            <w:tcW w:w="1560" w:type="dxa"/>
            <w:shd w:val="clear" w:color="auto" w:fill="B6DDE8" w:themeFill="accent5" w:themeFillTint="66"/>
            <w:vAlign w:val="center"/>
          </w:tcPr>
          <w:p w14:paraId="57B04D67"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65%</w:t>
            </w:r>
          </w:p>
        </w:tc>
        <w:tc>
          <w:tcPr>
            <w:tcW w:w="1672" w:type="dxa"/>
            <w:shd w:val="clear" w:color="auto" w:fill="CCC0D9" w:themeFill="accent4" w:themeFillTint="66"/>
            <w:vAlign w:val="center"/>
          </w:tcPr>
          <w:p w14:paraId="57B04D68"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67%</w:t>
            </w:r>
          </w:p>
        </w:tc>
        <w:tc>
          <w:tcPr>
            <w:tcW w:w="1559" w:type="dxa"/>
            <w:shd w:val="clear" w:color="auto" w:fill="FBD4B4" w:themeFill="accent6" w:themeFillTint="66"/>
          </w:tcPr>
          <w:p w14:paraId="57B04D69" w14:textId="77777777" w:rsidR="00EB11F0" w:rsidRPr="00F20E91" w:rsidRDefault="00EB11F0" w:rsidP="00EB11F0">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40%</w:t>
            </w:r>
          </w:p>
        </w:tc>
      </w:tr>
    </w:tbl>
    <w:p w14:paraId="57B04D6B" w14:textId="77777777" w:rsidR="00EB11F0" w:rsidRPr="007B0DFB" w:rsidRDefault="00EB11F0" w:rsidP="00EB11F0">
      <w:pPr>
        <w:pStyle w:val="ListParagraph"/>
        <w:spacing w:before="60" w:after="0" w:line="240" w:lineRule="auto"/>
        <w:ind w:left="-567"/>
        <w:contextualSpacing w:val="0"/>
        <w:rPr>
          <w:b/>
          <w:sz w:val="16"/>
          <w:szCs w:val="16"/>
          <w:highlight w:val="green"/>
          <w:vertAlign w:val="superscript"/>
        </w:rPr>
      </w:pPr>
    </w:p>
    <w:p w14:paraId="57B04D6C" w14:textId="77777777" w:rsidR="00EB11F0" w:rsidRPr="004065EC" w:rsidRDefault="00EB11F0" w:rsidP="00EB11F0">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 xml:space="preserve">Table 2. </w:t>
      </w:r>
      <w:r w:rsidRPr="004065EC">
        <w:rPr>
          <w:rFonts w:ascii="Arial" w:hAnsi="Arial" w:cs="Arial"/>
          <w:sz w:val="20"/>
          <w:szCs w:val="16"/>
        </w:rPr>
        <w:t>Number of category 2 infectious syphilis</w:t>
      </w:r>
      <w:r w:rsidRPr="004065EC">
        <w:rPr>
          <w:rFonts w:ascii="Arial" w:hAnsi="Arial" w:cs="Arial"/>
          <w:sz w:val="20"/>
          <w:szCs w:val="20"/>
          <w:vertAlign w:val="superscript"/>
        </w:rPr>
        <w:t>α</w:t>
      </w:r>
      <w:r w:rsidRPr="004065EC">
        <w:rPr>
          <w:rFonts w:ascii="Arial" w:hAnsi="Arial" w:cs="Arial"/>
          <w:sz w:val="20"/>
          <w:szCs w:val="20"/>
        </w:rPr>
        <w:t xml:space="preserve"> cases</w:t>
      </w:r>
      <w:r w:rsidRPr="004065EC">
        <w:rPr>
          <w:rFonts w:ascii="Arial" w:hAnsi="Arial" w:cs="Arial"/>
          <w:sz w:val="20"/>
          <w:szCs w:val="16"/>
        </w:rPr>
        <w:t>, to 31 October 2019</w:t>
      </w:r>
      <w:r w:rsidRPr="004065EC">
        <w:rPr>
          <w:rFonts w:ascii="Arial" w:hAnsi="Arial" w:cs="Arial"/>
          <w:sz w:val="20"/>
          <w:szCs w:val="20"/>
          <w:vertAlign w:val="superscript"/>
        </w:rPr>
        <w:t xml:space="preserve"> ȶ ᵞ</w:t>
      </w:r>
      <w:r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EB11F0" w:rsidRPr="004065EC" w14:paraId="57B04D73" w14:textId="77777777" w:rsidTr="00EB11F0">
        <w:trPr>
          <w:tblHeader/>
        </w:trPr>
        <w:tc>
          <w:tcPr>
            <w:tcW w:w="3964" w:type="dxa"/>
            <w:tcBorders>
              <w:bottom w:val="single" w:sz="4" w:space="0" w:color="auto"/>
            </w:tcBorders>
          </w:tcPr>
          <w:p w14:paraId="57B04D6D" w14:textId="77777777" w:rsidR="00EB11F0" w:rsidRPr="004065EC" w:rsidRDefault="00EB11F0" w:rsidP="00EB11F0">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57B04D6E" w14:textId="77777777" w:rsidR="00EB11F0" w:rsidRPr="004065EC" w:rsidRDefault="00EB11F0" w:rsidP="00EB11F0">
            <w:pPr>
              <w:pStyle w:val="ListParagraph"/>
              <w:spacing w:before="60"/>
              <w:ind w:left="0"/>
              <w:contextualSpacing w:val="0"/>
              <w:jc w:val="center"/>
              <w:rPr>
                <w:rFonts w:ascii="Calibri" w:eastAsia="Times New Roman" w:hAnsi="Calibri" w:cs="Arial"/>
                <w:b/>
                <w:sz w:val="20"/>
                <w:szCs w:val="20"/>
                <w:lang w:eastAsia="en-AU"/>
              </w:rPr>
            </w:pPr>
            <w:r w:rsidRPr="004065EC">
              <w:rPr>
                <w:rFonts w:ascii="Calibri" w:eastAsia="Times New Roman" w:hAnsi="Calibri" w:cs="Arial"/>
                <w:b/>
                <w:sz w:val="20"/>
                <w:szCs w:val="20"/>
                <w:lang w:eastAsia="en-AU"/>
              </w:rPr>
              <w:t xml:space="preserve">North Qld </w:t>
            </w:r>
            <w:r w:rsidRPr="004065EC">
              <w:rPr>
                <w:rFonts w:ascii="Calibri" w:eastAsia="Times New Roman" w:hAnsi="Calibri" w:cs="Arial"/>
                <w:b/>
                <w:sz w:val="20"/>
                <w:szCs w:val="20"/>
                <w:lang w:eastAsia="en-AU"/>
              </w:rPr>
              <w:br/>
            </w:r>
            <w:r w:rsidRPr="004065EC">
              <w:rPr>
                <w:rFonts w:ascii="Calibri" w:eastAsia="Times New Roman" w:hAnsi="Calibri" w:cs="Arial"/>
                <w:sz w:val="20"/>
                <w:szCs w:val="20"/>
                <w:lang w:eastAsia="en-AU"/>
              </w:rPr>
              <w:t>(five HHSs</w:t>
            </w:r>
            <w:r w:rsidRPr="004065EC">
              <w:rPr>
                <w:rFonts w:ascii="Calibri" w:eastAsia="Times New Roman" w:hAnsi="Calibri" w:cs="Arial"/>
                <w:sz w:val="20"/>
                <w:szCs w:val="20"/>
                <w:vertAlign w:val="superscript"/>
                <w:lang w:eastAsia="en-AU"/>
              </w:rPr>
              <w:t>β</w:t>
            </w:r>
            <w:r w:rsidRPr="004065EC">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D6F" w14:textId="77777777" w:rsidR="00EB11F0" w:rsidRPr="004065EC" w:rsidRDefault="00EB11F0" w:rsidP="00EB11F0">
            <w:pPr>
              <w:pStyle w:val="ListParagraph"/>
              <w:spacing w:before="60"/>
              <w:ind w:left="0"/>
              <w:contextualSpacing w:val="0"/>
              <w:jc w:val="center"/>
              <w:rPr>
                <w:rFonts w:ascii="Calibri" w:hAnsi="Calibri"/>
                <w:b/>
                <w:sz w:val="20"/>
                <w:szCs w:val="16"/>
              </w:rPr>
            </w:pPr>
            <w:r w:rsidRPr="004065EC">
              <w:rPr>
                <w:rFonts w:ascii="Calibri" w:eastAsia="Times New Roman" w:hAnsi="Calibri" w:cs="Arial"/>
                <w:b/>
                <w:sz w:val="20"/>
                <w:szCs w:val="20"/>
                <w:lang w:eastAsia="en-AU"/>
              </w:rPr>
              <w:t xml:space="preserve">NT </w:t>
            </w:r>
            <w:r w:rsidRPr="004065EC">
              <w:rPr>
                <w:rFonts w:ascii="Calibri" w:eastAsia="Times New Roman" w:hAnsi="Calibri" w:cs="Arial"/>
                <w:b/>
                <w:sz w:val="20"/>
                <w:szCs w:val="20"/>
                <w:lang w:eastAsia="en-AU"/>
              </w:rPr>
              <w:br/>
            </w:r>
            <w:r w:rsidRPr="004065EC">
              <w:rPr>
                <w:rFonts w:ascii="Calibri" w:eastAsia="Times New Roman" w:hAnsi="Calibri" w:cs="Arial"/>
                <w:sz w:val="20"/>
                <w:szCs w:val="20"/>
                <w:lang w:eastAsia="en-AU"/>
              </w:rPr>
              <w:t>(seven regions</w:t>
            </w:r>
            <w:r w:rsidRPr="004065EC">
              <w:rPr>
                <w:rFonts w:ascii="Calibri" w:eastAsia="Times New Roman" w:hAnsi="Calibri" w:cs="Arial"/>
                <w:sz w:val="20"/>
                <w:szCs w:val="20"/>
                <w:vertAlign w:val="superscript"/>
                <w:lang w:eastAsia="en-AU"/>
              </w:rPr>
              <w:t xml:space="preserve"> β</w:t>
            </w:r>
            <w:r w:rsidRPr="004065EC">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D70" w14:textId="77777777" w:rsidR="00EB11F0" w:rsidRPr="004065EC" w:rsidRDefault="00EB11F0" w:rsidP="00EB11F0">
            <w:pPr>
              <w:pStyle w:val="ListParagraph"/>
              <w:spacing w:before="60"/>
              <w:ind w:left="0"/>
              <w:contextualSpacing w:val="0"/>
              <w:jc w:val="center"/>
              <w:rPr>
                <w:rFonts w:ascii="Calibri" w:hAnsi="Calibri"/>
                <w:b/>
                <w:sz w:val="20"/>
                <w:szCs w:val="16"/>
              </w:rPr>
            </w:pPr>
            <w:r w:rsidRPr="004065EC">
              <w:rPr>
                <w:rFonts w:ascii="Calibri" w:eastAsia="Times New Roman" w:hAnsi="Calibri" w:cs="Arial"/>
                <w:b/>
                <w:sz w:val="20"/>
                <w:szCs w:val="20"/>
                <w:lang w:eastAsia="en-AU"/>
              </w:rPr>
              <w:t>WA</w:t>
            </w:r>
            <w:r w:rsidRPr="004065EC">
              <w:rPr>
                <w:rFonts w:ascii="Calibri" w:eastAsia="Times New Roman" w:hAnsi="Calibri" w:cs="Arial"/>
                <w:b/>
                <w:sz w:val="20"/>
                <w:szCs w:val="20"/>
                <w:lang w:eastAsia="en-AU"/>
              </w:rPr>
              <w:br/>
            </w:r>
            <w:r w:rsidRPr="004065EC">
              <w:rPr>
                <w:rFonts w:ascii="Calibri" w:eastAsia="Times New Roman" w:hAnsi="Calibri" w:cs="Arial"/>
                <w:sz w:val="20"/>
                <w:szCs w:val="20"/>
                <w:lang w:eastAsia="en-AU"/>
              </w:rPr>
              <w:t xml:space="preserve"> (three regions</w:t>
            </w:r>
            <w:r w:rsidRPr="004065EC">
              <w:rPr>
                <w:rFonts w:ascii="Calibri" w:eastAsia="Times New Roman" w:hAnsi="Calibri" w:cs="Arial"/>
                <w:sz w:val="20"/>
                <w:szCs w:val="20"/>
                <w:vertAlign w:val="superscript"/>
                <w:lang w:eastAsia="en-AU"/>
              </w:rPr>
              <w:t xml:space="preserve"> β</w:t>
            </w:r>
            <w:r w:rsidRPr="004065EC">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D71" w14:textId="77777777" w:rsidR="00EB11F0" w:rsidRPr="004065EC" w:rsidRDefault="00EB11F0" w:rsidP="00EB11F0">
            <w:pPr>
              <w:ind w:left="34" w:hanging="34"/>
              <w:jc w:val="center"/>
              <w:rPr>
                <w:rFonts w:ascii="Calibri" w:eastAsia="Times New Roman" w:hAnsi="Calibri" w:cs="Arial"/>
                <w:b/>
                <w:sz w:val="20"/>
                <w:szCs w:val="20"/>
                <w:lang w:eastAsia="en-AU"/>
              </w:rPr>
            </w:pPr>
            <w:r w:rsidRPr="004065EC">
              <w:rPr>
                <w:rFonts w:ascii="Calibri" w:eastAsia="Times New Roman" w:hAnsi="Calibri" w:cs="Arial"/>
                <w:b/>
                <w:sz w:val="20"/>
                <w:szCs w:val="20"/>
                <w:lang w:eastAsia="en-AU"/>
              </w:rPr>
              <w:t>SA</w:t>
            </w:r>
          </w:p>
          <w:p w14:paraId="57B04D72" w14:textId="77777777" w:rsidR="00EB11F0" w:rsidRPr="004065EC" w:rsidRDefault="00EB11F0" w:rsidP="00EB11F0">
            <w:pPr>
              <w:pStyle w:val="ListParagraph"/>
              <w:spacing w:before="60"/>
              <w:ind w:left="0"/>
              <w:contextualSpacing w:val="0"/>
              <w:jc w:val="center"/>
              <w:rPr>
                <w:rFonts w:ascii="Calibri" w:hAnsi="Calibri"/>
                <w:b/>
                <w:sz w:val="20"/>
                <w:szCs w:val="16"/>
              </w:rPr>
            </w:pPr>
            <w:r w:rsidRPr="004065EC">
              <w:rPr>
                <w:rFonts w:ascii="Calibri" w:eastAsia="Times New Roman" w:hAnsi="Calibri" w:cs="Arial"/>
                <w:sz w:val="20"/>
                <w:szCs w:val="20"/>
                <w:lang w:eastAsia="en-AU"/>
              </w:rPr>
              <w:t>(three regions</w:t>
            </w:r>
            <w:r w:rsidRPr="004065EC">
              <w:rPr>
                <w:rFonts w:ascii="Calibri" w:eastAsia="Times New Roman" w:hAnsi="Calibri" w:cs="Arial"/>
                <w:sz w:val="20"/>
                <w:szCs w:val="20"/>
                <w:vertAlign w:val="superscript"/>
                <w:lang w:eastAsia="en-AU"/>
              </w:rPr>
              <w:t xml:space="preserve"> β</w:t>
            </w:r>
            <w:r w:rsidRPr="004065EC">
              <w:rPr>
                <w:rFonts w:ascii="Calibri" w:eastAsia="Times New Roman" w:hAnsi="Calibri" w:cs="Arial"/>
                <w:sz w:val="20"/>
                <w:szCs w:val="20"/>
                <w:lang w:eastAsia="en-AU"/>
              </w:rPr>
              <w:t>)</w:t>
            </w:r>
          </w:p>
        </w:tc>
      </w:tr>
      <w:tr w:rsidR="00EB11F0" w:rsidRPr="004065EC" w14:paraId="57B04D75" w14:textId="77777777" w:rsidTr="00EB11F0">
        <w:tc>
          <w:tcPr>
            <w:tcW w:w="10456" w:type="dxa"/>
            <w:gridSpan w:val="5"/>
            <w:shd w:val="clear" w:color="auto" w:fill="DBE5F1" w:themeFill="accent1" w:themeFillTint="33"/>
          </w:tcPr>
          <w:p w14:paraId="57B04D74" w14:textId="77777777" w:rsidR="00EB11F0" w:rsidRPr="004065EC" w:rsidRDefault="00EB11F0" w:rsidP="00EB11F0">
            <w:pPr>
              <w:pStyle w:val="ListParagraph"/>
              <w:spacing w:before="60"/>
              <w:ind w:left="0"/>
              <w:contextualSpacing w:val="0"/>
              <w:rPr>
                <w:b/>
                <w:sz w:val="16"/>
                <w:szCs w:val="16"/>
              </w:rPr>
            </w:pPr>
            <w:r w:rsidRPr="004065EC">
              <w:rPr>
                <w:b/>
                <w:sz w:val="20"/>
                <w:szCs w:val="16"/>
              </w:rPr>
              <w:t xml:space="preserve">Situation to-date, </w:t>
            </w:r>
            <w:r w:rsidRPr="004065EC">
              <w:rPr>
                <w:rFonts w:ascii="Calibri" w:eastAsia="Times New Roman" w:hAnsi="Calibri" w:cs="Arial"/>
                <w:b/>
                <w:sz w:val="20"/>
                <w:szCs w:val="20"/>
                <w:lang w:eastAsia="en-AU"/>
              </w:rPr>
              <w:t>31 October 2019</w:t>
            </w:r>
          </w:p>
        </w:tc>
      </w:tr>
      <w:tr w:rsidR="00EB11F0" w:rsidRPr="004065EC" w14:paraId="57B04D7B" w14:textId="77777777" w:rsidTr="00EB11F0">
        <w:tc>
          <w:tcPr>
            <w:tcW w:w="3964" w:type="dxa"/>
            <w:shd w:val="clear" w:color="auto" w:fill="auto"/>
          </w:tcPr>
          <w:p w14:paraId="57B04D76" w14:textId="77777777" w:rsidR="00EB11F0" w:rsidRPr="004065EC" w:rsidRDefault="00EB11F0" w:rsidP="00EB11F0">
            <w:pPr>
              <w:pStyle w:val="ListParagraph"/>
              <w:spacing w:before="60"/>
              <w:ind w:left="0"/>
              <w:contextualSpacing w:val="0"/>
              <w:rPr>
                <w:sz w:val="20"/>
                <w:szCs w:val="16"/>
              </w:rPr>
            </w:pPr>
            <w:r w:rsidRPr="004065EC">
              <w:rPr>
                <w:sz w:val="20"/>
                <w:szCs w:val="16"/>
              </w:rPr>
              <w:t>Outbreak commencement month/year</w:t>
            </w:r>
          </w:p>
        </w:tc>
        <w:tc>
          <w:tcPr>
            <w:tcW w:w="1701" w:type="dxa"/>
            <w:shd w:val="clear" w:color="auto" w:fill="B8CCE4" w:themeFill="accent1" w:themeFillTint="66"/>
          </w:tcPr>
          <w:p w14:paraId="57B04D77"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January 2011</w:t>
            </w:r>
          </w:p>
        </w:tc>
        <w:tc>
          <w:tcPr>
            <w:tcW w:w="1560" w:type="dxa"/>
            <w:shd w:val="clear" w:color="auto" w:fill="B6DDE8" w:themeFill="accent5" w:themeFillTint="66"/>
          </w:tcPr>
          <w:p w14:paraId="57B04D78"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July 2013</w:t>
            </w:r>
          </w:p>
        </w:tc>
        <w:tc>
          <w:tcPr>
            <w:tcW w:w="1672" w:type="dxa"/>
            <w:shd w:val="clear" w:color="auto" w:fill="CCC0D9" w:themeFill="accent4" w:themeFillTint="66"/>
          </w:tcPr>
          <w:p w14:paraId="57B04D79"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June 2014</w:t>
            </w:r>
          </w:p>
        </w:tc>
        <w:tc>
          <w:tcPr>
            <w:tcW w:w="1559" w:type="dxa"/>
            <w:shd w:val="clear" w:color="auto" w:fill="FBD4B4" w:themeFill="accent6" w:themeFillTint="66"/>
          </w:tcPr>
          <w:p w14:paraId="57B04D7A"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November 2016</w:t>
            </w:r>
          </w:p>
        </w:tc>
      </w:tr>
      <w:tr w:rsidR="00EB11F0" w:rsidRPr="004065EC" w14:paraId="57B04D81" w14:textId="77777777" w:rsidTr="00EB11F0">
        <w:tc>
          <w:tcPr>
            <w:tcW w:w="3964" w:type="dxa"/>
            <w:shd w:val="clear" w:color="auto" w:fill="auto"/>
          </w:tcPr>
          <w:p w14:paraId="57B04D7C" w14:textId="77777777" w:rsidR="00EB11F0" w:rsidRPr="004065EC" w:rsidRDefault="00EB11F0" w:rsidP="00EB11F0">
            <w:pPr>
              <w:pStyle w:val="ListParagraph"/>
              <w:spacing w:before="60"/>
              <w:ind w:left="0"/>
              <w:contextualSpacing w:val="0"/>
              <w:rPr>
                <w:sz w:val="16"/>
                <w:szCs w:val="16"/>
              </w:rPr>
            </w:pPr>
            <w:r w:rsidRPr="004065EC">
              <w:rPr>
                <w:sz w:val="20"/>
                <w:szCs w:val="16"/>
              </w:rPr>
              <w:t>Aboriginal and Torres Strait Islander people</w:t>
            </w:r>
            <w:r w:rsidRPr="004065EC">
              <w:rPr>
                <w:rFonts w:ascii="Agency FB" w:hAnsi="Agency FB"/>
                <w:sz w:val="20"/>
                <w:szCs w:val="16"/>
                <w:vertAlign w:val="superscript"/>
              </w:rPr>
              <w:t>§</w:t>
            </w:r>
          </w:p>
        </w:tc>
        <w:tc>
          <w:tcPr>
            <w:tcW w:w="1701" w:type="dxa"/>
            <w:shd w:val="clear" w:color="auto" w:fill="B8CCE4" w:themeFill="accent1" w:themeFillTint="66"/>
          </w:tcPr>
          <w:p w14:paraId="57B04D7D"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14</w:t>
            </w:r>
          </w:p>
        </w:tc>
        <w:tc>
          <w:tcPr>
            <w:tcW w:w="1560" w:type="dxa"/>
            <w:shd w:val="clear" w:color="auto" w:fill="B6DDE8" w:themeFill="accent5" w:themeFillTint="66"/>
          </w:tcPr>
          <w:p w14:paraId="57B04D7E"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2</w:t>
            </w:r>
          </w:p>
        </w:tc>
        <w:tc>
          <w:tcPr>
            <w:tcW w:w="1672" w:type="dxa"/>
            <w:shd w:val="clear" w:color="auto" w:fill="CCC0D9" w:themeFill="accent4" w:themeFillTint="66"/>
            <w:vAlign w:val="center"/>
          </w:tcPr>
          <w:p w14:paraId="57B04D7F"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w:t>
            </w:r>
          </w:p>
        </w:tc>
        <w:tc>
          <w:tcPr>
            <w:tcW w:w="1559" w:type="dxa"/>
            <w:shd w:val="clear" w:color="auto" w:fill="FBD4B4" w:themeFill="accent6" w:themeFillTint="66"/>
          </w:tcPr>
          <w:p w14:paraId="57B04D80"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w:t>
            </w:r>
          </w:p>
        </w:tc>
      </w:tr>
      <w:tr w:rsidR="00EB11F0" w:rsidRPr="004065EC" w14:paraId="57B04D87" w14:textId="77777777" w:rsidTr="00EB11F0">
        <w:tc>
          <w:tcPr>
            <w:tcW w:w="3964" w:type="dxa"/>
            <w:tcBorders>
              <w:bottom w:val="single" w:sz="4" w:space="0" w:color="auto"/>
            </w:tcBorders>
            <w:shd w:val="clear" w:color="auto" w:fill="auto"/>
          </w:tcPr>
          <w:p w14:paraId="57B04D82" w14:textId="77777777" w:rsidR="00EB11F0" w:rsidRPr="004065EC" w:rsidRDefault="00EB11F0" w:rsidP="00EB11F0">
            <w:pPr>
              <w:pStyle w:val="ListParagraph"/>
              <w:spacing w:before="60"/>
              <w:ind w:left="0"/>
              <w:contextualSpacing w:val="0"/>
              <w:rPr>
                <w:sz w:val="16"/>
                <w:szCs w:val="16"/>
              </w:rPr>
            </w:pPr>
            <w:r w:rsidRPr="004065EC">
              <w:rPr>
                <w:sz w:val="20"/>
                <w:szCs w:val="16"/>
              </w:rPr>
              <w:t>Non-Indigenous people</w:t>
            </w:r>
            <w:r w:rsidRPr="004065EC">
              <w:rPr>
                <w:sz w:val="20"/>
                <w:szCs w:val="16"/>
                <w:vertAlign w:val="superscript"/>
              </w:rPr>
              <w:t>µ</w:t>
            </w:r>
          </w:p>
        </w:tc>
        <w:tc>
          <w:tcPr>
            <w:tcW w:w="1701" w:type="dxa"/>
            <w:tcBorders>
              <w:bottom w:val="single" w:sz="4" w:space="0" w:color="auto"/>
            </w:tcBorders>
            <w:shd w:val="clear" w:color="auto" w:fill="B8CCE4" w:themeFill="accent1" w:themeFillTint="66"/>
          </w:tcPr>
          <w:p w14:paraId="57B04D83"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23</w:t>
            </w:r>
          </w:p>
        </w:tc>
        <w:tc>
          <w:tcPr>
            <w:tcW w:w="1560" w:type="dxa"/>
            <w:tcBorders>
              <w:bottom w:val="single" w:sz="4" w:space="0" w:color="auto"/>
            </w:tcBorders>
            <w:shd w:val="clear" w:color="auto" w:fill="B6DDE8" w:themeFill="accent5" w:themeFillTint="66"/>
          </w:tcPr>
          <w:p w14:paraId="57B04D84"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10</w:t>
            </w:r>
          </w:p>
        </w:tc>
        <w:tc>
          <w:tcPr>
            <w:tcW w:w="1672" w:type="dxa"/>
            <w:tcBorders>
              <w:bottom w:val="single" w:sz="4" w:space="0" w:color="auto"/>
            </w:tcBorders>
            <w:shd w:val="clear" w:color="auto" w:fill="CCC0D9" w:themeFill="accent4" w:themeFillTint="66"/>
            <w:vAlign w:val="center"/>
          </w:tcPr>
          <w:p w14:paraId="57B04D85"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w:t>
            </w:r>
          </w:p>
        </w:tc>
        <w:tc>
          <w:tcPr>
            <w:tcW w:w="1559" w:type="dxa"/>
            <w:tcBorders>
              <w:bottom w:val="single" w:sz="4" w:space="0" w:color="auto"/>
            </w:tcBorders>
            <w:shd w:val="clear" w:color="auto" w:fill="FBD4B4" w:themeFill="accent6" w:themeFillTint="66"/>
          </w:tcPr>
          <w:p w14:paraId="57B04D86"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2</w:t>
            </w:r>
          </w:p>
        </w:tc>
      </w:tr>
      <w:tr w:rsidR="00EB11F0" w:rsidRPr="004065EC" w14:paraId="57B04D89" w14:textId="77777777" w:rsidTr="00EB11F0">
        <w:tc>
          <w:tcPr>
            <w:tcW w:w="10456" w:type="dxa"/>
            <w:gridSpan w:val="5"/>
            <w:shd w:val="clear" w:color="auto" w:fill="DBE5F1" w:themeFill="accent1" w:themeFillTint="33"/>
            <w:vAlign w:val="center"/>
          </w:tcPr>
          <w:p w14:paraId="57B04D88" w14:textId="77777777" w:rsidR="00EB11F0" w:rsidRPr="004065EC" w:rsidRDefault="00EB11F0" w:rsidP="00EB11F0">
            <w:pPr>
              <w:pStyle w:val="ListParagraph"/>
              <w:spacing w:before="60"/>
              <w:ind w:left="0"/>
              <w:contextualSpacing w:val="0"/>
              <w:rPr>
                <w:b/>
                <w:sz w:val="20"/>
                <w:szCs w:val="16"/>
              </w:rPr>
            </w:pPr>
            <w:r w:rsidRPr="004065EC">
              <w:rPr>
                <w:b/>
                <w:sz w:val="20"/>
                <w:szCs w:val="16"/>
              </w:rPr>
              <w:t xml:space="preserve">Last reporting month, 1 </w:t>
            </w:r>
            <w:r w:rsidRPr="004065EC">
              <w:rPr>
                <w:rFonts w:ascii="Calibri" w:eastAsia="Times New Roman" w:hAnsi="Calibri" w:cs="Arial"/>
                <w:b/>
                <w:sz w:val="20"/>
                <w:szCs w:val="20"/>
                <w:lang w:eastAsia="en-AU"/>
              </w:rPr>
              <w:t>–</w:t>
            </w:r>
            <w:r w:rsidRPr="004065EC">
              <w:rPr>
                <w:b/>
                <w:sz w:val="20"/>
                <w:szCs w:val="16"/>
              </w:rPr>
              <w:t xml:space="preserve"> </w:t>
            </w:r>
            <w:r w:rsidRPr="004065EC">
              <w:rPr>
                <w:rFonts w:ascii="Calibri" w:eastAsia="Times New Roman" w:hAnsi="Calibri" w:cs="Arial"/>
                <w:b/>
                <w:sz w:val="20"/>
                <w:szCs w:val="20"/>
                <w:lang w:eastAsia="en-AU"/>
              </w:rPr>
              <w:t>31 October 2019</w:t>
            </w:r>
          </w:p>
        </w:tc>
      </w:tr>
      <w:tr w:rsidR="00EB11F0" w:rsidRPr="004065EC" w14:paraId="57B04D8F" w14:textId="77777777" w:rsidTr="00EB11F0">
        <w:trPr>
          <w:trHeight w:val="85"/>
        </w:trPr>
        <w:tc>
          <w:tcPr>
            <w:tcW w:w="3964" w:type="dxa"/>
            <w:shd w:val="clear" w:color="auto" w:fill="auto"/>
          </w:tcPr>
          <w:p w14:paraId="57B04D8A" w14:textId="77777777" w:rsidR="00EB11F0" w:rsidRPr="004065EC" w:rsidRDefault="00EB11F0" w:rsidP="00EB11F0">
            <w:pPr>
              <w:pStyle w:val="ListParagraph"/>
              <w:spacing w:before="60"/>
              <w:ind w:left="0"/>
              <w:contextualSpacing w:val="0"/>
              <w:rPr>
                <w:sz w:val="16"/>
                <w:szCs w:val="16"/>
              </w:rPr>
            </w:pPr>
            <w:r w:rsidRPr="004065EC">
              <w:rPr>
                <w:sz w:val="20"/>
                <w:szCs w:val="16"/>
              </w:rPr>
              <w:t>Aboriginal and Torres Strait Islander people</w:t>
            </w:r>
            <w:r w:rsidRPr="004065EC">
              <w:rPr>
                <w:rFonts w:ascii="Agency FB" w:hAnsi="Agency FB"/>
                <w:sz w:val="20"/>
                <w:szCs w:val="16"/>
                <w:vertAlign w:val="superscript"/>
              </w:rPr>
              <w:t>§</w:t>
            </w:r>
          </w:p>
        </w:tc>
        <w:tc>
          <w:tcPr>
            <w:tcW w:w="1701" w:type="dxa"/>
            <w:shd w:val="clear" w:color="auto" w:fill="B8CCE4" w:themeFill="accent1" w:themeFillTint="66"/>
          </w:tcPr>
          <w:p w14:paraId="57B04D8B"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1</w:t>
            </w:r>
          </w:p>
        </w:tc>
        <w:tc>
          <w:tcPr>
            <w:tcW w:w="1560" w:type="dxa"/>
            <w:shd w:val="clear" w:color="auto" w:fill="B6DDE8" w:themeFill="accent5" w:themeFillTint="66"/>
          </w:tcPr>
          <w:p w14:paraId="57B04D8C"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w:t>
            </w:r>
          </w:p>
        </w:tc>
        <w:tc>
          <w:tcPr>
            <w:tcW w:w="1672" w:type="dxa"/>
            <w:shd w:val="clear" w:color="auto" w:fill="CCC0D9" w:themeFill="accent4" w:themeFillTint="66"/>
            <w:vAlign w:val="center"/>
          </w:tcPr>
          <w:p w14:paraId="57B04D8D"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w:t>
            </w:r>
          </w:p>
        </w:tc>
        <w:tc>
          <w:tcPr>
            <w:tcW w:w="1559" w:type="dxa"/>
            <w:shd w:val="clear" w:color="auto" w:fill="FBD4B4" w:themeFill="accent6" w:themeFillTint="66"/>
          </w:tcPr>
          <w:p w14:paraId="57B04D8E"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w:t>
            </w:r>
          </w:p>
        </w:tc>
      </w:tr>
      <w:tr w:rsidR="00EB11F0" w:rsidRPr="00F03247" w14:paraId="57B04D95" w14:textId="77777777" w:rsidTr="00EB11F0">
        <w:tc>
          <w:tcPr>
            <w:tcW w:w="3964" w:type="dxa"/>
            <w:shd w:val="clear" w:color="auto" w:fill="auto"/>
          </w:tcPr>
          <w:p w14:paraId="57B04D90" w14:textId="77777777" w:rsidR="00EB11F0" w:rsidRPr="004065EC" w:rsidRDefault="00EB11F0" w:rsidP="00EB11F0">
            <w:pPr>
              <w:pStyle w:val="ListParagraph"/>
              <w:spacing w:before="60"/>
              <w:ind w:left="0"/>
              <w:contextualSpacing w:val="0"/>
              <w:rPr>
                <w:sz w:val="16"/>
                <w:szCs w:val="16"/>
              </w:rPr>
            </w:pPr>
            <w:r w:rsidRPr="004065EC">
              <w:rPr>
                <w:sz w:val="20"/>
                <w:szCs w:val="16"/>
              </w:rPr>
              <w:t>Non-Indigenous people</w:t>
            </w:r>
            <w:r w:rsidRPr="004065EC">
              <w:rPr>
                <w:sz w:val="20"/>
                <w:szCs w:val="16"/>
                <w:vertAlign w:val="superscript"/>
              </w:rPr>
              <w:t>µ</w:t>
            </w:r>
          </w:p>
        </w:tc>
        <w:tc>
          <w:tcPr>
            <w:tcW w:w="1701" w:type="dxa"/>
            <w:shd w:val="clear" w:color="auto" w:fill="B8CCE4" w:themeFill="accent1" w:themeFillTint="66"/>
          </w:tcPr>
          <w:p w14:paraId="57B04D91"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2</w:t>
            </w:r>
          </w:p>
        </w:tc>
        <w:tc>
          <w:tcPr>
            <w:tcW w:w="1560" w:type="dxa"/>
            <w:shd w:val="clear" w:color="auto" w:fill="B6DDE8" w:themeFill="accent5" w:themeFillTint="66"/>
          </w:tcPr>
          <w:p w14:paraId="57B04D92" w14:textId="77777777" w:rsidR="00EB11F0" w:rsidRPr="004065EC" w:rsidRDefault="00EB11F0" w:rsidP="00EB11F0">
            <w:pPr>
              <w:pStyle w:val="ListParagraph"/>
              <w:spacing w:before="60"/>
              <w:ind w:left="0"/>
              <w:contextualSpacing w:val="0"/>
              <w:jc w:val="center"/>
              <w:rPr>
                <w:sz w:val="20"/>
                <w:szCs w:val="16"/>
              </w:rPr>
            </w:pPr>
            <w:r w:rsidRPr="004065EC">
              <w:rPr>
                <w:sz w:val="20"/>
                <w:szCs w:val="16"/>
              </w:rPr>
              <w:t>-</w:t>
            </w:r>
          </w:p>
        </w:tc>
        <w:tc>
          <w:tcPr>
            <w:tcW w:w="1672" w:type="dxa"/>
            <w:shd w:val="clear" w:color="auto" w:fill="CCC0D9" w:themeFill="accent4" w:themeFillTint="66"/>
            <w:vAlign w:val="center"/>
          </w:tcPr>
          <w:p w14:paraId="57B04D93" w14:textId="77777777" w:rsidR="00EB11F0" w:rsidRPr="004065EC" w:rsidRDefault="00EB11F0" w:rsidP="00EB11F0">
            <w:pPr>
              <w:pStyle w:val="ListParagraph"/>
              <w:spacing w:before="60"/>
              <w:ind w:left="0"/>
              <w:contextualSpacing w:val="0"/>
              <w:jc w:val="center"/>
              <w:rPr>
                <w:b/>
                <w:sz w:val="16"/>
                <w:szCs w:val="16"/>
              </w:rPr>
            </w:pPr>
            <w:r w:rsidRPr="004065EC">
              <w:rPr>
                <w:b/>
                <w:sz w:val="16"/>
                <w:szCs w:val="16"/>
              </w:rPr>
              <w:t>-</w:t>
            </w:r>
          </w:p>
        </w:tc>
        <w:tc>
          <w:tcPr>
            <w:tcW w:w="1559" w:type="dxa"/>
            <w:shd w:val="clear" w:color="auto" w:fill="FBD4B4" w:themeFill="accent6" w:themeFillTint="66"/>
          </w:tcPr>
          <w:p w14:paraId="57B04D94" w14:textId="77777777" w:rsidR="00EB11F0" w:rsidRPr="00A94758" w:rsidRDefault="00EB11F0" w:rsidP="00EB11F0">
            <w:pPr>
              <w:pStyle w:val="ListParagraph"/>
              <w:spacing w:before="60"/>
              <w:ind w:left="0"/>
              <w:contextualSpacing w:val="0"/>
              <w:jc w:val="center"/>
              <w:rPr>
                <w:sz w:val="20"/>
                <w:szCs w:val="16"/>
              </w:rPr>
            </w:pPr>
            <w:r w:rsidRPr="004065EC">
              <w:rPr>
                <w:sz w:val="20"/>
                <w:szCs w:val="16"/>
              </w:rPr>
              <w:t>-</w:t>
            </w:r>
          </w:p>
        </w:tc>
      </w:tr>
    </w:tbl>
    <w:p w14:paraId="57B04D96" w14:textId="77777777" w:rsidR="00EB11F0" w:rsidRPr="00F03247" w:rsidRDefault="00EB11F0" w:rsidP="00EB11F0">
      <w:pPr>
        <w:pStyle w:val="ListParagraph"/>
        <w:spacing w:before="60" w:after="0" w:line="240" w:lineRule="auto"/>
        <w:ind w:left="-567"/>
        <w:contextualSpacing w:val="0"/>
        <w:rPr>
          <w:b/>
          <w:sz w:val="16"/>
          <w:szCs w:val="16"/>
        </w:rPr>
      </w:pPr>
    </w:p>
    <w:p w14:paraId="57B04D97" w14:textId="77777777" w:rsidR="00EB11F0" w:rsidRPr="00F03247" w:rsidRDefault="00EB11F0" w:rsidP="00EB11F0">
      <w:pPr>
        <w:pStyle w:val="ListParagraph"/>
        <w:spacing w:before="60" w:after="0" w:line="240" w:lineRule="auto"/>
        <w:ind w:left="-709"/>
        <w:contextualSpacing w:val="0"/>
        <w:jc w:val="both"/>
        <w:rPr>
          <w:b/>
          <w:sz w:val="16"/>
          <w:szCs w:val="16"/>
        </w:rPr>
      </w:pPr>
      <w:r w:rsidRPr="00F03247">
        <w:rPr>
          <w:b/>
          <w:sz w:val="16"/>
          <w:szCs w:val="16"/>
        </w:rPr>
        <w:t>Notes:</w:t>
      </w:r>
    </w:p>
    <w:p w14:paraId="57B04D98" w14:textId="77777777" w:rsidR="00EB11F0" w:rsidRPr="00F03247" w:rsidRDefault="00EB11F0" w:rsidP="00EB11F0">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D99" w14:textId="77777777" w:rsidR="00EB11F0" w:rsidRPr="00F03247" w:rsidRDefault="00EB11F0" w:rsidP="00EB11F0">
      <w:pPr>
        <w:pStyle w:val="ListParagraph"/>
        <w:spacing w:after="0" w:line="240" w:lineRule="auto"/>
        <w:ind w:left="-567" w:right="119"/>
        <w:contextualSpacing w:val="0"/>
        <w:rPr>
          <w:sz w:val="16"/>
          <w:szCs w:val="16"/>
        </w:rPr>
      </w:pPr>
      <w:proofErr w:type="gramStart"/>
      <w:r w:rsidRPr="00F03247">
        <w:rPr>
          <w:b/>
          <w:sz w:val="16"/>
          <w:szCs w:val="16"/>
          <w:vertAlign w:val="superscript"/>
        </w:rPr>
        <w:t>α</w:t>
      </w:r>
      <w:proofErr w:type="gramEnd"/>
      <w:r w:rsidRPr="00F03247">
        <w:rPr>
          <w:sz w:val="16"/>
          <w:szCs w:val="16"/>
        </w:rPr>
        <w:t xml:space="preserve"> Cases defined as per the MJSO syphilis outbreak case definition: </w:t>
      </w:r>
    </w:p>
    <w:p w14:paraId="57B04D9A" w14:textId="77777777" w:rsidR="00EB11F0" w:rsidRPr="00F03247" w:rsidRDefault="00EB11F0" w:rsidP="00EB11F0">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Hospital and Health Service area (from</w:t>
      </w:r>
      <w:r>
        <w:rPr>
          <w:sz w:val="16"/>
          <w:szCs w:val="16"/>
        </w:rPr>
        <w:t xml:space="preserve"> </w:t>
      </w:r>
      <w:r w:rsidRPr="00546B60">
        <w:rPr>
          <w:sz w:val="16"/>
          <w:szCs w:val="16"/>
        </w:rPr>
        <w:t xml:space="preserve">1 August 2013); Townsville Hospital and Health Service area (from 1 January 2014); Central Queensland Hospital and Health Service  area (from 1 June 2017) </w:t>
      </w:r>
      <w:r w:rsidRPr="00546B60">
        <w:rPr>
          <w:b/>
          <w:i/>
          <w:sz w:val="16"/>
          <w:szCs w:val="16"/>
        </w:rPr>
        <w:t>NT</w:t>
      </w:r>
      <w:r w:rsidRPr="00546B60">
        <w:rPr>
          <w:sz w:val="16"/>
          <w:szCs w:val="16"/>
        </w:rPr>
        <w:t xml:space="preserve"> - Alice Springs Rural and Urban 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 Pilbara region (from 1 February 2018); Goldfields region (from 1 January 2019); </w:t>
      </w:r>
      <w:r w:rsidRPr="00F03247">
        <w:rPr>
          <w:b/>
          <w:i/>
          <w:sz w:val="16"/>
          <w:szCs w:val="16"/>
        </w:rPr>
        <w:t>SA</w:t>
      </w:r>
      <w:r w:rsidRPr="00F03247">
        <w:rPr>
          <w:b/>
          <w:sz w:val="16"/>
          <w:szCs w:val="16"/>
        </w:rPr>
        <w:t xml:space="preserve"> </w:t>
      </w:r>
      <w:r w:rsidRPr="00F03247">
        <w:rPr>
          <w:sz w:val="16"/>
          <w:szCs w:val="16"/>
        </w:rPr>
        <w:t xml:space="preserve"> - Far North and Western and Eyre regions (from 15 November 2016); Adelaide (from 1 February 2018) (category 1 outbreak cases) </w:t>
      </w:r>
      <w:r w:rsidRPr="00F03247">
        <w:rPr>
          <w:b/>
          <w:sz w:val="16"/>
          <w:szCs w:val="16"/>
        </w:rPr>
        <w:t>OR</w:t>
      </w:r>
      <w:r w:rsidRPr="00F03247">
        <w:rPr>
          <w:sz w:val="16"/>
          <w:szCs w:val="16"/>
        </w:rPr>
        <w:t xml:space="preserve">,  is a sexual contact of a confirmed outbreak case (category 2 outbreak cases). </w:t>
      </w:r>
    </w:p>
    <w:p w14:paraId="57B04D9B" w14:textId="77777777" w:rsidR="00EB11F0" w:rsidRPr="00F03247" w:rsidRDefault="00EB11F0" w:rsidP="00EB11F0">
      <w:pPr>
        <w:spacing w:after="0" w:line="240" w:lineRule="auto"/>
        <w:ind w:left="-426" w:right="119" w:hanging="141"/>
        <w:rPr>
          <w:sz w:val="16"/>
          <w:szCs w:val="16"/>
        </w:rPr>
      </w:pPr>
      <w:proofErr w:type="gramStart"/>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Pr>
          <w:sz w:val="16"/>
          <w:szCs w:val="16"/>
        </w:rPr>
        <w:t xml:space="preserve"> and Central Queensland</w:t>
      </w:r>
      <w:r w:rsidRPr="00F03247">
        <w:rPr>
          <w:sz w:val="16"/>
          <w:szCs w:val="16"/>
        </w:rPr>
        <w:t xml:space="preserve"> Hospital and Health Services in Queensland; Alice Springs Urban, Alice Springs Rural, Barkly, East Arnhem, Katherine, Darwin Urban and Darwin Rural regions in the Northern Territory;  Kimberley, Pilbara and Goldfield regions in Western Australia, and; Far North, Western and Eyre and Adelaide regions in South Australia.</w:t>
      </w:r>
      <w:proofErr w:type="gramEnd"/>
    </w:p>
    <w:p w14:paraId="57B04D9C" w14:textId="77777777" w:rsidR="00EB11F0" w:rsidRPr="00F03247" w:rsidRDefault="00EB11F0" w:rsidP="00EB11F0">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D9D" w14:textId="77777777" w:rsidR="00EB11F0" w:rsidRPr="00F03247" w:rsidRDefault="00EB11F0" w:rsidP="00EB11F0">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Aboriginal and Torres Strait Islander people who are sexual contacts of a confirmed outbreak case and reside outside an outbreak declared region at the time of diagnosis.</w:t>
      </w:r>
    </w:p>
    <w:p w14:paraId="57B04D9E" w14:textId="77777777" w:rsidR="00EB11F0" w:rsidRPr="00F03247" w:rsidRDefault="00EB11F0" w:rsidP="00EB11F0">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Non-Indigenous people who are sexual contacts of a confirmed outbreak case and reside in or out of an outbreak declared region at the time of diagnosis.</w:t>
      </w:r>
    </w:p>
    <w:p w14:paraId="57B04D9F" w14:textId="77777777" w:rsidR="00EB11F0" w:rsidRPr="00216285" w:rsidRDefault="00EB11F0" w:rsidP="00EB11F0">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proofErr w:type="gramStart"/>
      <w:r w:rsidRPr="00F03247">
        <w:rPr>
          <w:sz w:val="16"/>
          <w:szCs w:val="16"/>
          <w:u w:val="single"/>
        </w:rPr>
        <w:t>Please</w:t>
      </w:r>
      <w:proofErr w:type="gramEnd"/>
      <w:r w:rsidRPr="00F03247">
        <w:rPr>
          <w:sz w:val="16"/>
          <w:szCs w:val="16"/>
          <w:u w:val="single"/>
        </w:rPr>
        <w:t xml:space="preserv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p w14:paraId="57B04DA0" w14:textId="77777777" w:rsidR="00580C89" w:rsidRDefault="00580C89">
      <w:pPr>
        <w:rPr>
          <w:rFonts w:ascii="Arial" w:hAnsi="Arial" w:cs="Arial"/>
          <w:b/>
          <w:sz w:val="28"/>
          <w:szCs w:val="24"/>
        </w:rPr>
      </w:pPr>
      <w:r>
        <w:rPr>
          <w:rFonts w:ascii="Arial" w:hAnsi="Arial" w:cs="Arial"/>
          <w:b/>
          <w:sz w:val="28"/>
          <w:szCs w:val="24"/>
        </w:rPr>
        <w:br w:type="page"/>
      </w:r>
    </w:p>
    <w:p w14:paraId="57B04DA1" w14:textId="77777777" w:rsidR="00EB11F0" w:rsidRPr="00F03247" w:rsidRDefault="00EB11F0" w:rsidP="00EB11F0">
      <w:pPr>
        <w:spacing w:after="0" w:line="240" w:lineRule="auto"/>
        <w:ind w:left="-567" w:right="261"/>
        <w:jc w:val="center"/>
        <w:rPr>
          <w:rFonts w:ascii="Arial" w:hAnsi="Arial" w:cs="Arial"/>
          <w:b/>
          <w:sz w:val="28"/>
          <w:szCs w:val="24"/>
        </w:rPr>
      </w:pPr>
      <w:r w:rsidRPr="00F03247">
        <w:rPr>
          <w:rFonts w:ascii="Arial" w:hAnsi="Arial" w:cs="Arial"/>
          <w:b/>
          <w:sz w:val="28"/>
          <w:szCs w:val="24"/>
        </w:rPr>
        <w:lastRenderedPageBreak/>
        <w:t xml:space="preserve">MULTIJURISDICTIONAL SYPHILIS OUTBREAK </w:t>
      </w:r>
      <w:r w:rsidRPr="00F03247">
        <w:rPr>
          <w:rFonts w:ascii="Arial" w:hAnsi="Arial" w:cs="Arial"/>
          <w:b/>
          <w:sz w:val="28"/>
          <w:szCs w:val="24"/>
        </w:rPr>
        <w:br/>
        <w:t xml:space="preserve">SURVEILLANCE REPORT: </w:t>
      </w:r>
      <w:r>
        <w:rPr>
          <w:rFonts w:ascii="Arial" w:hAnsi="Arial" w:cs="Arial"/>
          <w:b/>
          <w:sz w:val="28"/>
          <w:szCs w:val="24"/>
        </w:rPr>
        <w:t>DECEMBER</w:t>
      </w:r>
      <w:r w:rsidRPr="00F03247">
        <w:rPr>
          <w:rFonts w:ascii="Arial" w:hAnsi="Arial" w:cs="Arial"/>
          <w:b/>
          <w:sz w:val="28"/>
          <w:szCs w:val="24"/>
        </w:rPr>
        <w:t xml:space="preserve"> 2019</w:t>
      </w:r>
    </w:p>
    <w:p w14:paraId="57B04DA2" w14:textId="77777777" w:rsidR="00EB11F0" w:rsidRPr="00F03247" w:rsidRDefault="00EB11F0" w:rsidP="00EB11F0">
      <w:pPr>
        <w:spacing w:after="0" w:line="120" w:lineRule="auto"/>
        <w:ind w:left="-567" w:right="-612"/>
        <w:jc w:val="center"/>
        <w:rPr>
          <w:rFonts w:ascii="Arial" w:hAnsi="Arial" w:cs="Arial"/>
          <w:b/>
          <w:sz w:val="24"/>
          <w:szCs w:val="24"/>
        </w:rPr>
      </w:pPr>
    </w:p>
    <w:p w14:paraId="57B04DA3" w14:textId="77777777" w:rsidR="00EB11F0" w:rsidRPr="00F03247" w:rsidRDefault="00EB11F0" w:rsidP="00EB11F0">
      <w:pPr>
        <w:spacing w:after="0" w:line="240" w:lineRule="auto"/>
        <w:ind w:left="-567" w:right="119"/>
        <w:jc w:val="center"/>
        <w:rPr>
          <w:rFonts w:ascii="Arial" w:hAnsi="Arial" w:cs="Arial"/>
          <w:b/>
          <w:sz w:val="24"/>
          <w:szCs w:val="24"/>
        </w:rPr>
      </w:pPr>
      <w:r w:rsidRPr="00F03247">
        <w:rPr>
          <w:rFonts w:ascii="Arial" w:hAnsi="Arial" w:cs="Arial"/>
          <w:b/>
          <w:sz w:val="24"/>
          <w:szCs w:val="24"/>
        </w:rPr>
        <w:t>This surveillance report has been authorised by Health Departments in outbreak affected jurisdictions and the Office of Health Protection.</w:t>
      </w:r>
      <w:r>
        <w:rPr>
          <w:rFonts w:ascii="Arial" w:hAnsi="Arial" w:cs="Arial"/>
          <w:b/>
          <w:sz w:val="24"/>
          <w:szCs w:val="24"/>
        </w:rPr>
        <w:t xml:space="preserve"> </w:t>
      </w:r>
    </w:p>
    <w:p w14:paraId="57B04DA4" w14:textId="77777777" w:rsidR="00EB11F0" w:rsidRPr="00F03247" w:rsidRDefault="00EB11F0" w:rsidP="00EB11F0">
      <w:pPr>
        <w:spacing w:after="0" w:line="240" w:lineRule="auto"/>
        <w:ind w:right="-613"/>
        <w:rPr>
          <w:rFonts w:ascii="Arial" w:hAnsi="Arial" w:cs="Arial"/>
          <w:sz w:val="20"/>
          <w:szCs w:val="20"/>
        </w:rPr>
      </w:pPr>
    </w:p>
    <w:p w14:paraId="57B04DA5" w14:textId="77777777" w:rsidR="00EB11F0" w:rsidRPr="00F06C90" w:rsidRDefault="00EB11F0" w:rsidP="00EB11F0">
      <w:pPr>
        <w:pStyle w:val="PlainText"/>
        <w:ind w:left="-709" w:right="-23"/>
        <w:jc w:val="both"/>
        <w:rPr>
          <w:color w:val="000000" w:themeColor="text1"/>
        </w:rPr>
      </w:pPr>
      <w:r w:rsidRPr="00F06C90">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w:t>
      </w:r>
      <w:r w:rsidRPr="003C2791">
        <w:rPr>
          <w:color w:val="000000" w:themeColor="text1"/>
        </w:rPr>
        <w:t>19. In September 2019, Qu</w:t>
      </w:r>
      <w:r>
        <w:rPr>
          <w:color w:val="000000" w:themeColor="text1"/>
        </w:rPr>
        <w:t>eensland declared the outbreak had spread to Central Queensland with the first notification in this region reported in June 2017.</w:t>
      </w:r>
    </w:p>
    <w:p w14:paraId="57B04DA6" w14:textId="77777777" w:rsidR="00EB11F0" w:rsidRPr="00F06C90" w:rsidRDefault="00EB11F0" w:rsidP="00EB11F0">
      <w:pPr>
        <w:pStyle w:val="PlainText"/>
        <w:ind w:left="-709" w:right="-23"/>
        <w:rPr>
          <w:color w:val="000000" w:themeColor="text1"/>
        </w:rPr>
      </w:pPr>
    </w:p>
    <w:p w14:paraId="57B04DA7" w14:textId="77777777" w:rsidR="00EB11F0" w:rsidRPr="00F06C90" w:rsidRDefault="00EB11F0" w:rsidP="00EB11F0">
      <w:pPr>
        <w:pStyle w:val="PlainText"/>
        <w:ind w:left="-709" w:right="-23"/>
        <w:rPr>
          <w:color w:val="000000" w:themeColor="text1"/>
        </w:rPr>
      </w:pPr>
      <w:r w:rsidRPr="00F06C90">
        <w:rPr>
          <w:color w:val="000000" w:themeColor="text1"/>
        </w:rPr>
        <w:t xml:space="preserve">This surveillance report summarises the outbreak </w:t>
      </w:r>
      <w:r>
        <w:rPr>
          <w:color w:val="000000" w:themeColor="text1"/>
        </w:rPr>
        <w:t>epidemiological data as of</w:t>
      </w:r>
      <w:r w:rsidRPr="00F06C90">
        <w:rPr>
          <w:color w:val="000000" w:themeColor="text1"/>
        </w:rPr>
        <w:t xml:space="preserve"> </w:t>
      </w:r>
      <w:r>
        <w:rPr>
          <w:color w:val="000000" w:themeColor="text1"/>
        </w:rPr>
        <w:t xml:space="preserve">30 November </w:t>
      </w:r>
      <w:r w:rsidRPr="00F06C90">
        <w:rPr>
          <w:color w:val="000000" w:themeColor="text1"/>
        </w:rPr>
        <w:t>2019 (current</w:t>
      </w:r>
      <w:r>
        <w:rPr>
          <w:color w:val="000000" w:themeColor="text1"/>
        </w:rPr>
        <w:t xml:space="preserve"> </w:t>
      </w:r>
      <w:r w:rsidRPr="00F06C90">
        <w:rPr>
          <w:color w:val="000000" w:themeColor="text1"/>
        </w:rPr>
        <w:t>status).</w:t>
      </w:r>
    </w:p>
    <w:p w14:paraId="57B04DA8" w14:textId="77777777" w:rsidR="00EB11F0" w:rsidRPr="00F06C90" w:rsidRDefault="00EB11F0" w:rsidP="00EB11F0">
      <w:pPr>
        <w:pStyle w:val="PlainText"/>
        <w:ind w:left="-709" w:right="-23"/>
        <w:rPr>
          <w:color w:val="000000" w:themeColor="text1"/>
        </w:rPr>
      </w:pPr>
    </w:p>
    <w:p w14:paraId="57B04DA9" w14:textId="77777777" w:rsidR="00EB11F0" w:rsidRPr="00F06C90" w:rsidRDefault="00EB11F0" w:rsidP="00EB11F0">
      <w:pPr>
        <w:pStyle w:val="PlainText"/>
        <w:ind w:left="-709" w:right="-23"/>
        <w:rPr>
          <w:color w:val="000000" w:themeColor="text1"/>
        </w:rPr>
      </w:pPr>
      <w:r w:rsidRPr="00F06C90">
        <w:rPr>
          <w:b/>
          <w:color w:val="000000" w:themeColor="text1"/>
        </w:rPr>
        <w:t>Please note:</w:t>
      </w:r>
      <w:r w:rsidRPr="00F06C90">
        <w:rPr>
          <w:color w:val="000000" w:themeColor="text1"/>
        </w:rPr>
        <w:t xml:space="preserve"> the MJSO Surveillance Report was formerly known as the MJSO Communique. Historical epidemiological data and MJSO activities are published in earlier MJSO Communiques available at </w:t>
      </w:r>
      <w:r w:rsidRPr="00F06C90">
        <w:rPr>
          <w:i/>
          <w:szCs w:val="20"/>
        </w:rPr>
        <w:t xml:space="preserve">http://www.health.gov.au/internet/main/publishing.nsf/Content/ohp-infectious-syphilis-outbreak.htm </w:t>
      </w:r>
    </w:p>
    <w:p w14:paraId="57B04DAA" w14:textId="77777777" w:rsidR="00EB11F0" w:rsidRPr="00F06C90" w:rsidRDefault="00EB11F0" w:rsidP="00EB11F0">
      <w:pPr>
        <w:pStyle w:val="PlainText"/>
        <w:ind w:left="-709" w:right="-23"/>
      </w:pPr>
    </w:p>
    <w:p w14:paraId="57B04DAB" w14:textId="77777777" w:rsidR="00EB11F0" w:rsidRPr="00F06C90" w:rsidRDefault="00EB11F0" w:rsidP="00EB11F0">
      <w:pPr>
        <w:spacing w:after="0" w:line="240" w:lineRule="auto"/>
        <w:ind w:left="-709" w:right="-23"/>
        <w:jc w:val="both"/>
        <w:rPr>
          <w:rFonts w:ascii="Arial" w:hAnsi="Arial" w:cs="Arial"/>
          <w:b/>
        </w:rPr>
      </w:pPr>
      <w:r w:rsidRPr="00F06C90">
        <w:rPr>
          <w:rFonts w:ascii="Arial" w:hAnsi="Arial" w:cs="Arial"/>
          <w:b/>
        </w:rPr>
        <w:t>Current status</w:t>
      </w:r>
    </w:p>
    <w:p w14:paraId="57B04DAC" w14:textId="77777777" w:rsidR="00EB11F0" w:rsidRPr="00F06C90"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Pr>
          <w:rFonts w:ascii="Arial" w:hAnsi="Arial" w:cs="Arial"/>
          <w:color w:val="000000" w:themeColor="text1"/>
          <w:sz w:val="20"/>
          <w:szCs w:val="20"/>
        </w:rPr>
        <w:t xml:space="preserve">30 November </w:t>
      </w:r>
      <w:r w:rsidRPr="00F06C90">
        <w:rPr>
          <w:rFonts w:ascii="Arial" w:hAnsi="Arial" w:cs="Arial"/>
          <w:color w:val="000000" w:themeColor="text1"/>
          <w:sz w:val="20"/>
          <w:szCs w:val="20"/>
        </w:rPr>
        <w:t>2019</w:t>
      </w:r>
      <w:r w:rsidRPr="00F06C90">
        <w:rPr>
          <w:rFonts w:ascii="Arial" w:hAnsi="Arial" w:cs="Arial"/>
          <w:sz w:val="20"/>
          <w:szCs w:val="20"/>
          <w:vertAlign w:val="superscript"/>
        </w:rPr>
        <w:t>ȶ</w:t>
      </w:r>
      <w:r w:rsidRPr="00F06C90">
        <w:rPr>
          <w:rFonts w:ascii="Arial" w:hAnsi="Arial" w:cs="Arial"/>
          <w:sz w:val="20"/>
          <w:szCs w:val="20"/>
        </w:rPr>
        <w:t xml:space="preserve"> are summarised in Figure 1, Table 1 and Table 2 below.</w:t>
      </w:r>
    </w:p>
    <w:p w14:paraId="57B04DAD" w14:textId="77777777" w:rsidR="00EB11F0" w:rsidRPr="00F06C90" w:rsidRDefault="00EB11F0" w:rsidP="00EB11F0">
      <w:pPr>
        <w:spacing w:after="0" w:line="240" w:lineRule="auto"/>
        <w:ind w:left="-709" w:right="-23"/>
        <w:jc w:val="both"/>
        <w:rPr>
          <w:rFonts w:ascii="Arial" w:hAnsi="Arial" w:cs="Arial"/>
          <w:sz w:val="20"/>
          <w:szCs w:val="20"/>
        </w:rPr>
      </w:pPr>
    </w:p>
    <w:p w14:paraId="57B04DAE" w14:textId="77777777" w:rsidR="00EB11F0" w:rsidRPr="00FE129B" w:rsidRDefault="00EB11F0" w:rsidP="00EB11F0">
      <w:pPr>
        <w:spacing w:after="0" w:line="240" w:lineRule="auto"/>
        <w:ind w:left="-709" w:right="-23"/>
        <w:jc w:val="both"/>
        <w:rPr>
          <w:rFonts w:ascii="Arial" w:hAnsi="Arial" w:cs="Arial"/>
          <w:sz w:val="20"/>
          <w:szCs w:val="20"/>
        </w:rPr>
      </w:pPr>
      <w:r w:rsidRPr="00F06C90">
        <w:rPr>
          <w:rFonts w:ascii="Arial" w:hAnsi="Arial" w:cs="Arial"/>
          <w:sz w:val="20"/>
          <w:szCs w:val="20"/>
        </w:rPr>
        <w:t>Outbreak cases are reported as either category 1 or category 2: category 1 cases include Aboriginal and Torres Strait Islander people residing in an outbreak declared region</w:t>
      </w:r>
      <w:r w:rsidRPr="00F06C90">
        <w:rPr>
          <w:rFonts w:ascii="Arial" w:hAnsi="Arial" w:cs="Arial"/>
          <w:sz w:val="20"/>
          <w:szCs w:val="20"/>
          <w:vertAlign w:val="superscript"/>
        </w:rPr>
        <w:t>β</w:t>
      </w:r>
      <w:r w:rsidRPr="00F06C90">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w:t>
      </w:r>
      <w:r w:rsidRPr="00FE129B">
        <w:rPr>
          <w:rFonts w:ascii="Arial" w:hAnsi="Arial" w:cs="Arial"/>
          <w:sz w:val="20"/>
          <w:szCs w:val="20"/>
        </w:rPr>
        <w:t xml:space="preserve">outbreak area at the time of diagnosis and non-Indigenous people regardless of where they reside. </w:t>
      </w:r>
    </w:p>
    <w:p w14:paraId="57B04DAF" w14:textId="77777777" w:rsidR="00EB11F0" w:rsidRPr="00FE129B" w:rsidRDefault="00EB11F0" w:rsidP="00EB11F0">
      <w:pPr>
        <w:spacing w:after="0" w:line="240" w:lineRule="auto"/>
        <w:ind w:left="-709" w:right="-23"/>
        <w:jc w:val="both"/>
        <w:rPr>
          <w:rFonts w:ascii="Arial" w:hAnsi="Arial" w:cs="Arial"/>
          <w:sz w:val="20"/>
          <w:szCs w:val="20"/>
        </w:rPr>
      </w:pPr>
    </w:p>
    <w:p w14:paraId="57B04DB0" w14:textId="77777777" w:rsidR="00EB11F0" w:rsidRPr="00AE5A72" w:rsidRDefault="00EB11F0" w:rsidP="00EB11F0">
      <w:pPr>
        <w:spacing w:after="0" w:line="240" w:lineRule="auto"/>
        <w:ind w:left="-709" w:right="-23"/>
        <w:jc w:val="both"/>
        <w:rPr>
          <w:rFonts w:ascii="Arial" w:hAnsi="Arial" w:cs="Arial"/>
          <w:sz w:val="20"/>
          <w:szCs w:val="20"/>
          <w:highlight w:val="yellow"/>
        </w:rPr>
      </w:pPr>
      <w:r w:rsidRPr="00A55FC9">
        <w:rPr>
          <w:rFonts w:ascii="Arial" w:hAnsi="Arial" w:cs="Arial"/>
          <w:sz w:val="20"/>
          <w:szCs w:val="20"/>
        </w:rPr>
        <w:t xml:space="preserve">Between 1 – </w:t>
      </w:r>
      <w:r w:rsidRPr="00A55FC9">
        <w:rPr>
          <w:rFonts w:ascii="Arial" w:hAnsi="Arial" w:cs="Arial"/>
          <w:color w:val="000000" w:themeColor="text1"/>
          <w:sz w:val="20"/>
          <w:szCs w:val="20"/>
        </w:rPr>
        <w:t>30 N</w:t>
      </w:r>
      <w:r w:rsidRPr="00F65260">
        <w:rPr>
          <w:rFonts w:ascii="Arial" w:hAnsi="Arial" w:cs="Arial"/>
          <w:color w:val="000000" w:themeColor="text1"/>
          <w:sz w:val="20"/>
          <w:szCs w:val="20"/>
        </w:rPr>
        <w:t>ovember 2019</w:t>
      </w:r>
      <w:r w:rsidRPr="00F65260">
        <w:rPr>
          <w:rFonts w:ascii="Arial" w:hAnsi="Arial" w:cs="Arial"/>
          <w:sz w:val="20"/>
          <w:szCs w:val="20"/>
          <w:vertAlign w:val="superscript"/>
        </w:rPr>
        <w:t>ȶ</w:t>
      </w:r>
      <w:r w:rsidRPr="00F65260">
        <w:rPr>
          <w:rFonts w:ascii="Arial" w:hAnsi="Arial" w:cs="Arial"/>
          <w:sz w:val="20"/>
          <w:szCs w:val="20"/>
        </w:rPr>
        <w:t xml:space="preserve">, there were 67 outbreak cases (category 1 and 2 cases) reported from the four outbreak affected jurisdictions: 23 in Queensland; 22 in the Northern Territory; 14 in Western Australia and; </w:t>
      </w:r>
      <w:proofErr w:type="gramStart"/>
      <w:r w:rsidRPr="00F65260">
        <w:rPr>
          <w:rFonts w:ascii="Arial" w:hAnsi="Arial" w:cs="Arial"/>
          <w:sz w:val="20"/>
          <w:szCs w:val="20"/>
        </w:rPr>
        <w:t>8</w:t>
      </w:r>
      <w:proofErr w:type="gramEnd"/>
      <w:r w:rsidRPr="00F65260">
        <w:rPr>
          <w:rFonts w:ascii="Arial" w:hAnsi="Arial" w:cs="Arial"/>
          <w:sz w:val="20"/>
          <w:szCs w:val="20"/>
        </w:rPr>
        <w:t xml:space="preserve"> in South Australia (Figure 1, Table 1 and Table 2).  From the commencement of the outbreak to </w:t>
      </w:r>
      <w:r w:rsidRPr="00F65260">
        <w:rPr>
          <w:rFonts w:ascii="Arial" w:hAnsi="Arial" w:cs="Arial"/>
          <w:color w:val="000000" w:themeColor="text1"/>
          <w:sz w:val="20"/>
          <w:szCs w:val="20"/>
        </w:rPr>
        <w:t xml:space="preserve">30 November </w:t>
      </w:r>
      <w:r w:rsidRPr="00F65260">
        <w:rPr>
          <w:rFonts w:ascii="Arial" w:hAnsi="Arial" w:cs="Arial"/>
          <w:sz w:val="20"/>
          <w:szCs w:val="20"/>
        </w:rPr>
        <w:t>2019</w:t>
      </w:r>
      <w:r w:rsidRPr="00F65260">
        <w:rPr>
          <w:rFonts w:ascii="Arial" w:hAnsi="Arial" w:cs="Arial"/>
          <w:sz w:val="20"/>
          <w:szCs w:val="20"/>
          <w:vertAlign w:val="superscript"/>
        </w:rPr>
        <w:t xml:space="preserve"> ȶ</w:t>
      </w:r>
      <w:r w:rsidRPr="00F65260">
        <w:rPr>
          <w:rFonts w:ascii="Arial" w:hAnsi="Arial" w:cs="Arial"/>
          <w:sz w:val="20"/>
          <w:szCs w:val="20"/>
        </w:rPr>
        <w:t>, there were a total of 3224 outbreak cases (category 1 and 2 cases) reported across the four outbreak affected jurisdictions: 1494 in Queensland (from January 2011); 1215 in the Northern Territory (from July 2013); 420 in Western Australia (from June 2014), and; 95 in South Australia (from November 2016) (Table 1 and 2).</w:t>
      </w:r>
    </w:p>
    <w:p w14:paraId="57B04DB1" w14:textId="77777777" w:rsidR="00EB11F0" w:rsidRPr="007B0DFB" w:rsidRDefault="00EB11F0" w:rsidP="00EB11F0">
      <w:pPr>
        <w:spacing w:after="0" w:line="240" w:lineRule="auto"/>
        <w:ind w:left="-709" w:right="-23"/>
        <w:jc w:val="both"/>
        <w:rPr>
          <w:rFonts w:ascii="Arial" w:hAnsi="Arial" w:cs="Arial"/>
          <w:sz w:val="20"/>
          <w:szCs w:val="20"/>
          <w:highlight w:val="green"/>
        </w:rPr>
      </w:pPr>
    </w:p>
    <w:p w14:paraId="57B04DB2" w14:textId="77777777" w:rsidR="00EB11F0" w:rsidRPr="00F03247" w:rsidRDefault="00EB11F0" w:rsidP="00EB11F0">
      <w:pPr>
        <w:spacing w:after="0" w:line="240" w:lineRule="auto"/>
        <w:ind w:left="-709" w:right="-23"/>
        <w:jc w:val="both"/>
        <w:rPr>
          <w:rFonts w:ascii="Arial" w:hAnsi="Arial" w:cs="Arial"/>
          <w:sz w:val="20"/>
          <w:szCs w:val="20"/>
          <w:vertAlign w:val="superscript"/>
        </w:rPr>
      </w:pPr>
      <w:r>
        <w:rPr>
          <w:noProof/>
          <w:lang w:eastAsia="en-AU"/>
        </w:rPr>
        <w:drawing>
          <wp:anchor distT="0" distB="0" distL="114300" distR="114300" simplePos="0" relativeHeight="251659264" behindDoc="1" locked="0" layoutInCell="1" allowOverlap="1" wp14:anchorId="57B04ED6" wp14:editId="57B04ED7">
            <wp:simplePos x="0" y="0"/>
            <wp:positionH relativeFrom="column">
              <wp:posOffset>-381000</wp:posOffset>
            </wp:positionH>
            <wp:positionV relativeFrom="paragraph">
              <wp:posOffset>441325</wp:posOffset>
            </wp:positionV>
            <wp:extent cx="6286500" cy="3856990"/>
            <wp:effectExtent l="0" t="0" r="0" b="0"/>
            <wp:wrapTight wrapText="bothSides">
              <wp:wrapPolygon edited="0">
                <wp:start x="0" y="0"/>
                <wp:lineTo x="0" y="21444"/>
                <wp:lineTo x="21535" y="21444"/>
                <wp:lineTo x="21535" y="0"/>
                <wp:lineTo x="0" y="0"/>
              </wp:wrapPolygon>
            </wp:wrapTight>
            <wp:docPr id="11" name="Picture 11" descr="Epidemic curve showing category 1 infectious syphilis outbreak cases notified in Aboriginal and Torres Strait Islander people residing in affected regions of Queensland, the Northern Territory, Western Australia and South Australia from commencement of the outbreak in each jurisdiction to 30 November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86500" cy="3856990"/>
                    </a:xfrm>
                    <a:prstGeom prst="rect">
                      <a:avLst/>
                    </a:prstGeom>
                  </pic:spPr>
                </pic:pic>
              </a:graphicData>
            </a:graphic>
            <wp14:sizeRelH relativeFrom="page">
              <wp14:pctWidth>0</wp14:pctWidth>
            </wp14:sizeRelH>
            <wp14:sizeRelV relativeFrom="page">
              <wp14:pctHeight>0</wp14:pctHeight>
            </wp14:sizeRelV>
          </wp:anchor>
        </w:drawing>
      </w:r>
      <w:r w:rsidRPr="007B0DFB">
        <w:rPr>
          <w:rFonts w:ascii="Arial" w:hAnsi="Arial" w:cs="Arial"/>
          <w:b/>
          <w:sz w:val="20"/>
          <w:szCs w:val="20"/>
        </w:rPr>
        <w:t>Figure 1</w:t>
      </w:r>
      <w:r w:rsidRPr="007B0DFB">
        <w:rPr>
          <w:rFonts w:ascii="Arial" w:hAnsi="Arial" w:cs="Arial"/>
          <w:sz w:val="20"/>
          <w:szCs w:val="20"/>
        </w:rPr>
        <w:t>. Epidemic curve showing category 1 infectious syphilis</w:t>
      </w:r>
      <w:r w:rsidRPr="007B0DFB">
        <w:rPr>
          <w:rFonts w:ascii="Arial" w:hAnsi="Arial" w:cs="Arial"/>
          <w:sz w:val="20"/>
          <w:szCs w:val="20"/>
          <w:vertAlign w:val="superscript"/>
        </w:rPr>
        <w:t xml:space="preserve"> α</w:t>
      </w:r>
      <w:r w:rsidRPr="007B0DFB">
        <w:rPr>
          <w:rFonts w:ascii="Arial" w:hAnsi="Arial" w:cs="Arial"/>
          <w:sz w:val="20"/>
          <w:szCs w:val="20"/>
        </w:rPr>
        <w:t xml:space="preserve"> outbreak cases notified in Aboriginal and Torres Strait Islander people residing in affected regions</w:t>
      </w:r>
      <w:r w:rsidRPr="007B0DFB">
        <w:rPr>
          <w:rFonts w:ascii="Arial" w:hAnsi="Arial" w:cs="Arial"/>
          <w:sz w:val="20"/>
          <w:szCs w:val="20"/>
          <w:vertAlign w:val="superscript"/>
        </w:rPr>
        <w:t>β</w:t>
      </w:r>
      <w:r w:rsidRPr="007B0DFB">
        <w:rPr>
          <w:rFonts w:ascii="Arial" w:hAnsi="Arial" w:cs="Arial"/>
          <w:sz w:val="20"/>
          <w:szCs w:val="20"/>
        </w:rPr>
        <w:t xml:space="preserve"> </w:t>
      </w:r>
      <w:r w:rsidRPr="00F65260">
        <w:rPr>
          <w:rFonts w:ascii="Arial" w:hAnsi="Arial" w:cs="Arial"/>
          <w:sz w:val="20"/>
          <w:szCs w:val="20"/>
        </w:rPr>
        <w:t xml:space="preserve">of Queensland, the Northern Territory, Western Australia and South Australia from commencement of the outbreak in each jurisdiction to </w:t>
      </w:r>
      <w:r w:rsidRPr="00F65260">
        <w:rPr>
          <w:rFonts w:ascii="Arial" w:hAnsi="Arial" w:cs="Arial"/>
          <w:color w:val="000000" w:themeColor="text1"/>
          <w:sz w:val="20"/>
          <w:szCs w:val="20"/>
        </w:rPr>
        <w:t>30 November 2019</w:t>
      </w:r>
      <w:r w:rsidRPr="00F65260">
        <w:rPr>
          <w:rFonts w:ascii="Arial" w:hAnsi="Arial" w:cs="Arial"/>
          <w:sz w:val="20"/>
          <w:szCs w:val="20"/>
          <w:vertAlign w:val="superscript"/>
        </w:rPr>
        <w:t>ȶ ᵞ</w:t>
      </w:r>
      <w:r w:rsidRPr="00F03247">
        <w:rPr>
          <w:rFonts w:ascii="Arial" w:hAnsi="Arial" w:cs="Arial"/>
          <w:sz w:val="20"/>
          <w:szCs w:val="20"/>
          <w:vertAlign w:val="superscript"/>
        </w:rPr>
        <w:t xml:space="preserve"> </w:t>
      </w:r>
      <w:r w:rsidRPr="001970E7">
        <w:rPr>
          <w:noProof/>
          <w:lang w:eastAsia="en-AU"/>
        </w:rPr>
        <w:t xml:space="preserve"> </w:t>
      </w:r>
      <w:r w:rsidRPr="00F03247">
        <w:rPr>
          <w:rFonts w:ascii="Arial" w:hAnsi="Arial" w:cs="Arial"/>
          <w:b/>
          <w:sz w:val="20"/>
          <w:szCs w:val="20"/>
        </w:rPr>
        <w:t xml:space="preserve"> </w:t>
      </w:r>
      <w:r w:rsidRPr="00F03247">
        <w:rPr>
          <w:rFonts w:ascii="Arial" w:hAnsi="Arial" w:cs="Arial"/>
          <w:b/>
          <w:sz w:val="20"/>
          <w:szCs w:val="20"/>
        </w:rPr>
        <w:br w:type="page"/>
      </w:r>
    </w:p>
    <w:p w14:paraId="57B04DB3" w14:textId="77777777" w:rsidR="00EB11F0" w:rsidRPr="00F03247" w:rsidRDefault="00EB11F0" w:rsidP="00EB11F0">
      <w:pPr>
        <w:spacing w:after="0" w:line="240" w:lineRule="auto"/>
        <w:ind w:left="-567"/>
        <w:rPr>
          <w:rFonts w:ascii="Arial" w:hAnsi="Arial" w:cs="Arial"/>
          <w:b/>
          <w:sz w:val="20"/>
          <w:szCs w:val="20"/>
        </w:rPr>
      </w:pPr>
    </w:p>
    <w:p w14:paraId="57B04DB4" w14:textId="77777777" w:rsidR="00EB11F0" w:rsidRPr="007B0DFB" w:rsidRDefault="00EB11F0" w:rsidP="00EB11F0">
      <w:pPr>
        <w:spacing w:after="0" w:line="240" w:lineRule="auto"/>
        <w:ind w:left="-709"/>
        <w:rPr>
          <w:rFonts w:ascii="Arial" w:hAnsi="Arial" w:cs="Arial"/>
          <w:sz w:val="20"/>
          <w:szCs w:val="20"/>
          <w:highlight w:val="green"/>
        </w:rPr>
      </w:pPr>
      <w:r w:rsidRPr="004065EC">
        <w:rPr>
          <w:rFonts w:ascii="Arial" w:hAnsi="Arial" w:cs="Arial"/>
          <w:b/>
          <w:sz w:val="20"/>
          <w:szCs w:val="20"/>
        </w:rPr>
        <w:t>Table 1</w:t>
      </w:r>
      <w:r w:rsidRPr="004065EC">
        <w:rPr>
          <w:rFonts w:ascii="Arial" w:hAnsi="Arial" w:cs="Arial"/>
          <w:sz w:val="20"/>
          <w:szCs w:val="20"/>
        </w:rPr>
        <w:t>.</w:t>
      </w:r>
      <w:r w:rsidRPr="004065EC">
        <w:rPr>
          <w:rFonts w:ascii="Arial" w:hAnsi="Arial" w:cs="Arial"/>
          <w:b/>
          <w:sz w:val="20"/>
          <w:szCs w:val="20"/>
        </w:rPr>
        <w:t xml:space="preserve"> </w:t>
      </w:r>
      <w:r w:rsidRPr="004065EC">
        <w:rPr>
          <w:rFonts w:ascii="Arial" w:hAnsi="Arial" w:cs="Arial"/>
          <w:sz w:val="20"/>
          <w:szCs w:val="20"/>
        </w:rPr>
        <w:t>Characteristics of category 1 infectious syphilis</w:t>
      </w:r>
      <w:r w:rsidRPr="004065EC">
        <w:rPr>
          <w:rFonts w:ascii="Arial" w:hAnsi="Arial" w:cs="Arial"/>
          <w:sz w:val="20"/>
          <w:szCs w:val="20"/>
          <w:vertAlign w:val="superscript"/>
        </w:rPr>
        <w:t>α</w:t>
      </w:r>
      <w:r w:rsidRPr="004065EC">
        <w:rPr>
          <w:rFonts w:ascii="Arial" w:hAnsi="Arial" w:cs="Arial"/>
          <w:sz w:val="20"/>
          <w:szCs w:val="20"/>
        </w:rPr>
        <w:t xml:space="preserve"> outbreak cases notified in Aboriginal and Torres Strait Islander people residing in affected regions</w:t>
      </w:r>
      <w:r w:rsidRPr="004065EC">
        <w:rPr>
          <w:rFonts w:ascii="Arial" w:hAnsi="Arial" w:cs="Arial"/>
          <w:sz w:val="20"/>
          <w:szCs w:val="20"/>
          <w:vertAlign w:val="superscript"/>
        </w:rPr>
        <w:t>β</w:t>
      </w:r>
      <w:r w:rsidRPr="004065EC">
        <w:rPr>
          <w:rFonts w:ascii="Arial" w:hAnsi="Arial" w:cs="Arial"/>
          <w:sz w:val="20"/>
          <w:szCs w:val="20"/>
        </w:rPr>
        <w:t xml:space="preserve"> of Queensland, the Northern Territory, Western Australia and South Australia, to </w:t>
      </w:r>
      <w:r w:rsidRPr="004065EC">
        <w:rPr>
          <w:rFonts w:ascii="Arial" w:hAnsi="Arial" w:cs="Arial"/>
          <w:sz w:val="20"/>
          <w:szCs w:val="20"/>
        </w:rPr>
        <w:br/>
      </w:r>
      <w:r>
        <w:rPr>
          <w:rFonts w:ascii="Arial" w:hAnsi="Arial" w:cs="Arial"/>
          <w:sz w:val="20"/>
          <w:szCs w:val="20"/>
        </w:rPr>
        <w:t>30 November</w:t>
      </w:r>
      <w:r w:rsidRPr="004065EC">
        <w:rPr>
          <w:rFonts w:ascii="Arial" w:hAnsi="Arial" w:cs="Arial"/>
          <w:sz w:val="20"/>
          <w:szCs w:val="20"/>
        </w:rPr>
        <w:t xml:space="preserve"> 2019</w:t>
      </w:r>
      <w:r w:rsidRPr="004065EC">
        <w:rPr>
          <w:rFonts w:ascii="Arial" w:hAnsi="Arial" w:cs="Arial"/>
          <w:sz w:val="20"/>
          <w:szCs w:val="20"/>
          <w:vertAlign w:val="superscript"/>
        </w:rPr>
        <w:t xml:space="preserve"> ȶ ᵞ</w:t>
      </w:r>
      <w:r w:rsidRPr="007B0DFB">
        <w:rPr>
          <w:rFonts w:ascii="Arial" w:hAnsi="Arial" w:cs="Arial"/>
          <w:sz w:val="20"/>
          <w:szCs w:val="20"/>
          <w:highlight w:val="green"/>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EB11F0" w:rsidRPr="00B24D19" w14:paraId="57B04DBC" w14:textId="77777777" w:rsidTr="00EB11F0">
        <w:trPr>
          <w:tblHeader/>
        </w:trPr>
        <w:tc>
          <w:tcPr>
            <w:tcW w:w="3975" w:type="dxa"/>
            <w:tcBorders>
              <w:bottom w:val="single" w:sz="4" w:space="0" w:color="auto"/>
            </w:tcBorders>
          </w:tcPr>
          <w:p w14:paraId="57B04DB5" w14:textId="77777777" w:rsidR="00EB11F0" w:rsidRPr="00854CFA" w:rsidRDefault="00EB11F0" w:rsidP="00EB11F0">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57B04DB6" w14:textId="77777777" w:rsidR="00EB11F0" w:rsidRPr="00854CFA" w:rsidRDefault="00EB11F0" w:rsidP="00EB11F0">
            <w:pPr>
              <w:ind w:left="34" w:hanging="34"/>
              <w:jc w:val="center"/>
              <w:rPr>
                <w:rFonts w:ascii="Calibri" w:eastAsia="Times New Roman" w:hAnsi="Calibri" w:cs="Arial"/>
                <w:b/>
                <w:sz w:val="20"/>
                <w:szCs w:val="20"/>
                <w:lang w:eastAsia="en-AU"/>
              </w:rPr>
            </w:pPr>
            <w:r w:rsidRPr="00854CFA">
              <w:rPr>
                <w:rFonts w:ascii="Calibri" w:eastAsia="Times New Roman" w:hAnsi="Calibri" w:cs="Arial"/>
                <w:b/>
                <w:sz w:val="20"/>
                <w:szCs w:val="20"/>
                <w:lang w:eastAsia="en-AU"/>
              </w:rPr>
              <w:t xml:space="preserve">North Qld </w:t>
            </w:r>
            <w:r w:rsidRPr="00854CFA">
              <w:rPr>
                <w:rFonts w:ascii="Calibri" w:eastAsia="Times New Roman" w:hAnsi="Calibri" w:cs="Arial"/>
                <w:b/>
                <w:sz w:val="20"/>
                <w:szCs w:val="20"/>
                <w:lang w:eastAsia="en-AU"/>
              </w:rPr>
              <w:br/>
            </w:r>
            <w:r w:rsidRPr="00854CFA">
              <w:rPr>
                <w:rFonts w:ascii="Calibri" w:eastAsia="Times New Roman" w:hAnsi="Calibri" w:cs="Arial"/>
                <w:sz w:val="20"/>
                <w:szCs w:val="20"/>
                <w:lang w:eastAsia="en-AU"/>
              </w:rPr>
              <w:t>(five HHSs</w:t>
            </w:r>
            <w:r w:rsidRPr="00854CFA">
              <w:rPr>
                <w:rFonts w:ascii="Calibri" w:eastAsia="Times New Roman" w:hAnsi="Calibri" w:cs="Arial"/>
                <w:sz w:val="20"/>
                <w:szCs w:val="20"/>
                <w:vertAlign w:val="superscript"/>
                <w:lang w:eastAsia="en-AU"/>
              </w:rPr>
              <w:t>β</w:t>
            </w:r>
            <w:r w:rsidRPr="00854CFA">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DB7" w14:textId="77777777" w:rsidR="00EB11F0" w:rsidRPr="00DB44A7" w:rsidRDefault="00EB11F0" w:rsidP="00EB11F0">
            <w:pPr>
              <w:ind w:left="34" w:hanging="34"/>
              <w:jc w:val="center"/>
              <w:rPr>
                <w:rFonts w:ascii="Calibri" w:eastAsia="Times New Roman" w:hAnsi="Calibri" w:cs="Arial"/>
                <w:sz w:val="20"/>
                <w:szCs w:val="20"/>
                <w:lang w:eastAsia="en-AU"/>
              </w:rPr>
            </w:pPr>
            <w:r w:rsidRPr="00DB44A7">
              <w:rPr>
                <w:rFonts w:ascii="Calibri" w:eastAsia="Times New Roman" w:hAnsi="Calibri" w:cs="Arial"/>
                <w:b/>
                <w:sz w:val="20"/>
                <w:szCs w:val="20"/>
                <w:lang w:eastAsia="en-AU"/>
              </w:rPr>
              <w:t xml:space="preserve">NT </w:t>
            </w:r>
          </w:p>
          <w:p w14:paraId="57B04DB8" w14:textId="77777777" w:rsidR="00EB11F0" w:rsidRPr="00DB44A7" w:rsidRDefault="00EB11F0" w:rsidP="00EB11F0">
            <w:pPr>
              <w:ind w:left="34" w:hanging="34"/>
              <w:jc w:val="center"/>
              <w:rPr>
                <w:rFonts w:ascii="Calibri" w:eastAsia="Times New Roman" w:hAnsi="Calibri" w:cs="Arial"/>
                <w:b/>
                <w:sz w:val="20"/>
                <w:szCs w:val="20"/>
                <w:lang w:eastAsia="en-AU"/>
              </w:rPr>
            </w:pPr>
            <w:r w:rsidRPr="00DB44A7">
              <w:rPr>
                <w:rFonts w:ascii="Calibri" w:eastAsia="Times New Roman" w:hAnsi="Calibri" w:cs="Arial"/>
                <w:sz w:val="20"/>
                <w:szCs w:val="20"/>
                <w:lang w:eastAsia="en-AU"/>
              </w:rPr>
              <w:t>(seven regions</w:t>
            </w:r>
            <w:r w:rsidRPr="00DB44A7">
              <w:rPr>
                <w:rFonts w:ascii="Calibri" w:eastAsia="Times New Roman" w:hAnsi="Calibri" w:cs="Arial"/>
                <w:sz w:val="20"/>
                <w:szCs w:val="20"/>
                <w:vertAlign w:val="superscript"/>
                <w:lang w:eastAsia="en-AU"/>
              </w:rPr>
              <w:t xml:space="preserve"> β</w:t>
            </w:r>
            <w:r w:rsidRPr="00DB44A7">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DB9" w14:textId="77777777" w:rsidR="00EB11F0" w:rsidRPr="00B24D19" w:rsidRDefault="00EB11F0" w:rsidP="00EB11F0">
            <w:pPr>
              <w:ind w:left="34" w:hanging="34"/>
              <w:jc w:val="center"/>
              <w:rPr>
                <w:rFonts w:ascii="Calibri" w:eastAsia="Times New Roman" w:hAnsi="Calibri" w:cs="Arial"/>
                <w:b/>
                <w:sz w:val="20"/>
                <w:szCs w:val="20"/>
                <w:highlight w:val="yellow"/>
                <w:lang w:eastAsia="en-AU"/>
              </w:rPr>
            </w:pPr>
            <w:r w:rsidRPr="00853635">
              <w:rPr>
                <w:rFonts w:ascii="Calibri" w:eastAsia="Times New Roman" w:hAnsi="Calibri" w:cs="Arial"/>
                <w:b/>
                <w:sz w:val="20"/>
                <w:szCs w:val="20"/>
                <w:lang w:eastAsia="en-AU"/>
              </w:rPr>
              <w:t>WA</w:t>
            </w:r>
            <w:r w:rsidRPr="00853635">
              <w:rPr>
                <w:rFonts w:ascii="Calibri" w:eastAsia="Times New Roman" w:hAnsi="Calibri" w:cs="Arial"/>
                <w:b/>
                <w:sz w:val="20"/>
                <w:szCs w:val="20"/>
                <w:lang w:eastAsia="en-AU"/>
              </w:rPr>
              <w:br/>
            </w:r>
            <w:r w:rsidRPr="00853635">
              <w:rPr>
                <w:rFonts w:ascii="Calibri" w:eastAsia="Times New Roman" w:hAnsi="Calibri" w:cs="Arial"/>
                <w:sz w:val="20"/>
                <w:szCs w:val="20"/>
                <w:lang w:eastAsia="en-AU"/>
              </w:rPr>
              <w:t xml:space="preserve"> (three regions</w:t>
            </w:r>
            <w:r w:rsidRPr="00853635">
              <w:rPr>
                <w:rFonts w:ascii="Calibri" w:eastAsia="Times New Roman" w:hAnsi="Calibri" w:cs="Arial"/>
                <w:sz w:val="20"/>
                <w:szCs w:val="20"/>
                <w:vertAlign w:val="superscript"/>
                <w:lang w:eastAsia="en-AU"/>
              </w:rPr>
              <w:t xml:space="preserve"> β</w:t>
            </w:r>
            <w:r w:rsidRPr="00853635">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DBA" w14:textId="77777777" w:rsidR="00EB11F0" w:rsidRPr="00120527" w:rsidRDefault="00EB11F0" w:rsidP="00EB11F0">
            <w:pPr>
              <w:ind w:left="34" w:hanging="34"/>
              <w:jc w:val="center"/>
              <w:rPr>
                <w:rFonts w:ascii="Calibri" w:eastAsia="Times New Roman" w:hAnsi="Calibri" w:cs="Arial"/>
                <w:b/>
                <w:sz w:val="20"/>
                <w:szCs w:val="20"/>
                <w:lang w:eastAsia="en-AU"/>
              </w:rPr>
            </w:pPr>
            <w:r w:rsidRPr="00120527">
              <w:rPr>
                <w:rFonts w:ascii="Calibri" w:eastAsia="Times New Roman" w:hAnsi="Calibri" w:cs="Arial"/>
                <w:b/>
                <w:sz w:val="20"/>
                <w:szCs w:val="20"/>
                <w:lang w:eastAsia="en-AU"/>
              </w:rPr>
              <w:t>SA</w:t>
            </w:r>
          </w:p>
          <w:p w14:paraId="57B04DBB" w14:textId="77777777" w:rsidR="00EB11F0" w:rsidRPr="00120527" w:rsidRDefault="00EB11F0" w:rsidP="00EB11F0">
            <w:pPr>
              <w:ind w:left="34" w:hanging="34"/>
              <w:jc w:val="center"/>
              <w:rPr>
                <w:rFonts w:ascii="Calibri" w:eastAsia="Times New Roman" w:hAnsi="Calibri" w:cs="Arial"/>
                <w:sz w:val="20"/>
                <w:szCs w:val="20"/>
                <w:lang w:eastAsia="en-AU"/>
              </w:rPr>
            </w:pPr>
            <w:r w:rsidRPr="00120527">
              <w:rPr>
                <w:rFonts w:ascii="Calibri" w:eastAsia="Times New Roman" w:hAnsi="Calibri" w:cs="Arial"/>
                <w:sz w:val="20"/>
                <w:szCs w:val="20"/>
                <w:lang w:eastAsia="en-AU"/>
              </w:rPr>
              <w:t>(three regions</w:t>
            </w:r>
            <w:r w:rsidRPr="00120527">
              <w:rPr>
                <w:rFonts w:ascii="Calibri" w:eastAsia="Times New Roman" w:hAnsi="Calibri" w:cs="Arial"/>
                <w:sz w:val="20"/>
                <w:szCs w:val="20"/>
                <w:vertAlign w:val="superscript"/>
                <w:lang w:eastAsia="en-AU"/>
              </w:rPr>
              <w:t xml:space="preserve"> β</w:t>
            </w:r>
            <w:r w:rsidRPr="00120527">
              <w:rPr>
                <w:rFonts w:ascii="Calibri" w:eastAsia="Times New Roman" w:hAnsi="Calibri" w:cs="Arial"/>
                <w:sz w:val="20"/>
                <w:szCs w:val="20"/>
                <w:lang w:eastAsia="en-AU"/>
              </w:rPr>
              <w:t>)</w:t>
            </w:r>
          </w:p>
        </w:tc>
      </w:tr>
      <w:tr w:rsidR="00EB11F0" w:rsidRPr="00B24D19" w14:paraId="57B04DC2" w14:textId="77777777" w:rsidTr="00EB11F0">
        <w:tc>
          <w:tcPr>
            <w:tcW w:w="3975" w:type="dxa"/>
            <w:tcBorders>
              <w:right w:val="nil"/>
            </w:tcBorders>
            <w:shd w:val="clear" w:color="auto" w:fill="DBE5F1" w:themeFill="accent1" w:themeFillTint="33"/>
          </w:tcPr>
          <w:p w14:paraId="57B04DBD" w14:textId="77777777" w:rsidR="00EB11F0" w:rsidRPr="00854CFA" w:rsidRDefault="00EB11F0" w:rsidP="00EB11F0">
            <w:pPr>
              <w:ind w:left="34" w:hanging="34"/>
              <w:rPr>
                <w:rFonts w:ascii="Calibri" w:eastAsia="Times New Roman" w:hAnsi="Calibri" w:cs="Arial"/>
                <w:b/>
                <w:sz w:val="20"/>
                <w:szCs w:val="20"/>
                <w:lang w:eastAsia="en-AU"/>
              </w:rPr>
            </w:pPr>
            <w:r w:rsidRPr="00854CFA">
              <w:rPr>
                <w:rFonts w:ascii="Calibri" w:eastAsia="Times New Roman" w:hAnsi="Calibri" w:cs="Arial"/>
                <w:b/>
                <w:sz w:val="20"/>
                <w:szCs w:val="20"/>
                <w:lang w:eastAsia="en-AU"/>
              </w:rPr>
              <w:t>Situation to-date, 30 November 2019</w:t>
            </w:r>
          </w:p>
        </w:tc>
        <w:tc>
          <w:tcPr>
            <w:tcW w:w="1701" w:type="dxa"/>
            <w:tcBorders>
              <w:left w:val="nil"/>
              <w:bottom w:val="single" w:sz="4" w:space="0" w:color="auto"/>
              <w:right w:val="nil"/>
            </w:tcBorders>
            <w:shd w:val="clear" w:color="auto" w:fill="DBE5F1" w:themeFill="accent1" w:themeFillTint="33"/>
          </w:tcPr>
          <w:p w14:paraId="57B04DBE" w14:textId="77777777" w:rsidR="00EB11F0" w:rsidRPr="00854CFA" w:rsidRDefault="00EB11F0" w:rsidP="00EB11F0">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DBF" w14:textId="77777777" w:rsidR="00EB11F0" w:rsidRPr="00DB44A7" w:rsidRDefault="00EB11F0" w:rsidP="00EB11F0">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DC0" w14:textId="77777777" w:rsidR="00EB11F0" w:rsidRPr="00B24D19" w:rsidRDefault="00EB11F0" w:rsidP="00EB11F0">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14:paraId="57B04DC1" w14:textId="77777777" w:rsidR="00EB11F0" w:rsidRPr="00120527" w:rsidRDefault="00EB11F0" w:rsidP="00EB11F0">
            <w:pPr>
              <w:ind w:left="34" w:hanging="34"/>
              <w:rPr>
                <w:rFonts w:ascii="Calibri" w:eastAsia="Times New Roman" w:hAnsi="Calibri" w:cs="Arial"/>
                <w:sz w:val="20"/>
                <w:szCs w:val="20"/>
                <w:lang w:eastAsia="en-AU"/>
              </w:rPr>
            </w:pPr>
          </w:p>
        </w:tc>
      </w:tr>
      <w:tr w:rsidR="00EB11F0" w:rsidRPr="00B24D19" w14:paraId="57B04DC8" w14:textId="77777777" w:rsidTr="00EB11F0">
        <w:trPr>
          <w:trHeight w:val="365"/>
        </w:trPr>
        <w:tc>
          <w:tcPr>
            <w:tcW w:w="3975" w:type="dxa"/>
            <w:vAlign w:val="center"/>
          </w:tcPr>
          <w:p w14:paraId="57B04DC3"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DC4" w14:textId="77777777" w:rsidR="00EB11F0" w:rsidRPr="00854CFA" w:rsidRDefault="00EB11F0" w:rsidP="00EB11F0">
            <w:pPr>
              <w:ind w:left="34" w:hanging="34"/>
              <w:jc w:val="center"/>
              <w:rPr>
                <w:rFonts w:ascii="Calibri" w:eastAsia="Times New Roman" w:hAnsi="Calibri" w:cs="Arial"/>
                <w:sz w:val="20"/>
                <w:szCs w:val="20"/>
                <w:lang w:eastAsia="en-AU"/>
              </w:rPr>
            </w:pPr>
            <w:r w:rsidRPr="00854CFA">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DC5"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DC6"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DC7"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November 2016</w:t>
            </w:r>
          </w:p>
        </w:tc>
      </w:tr>
      <w:tr w:rsidR="00EB11F0" w:rsidRPr="00B24D19" w14:paraId="57B04DCE" w14:textId="77777777" w:rsidTr="00EB11F0">
        <w:tc>
          <w:tcPr>
            <w:tcW w:w="3975" w:type="dxa"/>
          </w:tcPr>
          <w:p w14:paraId="57B04DC9"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Total number of cases</w:t>
            </w:r>
            <w:r w:rsidRPr="00854CFA">
              <w:rPr>
                <w:rFonts w:ascii="Calibri" w:eastAsia="Times New Roman" w:hAnsi="Calibri" w:cs="Arial"/>
                <w:b/>
                <w:sz w:val="20"/>
                <w:szCs w:val="20"/>
                <w:vertAlign w:val="superscript"/>
                <w:lang w:eastAsia="en-AU"/>
              </w:rPr>
              <w:t xml:space="preserve"> </w:t>
            </w:r>
            <w:r w:rsidRPr="00854CFA">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DCA" w14:textId="77777777" w:rsidR="00EB11F0" w:rsidRPr="00854CFA" w:rsidRDefault="00EB11F0" w:rsidP="00EB11F0">
            <w:pPr>
              <w:ind w:left="34" w:hanging="34"/>
              <w:jc w:val="center"/>
              <w:rPr>
                <w:rFonts w:ascii="Calibri" w:eastAsia="Times New Roman" w:hAnsi="Calibri" w:cs="Arial"/>
                <w:sz w:val="20"/>
                <w:szCs w:val="20"/>
                <w:lang w:eastAsia="en-AU"/>
              </w:rPr>
            </w:pPr>
            <w:r w:rsidRPr="00854CFA">
              <w:rPr>
                <w:rFonts w:ascii="Calibri" w:eastAsia="Times New Roman" w:hAnsi="Calibri" w:cs="Arial"/>
                <w:sz w:val="20"/>
                <w:szCs w:val="20"/>
                <w:lang w:eastAsia="en-AU"/>
              </w:rPr>
              <w:t>1454</w:t>
            </w:r>
          </w:p>
        </w:tc>
        <w:tc>
          <w:tcPr>
            <w:tcW w:w="1560" w:type="dxa"/>
            <w:shd w:val="clear" w:color="auto" w:fill="B6DDE8" w:themeFill="accent5" w:themeFillTint="66"/>
            <w:vAlign w:val="center"/>
          </w:tcPr>
          <w:p w14:paraId="57B04DCB"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1203</w:t>
            </w:r>
          </w:p>
        </w:tc>
        <w:tc>
          <w:tcPr>
            <w:tcW w:w="1672" w:type="dxa"/>
            <w:shd w:val="clear" w:color="auto" w:fill="CCC0D9" w:themeFill="accent4" w:themeFillTint="66"/>
            <w:vAlign w:val="center"/>
          </w:tcPr>
          <w:p w14:paraId="57B04DCC"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420</w:t>
            </w:r>
          </w:p>
        </w:tc>
        <w:tc>
          <w:tcPr>
            <w:tcW w:w="1559" w:type="dxa"/>
            <w:shd w:val="clear" w:color="auto" w:fill="FBD4B4" w:themeFill="accent6" w:themeFillTint="66"/>
          </w:tcPr>
          <w:p w14:paraId="57B04DCD"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93</w:t>
            </w:r>
          </w:p>
        </w:tc>
      </w:tr>
      <w:tr w:rsidR="00EB11F0" w:rsidRPr="00B24D19" w14:paraId="57B04DD4" w14:textId="77777777" w:rsidTr="00EB11F0">
        <w:tc>
          <w:tcPr>
            <w:tcW w:w="3975" w:type="dxa"/>
            <w:shd w:val="clear" w:color="auto" w:fill="auto"/>
          </w:tcPr>
          <w:p w14:paraId="57B04DCF"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DD0" w14:textId="77777777" w:rsidR="00EB11F0" w:rsidRPr="00854CFA" w:rsidRDefault="00EB11F0" w:rsidP="00EB11F0">
            <w:pPr>
              <w:ind w:left="34" w:hanging="34"/>
              <w:jc w:val="center"/>
              <w:rPr>
                <w:rFonts w:ascii="Calibri" w:eastAsia="Times New Roman" w:hAnsi="Calibri" w:cs="Arial"/>
                <w:sz w:val="20"/>
                <w:szCs w:val="20"/>
                <w:lang w:eastAsia="en-AU"/>
              </w:rPr>
            </w:pPr>
            <w:r w:rsidRPr="00854CFA">
              <w:rPr>
                <w:rFonts w:ascii="Calibri" w:eastAsia="Times New Roman" w:hAnsi="Calibri" w:cs="Arial"/>
                <w:sz w:val="20"/>
                <w:szCs w:val="20"/>
                <w:lang w:eastAsia="en-AU"/>
              </w:rPr>
              <w:t>47% / 53%</w:t>
            </w:r>
          </w:p>
        </w:tc>
        <w:tc>
          <w:tcPr>
            <w:tcW w:w="1560" w:type="dxa"/>
            <w:shd w:val="clear" w:color="auto" w:fill="B6DDE8" w:themeFill="accent5" w:themeFillTint="66"/>
            <w:vAlign w:val="center"/>
          </w:tcPr>
          <w:p w14:paraId="57B04DD1"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46% / 54%</w:t>
            </w:r>
          </w:p>
        </w:tc>
        <w:tc>
          <w:tcPr>
            <w:tcW w:w="1672" w:type="dxa"/>
            <w:shd w:val="clear" w:color="auto" w:fill="CCC0D9" w:themeFill="accent4" w:themeFillTint="66"/>
            <w:vAlign w:val="center"/>
          </w:tcPr>
          <w:p w14:paraId="57B04DD2"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41% / 59%</w:t>
            </w:r>
          </w:p>
        </w:tc>
        <w:tc>
          <w:tcPr>
            <w:tcW w:w="1559" w:type="dxa"/>
            <w:shd w:val="clear" w:color="auto" w:fill="FBD4B4" w:themeFill="accent6" w:themeFillTint="66"/>
          </w:tcPr>
          <w:p w14:paraId="57B04DD3"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55% / 45%</w:t>
            </w:r>
          </w:p>
        </w:tc>
      </w:tr>
      <w:tr w:rsidR="00EB11F0" w:rsidRPr="00B24D19" w14:paraId="57B04DDA" w14:textId="77777777" w:rsidTr="00EB11F0">
        <w:tc>
          <w:tcPr>
            <w:tcW w:w="3975" w:type="dxa"/>
            <w:shd w:val="clear" w:color="auto" w:fill="auto"/>
          </w:tcPr>
          <w:p w14:paraId="57B04DD5"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DD6" w14:textId="77777777" w:rsidR="00EB11F0" w:rsidRPr="00854CFA" w:rsidRDefault="00EB11F0" w:rsidP="00EB11F0">
            <w:pPr>
              <w:ind w:left="34" w:hanging="34"/>
              <w:jc w:val="center"/>
              <w:rPr>
                <w:rFonts w:ascii="Calibri" w:eastAsia="Times New Roman" w:hAnsi="Calibri" w:cs="Arial"/>
                <w:sz w:val="20"/>
                <w:szCs w:val="20"/>
                <w:lang w:eastAsia="en-AU"/>
              </w:rPr>
            </w:pPr>
            <w:r w:rsidRPr="00854CFA">
              <w:rPr>
                <w:rFonts w:ascii="Calibri" w:eastAsia="Times New Roman" w:hAnsi="Calibri" w:cs="Arial"/>
                <w:sz w:val="20"/>
                <w:szCs w:val="20"/>
                <w:lang w:eastAsia="en-AU"/>
              </w:rPr>
              <w:t>65%</w:t>
            </w:r>
          </w:p>
        </w:tc>
        <w:tc>
          <w:tcPr>
            <w:tcW w:w="1560" w:type="dxa"/>
            <w:shd w:val="clear" w:color="auto" w:fill="B6DDE8" w:themeFill="accent5" w:themeFillTint="66"/>
            <w:vAlign w:val="center"/>
          </w:tcPr>
          <w:p w14:paraId="57B04DD7" w14:textId="77777777" w:rsidR="00EB11F0" w:rsidRPr="00A55FC9" w:rsidRDefault="00EB11F0" w:rsidP="00EB11F0">
            <w:pPr>
              <w:ind w:left="34" w:hanging="34"/>
              <w:jc w:val="center"/>
              <w:rPr>
                <w:rFonts w:ascii="Calibri" w:eastAsia="Times New Roman" w:hAnsi="Calibri" w:cs="Arial"/>
                <w:sz w:val="20"/>
                <w:szCs w:val="20"/>
                <w:highlight w:val="green"/>
                <w:lang w:eastAsia="en-AU"/>
              </w:rPr>
            </w:pPr>
            <w:r w:rsidRPr="00A55FC9">
              <w:rPr>
                <w:rFonts w:ascii="Calibri" w:eastAsia="Times New Roman" w:hAnsi="Calibri" w:cs="Arial"/>
                <w:sz w:val="20"/>
                <w:szCs w:val="20"/>
                <w:lang w:eastAsia="en-AU"/>
              </w:rPr>
              <w:t>61%</w:t>
            </w:r>
          </w:p>
        </w:tc>
        <w:tc>
          <w:tcPr>
            <w:tcW w:w="1672" w:type="dxa"/>
            <w:shd w:val="clear" w:color="auto" w:fill="CCC0D9" w:themeFill="accent4" w:themeFillTint="66"/>
            <w:vAlign w:val="center"/>
          </w:tcPr>
          <w:p w14:paraId="57B04DD8"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70%</w:t>
            </w:r>
          </w:p>
        </w:tc>
        <w:tc>
          <w:tcPr>
            <w:tcW w:w="1559" w:type="dxa"/>
            <w:shd w:val="clear" w:color="auto" w:fill="FBD4B4" w:themeFill="accent6" w:themeFillTint="66"/>
          </w:tcPr>
          <w:p w14:paraId="57B04DD9" w14:textId="77777777" w:rsidR="00EB11F0" w:rsidRPr="00A55FC9" w:rsidRDefault="00EB11F0" w:rsidP="00EB11F0">
            <w:pPr>
              <w:tabs>
                <w:tab w:val="left" w:pos="465"/>
                <w:tab w:val="center" w:pos="663"/>
              </w:tabs>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48%</w:t>
            </w:r>
          </w:p>
        </w:tc>
      </w:tr>
      <w:tr w:rsidR="00EB11F0" w:rsidRPr="00B24D19" w14:paraId="57B04DE0" w14:textId="77777777" w:rsidTr="00EB11F0">
        <w:tc>
          <w:tcPr>
            <w:tcW w:w="3975" w:type="dxa"/>
            <w:shd w:val="clear" w:color="auto" w:fill="auto"/>
          </w:tcPr>
          <w:p w14:paraId="57B04DDB"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Congenital cases, confirmed (probable)</w:t>
            </w:r>
            <w:r w:rsidRPr="00854CFA">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DDC" w14:textId="77777777" w:rsidR="00EB11F0" w:rsidRPr="00854CFA" w:rsidRDefault="00EB11F0" w:rsidP="00EB11F0">
            <w:pPr>
              <w:ind w:left="34" w:hanging="34"/>
              <w:jc w:val="center"/>
              <w:rPr>
                <w:rFonts w:ascii="Calibri" w:eastAsia="Times New Roman" w:hAnsi="Calibri" w:cs="Arial"/>
                <w:sz w:val="20"/>
                <w:szCs w:val="20"/>
                <w:lang w:eastAsia="en-AU"/>
              </w:rPr>
            </w:pPr>
            <w:r w:rsidRPr="00854CFA">
              <w:rPr>
                <w:rFonts w:ascii="Calibri" w:eastAsia="Times New Roman" w:hAnsi="Calibri" w:cs="Arial"/>
                <w:sz w:val="20"/>
                <w:szCs w:val="20"/>
                <w:lang w:eastAsia="en-AU"/>
              </w:rPr>
              <w:t xml:space="preserve">4 </w:t>
            </w:r>
            <w:r>
              <w:rPr>
                <w:rFonts w:ascii="Calibri" w:eastAsia="Times New Roman" w:hAnsi="Calibri" w:cs="Arial"/>
                <w:sz w:val="20"/>
                <w:szCs w:val="20"/>
                <w:lang w:eastAsia="en-AU"/>
              </w:rPr>
              <w:t>(5</w:t>
            </w:r>
            <w:r w:rsidRPr="00854CF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57B04DDD"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DDE"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1 (0)</w:t>
            </w:r>
          </w:p>
        </w:tc>
        <w:tc>
          <w:tcPr>
            <w:tcW w:w="1559" w:type="dxa"/>
            <w:shd w:val="clear" w:color="auto" w:fill="FBD4B4" w:themeFill="accent6" w:themeFillTint="66"/>
          </w:tcPr>
          <w:p w14:paraId="57B04DDF"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1 (0)</w:t>
            </w:r>
          </w:p>
        </w:tc>
      </w:tr>
      <w:tr w:rsidR="00EB11F0" w:rsidRPr="00B24D19" w14:paraId="57B04DE6" w14:textId="77777777" w:rsidTr="00EB11F0">
        <w:tc>
          <w:tcPr>
            <w:tcW w:w="3975" w:type="dxa"/>
            <w:tcBorders>
              <w:bottom w:val="single" w:sz="4" w:space="0" w:color="auto"/>
            </w:tcBorders>
            <w:shd w:val="clear" w:color="auto" w:fill="auto"/>
          </w:tcPr>
          <w:p w14:paraId="57B04DE1"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DE2" w14:textId="77777777" w:rsidR="00EB11F0" w:rsidRPr="00854CFA" w:rsidRDefault="00EB11F0" w:rsidP="00EB11F0">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 (4</w:t>
            </w:r>
            <w:r w:rsidRPr="00854CFA">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vAlign w:val="center"/>
          </w:tcPr>
          <w:p w14:paraId="57B04DE3"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DE4"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DE5"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0 (0)</w:t>
            </w:r>
          </w:p>
        </w:tc>
      </w:tr>
      <w:tr w:rsidR="00EB11F0" w:rsidRPr="00B24D19" w14:paraId="57B04DE8" w14:textId="77777777" w:rsidTr="00EB11F0">
        <w:tc>
          <w:tcPr>
            <w:tcW w:w="10467" w:type="dxa"/>
            <w:gridSpan w:val="5"/>
            <w:tcBorders>
              <w:bottom w:val="single" w:sz="4" w:space="0" w:color="auto"/>
            </w:tcBorders>
            <w:shd w:val="clear" w:color="auto" w:fill="DBE5F1" w:themeFill="accent1" w:themeFillTint="33"/>
          </w:tcPr>
          <w:p w14:paraId="57B04DE7"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b/>
                <w:sz w:val="20"/>
                <w:szCs w:val="20"/>
                <w:lang w:eastAsia="en-AU"/>
              </w:rPr>
              <w:t>Last reporting month, 1 – 30 November 2019</w:t>
            </w:r>
          </w:p>
        </w:tc>
      </w:tr>
      <w:tr w:rsidR="00EB11F0" w:rsidRPr="00B24D19" w14:paraId="57B04DEE" w14:textId="77777777" w:rsidTr="00EB11F0">
        <w:tc>
          <w:tcPr>
            <w:tcW w:w="3975" w:type="dxa"/>
            <w:shd w:val="clear" w:color="auto" w:fill="auto"/>
          </w:tcPr>
          <w:p w14:paraId="57B04DE9"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Number of cases</w:t>
            </w:r>
            <w:r w:rsidRPr="00854CFA">
              <w:rPr>
                <w:rFonts w:ascii="Calibri" w:eastAsia="Times New Roman" w:hAnsi="Calibri" w:cs="Arial"/>
                <w:b/>
                <w:sz w:val="20"/>
                <w:szCs w:val="20"/>
                <w:vertAlign w:val="superscript"/>
                <w:lang w:eastAsia="en-AU"/>
              </w:rPr>
              <w:t xml:space="preserve"> </w:t>
            </w:r>
            <w:r w:rsidRPr="00854CFA">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DEA" w14:textId="77777777" w:rsidR="00EB11F0" w:rsidRPr="00854CFA" w:rsidRDefault="00EB11F0" w:rsidP="00EB11F0">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21</w:t>
            </w:r>
          </w:p>
        </w:tc>
        <w:tc>
          <w:tcPr>
            <w:tcW w:w="1560" w:type="dxa"/>
            <w:shd w:val="clear" w:color="auto" w:fill="B6DDE8" w:themeFill="accent5" w:themeFillTint="66"/>
            <w:vAlign w:val="center"/>
          </w:tcPr>
          <w:p w14:paraId="57B04DEB" w14:textId="77777777" w:rsidR="00EB11F0" w:rsidRPr="00A55FC9" w:rsidRDefault="00EB11F0" w:rsidP="00EB11F0">
            <w:pPr>
              <w:ind w:left="34" w:hanging="34"/>
              <w:jc w:val="center"/>
              <w:rPr>
                <w:rFonts w:ascii="Calibri" w:eastAsia="Times New Roman" w:hAnsi="Calibri" w:cs="Arial"/>
                <w:sz w:val="20"/>
                <w:szCs w:val="20"/>
                <w:highlight w:val="green"/>
                <w:lang w:eastAsia="en-AU"/>
              </w:rPr>
            </w:pPr>
            <w:r w:rsidRPr="00A55FC9">
              <w:rPr>
                <w:rFonts w:ascii="Calibri" w:eastAsia="Times New Roman" w:hAnsi="Calibri" w:cs="Arial"/>
                <w:sz w:val="20"/>
                <w:szCs w:val="20"/>
                <w:lang w:eastAsia="en-AU"/>
              </w:rPr>
              <w:t>22</w:t>
            </w:r>
          </w:p>
        </w:tc>
        <w:tc>
          <w:tcPr>
            <w:tcW w:w="1672" w:type="dxa"/>
            <w:shd w:val="clear" w:color="auto" w:fill="CCC0D9" w:themeFill="accent4" w:themeFillTint="66"/>
            <w:vAlign w:val="center"/>
          </w:tcPr>
          <w:p w14:paraId="57B04DEC"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14</w:t>
            </w:r>
          </w:p>
        </w:tc>
        <w:tc>
          <w:tcPr>
            <w:tcW w:w="1559" w:type="dxa"/>
            <w:shd w:val="clear" w:color="auto" w:fill="FBD4B4" w:themeFill="accent6" w:themeFillTint="66"/>
          </w:tcPr>
          <w:p w14:paraId="57B04DED"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8</w:t>
            </w:r>
          </w:p>
        </w:tc>
      </w:tr>
      <w:tr w:rsidR="00EB11F0" w:rsidRPr="00B24D19" w14:paraId="57B04DF4" w14:textId="77777777" w:rsidTr="00EB11F0">
        <w:tc>
          <w:tcPr>
            <w:tcW w:w="3975" w:type="dxa"/>
            <w:shd w:val="clear" w:color="auto" w:fill="auto"/>
          </w:tcPr>
          <w:p w14:paraId="57B04DEF"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DF0" w14:textId="77777777" w:rsidR="00EB11F0" w:rsidRPr="00B24D19" w:rsidRDefault="00EB11F0" w:rsidP="00EB11F0">
            <w:pPr>
              <w:ind w:left="34" w:hanging="34"/>
              <w:jc w:val="center"/>
              <w:rPr>
                <w:rFonts w:ascii="Calibri" w:eastAsia="Times New Roman" w:hAnsi="Calibri" w:cs="Arial"/>
                <w:sz w:val="20"/>
                <w:szCs w:val="20"/>
                <w:highlight w:val="yellow"/>
                <w:lang w:eastAsia="en-AU"/>
              </w:rPr>
            </w:pPr>
            <w:r w:rsidRPr="00AE5A72">
              <w:rPr>
                <w:rFonts w:ascii="Calibri" w:eastAsia="Times New Roman" w:hAnsi="Calibri" w:cs="Arial"/>
                <w:sz w:val="20"/>
                <w:szCs w:val="20"/>
                <w:lang w:eastAsia="en-AU"/>
              </w:rPr>
              <w:t xml:space="preserve"> 52% / 48%</w:t>
            </w:r>
          </w:p>
        </w:tc>
        <w:tc>
          <w:tcPr>
            <w:tcW w:w="1560" w:type="dxa"/>
            <w:shd w:val="clear" w:color="auto" w:fill="B6DDE8" w:themeFill="accent5" w:themeFillTint="66"/>
            <w:vAlign w:val="center"/>
          </w:tcPr>
          <w:p w14:paraId="57B04DF1"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55% / 45%</w:t>
            </w:r>
          </w:p>
        </w:tc>
        <w:tc>
          <w:tcPr>
            <w:tcW w:w="1672" w:type="dxa"/>
            <w:shd w:val="clear" w:color="auto" w:fill="CCC0D9" w:themeFill="accent4" w:themeFillTint="66"/>
            <w:vAlign w:val="center"/>
          </w:tcPr>
          <w:p w14:paraId="57B04DF2"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43% / 57%</w:t>
            </w:r>
          </w:p>
        </w:tc>
        <w:tc>
          <w:tcPr>
            <w:tcW w:w="1559" w:type="dxa"/>
            <w:shd w:val="clear" w:color="auto" w:fill="FBD4B4" w:themeFill="accent6" w:themeFillTint="66"/>
          </w:tcPr>
          <w:p w14:paraId="57B04DF3"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63% / 38%</w:t>
            </w:r>
          </w:p>
        </w:tc>
      </w:tr>
      <w:tr w:rsidR="00EB11F0" w:rsidRPr="00F20E91" w14:paraId="57B04DFA" w14:textId="77777777" w:rsidTr="00EB11F0">
        <w:tc>
          <w:tcPr>
            <w:tcW w:w="3975" w:type="dxa"/>
            <w:shd w:val="clear" w:color="auto" w:fill="auto"/>
          </w:tcPr>
          <w:p w14:paraId="57B04DF5" w14:textId="77777777" w:rsidR="00EB11F0" w:rsidRPr="00854CFA" w:rsidRDefault="00EB11F0" w:rsidP="00EB11F0">
            <w:pPr>
              <w:ind w:left="34" w:hanging="34"/>
              <w:rPr>
                <w:rFonts w:ascii="Calibri" w:eastAsia="Times New Roman" w:hAnsi="Calibri" w:cs="Arial"/>
                <w:sz w:val="20"/>
                <w:szCs w:val="20"/>
                <w:lang w:eastAsia="en-AU"/>
              </w:rPr>
            </w:pPr>
            <w:r w:rsidRPr="00854CFA">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DF6" w14:textId="77777777" w:rsidR="00EB11F0" w:rsidRPr="00B24D19" w:rsidRDefault="00EB11F0" w:rsidP="00EB11F0">
            <w:pPr>
              <w:jc w:val="center"/>
              <w:rPr>
                <w:rFonts w:ascii="Calibri" w:eastAsia="Times New Roman" w:hAnsi="Calibri" w:cs="Arial"/>
                <w:sz w:val="20"/>
                <w:szCs w:val="20"/>
                <w:highlight w:val="yellow"/>
                <w:lang w:eastAsia="en-AU"/>
              </w:rPr>
            </w:pPr>
            <w:r w:rsidRPr="00854CFA">
              <w:rPr>
                <w:rFonts w:ascii="Calibri" w:eastAsia="Times New Roman" w:hAnsi="Calibri" w:cs="Arial"/>
                <w:sz w:val="20"/>
                <w:szCs w:val="20"/>
                <w:lang w:eastAsia="en-AU"/>
              </w:rPr>
              <w:t>52%</w:t>
            </w:r>
          </w:p>
        </w:tc>
        <w:tc>
          <w:tcPr>
            <w:tcW w:w="1560" w:type="dxa"/>
            <w:shd w:val="clear" w:color="auto" w:fill="B6DDE8" w:themeFill="accent5" w:themeFillTint="66"/>
            <w:vAlign w:val="center"/>
          </w:tcPr>
          <w:p w14:paraId="57B04DF7"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64%</w:t>
            </w:r>
          </w:p>
        </w:tc>
        <w:tc>
          <w:tcPr>
            <w:tcW w:w="1672" w:type="dxa"/>
            <w:shd w:val="clear" w:color="auto" w:fill="CCC0D9" w:themeFill="accent4" w:themeFillTint="66"/>
            <w:vAlign w:val="center"/>
          </w:tcPr>
          <w:p w14:paraId="57B04DF8"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43%</w:t>
            </w:r>
          </w:p>
        </w:tc>
        <w:tc>
          <w:tcPr>
            <w:tcW w:w="1559" w:type="dxa"/>
            <w:shd w:val="clear" w:color="auto" w:fill="FBD4B4" w:themeFill="accent6" w:themeFillTint="66"/>
          </w:tcPr>
          <w:p w14:paraId="57B04DF9" w14:textId="77777777" w:rsidR="00EB11F0" w:rsidRPr="00A55FC9" w:rsidRDefault="00EB11F0" w:rsidP="00EB11F0">
            <w:pPr>
              <w:ind w:left="34" w:hanging="34"/>
              <w:jc w:val="center"/>
              <w:rPr>
                <w:rFonts w:ascii="Calibri" w:eastAsia="Times New Roman" w:hAnsi="Calibri" w:cs="Arial"/>
                <w:sz w:val="20"/>
                <w:szCs w:val="20"/>
                <w:lang w:eastAsia="en-AU"/>
              </w:rPr>
            </w:pPr>
            <w:r w:rsidRPr="00A55FC9">
              <w:rPr>
                <w:rFonts w:ascii="Calibri" w:eastAsia="Times New Roman" w:hAnsi="Calibri" w:cs="Arial"/>
                <w:sz w:val="20"/>
                <w:szCs w:val="20"/>
                <w:lang w:eastAsia="en-AU"/>
              </w:rPr>
              <w:t>50%</w:t>
            </w:r>
          </w:p>
        </w:tc>
      </w:tr>
    </w:tbl>
    <w:p w14:paraId="57B04DFB" w14:textId="77777777" w:rsidR="00EB11F0" w:rsidRPr="007B0DFB" w:rsidRDefault="00EB11F0" w:rsidP="00EB11F0">
      <w:pPr>
        <w:pStyle w:val="ListParagraph"/>
        <w:spacing w:before="60" w:after="0" w:line="240" w:lineRule="auto"/>
        <w:ind w:left="-567"/>
        <w:contextualSpacing w:val="0"/>
        <w:rPr>
          <w:b/>
          <w:sz w:val="16"/>
          <w:szCs w:val="16"/>
          <w:highlight w:val="green"/>
          <w:vertAlign w:val="superscript"/>
        </w:rPr>
      </w:pPr>
    </w:p>
    <w:p w14:paraId="57B04DFC" w14:textId="77777777" w:rsidR="00EB11F0" w:rsidRPr="004065EC" w:rsidRDefault="00EB11F0" w:rsidP="00EB11F0">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 xml:space="preserve">Table 2. </w:t>
      </w:r>
      <w:r w:rsidRPr="004065EC">
        <w:rPr>
          <w:rFonts w:ascii="Arial" w:hAnsi="Arial" w:cs="Arial"/>
          <w:sz w:val="20"/>
          <w:szCs w:val="16"/>
        </w:rPr>
        <w:t>Number of category 2 infectious syphilis</w:t>
      </w:r>
      <w:r w:rsidRPr="004065EC">
        <w:rPr>
          <w:rFonts w:ascii="Arial" w:hAnsi="Arial" w:cs="Arial"/>
          <w:sz w:val="20"/>
          <w:szCs w:val="20"/>
          <w:vertAlign w:val="superscript"/>
        </w:rPr>
        <w:t>α</w:t>
      </w:r>
      <w:r w:rsidRPr="004065EC">
        <w:rPr>
          <w:rFonts w:ascii="Arial" w:hAnsi="Arial" w:cs="Arial"/>
          <w:sz w:val="20"/>
          <w:szCs w:val="20"/>
        </w:rPr>
        <w:t xml:space="preserve"> cases</w:t>
      </w:r>
      <w:r w:rsidRPr="004065EC">
        <w:rPr>
          <w:rFonts w:ascii="Arial" w:hAnsi="Arial" w:cs="Arial"/>
          <w:sz w:val="20"/>
          <w:szCs w:val="16"/>
        </w:rPr>
        <w:t>, to 3</w:t>
      </w:r>
      <w:r>
        <w:rPr>
          <w:rFonts w:ascii="Arial" w:hAnsi="Arial" w:cs="Arial"/>
          <w:sz w:val="20"/>
          <w:szCs w:val="16"/>
        </w:rPr>
        <w:t xml:space="preserve">0 </w:t>
      </w:r>
      <w:proofErr w:type="gramStart"/>
      <w:r>
        <w:rPr>
          <w:rFonts w:ascii="Arial" w:hAnsi="Arial" w:cs="Arial"/>
          <w:sz w:val="20"/>
          <w:szCs w:val="16"/>
        </w:rPr>
        <w:t xml:space="preserve">November </w:t>
      </w:r>
      <w:r w:rsidRPr="004065EC">
        <w:rPr>
          <w:rFonts w:ascii="Arial" w:hAnsi="Arial" w:cs="Arial"/>
          <w:sz w:val="20"/>
          <w:szCs w:val="16"/>
        </w:rPr>
        <w:t xml:space="preserve"> 2019</w:t>
      </w:r>
      <w:proofErr w:type="gramEnd"/>
      <w:r w:rsidRPr="004065EC">
        <w:rPr>
          <w:rFonts w:ascii="Arial" w:hAnsi="Arial" w:cs="Arial"/>
          <w:sz w:val="20"/>
          <w:szCs w:val="20"/>
          <w:vertAlign w:val="superscript"/>
        </w:rPr>
        <w:t xml:space="preserve"> ȶ ᵞ</w:t>
      </w:r>
      <w:r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EB11F0" w:rsidRPr="00B24D19" w14:paraId="57B04E03" w14:textId="77777777" w:rsidTr="00EB11F0">
        <w:trPr>
          <w:tblHeader/>
        </w:trPr>
        <w:tc>
          <w:tcPr>
            <w:tcW w:w="3964" w:type="dxa"/>
            <w:tcBorders>
              <w:bottom w:val="single" w:sz="4" w:space="0" w:color="auto"/>
            </w:tcBorders>
          </w:tcPr>
          <w:p w14:paraId="57B04DFD" w14:textId="77777777" w:rsidR="00EB11F0" w:rsidRPr="00854CFA" w:rsidRDefault="00EB11F0" w:rsidP="00EB11F0">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57B04DFE" w14:textId="77777777" w:rsidR="00EB11F0" w:rsidRPr="00B24D19" w:rsidRDefault="00EB11F0" w:rsidP="00EB11F0">
            <w:pPr>
              <w:pStyle w:val="ListParagraph"/>
              <w:spacing w:before="60"/>
              <w:ind w:left="0"/>
              <w:contextualSpacing w:val="0"/>
              <w:jc w:val="center"/>
              <w:rPr>
                <w:rFonts w:ascii="Calibri" w:eastAsia="Times New Roman" w:hAnsi="Calibri" w:cs="Arial"/>
                <w:b/>
                <w:sz w:val="20"/>
                <w:szCs w:val="20"/>
                <w:highlight w:val="yellow"/>
                <w:lang w:eastAsia="en-AU"/>
              </w:rPr>
            </w:pPr>
            <w:r w:rsidRPr="00854CFA">
              <w:rPr>
                <w:rFonts w:ascii="Calibri" w:eastAsia="Times New Roman" w:hAnsi="Calibri" w:cs="Arial"/>
                <w:b/>
                <w:sz w:val="20"/>
                <w:szCs w:val="20"/>
                <w:lang w:eastAsia="en-AU"/>
              </w:rPr>
              <w:t xml:space="preserve">North Qld </w:t>
            </w:r>
            <w:r w:rsidRPr="00854CFA">
              <w:rPr>
                <w:rFonts w:ascii="Calibri" w:eastAsia="Times New Roman" w:hAnsi="Calibri" w:cs="Arial"/>
                <w:b/>
                <w:sz w:val="20"/>
                <w:szCs w:val="20"/>
                <w:lang w:eastAsia="en-AU"/>
              </w:rPr>
              <w:br/>
            </w:r>
            <w:r w:rsidRPr="00854CFA">
              <w:rPr>
                <w:rFonts w:ascii="Calibri" w:eastAsia="Times New Roman" w:hAnsi="Calibri" w:cs="Arial"/>
                <w:sz w:val="20"/>
                <w:szCs w:val="20"/>
                <w:lang w:eastAsia="en-AU"/>
              </w:rPr>
              <w:t>(five HHSs</w:t>
            </w:r>
            <w:r w:rsidRPr="00854CFA">
              <w:rPr>
                <w:rFonts w:ascii="Calibri" w:eastAsia="Times New Roman" w:hAnsi="Calibri" w:cs="Arial"/>
                <w:sz w:val="20"/>
                <w:szCs w:val="20"/>
                <w:vertAlign w:val="superscript"/>
                <w:lang w:eastAsia="en-AU"/>
              </w:rPr>
              <w:t>β</w:t>
            </w:r>
            <w:r w:rsidRPr="00854CFA">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DFF" w14:textId="77777777" w:rsidR="00EB11F0" w:rsidRPr="00DB44A7" w:rsidRDefault="00EB11F0" w:rsidP="00EB11F0">
            <w:pPr>
              <w:pStyle w:val="ListParagraph"/>
              <w:spacing w:before="60"/>
              <w:ind w:left="0"/>
              <w:contextualSpacing w:val="0"/>
              <w:jc w:val="center"/>
              <w:rPr>
                <w:rFonts w:ascii="Calibri" w:hAnsi="Calibri"/>
                <w:b/>
                <w:sz w:val="20"/>
                <w:szCs w:val="16"/>
              </w:rPr>
            </w:pPr>
            <w:r w:rsidRPr="00DB44A7">
              <w:rPr>
                <w:rFonts w:ascii="Calibri" w:eastAsia="Times New Roman" w:hAnsi="Calibri" w:cs="Arial"/>
                <w:b/>
                <w:sz w:val="20"/>
                <w:szCs w:val="20"/>
                <w:lang w:eastAsia="en-AU"/>
              </w:rPr>
              <w:t xml:space="preserve">NT </w:t>
            </w:r>
            <w:r w:rsidRPr="00DB44A7">
              <w:rPr>
                <w:rFonts w:ascii="Calibri" w:eastAsia="Times New Roman" w:hAnsi="Calibri" w:cs="Arial"/>
                <w:b/>
                <w:sz w:val="20"/>
                <w:szCs w:val="20"/>
                <w:lang w:eastAsia="en-AU"/>
              </w:rPr>
              <w:br/>
            </w:r>
            <w:r w:rsidRPr="00DB44A7">
              <w:rPr>
                <w:rFonts w:ascii="Calibri" w:eastAsia="Times New Roman" w:hAnsi="Calibri" w:cs="Arial"/>
                <w:sz w:val="20"/>
                <w:szCs w:val="20"/>
                <w:lang w:eastAsia="en-AU"/>
              </w:rPr>
              <w:t>(seven regions</w:t>
            </w:r>
            <w:r w:rsidRPr="00DB44A7">
              <w:rPr>
                <w:rFonts w:ascii="Calibri" w:eastAsia="Times New Roman" w:hAnsi="Calibri" w:cs="Arial"/>
                <w:sz w:val="20"/>
                <w:szCs w:val="20"/>
                <w:vertAlign w:val="superscript"/>
                <w:lang w:eastAsia="en-AU"/>
              </w:rPr>
              <w:t xml:space="preserve"> β</w:t>
            </w:r>
            <w:r w:rsidRPr="00DB44A7">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E00" w14:textId="77777777" w:rsidR="00EB11F0" w:rsidRPr="00B24D19" w:rsidRDefault="00EB11F0" w:rsidP="00EB11F0">
            <w:pPr>
              <w:pStyle w:val="ListParagraph"/>
              <w:spacing w:before="60"/>
              <w:ind w:left="0"/>
              <w:contextualSpacing w:val="0"/>
              <w:jc w:val="center"/>
              <w:rPr>
                <w:rFonts w:ascii="Calibri" w:hAnsi="Calibri"/>
                <w:b/>
                <w:sz w:val="20"/>
                <w:szCs w:val="16"/>
                <w:highlight w:val="yellow"/>
              </w:rPr>
            </w:pPr>
            <w:r w:rsidRPr="00853635">
              <w:rPr>
                <w:rFonts w:ascii="Calibri" w:eastAsia="Times New Roman" w:hAnsi="Calibri" w:cs="Arial"/>
                <w:b/>
                <w:sz w:val="20"/>
                <w:szCs w:val="20"/>
                <w:lang w:eastAsia="en-AU"/>
              </w:rPr>
              <w:t>WA</w:t>
            </w:r>
            <w:r w:rsidRPr="00853635">
              <w:rPr>
                <w:rFonts w:ascii="Calibri" w:eastAsia="Times New Roman" w:hAnsi="Calibri" w:cs="Arial"/>
                <w:b/>
                <w:sz w:val="20"/>
                <w:szCs w:val="20"/>
                <w:lang w:eastAsia="en-AU"/>
              </w:rPr>
              <w:br/>
            </w:r>
            <w:r w:rsidRPr="00853635">
              <w:rPr>
                <w:rFonts w:ascii="Calibri" w:eastAsia="Times New Roman" w:hAnsi="Calibri" w:cs="Arial"/>
                <w:sz w:val="20"/>
                <w:szCs w:val="20"/>
                <w:lang w:eastAsia="en-AU"/>
              </w:rPr>
              <w:t xml:space="preserve"> (three regions</w:t>
            </w:r>
            <w:r w:rsidRPr="00853635">
              <w:rPr>
                <w:rFonts w:ascii="Calibri" w:eastAsia="Times New Roman" w:hAnsi="Calibri" w:cs="Arial"/>
                <w:sz w:val="20"/>
                <w:szCs w:val="20"/>
                <w:vertAlign w:val="superscript"/>
                <w:lang w:eastAsia="en-AU"/>
              </w:rPr>
              <w:t xml:space="preserve"> β</w:t>
            </w:r>
            <w:r w:rsidRPr="00853635">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E01" w14:textId="77777777" w:rsidR="00EB11F0" w:rsidRPr="00120527" w:rsidRDefault="00EB11F0" w:rsidP="00EB11F0">
            <w:pPr>
              <w:ind w:left="34" w:hanging="34"/>
              <w:jc w:val="center"/>
              <w:rPr>
                <w:rFonts w:ascii="Calibri" w:eastAsia="Times New Roman" w:hAnsi="Calibri" w:cs="Arial"/>
                <w:b/>
                <w:sz w:val="20"/>
                <w:szCs w:val="20"/>
                <w:lang w:eastAsia="en-AU"/>
              </w:rPr>
            </w:pPr>
            <w:r w:rsidRPr="00120527">
              <w:rPr>
                <w:rFonts w:ascii="Calibri" w:eastAsia="Times New Roman" w:hAnsi="Calibri" w:cs="Arial"/>
                <w:b/>
                <w:sz w:val="20"/>
                <w:szCs w:val="20"/>
                <w:lang w:eastAsia="en-AU"/>
              </w:rPr>
              <w:t>SA</w:t>
            </w:r>
          </w:p>
          <w:p w14:paraId="57B04E02" w14:textId="77777777" w:rsidR="00EB11F0" w:rsidRPr="00B24D19" w:rsidRDefault="00EB11F0" w:rsidP="00EB11F0">
            <w:pPr>
              <w:pStyle w:val="ListParagraph"/>
              <w:spacing w:before="60"/>
              <w:ind w:left="0"/>
              <w:contextualSpacing w:val="0"/>
              <w:jc w:val="center"/>
              <w:rPr>
                <w:rFonts w:ascii="Calibri" w:hAnsi="Calibri"/>
                <w:b/>
                <w:sz w:val="20"/>
                <w:szCs w:val="16"/>
                <w:highlight w:val="yellow"/>
              </w:rPr>
            </w:pPr>
            <w:r w:rsidRPr="00120527">
              <w:rPr>
                <w:rFonts w:ascii="Calibri" w:eastAsia="Times New Roman" w:hAnsi="Calibri" w:cs="Arial"/>
                <w:sz w:val="20"/>
                <w:szCs w:val="20"/>
                <w:lang w:eastAsia="en-AU"/>
              </w:rPr>
              <w:t>(three regions</w:t>
            </w:r>
            <w:r w:rsidRPr="00120527">
              <w:rPr>
                <w:rFonts w:ascii="Calibri" w:eastAsia="Times New Roman" w:hAnsi="Calibri" w:cs="Arial"/>
                <w:sz w:val="20"/>
                <w:szCs w:val="20"/>
                <w:vertAlign w:val="superscript"/>
                <w:lang w:eastAsia="en-AU"/>
              </w:rPr>
              <w:t xml:space="preserve"> β</w:t>
            </w:r>
            <w:r w:rsidRPr="00120527">
              <w:rPr>
                <w:rFonts w:ascii="Calibri" w:eastAsia="Times New Roman" w:hAnsi="Calibri" w:cs="Arial"/>
                <w:sz w:val="20"/>
                <w:szCs w:val="20"/>
                <w:lang w:eastAsia="en-AU"/>
              </w:rPr>
              <w:t>)</w:t>
            </w:r>
          </w:p>
        </w:tc>
      </w:tr>
      <w:tr w:rsidR="00EB11F0" w:rsidRPr="00B24D19" w14:paraId="57B04E05" w14:textId="77777777" w:rsidTr="00EB11F0">
        <w:tc>
          <w:tcPr>
            <w:tcW w:w="10456" w:type="dxa"/>
            <w:gridSpan w:val="5"/>
            <w:shd w:val="clear" w:color="auto" w:fill="DBE5F1" w:themeFill="accent1" w:themeFillTint="33"/>
          </w:tcPr>
          <w:p w14:paraId="57B04E04" w14:textId="77777777" w:rsidR="00EB11F0" w:rsidRPr="00854CFA" w:rsidRDefault="00EB11F0" w:rsidP="00EB11F0">
            <w:pPr>
              <w:pStyle w:val="ListParagraph"/>
              <w:spacing w:before="60"/>
              <w:ind w:left="0"/>
              <w:contextualSpacing w:val="0"/>
              <w:rPr>
                <w:b/>
                <w:sz w:val="16"/>
                <w:szCs w:val="16"/>
              </w:rPr>
            </w:pPr>
            <w:r w:rsidRPr="00854CFA">
              <w:rPr>
                <w:b/>
                <w:sz w:val="20"/>
                <w:szCs w:val="16"/>
              </w:rPr>
              <w:t xml:space="preserve">Situation to-date, </w:t>
            </w:r>
            <w:r w:rsidRPr="00854CFA">
              <w:rPr>
                <w:rFonts w:ascii="Calibri" w:eastAsia="Times New Roman" w:hAnsi="Calibri" w:cs="Arial"/>
                <w:b/>
                <w:sz w:val="20"/>
                <w:szCs w:val="20"/>
                <w:lang w:eastAsia="en-AU"/>
              </w:rPr>
              <w:t>30 November 2019</w:t>
            </w:r>
          </w:p>
        </w:tc>
      </w:tr>
      <w:tr w:rsidR="00EB11F0" w:rsidRPr="00B24D19" w14:paraId="57B04E0B" w14:textId="77777777" w:rsidTr="00EB11F0">
        <w:tc>
          <w:tcPr>
            <w:tcW w:w="3964" w:type="dxa"/>
            <w:shd w:val="clear" w:color="auto" w:fill="auto"/>
          </w:tcPr>
          <w:p w14:paraId="57B04E06" w14:textId="77777777" w:rsidR="00EB11F0" w:rsidRPr="00854CFA" w:rsidRDefault="00EB11F0" w:rsidP="00EB11F0">
            <w:pPr>
              <w:pStyle w:val="ListParagraph"/>
              <w:spacing w:before="60"/>
              <w:ind w:left="0"/>
              <w:contextualSpacing w:val="0"/>
              <w:rPr>
                <w:sz w:val="20"/>
                <w:szCs w:val="16"/>
              </w:rPr>
            </w:pPr>
            <w:r w:rsidRPr="00854CFA">
              <w:rPr>
                <w:sz w:val="20"/>
                <w:szCs w:val="16"/>
              </w:rPr>
              <w:t>Outbreak commencement month/year</w:t>
            </w:r>
          </w:p>
        </w:tc>
        <w:tc>
          <w:tcPr>
            <w:tcW w:w="1701" w:type="dxa"/>
            <w:shd w:val="clear" w:color="auto" w:fill="B8CCE4" w:themeFill="accent1" w:themeFillTint="66"/>
          </w:tcPr>
          <w:p w14:paraId="57B04E07" w14:textId="77777777" w:rsidR="00EB11F0" w:rsidRPr="00935276" w:rsidRDefault="00EB11F0" w:rsidP="00EB11F0">
            <w:pPr>
              <w:pStyle w:val="ListParagraph"/>
              <w:spacing w:before="60"/>
              <w:ind w:left="0"/>
              <w:contextualSpacing w:val="0"/>
              <w:jc w:val="center"/>
              <w:rPr>
                <w:sz w:val="20"/>
                <w:szCs w:val="16"/>
              </w:rPr>
            </w:pPr>
            <w:r w:rsidRPr="00935276">
              <w:rPr>
                <w:sz w:val="20"/>
                <w:szCs w:val="16"/>
              </w:rPr>
              <w:t>January 2011</w:t>
            </w:r>
          </w:p>
        </w:tc>
        <w:tc>
          <w:tcPr>
            <w:tcW w:w="1560" w:type="dxa"/>
            <w:shd w:val="clear" w:color="auto" w:fill="B6DDE8" w:themeFill="accent5" w:themeFillTint="66"/>
          </w:tcPr>
          <w:p w14:paraId="57B04E08" w14:textId="77777777" w:rsidR="00EB11F0" w:rsidRPr="00DB44A7" w:rsidRDefault="00EB11F0" w:rsidP="00EB11F0">
            <w:pPr>
              <w:pStyle w:val="ListParagraph"/>
              <w:spacing w:before="60"/>
              <w:ind w:left="0"/>
              <w:contextualSpacing w:val="0"/>
              <w:jc w:val="center"/>
              <w:rPr>
                <w:sz w:val="20"/>
                <w:szCs w:val="16"/>
              </w:rPr>
            </w:pPr>
            <w:r w:rsidRPr="00DB44A7">
              <w:rPr>
                <w:sz w:val="20"/>
                <w:szCs w:val="16"/>
              </w:rPr>
              <w:t>July 2013</w:t>
            </w:r>
          </w:p>
        </w:tc>
        <w:tc>
          <w:tcPr>
            <w:tcW w:w="1672" w:type="dxa"/>
            <w:shd w:val="clear" w:color="auto" w:fill="CCC0D9" w:themeFill="accent4" w:themeFillTint="66"/>
          </w:tcPr>
          <w:p w14:paraId="57B04E09" w14:textId="77777777" w:rsidR="00EB11F0" w:rsidRPr="00B24D19" w:rsidRDefault="00EB11F0" w:rsidP="00EB11F0">
            <w:pPr>
              <w:pStyle w:val="ListParagraph"/>
              <w:spacing w:before="60"/>
              <w:ind w:left="0"/>
              <w:contextualSpacing w:val="0"/>
              <w:jc w:val="center"/>
              <w:rPr>
                <w:sz w:val="20"/>
                <w:szCs w:val="16"/>
              </w:rPr>
            </w:pPr>
            <w:r w:rsidRPr="00B24D19">
              <w:rPr>
                <w:sz w:val="20"/>
                <w:szCs w:val="16"/>
              </w:rPr>
              <w:t>June 2014</w:t>
            </w:r>
          </w:p>
        </w:tc>
        <w:tc>
          <w:tcPr>
            <w:tcW w:w="1559" w:type="dxa"/>
            <w:shd w:val="clear" w:color="auto" w:fill="FBD4B4" w:themeFill="accent6" w:themeFillTint="66"/>
          </w:tcPr>
          <w:p w14:paraId="57B04E0A" w14:textId="77777777" w:rsidR="00EB11F0" w:rsidRPr="00120527" w:rsidRDefault="00EB11F0" w:rsidP="00EB11F0">
            <w:pPr>
              <w:pStyle w:val="ListParagraph"/>
              <w:spacing w:before="60"/>
              <w:ind w:left="0"/>
              <w:contextualSpacing w:val="0"/>
              <w:jc w:val="center"/>
              <w:rPr>
                <w:sz w:val="20"/>
                <w:szCs w:val="16"/>
              </w:rPr>
            </w:pPr>
            <w:r w:rsidRPr="00120527">
              <w:rPr>
                <w:sz w:val="20"/>
                <w:szCs w:val="16"/>
              </w:rPr>
              <w:t>November 2016</w:t>
            </w:r>
          </w:p>
        </w:tc>
      </w:tr>
      <w:tr w:rsidR="00EB11F0" w:rsidRPr="00B24D19" w14:paraId="57B04E11" w14:textId="77777777" w:rsidTr="00EB11F0">
        <w:tc>
          <w:tcPr>
            <w:tcW w:w="3964" w:type="dxa"/>
            <w:shd w:val="clear" w:color="auto" w:fill="auto"/>
          </w:tcPr>
          <w:p w14:paraId="57B04E0C" w14:textId="77777777" w:rsidR="00EB11F0" w:rsidRPr="00854CFA" w:rsidRDefault="00EB11F0" w:rsidP="00EB11F0">
            <w:pPr>
              <w:pStyle w:val="ListParagraph"/>
              <w:spacing w:before="60"/>
              <w:ind w:left="0"/>
              <w:contextualSpacing w:val="0"/>
              <w:rPr>
                <w:sz w:val="16"/>
                <w:szCs w:val="16"/>
              </w:rPr>
            </w:pPr>
            <w:r w:rsidRPr="00854CFA">
              <w:rPr>
                <w:sz w:val="20"/>
                <w:szCs w:val="16"/>
              </w:rPr>
              <w:t>Aboriginal and Torres Strait Islander people</w:t>
            </w:r>
            <w:r w:rsidRPr="00854CFA">
              <w:rPr>
                <w:rFonts w:ascii="Agency FB" w:hAnsi="Agency FB"/>
                <w:sz w:val="20"/>
                <w:szCs w:val="16"/>
                <w:vertAlign w:val="superscript"/>
              </w:rPr>
              <w:t>§</w:t>
            </w:r>
          </w:p>
        </w:tc>
        <w:tc>
          <w:tcPr>
            <w:tcW w:w="1701" w:type="dxa"/>
            <w:shd w:val="clear" w:color="auto" w:fill="B8CCE4" w:themeFill="accent1" w:themeFillTint="66"/>
          </w:tcPr>
          <w:p w14:paraId="57B04E0D" w14:textId="77777777" w:rsidR="00EB11F0" w:rsidRPr="00935276" w:rsidRDefault="00EB11F0" w:rsidP="00EB11F0">
            <w:pPr>
              <w:pStyle w:val="ListParagraph"/>
              <w:spacing w:before="60"/>
              <w:ind w:left="0"/>
              <w:contextualSpacing w:val="0"/>
              <w:jc w:val="center"/>
              <w:rPr>
                <w:sz w:val="20"/>
                <w:szCs w:val="16"/>
              </w:rPr>
            </w:pPr>
            <w:r w:rsidRPr="00935276">
              <w:rPr>
                <w:sz w:val="20"/>
                <w:szCs w:val="16"/>
              </w:rPr>
              <w:t>15</w:t>
            </w:r>
          </w:p>
        </w:tc>
        <w:tc>
          <w:tcPr>
            <w:tcW w:w="1560" w:type="dxa"/>
            <w:shd w:val="clear" w:color="auto" w:fill="B6DDE8" w:themeFill="accent5" w:themeFillTint="66"/>
          </w:tcPr>
          <w:p w14:paraId="57B04E0E" w14:textId="77777777" w:rsidR="00EB11F0" w:rsidRPr="00A55FC9" w:rsidRDefault="00EB11F0" w:rsidP="00EB11F0">
            <w:pPr>
              <w:pStyle w:val="ListParagraph"/>
              <w:spacing w:before="60"/>
              <w:ind w:left="0"/>
              <w:contextualSpacing w:val="0"/>
              <w:jc w:val="center"/>
              <w:rPr>
                <w:sz w:val="20"/>
                <w:szCs w:val="16"/>
              </w:rPr>
            </w:pPr>
            <w:r w:rsidRPr="00A55FC9">
              <w:rPr>
                <w:sz w:val="20"/>
                <w:szCs w:val="16"/>
              </w:rPr>
              <w:t>2</w:t>
            </w:r>
          </w:p>
        </w:tc>
        <w:tc>
          <w:tcPr>
            <w:tcW w:w="1672" w:type="dxa"/>
            <w:shd w:val="clear" w:color="auto" w:fill="CCC0D9" w:themeFill="accent4" w:themeFillTint="66"/>
            <w:vAlign w:val="center"/>
          </w:tcPr>
          <w:p w14:paraId="57B04E0F" w14:textId="77777777" w:rsidR="00EB11F0" w:rsidRPr="00A55FC9" w:rsidRDefault="00EB11F0" w:rsidP="00EB11F0">
            <w:pPr>
              <w:pStyle w:val="ListParagraph"/>
              <w:spacing w:before="60"/>
              <w:ind w:left="0"/>
              <w:contextualSpacing w:val="0"/>
              <w:jc w:val="center"/>
              <w:rPr>
                <w:sz w:val="20"/>
                <w:szCs w:val="16"/>
              </w:rPr>
            </w:pPr>
            <w:r w:rsidRPr="00A55FC9">
              <w:rPr>
                <w:sz w:val="20"/>
                <w:szCs w:val="16"/>
              </w:rPr>
              <w:t>-</w:t>
            </w:r>
          </w:p>
        </w:tc>
        <w:tc>
          <w:tcPr>
            <w:tcW w:w="1559" w:type="dxa"/>
            <w:shd w:val="clear" w:color="auto" w:fill="FBD4B4" w:themeFill="accent6" w:themeFillTint="66"/>
          </w:tcPr>
          <w:p w14:paraId="57B04E10" w14:textId="77777777" w:rsidR="00EB11F0" w:rsidRPr="00A55FC9" w:rsidRDefault="00EB11F0" w:rsidP="00EB11F0">
            <w:pPr>
              <w:pStyle w:val="ListParagraph"/>
              <w:spacing w:before="60"/>
              <w:ind w:left="0"/>
              <w:contextualSpacing w:val="0"/>
              <w:jc w:val="center"/>
              <w:rPr>
                <w:sz w:val="20"/>
                <w:szCs w:val="16"/>
              </w:rPr>
            </w:pPr>
            <w:r w:rsidRPr="00A55FC9">
              <w:rPr>
                <w:sz w:val="20"/>
                <w:szCs w:val="16"/>
              </w:rPr>
              <w:t>-</w:t>
            </w:r>
          </w:p>
        </w:tc>
      </w:tr>
      <w:tr w:rsidR="00EB11F0" w:rsidRPr="00B24D19" w14:paraId="57B04E17" w14:textId="77777777" w:rsidTr="00EB11F0">
        <w:tc>
          <w:tcPr>
            <w:tcW w:w="3964" w:type="dxa"/>
            <w:tcBorders>
              <w:bottom w:val="single" w:sz="4" w:space="0" w:color="auto"/>
            </w:tcBorders>
            <w:shd w:val="clear" w:color="auto" w:fill="auto"/>
          </w:tcPr>
          <w:p w14:paraId="57B04E12" w14:textId="77777777" w:rsidR="00EB11F0" w:rsidRPr="00854CFA" w:rsidRDefault="00EB11F0" w:rsidP="00EB11F0">
            <w:pPr>
              <w:pStyle w:val="ListParagraph"/>
              <w:spacing w:before="60"/>
              <w:ind w:left="0"/>
              <w:contextualSpacing w:val="0"/>
              <w:rPr>
                <w:sz w:val="16"/>
                <w:szCs w:val="16"/>
              </w:rPr>
            </w:pPr>
            <w:r w:rsidRPr="00854CFA">
              <w:rPr>
                <w:sz w:val="20"/>
                <w:szCs w:val="16"/>
              </w:rPr>
              <w:t>Non-Indigenous people</w:t>
            </w:r>
            <w:r w:rsidRPr="00854CFA">
              <w:rPr>
                <w:sz w:val="20"/>
                <w:szCs w:val="16"/>
                <w:vertAlign w:val="superscript"/>
              </w:rPr>
              <w:t>µ</w:t>
            </w:r>
          </w:p>
        </w:tc>
        <w:tc>
          <w:tcPr>
            <w:tcW w:w="1701" w:type="dxa"/>
            <w:tcBorders>
              <w:bottom w:val="single" w:sz="4" w:space="0" w:color="auto"/>
            </w:tcBorders>
            <w:shd w:val="clear" w:color="auto" w:fill="B8CCE4" w:themeFill="accent1" w:themeFillTint="66"/>
          </w:tcPr>
          <w:p w14:paraId="57B04E13" w14:textId="77777777" w:rsidR="00EB11F0" w:rsidRPr="00935276" w:rsidRDefault="00EB11F0" w:rsidP="00EB11F0">
            <w:pPr>
              <w:pStyle w:val="ListParagraph"/>
              <w:spacing w:before="60"/>
              <w:ind w:left="0"/>
              <w:contextualSpacing w:val="0"/>
              <w:jc w:val="center"/>
              <w:rPr>
                <w:sz w:val="20"/>
                <w:szCs w:val="16"/>
              </w:rPr>
            </w:pPr>
            <w:r w:rsidRPr="00935276">
              <w:rPr>
                <w:sz w:val="20"/>
                <w:szCs w:val="16"/>
              </w:rPr>
              <w:t>25</w:t>
            </w:r>
          </w:p>
        </w:tc>
        <w:tc>
          <w:tcPr>
            <w:tcW w:w="1560" w:type="dxa"/>
            <w:tcBorders>
              <w:bottom w:val="single" w:sz="4" w:space="0" w:color="auto"/>
            </w:tcBorders>
            <w:shd w:val="clear" w:color="auto" w:fill="B6DDE8" w:themeFill="accent5" w:themeFillTint="66"/>
          </w:tcPr>
          <w:p w14:paraId="57B04E14" w14:textId="77777777" w:rsidR="00EB11F0" w:rsidRPr="00A55FC9" w:rsidRDefault="00EB11F0" w:rsidP="00EB11F0">
            <w:pPr>
              <w:pStyle w:val="ListParagraph"/>
              <w:spacing w:before="60"/>
              <w:ind w:left="0"/>
              <w:contextualSpacing w:val="0"/>
              <w:jc w:val="center"/>
              <w:rPr>
                <w:sz w:val="20"/>
                <w:szCs w:val="16"/>
              </w:rPr>
            </w:pPr>
            <w:r w:rsidRPr="00A55FC9">
              <w:rPr>
                <w:sz w:val="20"/>
                <w:szCs w:val="16"/>
              </w:rPr>
              <w:t>10</w:t>
            </w:r>
          </w:p>
        </w:tc>
        <w:tc>
          <w:tcPr>
            <w:tcW w:w="1672" w:type="dxa"/>
            <w:tcBorders>
              <w:bottom w:val="single" w:sz="4" w:space="0" w:color="auto"/>
            </w:tcBorders>
            <w:shd w:val="clear" w:color="auto" w:fill="CCC0D9" w:themeFill="accent4" w:themeFillTint="66"/>
            <w:vAlign w:val="center"/>
          </w:tcPr>
          <w:p w14:paraId="57B04E15" w14:textId="77777777" w:rsidR="00EB11F0" w:rsidRPr="00A55FC9" w:rsidRDefault="00EB11F0" w:rsidP="00EB11F0">
            <w:pPr>
              <w:pStyle w:val="ListParagraph"/>
              <w:spacing w:before="60"/>
              <w:ind w:left="0"/>
              <w:contextualSpacing w:val="0"/>
              <w:jc w:val="center"/>
              <w:rPr>
                <w:sz w:val="20"/>
                <w:szCs w:val="16"/>
              </w:rPr>
            </w:pPr>
            <w:r w:rsidRPr="00A55FC9">
              <w:rPr>
                <w:sz w:val="20"/>
                <w:szCs w:val="16"/>
              </w:rPr>
              <w:t>-</w:t>
            </w:r>
          </w:p>
        </w:tc>
        <w:tc>
          <w:tcPr>
            <w:tcW w:w="1559" w:type="dxa"/>
            <w:tcBorders>
              <w:bottom w:val="single" w:sz="4" w:space="0" w:color="auto"/>
            </w:tcBorders>
            <w:shd w:val="clear" w:color="auto" w:fill="FBD4B4" w:themeFill="accent6" w:themeFillTint="66"/>
          </w:tcPr>
          <w:p w14:paraId="57B04E16" w14:textId="77777777" w:rsidR="00EB11F0" w:rsidRPr="00A55FC9" w:rsidRDefault="00EB11F0" w:rsidP="00EB11F0">
            <w:pPr>
              <w:pStyle w:val="ListParagraph"/>
              <w:spacing w:before="60"/>
              <w:ind w:left="0"/>
              <w:contextualSpacing w:val="0"/>
              <w:jc w:val="center"/>
              <w:rPr>
                <w:sz w:val="20"/>
                <w:szCs w:val="16"/>
              </w:rPr>
            </w:pPr>
            <w:r w:rsidRPr="00A55FC9">
              <w:rPr>
                <w:sz w:val="20"/>
                <w:szCs w:val="16"/>
              </w:rPr>
              <w:t>2</w:t>
            </w:r>
          </w:p>
        </w:tc>
      </w:tr>
      <w:tr w:rsidR="00EB11F0" w:rsidRPr="00B24D19" w14:paraId="57B04E19" w14:textId="77777777" w:rsidTr="00EB11F0">
        <w:tc>
          <w:tcPr>
            <w:tcW w:w="10456" w:type="dxa"/>
            <w:gridSpan w:val="5"/>
            <w:shd w:val="clear" w:color="auto" w:fill="DBE5F1" w:themeFill="accent1" w:themeFillTint="33"/>
            <w:vAlign w:val="center"/>
          </w:tcPr>
          <w:p w14:paraId="57B04E18" w14:textId="77777777" w:rsidR="00EB11F0" w:rsidRPr="00854CFA" w:rsidRDefault="00EB11F0" w:rsidP="00EB11F0">
            <w:pPr>
              <w:pStyle w:val="ListParagraph"/>
              <w:spacing w:before="60"/>
              <w:ind w:left="0"/>
              <w:contextualSpacing w:val="0"/>
              <w:rPr>
                <w:b/>
                <w:sz w:val="20"/>
                <w:szCs w:val="16"/>
              </w:rPr>
            </w:pPr>
            <w:r w:rsidRPr="00854CFA">
              <w:rPr>
                <w:b/>
                <w:sz w:val="20"/>
                <w:szCs w:val="16"/>
              </w:rPr>
              <w:t xml:space="preserve">Last reporting month, </w:t>
            </w:r>
            <w:r w:rsidRPr="00854CFA">
              <w:rPr>
                <w:rFonts w:ascii="Calibri" w:eastAsia="Times New Roman" w:hAnsi="Calibri" w:cs="Arial"/>
                <w:b/>
                <w:sz w:val="20"/>
                <w:szCs w:val="20"/>
                <w:lang w:eastAsia="en-AU"/>
              </w:rPr>
              <w:t>1 - 30 November 2019</w:t>
            </w:r>
          </w:p>
        </w:tc>
      </w:tr>
      <w:tr w:rsidR="00EB11F0" w:rsidRPr="00B24D19" w14:paraId="57B04E1F" w14:textId="77777777" w:rsidTr="00EB11F0">
        <w:trPr>
          <w:trHeight w:val="85"/>
        </w:trPr>
        <w:tc>
          <w:tcPr>
            <w:tcW w:w="3964" w:type="dxa"/>
            <w:shd w:val="clear" w:color="auto" w:fill="auto"/>
          </w:tcPr>
          <w:p w14:paraId="57B04E1A" w14:textId="77777777" w:rsidR="00EB11F0" w:rsidRPr="00854CFA" w:rsidRDefault="00EB11F0" w:rsidP="00EB11F0">
            <w:pPr>
              <w:pStyle w:val="ListParagraph"/>
              <w:spacing w:before="60"/>
              <w:ind w:left="0"/>
              <w:contextualSpacing w:val="0"/>
              <w:rPr>
                <w:sz w:val="16"/>
                <w:szCs w:val="16"/>
              </w:rPr>
            </w:pPr>
            <w:r w:rsidRPr="00854CFA">
              <w:rPr>
                <w:sz w:val="20"/>
                <w:szCs w:val="16"/>
              </w:rPr>
              <w:t>Aboriginal and Torres Strait Islander people</w:t>
            </w:r>
            <w:r w:rsidRPr="00854CFA">
              <w:rPr>
                <w:rFonts w:ascii="Agency FB" w:hAnsi="Agency FB"/>
                <w:sz w:val="20"/>
                <w:szCs w:val="16"/>
                <w:vertAlign w:val="superscript"/>
              </w:rPr>
              <w:t>§</w:t>
            </w:r>
          </w:p>
        </w:tc>
        <w:tc>
          <w:tcPr>
            <w:tcW w:w="1701" w:type="dxa"/>
            <w:shd w:val="clear" w:color="auto" w:fill="B8CCE4" w:themeFill="accent1" w:themeFillTint="66"/>
          </w:tcPr>
          <w:p w14:paraId="57B04E1B" w14:textId="77777777" w:rsidR="00EB11F0" w:rsidRPr="00935276" w:rsidRDefault="00EB11F0" w:rsidP="00EB11F0">
            <w:pPr>
              <w:pStyle w:val="ListParagraph"/>
              <w:spacing w:before="60"/>
              <w:ind w:left="0"/>
              <w:contextualSpacing w:val="0"/>
              <w:jc w:val="center"/>
              <w:rPr>
                <w:sz w:val="20"/>
                <w:szCs w:val="16"/>
              </w:rPr>
            </w:pPr>
            <w:r w:rsidRPr="00935276">
              <w:rPr>
                <w:sz w:val="20"/>
                <w:szCs w:val="16"/>
              </w:rPr>
              <w:t>1</w:t>
            </w:r>
          </w:p>
        </w:tc>
        <w:tc>
          <w:tcPr>
            <w:tcW w:w="1560" w:type="dxa"/>
            <w:shd w:val="clear" w:color="auto" w:fill="B6DDE8" w:themeFill="accent5" w:themeFillTint="66"/>
          </w:tcPr>
          <w:p w14:paraId="57B04E1C" w14:textId="77777777" w:rsidR="00EB11F0" w:rsidRPr="00DB44A7" w:rsidRDefault="00EB11F0" w:rsidP="00EB11F0">
            <w:pPr>
              <w:pStyle w:val="ListParagraph"/>
              <w:spacing w:before="60"/>
              <w:ind w:left="0"/>
              <w:contextualSpacing w:val="0"/>
              <w:jc w:val="center"/>
              <w:rPr>
                <w:sz w:val="20"/>
                <w:szCs w:val="16"/>
              </w:rPr>
            </w:pPr>
            <w:r w:rsidRPr="00DB44A7">
              <w:rPr>
                <w:sz w:val="20"/>
                <w:szCs w:val="16"/>
              </w:rPr>
              <w:t>-</w:t>
            </w:r>
          </w:p>
        </w:tc>
        <w:tc>
          <w:tcPr>
            <w:tcW w:w="1672" w:type="dxa"/>
            <w:shd w:val="clear" w:color="auto" w:fill="CCC0D9" w:themeFill="accent4" w:themeFillTint="66"/>
            <w:vAlign w:val="center"/>
          </w:tcPr>
          <w:p w14:paraId="57B04E1D" w14:textId="77777777" w:rsidR="00EB11F0" w:rsidRPr="00B24D19" w:rsidRDefault="00EB11F0" w:rsidP="00EB11F0">
            <w:pPr>
              <w:pStyle w:val="ListParagraph"/>
              <w:spacing w:before="60"/>
              <w:ind w:left="0"/>
              <w:contextualSpacing w:val="0"/>
              <w:jc w:val="center"/>
              <w:rPr>
                <w:sz w:val="20"/>
                <w:szCs w:val="16"/>
              </w:rPr>
            </w:pPr>
            <w:r w:rsidRPr="00B24D19">
              <w:rPr>
                <w:sz w:val="20"/>
                <w:szCs w:val="16"/>
              </w:rPr>
              <w:t>-</w:t>
            </w:r>
          </w:p>
        </w:tc>
        <w:tc>
          <w:tcPr>
            <w:tcW w:w="1559" w:type="dxa"/>
            <w:shd w:val="clear" w:color="auto" w:fill="FBD4B4" w:themeFill="accent6" w:themeFillTint="66"/>
          </w:tcPr>
          <w:p w14:paraId="57B04E1E" w14:textId="77777777" w:rsidR="00EB11F0" w:rsidRPr="00120527" w:rsidRDefault="00EB11F0" w:rsidP="00EB11F0">
            <w:pPr>
              <w:pStyle w:val="ListParagraph"/>
              <w:spacing w:before="60"/>
              <w:ind w:left="0"/>
              <w:contextualSpacing w:val="0"/>
              <w:jc w:val="center"/>
              <w:rPr>
                <w:sz w:val="20"/>
                <w:szCs w:val="16"/>
              </w:rPr>
            </w:pPr>
            <w:r w:rsidRPr="00120527">
              <w:rPr>
                <w:sz w:val="20"/>
                <w:szCs w:val="16"/>
              </w:rPr>
              <w:t>-</w:t>
            </w:r>
          </w:p>
        </w:tc>
      </w:tr>
      <w:tr w:rsidR="00EB11F0" w:rsidRPr="00F03247" w14:paraId="57B04E25" w14:textId="77777777" w:rsidTr="00EB11F0">
        <w:tc>
          <w:tcPr>
            <w:tcW w:w="3964" w:type="dxa"/>
            <w:shd w:val="clear" w:color="auto" w:fill="auto"/>
          </w:tcPr>
          <w:p w14:paraId="57B04E20" w14:textId="77777777" w:rsidR="00EB11F0" w:rsidRPr="00854CFA" w:rsidRDefault="00EB11F0" w:rsidP="00EB11F0">
            <w:pPr>
              <w:pStyle w:val="ListParagraph"/>
              <w:spacing w:before="60"/>
              <w:ind w:left="0"/>
              <w:contextualSpacing w:val="0"/>
              <w:rPr>
                <w:sz w:val="16"/>
                <w:szCs w:val="16"/>
              </w:rPr>
            </w:pPr>
            <w:r w:rsidRPr="00854CFA">
              <w:rPr>
                <w:sz w:val="20"/>
                <w:szCs w:val="16"/>
              </w:rPr>
              <w:t>Non-Indigenous people</w:t>
            </w:r>
            <w:r w:rsidRPr="00854CFA">
              <w:rPr>
                <w:sz w:val="20"/>
                <w:szCs w:val="16"/>
                <w:vertAlign w:val="superscript"/>
              </w:rPr>
              <w:t>µ</w:t>
            </w:r>
          </w:p>
        </w:tc>
        <w:tc>
          <w:tcPr>
            <w:tcW w:w="1701" w:type="dxa"/>
            <w:shd w:val="clear" w:color="auto" w:fill="B8CCE4" w:themeFill="accent1" w:themeFillTint="66"/>
          </w:tcPr>
          <w:p w14:paraId="57B04E21" w14:textId="77777777" w:rsidR="00EB11F0" w:rsidRPr="00935276" w:rsidRDefault="00EB11F0" w:rsidP="00EB11F0">
            <w:pPr>
              <w:pStyle w:val="ListParagraph"/>
              <w:spacing w:before="60"/>
              <w:ind w:left="0"/>
              <w:contextualSpacing w:val="0"/>
              <w:jc w:val="center"/>
              <w:rPr>
                <w:sz w:val="20"/>
                <w:szCs w:val="16"/>
              </w:rPr>
            </w:pPr>
            <w:r>
              <w:rPr>
                <w:sz w:val="20"/>
                <w:szCs w:val="16"/>
              </w:rPr>
              <w:t>1</w:t>
            </w:r>
          </w:p>
        </w:tc>
        <w:tc>
          <w:tcPr>
            <w:tcW w:w="1560" w:type="dxa"/>
            <w:shd w:val="clear" w:color="auto" w:fill="B6DDE8" w:themeFill="accent5" w:themeFillTint="66"/>
          </w:tcPr>
          <w:p w14:paraId="57B04E22" w14:textId="77777777" w:rsidR="00EB11F0" w:rsidRPr="00DB44A7" w:rsidRDefault="00EB11F0" w:rsidP="00EB11F0">
            <w:pPr>
              <w:pStyle w:val="ListParagraph"/>
              <w:spacing w:before="60"/>
              <w:ind w:left="0"/>
              <w:contextualSpacing w:val="0"/>
              <w:jc w:val="center"/>
              <w:rPr>
                <w:sz w:val="20"/>
                <w:szCs w:val="16"/>
              </w:rPr>
            </w:pPr>
            <w:r w:rsidRPr="00DB44A7">
              <w:rPr>
                <w:sz w:val="20"/>
                <w:szCs w:val="16"/>
              </w:rPr>
              <w:t>-</w:t>
            </w:r>
          </w:p>
        </w:tc>
        <w:tc>
          <w:tcPr>
            <w:tcW w:w="1672" w:type="dxa"/>
            <w:shd w:val="clear" w:color="auto" w:fill="CCC0D9" w:themeFill="accent4" w:themeFillTint="66"/>
            <w:vAlign w:val="center"/>
          </w:tcPr>
          <w:p w14:paraId="57B04E23" w14:textId="77777777" w:rsidR="00EB11F0" w:rsidRPr="00B24D19" w:rsidRDefault="00EB11F0" w:rsidP="00EB11F0">
            <w:pPr>
              <w:pStyle w:val="ListParagraph"/>
              <w:spacing w:before="60"/>
              <w:ind w:left="0"/>
              <w:contextualSpacing w:val="0"/>
              <w:jc w:val="center"/>
              <w:rPr>
                <w:b/>
                <w:sz w:val="16"/>
                <w:szCs w:val="16"/>
              </w:rPr>
            </w:pPr>
            <w:r w:rsidRPr="00B24D19">
              <w:rPr>
                <w:b/>
                <w:sz w:val="16"/>
                <w:szCs w:val="16"/>
              </w:rPr>
              <w:t>-</w:t>
            </w:r>
          </w:p>
        </w:tc>
        <w:tc>
          <w:tcPr>
            <w:tcW w:w="1559" w:type="dxa"/>
            <w:shd w:val="clear" w:color="auto" w:fill="FBD4B4" w:themeFill="accent6" w:themeFillTint="66"/>
          </w:tcPr>
          <w:p w14:paraId="57B04E24" w14:textId="77777777" w:rsidR="00EB11F0" w:rsidRPr="00120527" w:rsidRDefault="00EB11F0" w:rsidP="00EB11F0">
            <w:pPr>
              <w:pStyle w:val="ListParagraph"/>
              <w:spacing w:before="60"/>
              <w:ind w:left="0"/>
              <w:contextualSpacing w:val="0"/>
              <w:jc w:val="center"/>
              <w:rPr>
                <w:sz w:val="20"/>
                <w:szCs w:val="16"/>
              </w:rPr>
            </w:pPr>
            <w:r w:rsidRPr="00120527">
              <w:rPr>
                <w:sz w:val="20"/>
                <w:szCs w:val="16"/>
              </w:rPr>
              <w:t>-</w:t>
            </w:r>
          </w:p>
        </w:tc>
      </w:tr>
    </w:tbl>
    <w:p w14:paraId="57B04E26" w14:textId="77777777" w:rsidR="00EB11F0" w:rsidRPr="00F03247" w:rsidRDefault="00EB11F0" w:rsidP="00EB11F0">
      <w:pPr>
        <w:pStyle w:val="ListParagraph"/>
        <w:spacing w:before="60" w:after="0" w:line="240" w:lineRule="auto"/>
        <w:ind w:left="-567"/>
        <w:contextualSpacing w:val="0"/>
        <w:rPr>
          <w:b/>
          <w:sz w:val="16"/>
          <w:szCs w:val="16"/>
        </w:rPr>
      </w:pPr>
    </w:p>
    <w:p w14:paraId="57B04E27" w14:textId="77777777" w:rsidR="00EB11F0" w:rsidRPr="00F03247" w:rsidRDefault="00EB11F0" w:rsidP="00EB11F0">
      <w:pPr>
        <w:pStyle w:val="ListParagraph"/>
        <w:spacing w:before="60" w:after="0" w:line="240" w:lineRule="auto"/>
        <w:ind w:left="-709"/>
        <w:contextualSpacing w:val="0"/>
        <w:jc w:val="both"/>
        <w:rPr>
          <w:b/>
          <w:sz w:val="16"/>
          <w:szCs w:val="16"/>
        </w:rPr>
      </w:pPr>
      <w:r w:rsidRPr="00F03247">
        <w:rPr>
          <w:b/>
          <w:sz w:val="16"/>
          <w:szCs w:val="16"/>
        </w:rPr>
        <w:t>Notes:</w:t>
      </w:r>
    </w:p>
    <w:p w14:paraId="57B04E28" w14:textId="77777777" w:rsidR="00EB11F0" w:rsidRPr="00F03247" w:rsidRDefault="00EB11F0" w:rsidP="00EB11F0">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E29" w14:textId="77777777" w:rsidR="00EB11F0" w:rsidRPr="00F03247" w:rsidRDefault="00EB11F0" w:rsidP="00EB11F0">
      <w:pPr>
        <w:pStyle w:val="ListParagraph"/>
        <w:spacing w:after="0" w:line="240" w:lineRule="auto"/>
        <w:ind w:left="-567" w:right="119"/>
        <w:contextualSpacing w:val="0"/>
        <w:rPr>
          <w:sz w:val="16"/>
          <w:szCs w:val="16"/>
        </w:rPr>
      </w:pPr>
      <w:proofErr w:type="gramStart"/>
      <w:r w:rsidRPr="00F03247">
        <w:rPr>
          <w:b/>
          <w:sz w:val="16"/>
          <w:szCs w:val="16"/>
          <w:vertAlign w:val="superscript"/>
        </w:rPr>
        <w:t>α</w:t>
      </w:r>
      <w:proofErr w:type="gramEnd"/>
      <w:r w:rsidRPr="00F03247">
        <w:rPr>
          <w:sz w:val="16"/>
          <w:szCs w:val="16"/>
        </w:rPr>
        <w:t xml:space="preserve"> Cases defined as per the MJSO syphilis outbreak case definition: </w:t>
      </w:r>
    </w:p>
    <w:p w14:paraId="57B04E2A" w14:textId="77777777" w:rsidR="00EB11F0" w:rsidRPr="00F03247" w:rsidRDefault="00EB11F0" w:rsidP="00EB11F0">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Hospital and Health Service area (from</w:t>
      </w:r>
      <w:r>
        <w:rPr>
          <w:sz w:val="16"/>
          <w:szCs w:val="16"/>
        </w:rPr>
        <w:t xml:space="preserve"> </w:t>
      </w:r>
      <w:r w:rsidRPr="00546B60">
        <w:rPr>
          <w:sz w:val="16"/>
          <w:szCs w:val="16"/>
        </w:rPr>
        <w:t xml:space="preserve">1 August 2013); Townsville Hospital and Health Service area (from 1 January 2014); Central Queensland Hospital and Health Service  area (from 1 June 2017) </w:t>
      </w:r>
      <w:r w:rsidRPr="00546B60">
        <w:rPr>
          <w:b/>
          <w:i/>
          <w:sz w:val="16"/>
          <w:szCs w:val="16"/>
        </w:rPr>
        <w:t>NT</w:t>
      </w:r>
      <w:r w:rsidRPr="00546B60">
        <w:rPr>
          <w:sz w:val="16"/>
          <w:szCs w:val="16"/>
        </w:rPr>
        <w:t xml:space="preserve"> - Alice Springs Rural and Urban 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 Pilbara region (from 1 February 2018); Goldfields region (from 1 January 2019); </w:t>
      </w:r>
      <w:r w:rsidRPr="00F03247">
        <w:rPr>
          <w:b/>
          <w:i/>
          <w:sz w:val="16"/>
          <w:szCs w:val="16"/>
        </w:rPr>
        <w:t>SA</w:t>
      </w:r>
      <w:r w:rsidRPr="00F03247">
        <w:rPr>
          <w:b/>
          <w:sz w:val="16"/>
          <w:szCs w:val="16"/>
        </w:rPr>
        <w:t xml:space="preserve"> </w:t>
      </w:r>
      <w:r w:rsidRPr="00F03247">
        <w:rPr>
          <w:sz w:val="16"/>
          <w:szCs w:val="16"/>
        </w:rPr>
        <w:t xml:space="preserve"> - Far North and Western and Eyre regions (from 15 November 2016); Adelaide (from 1 February 2018) (category 1 outbreak cases) </w:t>
      </w:r>
      <w:r w:rsidRPr="00F03247">
        <w:rPr>
          <w:b/>
          <w:sz w:val="16"/>
          <w:szCs w:val="16"/>
        </w:rPr>
        <w:t>OR</w:t>
      </w:r>
      <w:r w:rsidRPr="00F03247">
        <w:rPr>
          <w:sz w:val="16"/>
          <w:szCs w:val="16"/>
        </w:rPr>
        <w:t xml:space="preserve">,  is a sexual contact of a confirmed outbreak case (category 2 outbreak cases). </w:t>
      </w:r>
    </w:p>
    <w:p w14:paraId="57B04E2B" w14:textId="77777777" w:rsidR="00EB11F0" w:rsidRPr="00F03247" w:rsidRDefault="00EB11F0" w:rsidP="00EB11F0">
      <w:pPr>
        <w:spacing w:after="0" w:line="240" w:lineRule="auto"/>
        <w:ind w:left="-426" w:right="119" w:hanging="141"/>
        <w:rPr>
          <w:sz w:val="16"/>
          <w:szCs w:val="16"/>
        </w:rPr>
      </w:pPr>
      <w:proofErr w:type="gramStart"/>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Pr>
          <w:sz w:val="16"/>
          <w:szCs w:val="16"/>
        </w:rPr>
        <w:t xml:space="preserve"> and Central Queensland</w:t>
      </w:r>
      <w:r w:rsidRPr="00F03247">
        <w:rPr>
          <w:sz w:val="16"/>
          <w:szCs w:val="16"/>
        </w:rPr>
        <w:t xml:space="preserve"> Hospital and Health Services in Queensland; Alice Springs Urban, Alice Springs Rural, Barkly, East Arnhem, Katherine, Darwin Urban and Darwin Rural regions in the Northern Territory;  Kimberley, Pilbara and Goldfield regions in Western Australia, and; Far North, Western and Eyre and Adelaide regions in South Australia.</w:t>
      </w:r>
      <w:proofErr w:type="gramEnd"/>
    </w:p>
    <w:p w14:paraId="57B04E2C" w14:textId="77777777" w:rsidR="00EB11F0" w:rsidRPr="00F03247" w:rsidRDefault="00EB11F0" w:rsidP="00EB11F0">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E2D" w14:textId="77777777" w:rsidR="00EB11F0" w:rsidRPr="00F03247" w:rsidRDefault="00EB11F0" w:rsidP="00EB11F0">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Aboriginal and Torres Strait Islander people who are sexual contacts of a confirmed outbreak case and reside outside an outbreak declared region at the time of diagnosis.</w:t>
      </w:r>
    </w:p>
    <w:p w14:paraId="57B04E2E" w14:textId="77777777" w:rsidR="00EB11F0" w:rsidRPr="00F03247" w:rsidRDefault="00EB11F0" w:rsidP="00EB11F0">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Non-Indigenous people who are sexual contacts of a confirmed outbreak case and reside in or out of an outbreak declared region at the time of diagnosis.</w:t>
      </w:r>
    </w:p>
    <w:p w14:paraId="57B04E2F" w14:textId="77777777" w:rsidR="00EB11F0" w:rsidRPr="00216285" w:rsidRDefault="00EB11F0" w:rsidP="00EB11F0">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proofErr w:type="gramStart"/>
      <w:r w:rsidRPr="00F03247">
        <w:rPr>
          <w:sz w:val="16"/>
          <w:szCs w:val="16"/>
          <w:u w:val="single"/>
        </w:rPr>
        <w:t>Please</w:t>
      </w:r>
      <w:proofErr w:type="gramEnd"/>
      <w:r w:rsidRPr="00F03247">
        <w:rPr>
          <w:sz w:val="16"/>
          <w:szCs w:val="16"/>
          <w:u w:val="single"/>
        </w:rPr>
        <w:t xml:space="preserv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p w14:paraId="57B04E30" w14:textId="77777777" w:rsidR="00580C89" w:rsidRDefault="00580C89">
      <w:pPr>
        <w:rPr>
          <w:rFonts w:ascii="Arial" w:hAnsi="Arial" w:cs="Arial"/>
          <w:b/>
          <w:sz w:val="28"/>
          <w:szCs w:val="24"/>
        </w:rPr>
      </w:pPr>
      <w:r>
        <w:rPr>
          <w:rFonts w:ascii="Arial" w:hAnsi="Arial" w:cs="Arial"/>
          <w:b/>
          <w:sz w:val="28"/>
          <w:szCs w:val="24"/>
        </w:rPr>
        <w:br w:type="page"/>
      </w:r>
    </w:p>
    <w:p w14:paraId="57B04E31" w14:textId="77777777" w:rsidR="00AC5F75" w:rsidRPr="00F03247" w:rsidRDefault="00AC5F75" w:rsidP="00AC5F75">
      <w:pPr>
        <w:spacing w:after="0" w:line="240" w:lineRule="auto"/>
        <w:ind w:left="-567" w:right="261"/>
        <w:jc w:val="center"/>
        <w:rPr>
          <w:rFonts w:ascii="Arial" w:hAnsi="Arial" w:cs="Arial"/>
          <w:b/>
          <w:sz w:val="28"/>
          <w:szCs w:val="24"/>
        </w:rPr>
      </w:pPr>
      <w:r w:rsidRPr="00F03247">
        <w:rPr>
          <w:rFonts w:ascii="Arial" w:hAnsi="Arial" w:cs="Arial"/>
          <w:b/>
          <w:sz w:val="28"/>
          <w:szCs w:val="24"/>
        </w:rPr>
        <w:lastRenderedPageBreak/>
        <w:t xml:space="preserve">MULTIJURISDICTIONAL SYPHILIS OUTBREAK </w:t>
      </w:r>
      <w:r w:rsidRPr="00F03247">
        <w:rPr>
          <w:rFonts w:ascii="Arial" w:hAnsi="Arial" w:cs="Arial"/>
          <w:b/>
          <w:sz w:val="28"/>
          <w:szCs w:val="24"/>
        </w:rPr>
        <w:br/>
        <w:t xml:space="preserve">SURVEILLANCE REPORT: </w:t>
      </w:r>
      <w:r>
        <w:rPr>
          <w:rFonts w:ascii="Arial" w:hAnsi="Arial" w:cs="Arial"/>
          <w:b/>
          <w:sz w:val="28"/>
          <w:szCs w:val="24"/>
        </w:rPr>
        <w:t>JANUARY 2020</w:t>
      </w:r>
    </w:p>
    <w:p w14:paraId="57B04E32" w14:textId="77777777" w:rsidR="00AC5F75" w:rsidRPr="00F03247" w:rsidRDefault="00AC5F75" w:rsidP="00AC5F75">
      <w:pPr>
        <w:spacing w:after="0" w:line="120" w:lineRule="auto"/>
        <w:ind w:left="-567" w:right="-612"/>
        <w:jc w:val="center"/>
        <w:rPr>
          <w:rFonts w:ascii="Arial" w:hAnsi="Arial" w:cs="Arial"/>
          <w:b/>
          <w:sz w:val="24"/>
          <w:szCs w:val="24"/>
        </w:rPr>
      </w:pPr>
    </w:p>
    <w:p w14:paraId="57B04E33" w14:textId="77777777" w:rsidR="00AC5F75" w:rsidRPr="00F03247" w:rsidRDefault="00AC5F75" w:rsidP="00AC5F75">
      <w:pPr>
        <w:spacing w:after="0" w:line="240" w:lineRule="auto"/>
        <w:ind w:left="-567" w:right="119"/>
        <w:jc w:val="center"/>
        <w:rPr>
          <w:rFonts w:ascii="Arial" w:hAnsi="Arial" w:cs="Arial"/>
          <w:b/>
          <w:sz w:val="24"/>
          <w:szCs w:val="24"/>
        </w:rPr>
      </w:pPr>
      <w:r w:rsidRPr="00F03247">
        <w:rPr>
          <w:rFonts w:ascii="Arial" w:hAnsi="Arial" w:cs="Arial"/>
          <w:b/>
          <w:sz w:val="24"/>
          <w:szCs w:val="24"/>
        </w:rPr>
        <w:t>This surveillance report has been authorised by Health Departments in outbreak affected jurisdictions and the Office of Health Protection.</w:t>
      </w:r>
    </w:p>
    <w:p w14:paraId="57B04E34" w14:textId="77777777" w:rsidR="00AC5F75" w:rsidRPr="00F03247" w:rsidRDefault="00AC5F75" w:rsidP="00AC5F75">
      <w:pPr>
        <w:spacing w:after="0" w:line="240" w:lineRule="auto"/>
        <w:ind w:right="-613"/>
        <w:rPr>
          <w:rFonts w:ascii="Arial" w:hAnsi="Arial" w:cs="Arial"/>
          <w:sz w:val="20"/>
          <w:szCs w:val="20"/>
        </w:rPr>
      </w:pPr>
    </w:p>
    <w:p w14:paraId="57B04E35" w14:textId="77777777" w:rsidR="00AC5F75" w:rsidRPr="00F06C90" w:rsidRDefault="00AC5F75" w:rsidP="00AC5F75">
      <w:pPr>
        <w:pStyle w:val="PlainText"/>
        <w:ind w:left="-709" w:right="-23"/>
        <w:jc w:val="both"/>
        <w:rPr>
          <w:color w:val="000000" w:themeColor="text1"/>
        </w:rPr>
      </w:pPr>
      <w:r w:rsidRPr="00F06C90">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 In January 2019, SA declared the outbreak had spread to Adelaide with the first notification in this region reported in February 2018. In May 2019, WA declared the outbreak had spread to the Goldfields region with the first notification in this region reported in January 20</w:t>
      </w:r>
      <w:r w:rsidRPr="003C2791">
        <w:rPr>
          <w:color w:val="000000" w:themeColor="text1"/>
        </w:rPr>
        <w:t>19. In September 2019, Qu</w:t>
      </w:r>
      <w:r>
        <w:rPr>
          <w:color w:val="000000" w:themeColor="text1"/>
        </w:rPr>
        <w:t>eensland declared the outbreak had spread to Central Queensland with the first notification in this region reported in June 2017.</w:t>
      </w:r>
    </w:p>
    <w:p w14:paraId="57B04E36" w14:textId="77777777" w:rsidR="00AC5F75" w:rsidRPr="00F06C90" w:rsidRDefault="00AC5F75" w:rsidP="00AC5F75">
      <w:pPr>
        <w:pStyle w:val="PlainText"/>
        <w:ind w:left="-709" w:right="-23"/>
        <w:rPr>
          <w:color w:val="000000" w:themeColor="text1"/>
        </w:rPr>
      </w:pPr>
    </w:p>
    <w:p w14:paraId="57B04E37" w14:textId="77777777" w:rsidR="00AC5F75" w:rsidRPr="00F06C90" w:rsidRDefault="00AC5F75" w:rsidP="00AC5F75">
      <w:pPr>
        <w:pStyle w:val="PlainText"/>
        <w:ind w:left="-709" w:right="-23"/>
        <w:rPr>
          <w:color w:val="000000" w:themeColor="text1"/>
        </w:rPr>
      </w:pPr>
      <w:r w:rsidRPr="00F06C90">
        <w:rPr>
          <w:color w:val="000000" w:themeColor="text1"/>
        </w:rPr>
        <w:t xml:space="preserve">This surveillance report summarises the outbreak </w:t>
      </w:r>
      <w:r>
        <w:rPr>
          <w:color w:val="000000" w:themeColor="text1"/>
        </w:rPr>
        <w:t>epidemiological data as of</w:t>
      </w:r>
      <w:r w:rsidRPr="00F06C90">
        <w:rPr>
          <w:color w:val="000000" w:themeColor="text1"/>
        </w:rPr>
        <w:t xml:space="preserve"> </w:t>
      </w:r>
      <w:r>
        <w:rPr>
          <w:color w:val="000000" w:themeColor="text1"/>
        </w:rPr>
        <w:t xml:space="preserve">31 December </w:t>
      </w:r>
      <w:r w:rsidRPr="00F06C90">
        <w:rPr>
          <w:color w:val="000000" w:themeColor="text1"/>
        </w:rPr>
        <w:t>2019 (current status).</w:t>
      </w:r>
    </w:p>
    <w:p w14:paraId="57B04E38" w14:textId="77777777" w:rsidR="00AC5F75" w:rsidRPr="00F06C90" w:rsidRDefault="00AC5F75" w:rsidP="00AC5F75">
      <w:pPr>
        <w:pStyle w:val="PlainText"/>
        <w:ind w:left="-709" w:right="-23"/>
        <w:rPr>
          <w:color w:val="000000" w:themeColor="text1"/>
        </w:rPr>
      </w:pPr>
    </w:p>
    <w:p w14:paraId="57B04E39" w14:textId="77777777" w:rsidR="00AC5F75" w:rsidRPr="00F06C90" w:rsidRDefault="00AC5F75" w:rsidP="00AC5F75">
      <w:pPr>
        <w:pStyle w:val="PlainText"/>
        <w:ind w:left="-709" w:right="-23"/>
        <w:rPr>
          <w:color w:val="000000" w:themeColor="text1"/>
        </w:rPr>
      </w:pPr>
      <w:r w:rsidRPr="00F06C90">
        <w:rPr>
          <w:b/>
          <w:color w:val="000000" w:themeColor="text1"/>
        </w:rPr>
        <w:t>Please note:</w:t>
      </w:r>
      <w:r w:rsidRPr="00F06C90">
        <w:rPr>
          <w:color w:val="000000" w:themeColor="text1"/>
        </w:rPr>
        <w:t xml:space="preserve"> the MJSO Surveillance Report was formerly known as the MJSO Communique. Historical epidemiological data and MJSO activities are published in earlier MJSO Communiques available at </w:t>
      </w:r>
      <w:r w:rsidRPr="00F06C90">
        <w:rPr>
          <w:i/>
          <w:szCs w:val="20"/>
        </w:rPr>
        <w:t xml:space="preserve">http://www.health.gov.au/internet/main/publishing.nsf/Content/ohp-infectious-syphilis-outbreak.htm </w:t>
      </w:r>
    </w:p>
    <w:p w14:paraId="57B04E3A" w14:textId="77777777" w:rsidR="00AC5F75" w:rsidRPr="00F06C90" w:rsidRDefault="00AC5F75" w:rsidP="00AC5F75">
      <w:pPr>
        <w:pStyle w:val="PlainText"/>
        <w:ind w:left="-709" w:right="-23"/>
      </w:pPr>
    </w:p>
    <w:p w14:paraId="57B04E3B" w14:textId="77777777" w:rsidR="00AC5F75" w:rsidRPr="00F06C90" w:rsidRDefault="00AC5F75" w:rsidP="00AC5F75">
      <w:pPr>
        <w:spacing w:after="0" w:line="240" w:lineRule="auto"/>
        <w:ind w:left="-709" w:right="-23"/>
        <w:jc w:val="both"/>
        <w:rPr>
          <w:rFonts w:ascii="Arial" w:hAnsi="Arial" w:cs="Arial"/>
          <w:b/>
        </w:rPr>
      </w:pPr>
      <w:r w:rsidRPr="00F06C90">
        <w:rPr>
          <w:rFonts w:ascii="Arial" w:hAnsi="Arial" w:cs="Arial"/>
          <w:b/>
        </w:rPr>
        <w:t>Current status</w:t>
      </w:r>
    </w:p>
    <w:p w14:paraId="57B04E3C" w14:textId="77777777" w:rsidR="00AC5F75" w:rsidRPr="00F06C90" w:rsidRDefault="00AC5F75" w:rsidP="00AC5F75">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Pr="00F06C90">
        <w:rPr>
          <w:rFonts w:ascii="Arial" w:hAnsi="Arial" w:cs="Arial"/>
          <w:color w:val="000000" w:themeColor="text1"/>
          <w:sz w:val="20"/>
          <w:szCs w:val="20"/>
        </w:rPr>
        <w:t>3</w:t>
      </w:r>
      <w:r>
        <w:rPr>
          <w:rFonts w:ascii="Arial" w:hAnsi="Arial" w:cs="Arial"/>
          <w:color w:val="000000" w:themeColor="text1"/>
          <w:sz w:val="20"/>
          <w:szCs w:val="20"/>
        </w:rPr>
        <w:t xml:space="preserve">1 December </w:t>
      </w:r>
      <w:r w:rsidRPr="00F06C90">
        <w:rPr>
          <w:rFonts w:ascii="Arial" w:hAnsi="Arial" w:cs="Arial"/>
          <w:color w:val="000000" w:themeColor="text1"/>
          <w:sz w:val="20"/>
          <w:szCs w:val="20"/>
        </w:rPr>
        <w:t>2019</w:t>
      </w:r>
      <w:r w:rsidRPr="00F06C90">
        <w:rPr>
          <w:rFonts w:ascii="Arial" w:hAnsi="Arial" w:cs="Arial"/>
          <w:sz w:val="20"/>
          <w:szCs w:val="20"/>
          <w:vertAlign w:val="superscript"/>
        </w:rPr>
        <w:t>ȶ</w:t>
      </w:r>
      <w:r w:rsidRPr="00F06C90">
        <w:rPr>
          <w:rFonts w:ascii="Arial" w:hAnsi="Arial" w:cs="Arial"/>
          <w:sz w:val="20"/>
          <w:szCs w:val="20"/>
        </w:rPr>
        <w:t xml:space="preserve"> are summarised in Figure 1, Table 1 and Table 2 below.</w:t>
      </w:r>
    </w:p>
    <w:p w14:paraId="57B04E3D" w14:textId="77777777" w:rsidR="00AC5F75" w:rsidRPr="00F06C90" w:rsidRDefault="00AC5F75" w:rsidP="00AC5F75">
      <w:pPr>
        <w:spacing w:after="0" w:line="240" w:lineRule="auto"/>
        <w:ind w:left="-709" w:right="-23"/>
        <w:jc w:val="both"/>
        <w:rPr>
          <w:rFonts w:ascii="Arial" w:hAnsi="Arial" w:cs="Arial"/>
          <w:sz w:val="20"/>
          <w:szCs w:val="20"/>
        </w:rPr>
      </w:pPr>
    </w:p>
    <w:p w14:paraId="57B04E3E" w14:textId="77777777" w:rsidR="00AC5F75" w:rsidRPr="00FE129B" w:rsidRDefault="00AC5F75" w:rsidP="00AC5F75">
      <w:pPr>
        <w:spacing w:after="0" w:line="240" w:lineRule="auto"/>
        <w:ind w:left="-709" w:right="-23"/>
        <w:jc w:val="both"/>
        <w:rPr>
          <w:rFonts w:ascii="Arial" w:hAnsi="Arial" w:cs="Arial"/>
          <w:sz w:val="20"/>
          <w:szCs w:val="20"/>
        </w:rPr>
      </w:pPr>
      <w:r w:rsidRPr="00F06C90">
        <w:rPr>
          <w:rFonts w:ascii="Arial" w:hAnsi="Arial" w:cs="Arial"/>
          <w:sz w:val="20"/>
          <w:szCs w:val="20"/>
        </w:rPr>
        <w:t>Outbreak cases are reported as either category 1 or category 2: category 1 cases include Aboriginal and Torres Strait Islander people residing in an outbreak declared region</w:t>
      </w:r>
      <w:r w:rsidRPr="00F06C90">
        <w:rPr>
          <w:rFonts w:ascii="Arial" w:hAnsi="Arial" w:cs="Arial"/>
          <w:sz w:val="20"/>
          <w:szCs w:val="20"/>
          <w:vertAlign w:val="superscript"/>
        </w:rPr>
        <w:t>β</w:t>
      </w:r>
      <w:r w:rsidRPr="00F06C90">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w:t>
      </w:r>
      <w:r w:rsidRPr="00FE129B">
        <w:rPr>
          <w:rFonts w:ascii="Arial" w:hAnsi="Arial" w:cs="Arial"/>
          <w:sz w:val="20"/>
          <w:szCs w:val="20"/>
        </w:rPr>
        <w:t xml:space="preserve">outbreak area at the time of diagnosis and non-Indigenous people regardless of where they reside. </w:t>
      </w:r>
    </w:p>
    <w:p w14:paraId="57B04E3F" w14:textId="77777777" w:rsidR="00AC5F75" w:rsidRPr="00FE129B" w:rsidRDefault="00AC5F75" w:rsidP="00AC5F75">
      <w:pPr>
        <w:spacing w:after="0" w:line="240" w:lineRule="auto"/>
        <w:ind w:left="-709" w:right="-23"/>
        <w:jc w:val="both"/>
        <w:rPr>
          <w:rFonts w:ascii="Arial" w:hAnsi="Arial" w:cs="Arial"/>
          <w:sz w:val="20"/>
          <w:szCs w:val="20"/>
        </w:rPr>
      </w:pPr>
    </w:p>
    <w:p w14:paraId="57B04E40" w14:textId="77777777" w:rsidR="00AC5F75" w:rsidRPr="00781DD9" w:rsidRDefault="00AC5F75" w:rsidP="00AC5F75">
      <w:pPr>
        <w:spacing w:after="0" w:line="240" w:lineRule="auto"/>
        <w:ind w:left="-709" w:right="-23"/>
        <w:jc w:val="both"/>
        <w:rPr>
          <w:rFonts w:ascii="Arial" w:hAnsi="Arial" w:cs="Arial"/>
          <w:sz w:val="20"/>
          <w:szCs w:val="20"/>
        </w:rPr>
      </w:pPr>
      <w:r w:rsidRPr="00B254C8">
        <w:rPr>
          <w:rFonts w:ascii="Arial" w:hAnsi="Arial" w:cs="Arial"/>
          <w:sz w:val="20"/>
          <w:szCs w:val="20"/>
        </w:rPr>
        <w:t xml:space="preserve">Between 1 – </w:t>
      </w:r>
      <w:r w:rsidRPr="00B254C8">
        <w:rPr>
          <w:rFonts w:ascii="Arial" w:hAnsi="Arial" w:cs="Arial"/>
          <w:color w:val="000000" w:themeColor="text1"/>
          <w:sz w:val="20"/>
          <w:szCs w:val="20"/>
        </w:rPr>
        <w:t>31 December 2019</w:t>
      </w:r>
      <w:r w:rsidRPr="00B254C8">
        <w:rPr>
          <w:rFonts w:ascii="Arial" w:hAnsi="Arial" w:cs="Arial"/>
          <w:sz w:val="20"/>
          <w:szCs w:val="20"/>
          <w:vertAlign w:val="superscript"/>
        </w:rPr>
        <w:t>ȶ</w:t>
      </w:r>
      <w:r w:rsidRPr="00B254C8">
        <w:rPr>
          <w:rFonts w:ascii="Arial" w:hAnsi="Arial" w:cs="Arial"/>
          <w:sz w:val="20"/>
          <w:szCs w:val="20"/>
        </w:rPr>
        <w:t xml:space="preserve">, there were 54 outbreak cases (category 1 and 2 cases) reported from the four outbreak affected jurisdictions: 20 in Queensland; 19 in the Northern Territory; 13 in Western Australia and; </w:t>
      </w:r>
      <w:proofErr w:type="gramStart"/>
      <w:r w:rsidRPr="00B254C8">
        <w:rPr>
          <w:rFonts w:ascii="Arial" w:hAnsi="Arial" w:cs="Arial"/>
          <w:sz w:val="20"/>
          <w:szCs w:val="20"/>
        </w:rPr>
        <w:t>2</w:t>
      </w:r>
      <w:proofErr w:type="gramEnd"/>
      <w:r w:rsidRPr="00B254C8">
        <w:rPr>
          <w:rFonts w:ascii="Arial" w:hAnsi="Arial" w:cs="Arial"/>
          <w:sz w:val="20"/>
          <w:szCs w:val="20"/>
        </w:rPr>
        <w:t xml:space="preserve"> in South Australia (Figure 1, Table 1 and Table 2).  From the commencement of the outbreak to </w:t>
      </w:r>
      <w:r w:rsidRPr="00B254C8">
        <w:rPr>
          <w:rFonts w:ascii="Arial" w:hAnsi="Arial" w:cs="Arial"/>
          <w:color w:val="000000" w:themeColor="text1"/>
          <w:sz w:val="20"/>
          <w:szCs w:val="20"/>
        </w:rPr>
        <w:t xml:space="preserve">31 December </w:t>
      </w:r>
      <w:r w:rsidRPr="00B254C8">
        <w:rPr>
          <w:rFonts w:ascii="Arial" w:hAnsi="Arial" w:cs="Arial"/>
          <w:sz w:val="20"/>
          <w:szCs w:val="20"/>
        </w:rPr>
        <w:t>2019</w:t>
      </w:r>
      <w:r w:rsidRPr="00B254C8">
        <w:rPr>
          <w:rFonts w:ascii="Arial" w:hAnsi="Arial" w:cs="Arial"/>
          <w:sz w:val="20"/>
          <w:szCs w:val="20"/>
          <w:vertAlign w:val="superscript"/>
        </w:rPr>
        <w:t xml:space="preserve"> ȶ</w:t>
      </w:r>
      <w:r w:rsidRPr="00B254C8">
        <w:rPr>
          <w:rFonts w:ascii="Arial" w:hAnsi="Arial" w:cs="Arial"/>
          <w:sz w:val="20"/>
          <w:szCs w:val="20"/>
        </w:rPr>
        <w:t>, there were a total of 3294 outbreak cases (category 1 and 2 cases) reported across the four outbreak affected jurisdictions: 1530 in Queensland (from January 2011); 1234 in the Northern Territory (from July 2013); 434 in Western Australia (from June 2014), and; 96 in South Australia (from November 2016) (Table 1 and 2).</w:t>
      </w:r>
    </w:p>
    <w:p w14:paraId="57B04E41" w14:textId="77777777" w:rsidR="00AC5F75" w:rsidRPr="002877DB" w:rsidRDefault="00AC5F75" w:rsidP="00AC5F75">
      <w:pPr>
        <w:spacing w:after="0" w:line="240" w:lineRule="auto"/>
        <w:ind w:left="-709" w:right="-23"/>
        <w:jc w:val="both"/>
        <w:rPr>
          <w:rFonts w:ascii="Arial" w:hAnsi="Arial" w:cs="Arial"/>
          <w:sz w:val="20"/>
          <w:szCs w:val="20"/>
          <w:highlight w:val="yellow"/>
        </w:rPr>
      </w:pPr>
    </w:p>
    <w:p w14:paraId="57B04E42" w14:textId="77777777" w:rsidR="00AC5F75" w:rsidRPr="00F03247" w:rsidRDefault="00AC5F75" w:rsidP="00AC5F75">
      <w:pPr>
        <w:spacing w:after="0" w:line="240" w:lineRule="auto"/>
        <w:ind w:left="-709" w:right="-23"/>
        <w:jc w:val="both"/>
        <w:rPr>
          <w:rFonts w:ascii="Arial" w:hAnsi="Arial" w:cs="Arial"/>
          <w:sz w:val="20"/>
          <w:szCs w:val="20"/>
          <w:vertAlign w:val="superscript"/>
        </w:rPr>
      </w:pPr>
      <w:r w:rsidRPr="002877DB">
        <w:rPr>
          <w:rFonts w:ascii="Arial" w:hAnsi="Arial" w:cs="Arial"/>
          <w:b/>
          <w:sz w:val="20"/>
          <w:szCs w:val="20"/>
        </w:rPr>
        <w:t>Figure 1</w:t>
      </w:r>
      <w:r w:rsidRPr="002877DB">
        <w:rPr>
          <w:rFonts w:ascii="Arial" w:hAnsi="Arial" w:cs="Arial"/>
          <w:sz w:val="20"/>
          <w:szCs w:val="20"/>
        </w:rPr>
        <w:t>. Epidemic curve showing category 1 infectious syphilis</w:t>
      </w:r>
      <w:r w:rsidRPr="002877DB">
        <w:rPr>
          <w:rFonts w:ascii="Arial" w:hAnsi="Arial" w:cs="Arial"/>
          <w:sz w:val="20"/>
          <w:szCs w:val="20"/>
          <w:vertAlign w:val="superscript"/>
        </w:rPr>
        <w:t xml:space="preserve"> α</w:t>
      </w:r>
      <w:r w:rsidRPr="002877DB">
        <w:rPr>
          <w:rFonts w:ascii="Arial" w:hAnsi="Arial" w:cs="Arial"/>
          <w:sz w:val="20"/>
          <w:szCs w:val="20"/>
        </w:rPr>
        <w:t xml:space="preserve"> outbreak cases notified in Aboriginal and Torres Strait Islander people residing in affected regions</w:t>
      </w:r>
      <w:r w:rsidRPr="002877DB">
        <w:rPr>
          <w:rFonts w:ascii="Arial" w:hAnsi="Arial" w:cs="Arial"/>
          <w:sz w:val="20"/>
          <w:szCs w:val="20"/>
          <w:vertAlign w:val="superscript"/>
        </w:rPr>
        <w:t>β</w:t>
      </w:r>
      <w:r w:rsidRPr="002877DB">
        <w:rPr>
          <w:rFonts w:ascii="Arial" w:hAnsi="Arial" w:cs="Arial"/>
          <w:sz w:val="20"/>
          <w:szCs w:val="20"/>
        </w:rPr>
        <w:t xml:space="preserve"> of Queensland, the Northern Territory, Western Australia and South Australia from commencement of the outbreak in each jurisdiction to </w:t>
      </w:r>
      <w:r w:rsidRPr="002877DB">
        <w:rPr>
          <w:rFonts w:ascii="Arial" w:hAnsi="Arial" w:cs="Arial"/>
          <w:color w:val="000000" w:themeColor="text1"/>
          <w:sz w:val="20"/>
          <w:szCs w:val="20"/>
        </w:rPr>
        <w:t>31 December 2019</w:t>
      </w:r>
      <w:r w:rsidRPr="002877DB">
        <w:rPr>
          <w:rFonts w:ascii="Arial" w:hAnsi="Arial" w:cs="Arial"/>
          <w:sz w:val="20"/>
          <w:szCs w:val="20"/>
          <w:vertAlign w:val="superscript"/>
        </w:rPr>
        <w:t>ȶ ᵞ</w:t>
      </w:r>
      <w:r w:rsidRPr="00F03247">
        <w:rPr>
          <w:rFonts w:ascii="Arial" w:hAnsi="Arial" w:cs="Arial"/>
          <w:sz w:val="20"/>
          <w:szCs w:val="20"/>
          <w:vertAlign w:val="superscript"/>
        </w:rPr>
        <w:t xml:space="preserve"> </w:t>
      </w:r>
    </w:p>
    <w:p w14:paraId="57B04E43" w14:textId="77777777" w:rsidR="00AC5F75" w:rsidRPr="00F03247" w:rsidRDefault="00AC5F75" w:rsidP="00AC5F75">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57B04ED8" wp14:editId="57B04ED9">
            <wp:extent cx="6655981" cy="4005713"/>
            <wp:effectExtent l="0" t="0" r="0" b="0"/>
            <wp:docPr id="12" name="Picture 12" descr=" 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December 2019"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2799" cy="4009816"/>
                    </a:xfrm>
                    <a:prstGeom prst="rect">
                      <a:avLst/>
                    </a:prstGeom>
                    <a:noFill/>
                  </pic:spPr>
                </pic:pic>
              </a:graphicData>
            </a:graphic>
          </wp:inline>
        </w:drawing>
      </w:r>
      <w:r w:rsidRPr="00F03247">
        <w:rPr>
          <w:rFonts w:ascii="Arial" w:hAnsi="Arial" w:cs="Arial"/>
          <w:b/>
          <w:sz w:val="20"/>
          <w:szCs w:val="20"/>
        </w:rPr>
        <w:br w:type="page"/>
      </w:r>
    </w:p>
    <w:p w14:paraId="57B04E44" w14:textId="77777777" w:rsidR="00AC5F75" w:rsidRPr="00F03247" w:rsidRDefault="00AC5F75" w:rsidP="00AC5F75">
      <w:pPr>
        <w:spacing w:after="0" w:line="240" w:lineRule="auto"/>
        <w:ind w:left="-567"/>
        <w:rPr>
          <w:rFonts w:ascii="Arial" w:hAnsi="Arial" w:cs="Arial"/>
          <w:b/>
          <w:sz w:val="20"/>
          <w:szCs w:val="20"/>
        </w:rPr>
      </w:pPr>
    </w:p>
    <w:p w14:paraId="57B04E45" w14:textId="77777777" w:rsidR="00AC5F75" w:rsidRPr="007B0DFB" w:rsidRDefault="00AC5F75" w:rsidP="00AC5F75">
      <w:pPr>
        <w:spacing w:after="0" w:line="240" w:lineRule="auto"/>
        <w:ind w:left="-709"/>
        <w:rPr>
          <w:rFonts w:ascii="Arial" w:hAnsi="Arial" w:cs="Arial"/>
          <w:sz w:val="20"/>
          <w:szCs w:val="20"/>
          <w:highlight w:val="green"/>
        </w:rPr>
      </w:pPr>
      <w:r w:rsidRPr="004065EC">
        <w:rPr>
          <w:rFonts w:ascii="Arial" w:hAnsi="Arial" w:cs="Arial"/>
          <w:b/>
          <w:sz w:val="20"/>
          <w:szCs w:val="20"/>
        </w:rPr>
        <w:t>Table 1</w:t>
      </w:r>
      <w:r w:rsidRPr="004065EC">
        <w:rPr>
          <w:rFonts w:ascii="Arial" w:hAnsi="Arial" w:cs="Arial"/>
          <w:sz w:val="20"/>
          <w:szCs w:val="20"/>
        </w:rPr>
        <w:t>.</w:t>
      </w:r>
      <w:r w:rsidRPr="004065EC">
        <w:rPr>
          <w:rFonts w:ascii="Arial" w:hAnsi="Arial" w:cs="Arial"/>
          <w:b/>
          <w:sz w:val="20"/>
          <w:szCs w:val="20"/>
        </w:rPr>
        <w:t xml:space="preserve"> </w:t>
      </w:r>
      <w:r w:rsidRPr="004065EC">
        <w:rPr>
          <w:rFonts w:ascii="Arial" w:hAnsi="Arial" w:cs="Arial"/>
          <w:sz w:val="20"/>
          <w:szCs w:val="20"/>
        </w:rPr>
        <w:t>Characteristics of category 1 infectious syphilis</w:t>
      </w:r>
      <w:r w:rsidRPr="004065EC">
        <w:rPr>
          <w:rFonts w:ascii="Arial" w:hAnsi="Arial" w:cs="Arial"/>
          <w:sz w:val="20"/>
          <w:szCs w:val="20"/>
          <w:vertAlign w:val="superscript"/>
        </w:rPr>
        <w:t>α</w:t>
      </w:r>
      <w:r w:rsidRPr="004065EC">
        <w:rPr>
          <w:rFonts w:ascii="Arial" w:hAnsi="Arial" w:cs="Arial"/>
          <w:sz w:val="20"/>
          <w:szCs w:val="20"/>
        </w:rPr>
        <w:t xml:space="preserve"> outbreak cases notified in Aboriginal and Torres Strait Islander people residing in affected regions</w:t>
      </w:r>
      <w:r w:rsidRPr="004065EC">
        <w:rPr>
          <w:rFonts w:ascii="Arial" w:hAnsi="Arial" w:cs="Arial"/>
          <w:sz w:val="20"/>
          <w:szCs w:val="20"/>
          <w:vertAlign w:val="superscript"/>
        </w:rPr>
        <w:t>β</w:t>
      </w:r>
      <w:r w:rsidRPr="004065EC">
        <w:rPr>
          <w:rFonts w:ascii="Arial" w:hAnsi="Arial" w:cs="Arial"/>
          <w:sz w:val="20"/>
          <w:szCs w:val="20"/>
        </w:rPr>
        <w:t xml:space="preserve"> of Queensland, the Northern Territory, Western Australia and South Australia, to </w:t>
      </w:r>
      <w:r w:rsidRPr="004065EC">
        <w:rPr>
          <w:rFonts w:ascii="Arial" w:hAnsi="Arial" w:cs="Arial"/>
          <w:sz w:val="20"/>
          <w:szCs w:val="20"/>
        </w:rPr>
        <w:br/>
        <w:t xml:space="preserve">31 </w:t>
      </w:r>
      <w:r>
        <w:rPr>
          <w:rFonts w:ascii="Arial" w:hAnsi="Arial" w:cs="Arial"/>
          <w:sz w:val="20"/>
          <w:szCs w:val="20"/>
        </w:rPr>
        <w:t xml:space="preserve">December </w:t>
      </w:r>
      <w:r w:rsidRPr="004065EC">
        <w:rPr>
          <w:rFonts w:ascii="Arial" w:hAnsi="Arial" w:cs="Arial"/>
          <w:sz w:val="20"/>
          <w:szCs w:val="20"/>
        </w:rPr>
        <w:t>2019</w:t>
      </w:r>
      <w:r w:rsidRPr="004065EC">
        <w:rPr>
          <w:rFonts w:ascii="Arial" w:hAnsi="Arial" w:cs="Arial"/>
          <w:sz w:val="20"/>
          <w:szCs w:val="20"/>
          <w:vertAlign w:val="superscript"/>
        </w:rPr>
        <w:t xml:space="preserve"> ȶ ᵞ</w:t>
      </w:r>
      <w:r w:rsidRPr="007B0DFB">
        <w:rPr>
          <w:rFonts w:ascii="Arial" w:hAnsi="Arial" w:cs="Arial"/>
          <w:sz w:val="20"/>
          <w:szCs w:val="20"/>
          <w:highlight w:val="green"/>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AC5F75" w:rsidRPr="00F20E91" w14:paraId="57B04E4D" w14:textId="77777777" w:rsidTr="00415E21">
        <w:trPr>
          <w:tblHeader/>
        </w:trPr>
        <w:tc>
          <w:tcPr>
            <w:tcW w:w="3975" w:type="dxa"/>
            <w:tcBorders>
              <w:bottom w:val="single" w:sz="4" w:space="0" w:color="auto"/>
            </w:tcBorders>
          </w:tcPr>
          <w:p w14:paraId="57B04E46" w14:textId="77777777" w:rsidR="00AC5F75" w:rsidRPr="004065EC" w:rsidRDefault="00AC5F75" w:rsidP="00415E21">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57B04E47" w14:textId="77777777" w:rsidR="00AC5F75" w:rsidRPr="00F20E91" w:rsidRDefault="00AC5F75" w:rsidP="00415E21">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North Qld </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(five HHSs</w:t>
            </w:r>
            <w:r w:rsidRPr="00F20E91">
              <w:rPr>
                <w:rFonts w:ascii="Calibri" w:eastAsia="Times New Roman" w:hAnsi="Calibri" w:cs="Arial"/>
                <w:sz w:val="20"/>
                <w:szCs w:val="20"/>
                <w:vertAlign w:val="superscript"/>
                <w:lang w:eastAsia="en-AU"/>
              </w:rPr>
              <w:t>β</w:t>
            </w:r>
            <w:r w:rsidRPr="00F20E9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E48" w14:textId="77777777" w:rsidR="00AC5F75" w:rsidRPr="00F20E91" w:rsidRDefault="00AC5F75" w:rsidP="00415E21">
            <w:pPr>
              <w:ind w:left="34" w:hanging="34"/>
              <w:jc w:val="center"/>
              <w:rPr>
                <w:rFonts w:ascii="Calibri" w:eastAsia="Times New Roman" w:hAnsi="Calibri" w:cs="Arial"/>
                <w:sz w:val="20"/>
                <w:szCs w:val="20"/>
                <w:lang w:eastAsia="en-AU"/>
              </w:rPr>
            </w:pPr>
            <w:r w:rsidRPr="00F20E91">
              <w:rPr>
                <w:rFonts w:ascii="Calibri" w:eastAsia="Times New Roman" w:hAnsi="Calibri" w:cs="Arial"/>
                <w:b/>
                <w:sz w:val="20"/>
                <w:szCs w:val="20"/>
                <w:lang w:eastAsia="en-AU"/>
              </w:rPr>
              <w:t xml:space="preserve">NT </w:t>
            </w:r>
          </w:p>
          <w:p w14:paraId="57B04E49" w14:textId="77777777" w:rsidR="00AC5F75" w:rsidRPr="00F20E91" w:rsidRDefault="00AC5F75" w:rsidP="00415E21">
            <w:pPr>
              <w:ind w:left="34" w:hanging="34"/>
              <w:jc w:val="center"/>
              <w:rPr>
                <w:rFonts w:ascii="Calibri" w:eastAsia="Times New Roman" w:hAnsi="Calibri" w:cs="Arial"/>
                <w:b/>
                <w:sz w:val="20"/>
                <w:szCs w:val="20"/>
                <w:lang w:eastAsia="en-AU"/>
              </w:rPr>
            </w:pPr>
            <w:r w:rsidRPr="00F20E91">
              <w:rPr>
                <w:rFonts w:ascii="Calibri" w:eastAsia="Times New Roman" w:hAnsi="Calibri" w:cs="Arial"/>
                <w:sz w:val="20"/>
                <w:szCs w:val="20"/>
                <w:lang w:eastAsia="en-AU"/>
              </w:rPr>
              <w:t>(seven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E4A" w14:textId="77777777" w:rsidR="00AC5F75" w:rsidRPr="00F20E91" w:rsidRDefault="00AC5F75" w:rsidP="00415E21">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WA</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 xml:space="preserve"> (three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E4B" w14:textId="77777777" w:rsidR="00AC5F75" w:rsidRPr="00F20E91" w:rsidRDefault="00AC5F75" w:rsidP="00415E21">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SA</w:t>
            </w:r>
          </w:p>
          <w:p w14:paraId="57B04E4C" w14:textId="77777777" w:rsidR="00AC5F75" w:rsidRPr="00F20E91" w:rsidRDefault="00AC5F75" w:rsidP="00415E21">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(three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r>
      <w:tr w:rsidR="00AC5F75" w:rsidRPr="00F20E91" w14:paraId="57B04E53" w14:textId="77777777" w:rsidTr="00415E21">
        <w:tc>
          <w:tcPr>
            <w:tcW w:w="3975" w:type="dxa"/>
            <w:tcBorders>
              <w:right w:val="nil"/>
            </w:tcBorders>
            <w:shd w:val="clear" w:color="auto" w:fill="DBE5F1" w:themeFill="accent1" w:themeFillTint="33"/>
          </w:tcPr>
          <w:p w14:paraId="57B04E4E" w14:textId="77777777" w:rsidR="00AC5F75" w:rsidRPr="00F20E91" w:rsidRDefault="00AC5F75" w:rsidP="00415E21">
            <w:pPr>
              <w:ind w:left="34" w:hanging="34"/>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Situation to-date, 31 </w:t>
            </w:r>
            <w:r>
              <w:rPr>
                <w:rFonts w:ascii="Calibri" w:eastAsia="Times New Roman" w:hAnsi="Calibri" w:cs="Arial"/>
                <w:b/>
                <w:sz w:val="20"/>
                <w:szCs w:val="20"/>
                <w:lang w:eastAsia="en-AU"/>
              </w:rPr>
              <w:t>December</w:t>
            </w:r>
            <w:r w:rsidRPr="00F20E91">
              <w:rPr>
                <w:rFonts w:ascii="Calibri" w:eastAsia="Times New Roman" w:hAnsi="Calibri" w:cs="Arial"/>
                <w:b/>
                <w:sz w:val="20"/>
                <w:szCs w:val="20"/>
                <w:lang w:eastAsia="en-AU"/>
              </w:rPr>
              <w:t xml:space="preserve"> 2019</w:t>
            </w:r>
          </w:p>
        </w:tc>
        <w:tc>
          <w:tcPr>
            <w:tcW w:w="1701" w:type="dxa"/>
            <w:tcBorders>
              <w:left w:val="nil"/>
              <w:bottom w:val="single" w:sz="4" w:space="0" w:color="auto"/>
              <w:right w:val="nil"/>
            </w:tcBorders>
            <w:shd w:val="clear" w:color="auto" w:fill="DBE5F1" w:themeFill="accent1" w:themeFillTint="33"/>
          </w:tcPr>
          <w:p w14:paraId="57B04E4F" w14:textId="77777777" w:rsidR="00AC5F75" w:rsidRPr="00F20E91" w:rsidRDefault="00AC5F75" w:rsidP="00415E21">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14:paraId="57B04E50" w14:textId="77777777" w:rsidR="00AC5F75" w:rsidRPr="00F20E91" w:rsidRDefault="00AC5F75" w:rsidP="00415E21">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14:paraId="57B04E51" w14:textId="77777777" w:rsidR="00AC5F75" w:rsidRPr="00F20E91" w:rsidRDefault="00AC5F75" w:rsidP="00415E21">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14:paraId="57B04E52" w14:textId="77777777" w:rsidR="00AC5F75" w:rsidRPr="00F20E91" w:rsidRDefault="00AC5F75" w:rsidP="00415E21">
            <w:pPr>
              <w:ind w:left="34" w:hanging="34"/>
              <w:rPr>
                <w:rFonts w:ascii="Calibri" w:eastAsia="Times New Roman" w:hAnsi="Calibri" w:cs="Arial"/>
                <w:sz w:val="20"/>
                <w:szCs w:val="20"/>
                <w:lang w:eastAsia="en-AU"/>
              </w:rPr>
            </w:pPr>
          </w:p>
        </w:tc>
      </w:tr>
      <w:tr w:rsidR="00AC5F75" w:rsidRPr="00F20E91" w14:paraId="57B04E59" w14:textId="77777777" w:rsidTr="00415E21">
        <w:trPr>
          <w:trHeight w:val="365"/>
        </w:trPr>
        <w:tc>
          <w:tcPr>
            <w:tcW w:w="3975" w:type="dxa"/>
            <w:vAlign w:val="center"/>
          </w:tcPr>
          <w:p w14:paraId="57B04E54"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57B04E55" w14:textId="77777777" w:rsidR="00AC5F75" w:rsidRPr="00F20E91" w:rsidRDefault="00AC5F75" w:rsidP="00415E21">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57B04E56" w14:textId="77777777" w:rsidR="00AC5F75" w:rsidRPr="00F20E91" w:rsidRDefault="00AC5F75" w:rsidP="00415E21">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57B04E57" w14:textId="77777777" w:rsidR="00AC5F75" w:rsidRPr="00F20E91" w:rsidRDefault="00AC5F75" w:rsidP="00415E21">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57B04E58" w14:textId="77777777" w:rsidR="00AC5F75" w:rsidRPr="00F20E91" w:rsidRDefault="00AC5F75" w:rsidP="00415E21">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November 2016</w:t>
            </w:r>
          </w:p>
        </w:tc>
      </w:tr>
      <w:tr w:rsidR="00AC5F75" w:rsidRPr="00F20E91" w14:paraId="57B04E5F" w14:textId="77777777" w:rsidTr="00415E21">
        <w:tc>
          <w:tcPr>
            <w:tcW w:w="3975" w:type="dxa"/>
          </w:tcPr>
          <w:p w14:paraId="57B04E5A"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Total 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57B04E5B" w14:textId="77777777" w:rsidR="00AC5F75" w:rsidRPr="002877DB" w:rsidRDefault="00AC5F75" w:rsidP="00415E21">
            <w:pPr>
              <w:ind w:left="34" w:hanging="34"/>
              <w:jc w:val="center"/>
              <w:rPr>
                <w:rFonts w:ascii="Calibri" w:eastAsia="Times New Roman" w:hAnsi="Calibri" w:cs="Arial"/>
                <w:sz w:val="20"/>
                <w:szCs w:val="20"/>
                <w:lang w:eastAsia="en-AU"/>
              </w:rPr>
            </w:pPr>
            <w:r w:rsidRPr="002877DB">
              <w:rPr>
                <w:rFonts w:ascii="Calibri" w:eastAsia="Times New Roman" w:hAnsi="Calibri" w:cs="Arial"/>
                <w:sz w:val="20"/>
                <w:szCs w:val="20"/>
                <w:lang w:eastAsia="en-AU"/>
              </w:rPr>
              <w:t>1489</w:t>
            </w:r>
          </w:p>
        </w:tc>
        <w:tc>
          <w:tcPr>
            <w:tcW w:w="1560" w:type="dxa"/>
            <w:shd w:val="clear" w:color="auto" w:fill="B6DDE8" w:themeFill="accent5" w:themeFillTint="66"/>
            <w:vAlign w:val="center"/>
          </w:tcPr>
          <w:p w14:paraId="57B04E5C"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1222</w:t>
            </w:r>
          </w:p>
        </w:tc>
        <w:tc>
          <w:tcPr>
            <w:tcW w:w="1672" w:type="dxa"/>
            <w:shd w:val="clear" w:color="auto" w:fill="CCC0D9" w:themeFill="accent4" w:themeFillTint="66"/>
            <w:vAlign w:val="center"/>
          </w:tcPr>
          <w:p w14:paraId="57B04E5D"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434</w:t>
            </w:r>
          </w:p>
        </w:tc>
        <w:tc>
          <w:tcPr>
            <w:tcW w:w="1559" w:type="dxa"/>
            <w:shd w:val="clear" w:color="auto" w:fill="FBD4B4" w:themeFill="accent6" w:themeFillTint="66"/>
          </w:tcPr>
          <w:p w14:paraId="57B04E5E" w14:textId="77777777" w:rsidR="00AC5F75" w:rsidRPr="00781DD9" w:rsidRDefault="00AC5F75" w:rsidP="00415E21">
            <w:pPr>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94</w:t>
            </w:r>
          </w:p>
        </w:tc>
      </w:tr>
      <w:tr w:rsidR="00AC5F75" w:rsidRPr="00F20E91" w14:paraId="57B04E65" w14:textId="77777777" w:rsidTr="00415E21">
        <w:tc>
          <w:tcPr>
            <w:tcW w:w="3975" w:type="dxa"/>
            <w:shd w:val="clear" w:color="auto" w:fill="auto"/>
          </w:tcPr>
          <w:p w14:paraId="57B04E60"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E61" w14:textId="77777777" w:rsidR="00AC5F75" w:rsidRPr="002877DB" w:rsidRDefault="00AC5F75" w:rsidP="00415E21">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w:t>
            </w:r>
            <w:r w:rsidRPr="002877DB">
              <w:rPr>
                <w:rFonts w:ascii="Calibri" w:eastAsia="Times New Roman" w:hAnsi="Calibri" w:cs="Arial"/>
                <w:sz w:val="20"/>
                <w:szCs w:val="20"/>
                <w:lang w:eastAsia="en-AU"/>
              </w:rPr>
              <w:t>6</w:t>
            </w:r>
            <w:r>
              <w:rPr>
                <w:rFonts w:ascii="Calibri" w:eastAsia="Times New Roman" w:hAnsi="Calibri" w:cs="Arial"/>
                <w:sz w:val="20"/>
                <w:szCs w:val="20"/>
                <w:lang w:eastAsia="en-AU"/>
              </w:rPr>
              <w:t>%</w:t>
            </w:r>
            <w:r w:rsidRPr="002877DB">
              <w:rPr>
                <w:rFonts w:ascii="Calibri" w:eastAsia="Times New Roman" w:hAnsi="Calibri" w:cs="Arial"/>
                <w:sz w:val="20"/>
                <w:szCs w:val="20"/>
                <w:lang w:eastAsia="en-AU"/>
              </w:rPr>
              <w:t xml:space="preserve"> / 54%</w:t>
            </w:r>
          </w:p>
        </w:tc>
        <w:tc>
          <w:tcPr>
            <w:tcW w:w="1560" w:type="dxa"/>
            <w:shd w:val="clear" w:color="auto" w:fill="B6DDE8" w:themeFill="accent5" w:themeFillTint="66"/>
            <w:vAlign w:val="center"/>
          </w:tcPr>
          <w:p w14:paraId="57B04E62"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46% / 54%</w:t>
            </w:r>
          </w:p>
        </w:tc>
        <w:tc>
          <w:tcPr>
            <w:tcW w:w="1672" w:type="dxa"/>
            <w:shd w:val="clear" w:color="auto" w:fill="CCC0D9" w:themeFill="accent4" w:themeFillTint="66"/>
            <w:vAlign w:val="center"/>
          </w:tcPr>
          <w:p w14:paraId="57B04E63"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42% / 58%</w:t>
            </w:r>
          </w:p>
        </w:tc>
        <w:tc>
          <w:tcPr>
            <w:tcW w:w="1559" w:type="dxa"/>
            <w:shd w:val="clear" w:color="auto" w:fill="FBD4B4" w:themeFill="accent6" w:themeFillTint="66"/>
          </w:tcPr>
          <w:p w14:paraId="57B04E64" w14:textId="77777777" w:rsidR="00AC5F75" w:rsidRPr="00781DD9" w:rsidRDefault="00AC5F75" w:rsidP="00415E21">
            <w:pPr>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54% / 46%</w:t>
            </w:r>
          </w:p>
        </w:tc>
      </w:tr>
      <w:tr w:rsidR="00AC5F75" w:rsidRPr="00F20E91" w14:paraId="57B04E6B" w14:textId="77777777" w:rsidTr="00415E21">
        <w:tc>
          <w:tcPr>
            <w:tcW w:w="3975" w:type="dxa"/>
            <w:shd w:val="clear" w:color="auto" w:fill="auto"/>
          </w:tcPr>
          <w:p w14:paraId="57B04E66"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E67" w14:textId="77777777" w:rsidR="00AC5F75" w:rsidRPr="002877DB" w:rsidRDefault="00AC5F75" w:rsidP="00415E21">
            <w:pPr>
              <w:ind w:left="34" w:hanging="34"/>
              <w:jc w:val="center"/>
              <w:rPr>
                <w:rFonts w:ascii="Calibri" w:eastAsia="Times New Roman" w:hAnsi="Calibri" w:cs="Arial"/>
                <w:sz w:val="20"/>
                <w:szCs w:val="20"/>
                <w:lang w:eastAsia="en-AU"/>
              </w:rPr>
            </w:pPr>
            <w:r w:rsidRPr="002877DB">
              <w:rPr>
                <w:rFonts w:ascii="Calibri" w:eastAsia="Times New Roman" w:hAnsi="Calibri" w:cs="Arial"/>
                <w:sz w:val="20"/>
                <w:szCs w:val="20"/>
                <w:lang w:eastAsia="en-AU"/>
              </w:rPr>
              <w:t>65%</w:t>
            </w:r>
          </w:p>
        </w:tc>
        <w:tc>
          <w:tcPr>
            <w:tcW w:w="1560" w:type="dxa"/>
            <w:shd w:val="clear" w:color="auto" w:fill="B6DDE8" w:themeFill="accent5" w:themeFillTint="66"/>
            <w:vAlign w:val="center"/>
          </w:tcPr>
          <w:p w14:paraId="57B04E68"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61%</w:t>
            </w:r>
          </w:p>
        </w:tc>
        <w:tc>
          <w:tcPr>
            <w:tcW w:w="1672" w:type="dxa"/>
            <w:shd w:val="clear" w:color="auto" w:fill="CCC0D9" w:themeFill="accent4" w:themeFillTint="66"/>
            <w:vAlign w:val="center"/>
          </w:tcPr>
          <w:p w14:paraId="57B04E69"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69%</w:t>
            </w:r>
          </w:p>
        </w:tc>
        <w:tc>
          <w:tcPr>
            <w:tcW w:w="1559" w:type="dxa"/>
            <w:shd w:val="clear" w:color="auto" w:fill="FBD4B4" w:themeFill="accent6" w:themeFillTint="66"/>
          </w:tcPr>
          <w:p w14:paraId="57B04E6A" w14:textId="77777777" w:rsidR="00AC5F75" w:rsidRPr="00781DD9" w:rsidRDefault="00AC5F75" w:rsidP="00415E21">
            <w:pPr>
              <w:tabs>
                <w:tab w:val="left" w:pos="465"/>
                <w:tab w:val="center" w:pos="663"/>
              </w:tabs>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46%</w:t>
            </w:r>
          </w:p>
        </w:tc>
      </w:tr>
      <w:tr w:rsidR="00AC5F75" w:rsidRPr="00F20E91" w14:paraId="57B04E71" w14:textId="77777777" w:rsidTr="00415E21">
        <w:tc>
          <w:tcPr>
            <w:tcW w:w="3975" w:type="dxa"/>
            <w:shd w:val="clear" w:color="auto" w:fill="auto"/>
          </w:tcPr>
          <w:p w14:paraId="57B04E6C"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Congenital cases, confirmed (probable)</w:t>
            </w:r>
            <w:r w:rsidRPr="00F20E91">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57B04E6D" w14:textId="77777777" w:rsidR="00AC5F75" w:rsidRPr="00381006" w:rsidRDefault="00AC5F75" w:rsidP="00415E21">
            <w:pPr>
              <w:ind w:left="34" w:hanging="34"/>
              <w:jc w:val="center"/>
              <w:rPr>
                <w:rFonts w:ascii="Calibri" w:eastAsia="Times New Roman" w:hAnsi="Calibri" w:cs="Arial"/>
                <w:sz w:val="20"/>
                <w:szCs w:val="20"/>
                <w:lang w:eastAsia="en-AU"/>
              </w:rPr>
            </w:pPr>
            <w:r w:rsidRPr="00381006">
              <w:rPr>
                <w:rFonts w:ascii="Calibri" w:eastAsia="Times New Roman" w:hAnsi="Calibri" w:cs="Arial"/>
                <w:sz w:val="20"/>
                <w:szCs w:val="20"/>
                <w:lang w:eastAsia="en-AU"/>
              </w:rPr>
              <w:t>4 (5)</w:t>
            </w:r>
          </w:p>
        </w:tc>
        <w:tc>
          <w:tcPr>
            <w:tcW w:w="1560" w:type="dxa"/>
            <w:shd w:val="clear" w:color="auto" w:fill="B6DDE8" w:themeFill="accent5" w:themeFillTint="66"/>
            <w:vAlign w:val="center"/>
          </w:tcPr>
          <w:p w14:paraId="57B04E6E"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2 (3)</w:t>
            </w:r>
          </w:p>
        </w:tc>
        <w:tc>
          <w:tcPr>
            <w:tcW w:w="1672" w:type="dxa"/>
            <w:shd w:val="clear" w:color="auto" w:fill="CCC0D9" w:themeFill="accent4" w:themeFillTint="66"/>
            <w:vAlign w:val="center"/>
          </w:tcPr>
          <w:p w14:paraId="57B04E6F"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1 (0)</w:t>
            </w:r>
          </w:p>
        </w:tc>
        <w:tc>
          <w:tcPr>
            <w:tcW w:w="1559" w:type="dxa"/>
            <w:shd w:val="clear" w:color="auto" w:fill="FBD4B4" w:themeFill="accent6" w:themeFillTint="66"/>
          </w:tcPr>
          <w:p w14:paraId="57B04E70" w14:textId="77777777" w:rsidR="00AC5F75" w:rsidRPr="00781DD9" w:rsidRDefault="00AC5F75" w:rsidP="00415E21">
            <w:pPr>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1 (0)</w:t>
            </w:r>
          </w:p>
        </w:tc>
      </w:tr>
      <w:tr w:rsidR="00AC5F75" w:rsidRPr="00F20E91" w14:paraId="57B04E77" w14:textId="77777777" w:rsidTr="00415E21">
        <w:tc>
          <w:tcPr>
            <w:tcW w:w="3975" w:type="dxa"/>
            <w:tcBorders>
              <w:bottom w:val="single" w:sz="4" w:space="0" w:color="auto"/>
            </w:tcBorders>
            <w:shd w:val="clear" w:color="auto" w:fill="auto"/>
          </w:tcPr>
          <w:p w14:paraId="57B04E72"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57B04E73" w14:textId="77777777" w:rsidR="00AC5F75" w:rsidRPr="00381006" w:rsidRDefault="00AC5F75" w:rsidP="00415E21">
            <w:pPr>
              <w:ind w:left="34" w:hanging="34"/>
              <w:jc w:val="center"/>
              <w:rPr>
                <w:rFonts w:ascii="Calibri" w:eastAsia="Times New Roman" w:hAnsi="Calibri" w:cs="Arial"/>
                <w:sz w:val="20"/>
                <w:szCs w:val="20"/>
                <w:lang w:eastAsia="en-AU"/>
              </w:rPr>
            </w:pPr>
            <w:r w:rsidRPr="00381006">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14:paraId="57B04E74"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57B04E75"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57B04E76" w14:textId="77777777" w:rsidR="00AC5F75" w:rsidRPr="00781DD9" w:rsidRDefault="00AC5F75" w:rsidP="00415E21">
            <w:pPr>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0 (0)</w:t>
            </w:r>
          </w:p>
        </w:tc>
      </w:tr>
      <w:tr w:rsidR="00AC5F75" w:rsidRPr="00F20E91" w14:paraId="57B04E79" w14:textId="77777777" w:rsidTr="00415E21">
        <w:tc>
          <w:tcPr>
            <w:tcW w:w="10467" w:type="dxa"/>
            <w:gridSpan w:val="5"/>
            <w:tcBorders>
              <w:bottom w:val="single" w:sz="4" w:space="0" w:color="auto"/>
            </w:tcBorders>
            <w:shd w:val="clear" w:color="auto" w:fill="DBE5F1" w:themeFill="accent1" w:themeFillTint="33"/>
          </w:tcPr>
          <w:p w14:paraId="57B04E78" w14:textId="77777777" w:rsidR="00AC5F75" w:rsidRPr="00B254C8" w:rsidRDefault="00AC5F75" w:rsidP="00415E21">
            <w:pPr>
              <w:ind w:left="34" w:hanging="34"/>
              <w:rPr>
                <w:rFonts w:ascii="Calibri" w:eastAsia="Times New Roman" w:hAnsi="Calibri" w:cs="Arial"/>
                <w:sz w:val="20"/>
                <w:szCs w:val="20"/>
                <w:lang w:eastAsia="en-AU"/>
              </w:rPr>
            </w:pPr>
            <w:r w:rsidRPr="00B254C8">
              <w:rPr>
                <w:rFonts w:ascii="Calibri" w:eastAsia="Times New Roman" w:hAnsi="Calibri" w:cs="Arial"/>
                <w:b/>
                <w:sz w:val="20"/>
                <w:szCs w:val="20"/>
                <w:lang w:eastAsia="en-AU"/>
              </w:rPr>
              <w:t>Last reporting month, 1 – 31 December 2019</w:t>
            </w:r>
          </w:p>
        </w:tc>
      </w:tr>
      <w:tr w:rsidR="00AC5F75" w:rsidRPr="00F20E91" w14:paraId="57B04E7F" w14:textId="77777777" w:rsidTr="00415E21">
        <w:tc>
          <w:tcPr>
            <w:tcW w:w="3975" w:type="dxa"/>
            <w:shd w:val="clear" w:color="auto" w:fill="auto"/>
          </w:tcPr>
          <w:p w14:paraId="57B04E7A"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57B04E7B" w14:textId="77777777" w:rsidR="00AC5F75" w:rsidRPr="002877DB" w:rsidRDefault="00AC5F75" w:rsidP="00415E21">
            <w:pPr>
              <w:ind w:left="34" w:hanging="34"/>
              <w:jc w:val="center"/>
              <w:rPr>
                <w:rFonts w:ascii="Calibri" w:eastAsia="Times New Roman" w:hAnsi="Calibri" w:cs="Arial"/>
                <w:sz w:val="20"/>
                <w:szCs w:val="20"/>
                <w:lang w:eastAsia="en-AU"/>
              </w:rPr>
            </w:pPr>
            <w:r w:rsidRPr="002877DB">
              <w:rPr>
                <w:rFonts w:ascii="Calibri" w:eastAsia="Times New Roman" w:hAnsi="Calibri" w:cs="Arial"/>
                <w:sz w:val="20"/>
                <w:szCs w:val="20"/>
                <w:lang w:eastAsia="en-AU"/>
              </w:rPr>
              <w:t>18</w:t>
            </w:r>
          </w:p>
        </w:tc>
        <w:tc>
          <w:tcPr>
            <w:tcW w:w="1560" w:type="dxa"/>
            <w:shd w:val="clear" w:color="auto" w:fill="B6DDE8" w:themeFill="accent5" w:themeFillTint="66"/>
            <w:vAlign w:val="center"/>
          </w:tcPr>
          <w:p w14:paraId="57B04E7C"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19</w:t>
            </w:r>
          </w:p>
        </w:tc>
        <w:tc>
          <w:tcPr>
            <w:tcW w:w="1672" w:type="dxa"/>
            <w:shd w:val="clear" w:color="auto" w:fill="CCC0D9" w:themeFill="accent4" w:themeFillTint="66"/>
            <w:vAlign w:val="center"/>
          </w:tcPr>
          <w:p w14:paraId="57B04E7D"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13</w:t>
            </w:r>
          </w:p>
        </w:tc>
        <w:tc>
          <w:tcPr>
            <w:tcW w:w="1559" w:type="dxa"/>
            <w:shd w:val="clear" w:color="auto" w:fill="FBD4B4" w:themeFill="accent6" w:themeFillTint="66"/>
          </w:tcPr>
          <w:p w14:paraId="57B04E7E" w14:textId="77777777" w:rsidR="00AC5F75" w:rsidRPr="00781DD9" w:rsidRDefault="00AC5F75" w:rsidP="00415E21">
            <w:pPr>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2</w:t>
            </w:r>
          </w:p>
        </w:tc>
      </w:tr>
      <w:tr w:rsidR="00AC5F75" w:rsidRPr="00F20E91" w14:paraId="57B04E85" w14:textId="77777777" w:rsidTr="00415E21">
        <w:tc>
          <w:tcPr>
            <w:tcW w:w="3975" w:type="dxa"/>
            <w:shd w:val="clear" w:color="auto" w:fill="auto"/>
          </w:tcPr>
          <w:p w14:paraId="57B04E80"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57B04E81" w14:textId="77777777" w:rsidR="00AC5F75" w:rsidRPr="002877DB" w:rsidRDefault="00AC5F75" w:rsidP="00415E21">
            <w:pPr>
              <w:ind w:left="34" w:hanging="34"/>
              <w:jc w:val="center"/>
              <w:rPr>
                <w:rFonts w:ascii="Calibri" w:eastAsia="Times New Roman" w:hAnsi="Calibri" w:cs="Arial"/>
                <w:sz w:val="20"/>
                <w:szCs w:val="20"/>
                <w:lang w:eastAsia="en-AU"/>
              </w:rPr>
            </w:pPr>
            <w:r w:rsidRPr="002877DB">
              <w:rPr>
                <w:rFonts w:ascii="Calibri" w:eastAsia="Times New Roman" w:hAnsi="Calibri" w:cs="Arial"/>
                <w:sz w:val="20"/>
                <w:szCs w:val="20"/>
                <w:lang w:eastAsia="en-AU"/>
              </w:rPr>
              <w:t>46% / 54%</w:t>
            </w:r>
          </w:p>
        </w:tc>
        <w:tc>
          <w:tcPr>
            <w:tcW w:w="1560" w:type="dxa"/>
            <w:shd w:val="clear" w:color="auto" w:fill="B6DDE8" w:themeFill="accent5" w:themeFillTint="66"/>
            <w:vAlign w:val="center"/>
          </w:tcPr>
          <w:p w14:paraId="57B04E82"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58% / 42%</w:t>
            </w:r>
          </w:p>
        </w:tc>
        <w:tc>
          <w:tcPr>
            <w:tcW w:w="1672" w:type="dxa"/>
            <w:shd w:val="clear" w:color="auto" w:fill="CCC0D9" w:themeFill="accent4" w:themeFillTint="66"/>
            <w:vAlign w:val="center"/>
          </w:tcPr>
          <w:p w14:paraId="57B04E83"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54% / 46%</w:t>
            </w:r>
          </w:p>
        </w:tc>
        <w:tc>
          <w:tcPr>
            <w:tcW w:w="1559" w:type="dxa"/>
            <w:shd w:val="clear" w:color="auto" w:fill="FBD4B4" w:themeFill="accent6" w:themeFillTint="66"/>
          </w:tcPr>
          <w:p w14:paraId="57B04E84" w14:textId="77777777" w:rsidR="00AC5F75" w:rsidRPr="00781DD9" w:rsidRDefault="00AC5F75" w:rsidP="00415E21">
            <w:pPr>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100% / 0%</w:t>
            </w:r>
          </w:p>
        </w:tc>
      </w:tr>
      <w:tr w:rsidR="00AC5F75" w:rsidRPr="00F20E91" w14:paraId="57B04E8B" w14:textId="77777777" w:rsidTr="00415E21">
        <w:tc>
          <w:tcPr>
            <w:tcW w:w="3975" w:type="dxa"/>
            <w:shd w:val="clear" w:color="auto" w:fill="auto"/>
          </w:tcPr>
          <w:p w14:paraId="57B04E86" w14:textId="77777777" w:rsidR="00AC5F75" w:rsidRPr="00F20E91" w:rsidRDefault="00AC5F75" w:rsidP="00415E2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57B04E87" w14:textId="77777777" w:rsidR="00AC5F75" w:rsidRPr="002877DB" w:rsidRDefault="00AC5F75" w:rsidP="00415E21">
            <w:pPr>
              <w:jc w:val="center"/>
              <w:rPr>
                <w:rFonts w:ascii="Calibri" w:eastAsia="Times New Roman" w:hAnsi="Calibri" w:cs="Arial"/>
                <w:sz w:val="20"/>
                <w:szCs w:val="20"/>
                <w:highlight w:val="green"/>
                <w:lang w:eastAsia="en-AU"/>
              </w:rPr>
            </w:pPr>
            <w:r w:rsidRPr="002877DB">
              <w:rPr>
                <w:rFonts w:ascii="Calibri" w:eastAsia="Times New Roman" w:hAnsi="Calibri" w:cs="Arial"/>
                <w:sz w:val="20"/>
                <w:szCs w:val="20"/>
                <w:lang w:eastAsia="en-AU"/>
              </w:rPr>
              <w:t>78%</w:t>
            </w:r>
          </w:p>
        </w:tc>
        <w:tc>
          <w:tcPr>
            <w:tcW w:w="1560" w:type="dxa"/>
            <w:shd w:val="clear" w:color="auto" w:fill="B6DDE8" w:themeFill="accent5" w:themeFillTint="66"/>
            <w:vAlign w:val="center"/>
          </w:tcPr>
          <w:p w14:paraId="57B04E88" w14:textId="77777777" w:rsidR="00AC5F75" w:rsidRPr="0004116A" w:rsidRDefault="00AC5F75" w:rsidP="00415E21">
            <w:pPr>
              <w:ind w:left="34" w:hanging="34"/>
              <w:jc w:val="center"/>
              <w:rPr>
                <w:rFonts w:ascii="Calibri" w:eastAsia="Times New Roman" w:hAnsi="Calibri" w:cs="Arial"/>
                <w:sz w:val="20"/>
                <w:szCs w:val="20"/>
                <w:lang w:eastAsia="en-AU"/>
              </w:rPr>
            </w:pPr>
            <w:r w:rsidRPr="0004116A">
              <w:rPr>
                <w:rFonts w:ascii="Calibri" w:eastAsia="Times New Roman" w:hAnsi="Calibri" w:cs="Arial"/>
                <w:sz w:val="20"/>
                <w:szCs w:val="20"/>
                <w:lang w:eastAsia="en-AU"/>
              </w:rPr>
              <w:t>63%</w:t>
            </w:r>
          </w:p>
        </w:tc>
        <w:tc>
          <w:tcPr>
            <w:tcW w:w="1672" w:type="dxa"/>
            <w:shd w:val="clear" w:color="auto" w:fill="CCC0D9" w:themeFill="accent4" w:themeFillTint="66"/>
            <w:vAlign w:val="center"/>
          </w:tcPr>
          <w:p w14:paraId="57B04E89" w14:textId="77777777" w:rsidR="00AC5F75" w:rsidRPr="00B254C8" w:rsidRDefault="00AC5F75" w:rsidP="00415E21">
            <w:pPr>
              <w:ind w:left="34" w:hanging="34"/>
              <w:jc w:val="center"/>
              <w:rPr>
                <w:rFonts w:ascii="Calibri" w:eastAsia="Times New Roman" w:hAnsi="Calibri" w:cs="Arial"/>
                <w:sz w:val="20"/>
                <w:szCs w:val="20"/>
                <w:lang w:eastAsia="en-AU"/>
              </w:rPr>
            </w:pPr>
            <w:r w:rsidRPr="00B254C8">
              <w:rPr>
                <w:rFonts w:ascii="Calibri" w:eastAsia="Times New Roman" w:hAnsi="Calibri" w:cs="Arial"/>
                <w:sz w:val="20"/>
                <w:szCs w:val="20"/>
                <w:lang w:eastAsia="en-AU"/>
              </w:rPr>
              <w:t>31%</w:t>
            </w:r>
          </w:p>
        </w:tc>
        <w:tc>
          <w:tcPr>
            <w:tcW w:w="1559" w:type="dxa"/>
            <w:shd w:val="clear" w:color="auto" w:fill="FBD4B4" w:themeFill="accent6" w:themeFillTint="66"/>
          </w:tcPr>
          <w:p w14:paraId="57B04E8A" w14:textId="77777777" w:rsidR="00AC5F75" w:rsidRPr="00781DD9" w:rsidRDefault="00AC5F75" w:rsidP="00415E21">
            <w:pPr>
              <w:ind w:left="34" w:hanging="34"/>
              <w:jc w:val="center"/>
              <w:rPr>
                <w:rFonts w:ascii="Calibri" w:eastAsia="Times New Roman" w:hAnsi="Calibri" w:cs="Arial"/>
                <w:sz w:val="20"/>
                <w:szCs w:val="20"/>
                <w:lang w:eastAsia="en-AU"/>
              </w:rPr>
            </w:pPr>
            <w:r w:rsidRPr="00781DD9">
              <w:rPr>
                <w:rFonts w:ascii="Calibri" w:eastAsia="Times New Roman" w:hAnsi="Calibri" w:cs="Arial"/>
                <w:sz w:val="20"/>
                <w:szCs w:val="20"/>
                <w:lang w:eastAsia="en-AU"/>
              </w:rPr>
              <w:t>0%</w:t>
            </w:r>
          </w:p>
        </w:tc>
      </w:tr>
    </w:tbl>
    <w:p w14:paraId="57B04E8C" w14:textId="77777777" w:rsidR="00AC5F75" w:rsidRPr="007B0DFB" w:rsidRDefault="00AC5F75" w:rsidP="00AC5F75">
      <w:pPr>
        <w:pStyle w:val="ListParagraph"/>
        <w:spacing w:before="60" w:after="0" w:line="240" w:lineRule="auto"/>
        <w:ind w:left="-567"/>
        <w:contextualSpacing w:val="0"/>
        <w:rPr>
          <w:b/>
          <w:sz w:val="16"/>
          <w:szCs w:val="16"/>
          <w:highlight w:val="green"/>
          <w:vertAlign w:val="superscript"/>
        </w:rPr>
      </w:pPr>
    </w:p>
    <w:p w14:paraId="57B04E8D" w14:textId="77777777" w:rsidR="00AC5F75" w:rsidRPr="004065EC" w:rsidRDefault="00AC5F75" w:rsidP="00AC5F75">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 xml:space="preserve">Table 2. </w:t>
      </w:r>
      <w:r w:rsidRPr="004065EC">
        <w:rPr>
          <w:rFonts w:ascii="Arial" w:hAnsi="Arial" w:cs="Arial"/>
          <w:sz w:val="20"/>
          <w:szCs w:val="16"/>
        </w:rPr>
        <w:t>Number of category 2 infectious syphilis</w:t>
      </w:r>
      <w:r w:rsidRPr="004065EC">
        <w:rPr>
          <w:rFonts w:ascii="Arial" w:hAnsi="Arial" w:cs="Arial"/>
          <w:sz w:val="20"/>
          <w:szCs w:val="20"/>
          <w:vertAlign w:val="superscript"/>
        </w:rPr>
        <w:t>α</w:t>
      </w:r>
      <w:r w:rsidRPr="004065EC">
        <w:rPr>
          <w:rFonts w:ascii="Arial" w:hAnsi="Arial" w:cs="Arial"/>
          <w:sz w:val="20"/>
          <w:szCs w:val="20"/>
        </w:rPr>
        <w:t xml:space="preserve"> cases</w:t>
      </w:r>
      <w:r w:rsidRPr="004065EC">
        <w:rPr>
          <w:rFonts w:ascii="Arial" w:hAnsi="Arial" w:cs="Arial"/>
          <w:sz w:val="20"/>
          <w:szCs w:val="16"/>
        </w:rPr>
        <w:t xml:space="preserve">, to 31 </w:t>
      </w:r>
      <w:r>
        <w:rPr>
          <w:rFonts w:ascii="Arial" w:hAnsi="Arial" w:cs="Arial"/>
          <w:sz w:val="20"/>
          <w:szCs w:val="16"/>
        </w:rPr>
        <w:t xml:space="preserve">December </w:t>
      </w:r>
      <w:r w:rsidRPr="004065EC">
        <w:rPr>
          <w:rFonts w:ascii="Arial" w:hAnsi="Arial" w:cs="Arial"/>
          <w:sz w:val="20"/>
          <w:szCs w:val="16"/>
        </w:rPr>
        <w:t>2019</w:t>
      </w:r>
      <w:r w:rsidRPr="004065EC">
        <w:rPr>
          <w:rFonts w:ascii="Arial" w:hAnsi="Arial" w:cs="Arial"/>
          <w:sz w:val="20"/>
          <w:szCs w:val="20"/>
          <w:vertAlign w:val="superscript"/>
        </w:rPr>
        <w:t xml:space="preserve"> ȶ ᵞ</w:t>
      </w:r>
      <w:r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AC5F75" w:rsidRPr="004065EC" w14:paraId="57B04E94" w14:textId="77777777" w:rsidTr="00415E21">
        <w:trPr>
          <w:tblHeader/>
        </w:trPr>
        <w:tc>
          <w:tcPr>
            <w:tcW w:w="3964" w:type="dxa"/>
            <w:tcBorders>
              <w:bottom w:val="single" w:sz="4" w:space="0" w:color="auto"/>
            </w:tcBorders>
          </w:tcPr>
          <w:p w14:paraId="57B04E8E" w14:textId="77777777" w:rsidR="00AC5F75" w:rsidRPr="004065EC" w:rsidRDefault="00AC5F75" w:rsidP="00415E21">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57B04E8F" w14:textId="77777777" w:rsidR="00AC5F75" w:rsidRPr="004065EC" w:rsidRDefault="00AC5F75" w:rsidP="00415E21">
            <w:pPr>
              <w:pStyle w:val="ListParagraph"/>
              <w:spacing w:before="60"/>
              <w:ind w:left="0"/>
              <w:contextualSpacing w:val="0"/>
              <w:jc w:val="center"/>
              <w:rPr>
                <w:rFonts w:ascii="Calibri" w:eastAsia="Times New Roman" w:hAnsi="Calibri" w:cs="Arial"/>
                <w:b/>
                <w:sz w:val="20"/>
                <w:szCs w:val="20"/>
                <w:lang w:eastAsia="en-AU"/>
              </w:rPr>
            </w:pPr>
            <w:r w:rsidRPr="004065EC">
              <w:rPr>
                <w:rFonts w:ascii="Calibri" w:eastAsia="Times New Roman" w:hAnsi="Calibri" w:cs="Arial"/>
                <w:b/>
                <w:sz w:val="20"/>
                <w:szCs w:val="20"/>
                <w:lang w:eastAsia="en-AU"/>
              </w:rPr>
              <w:t xml:space="preserve">North Qld </w:t>
            </w:r>
            <w:r w:rsidRPr="004065EC">
              <w:rPr>
                <w:rFonts w:ascii="Calibri" w:eastAsia="Times New Roman" w:hAnsi="Calibri" w:cs="Arial"/>
                <w:b/>
                <w:sz w:val="20"/>
                <w:szCs w:val="20"/>
                <w:lang w:eastAsia="en-AU"/>
              </w:rPr>
              <w:br/>
            </w:r>
            <w:r w:rsidRPr="004065EC">
              <w:rPr>
                <w:rFonts w:ascii="Calibri" w:eastAsia="Times New Roman" w:hAnsi="Calibri" w:cs="Arial"/>
                <w:sz w:val="20"/>
                <w:szCs w:val="20"/>
                <w:lang w:eastAsia="en-AU"/>
              </w:rPr>
              <w:t>(five HHSs</w:t>
            </w:r>
            <w:r w:rsidRPr="004065EC">
              <w:rPr>
                <w:rFonts w:ascii="Calibri" w:eastAsia="Times New Roman" w:hAnsi="Calibri" w:cs="Arial"/>
                <w:sz w:val="20"/>
                <w:szCs w:val="20"/>
                <w:vertAlign w:val="superscript"/>
                <w:lang w:eastAsia="en-AU"/>
              </w:rPr>
              <w:t>β</w:t>
            </w:r>
            <w:r w:rsidRPr="004065EC">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57B04E90" w14:textId="77777777" w:rsidR="00AC5F75" w:rsidRPr="004065EC" w:rsidRDefault="00AC5F75" w:rsidP="00415E21">
            <w:pPr>
              <w:pStyle w:val="ListParagraph"/>
              <w:spacing w:before="60"/>
              <w:ind w:left="0"/>
              <w:contextualSpacing w:val="0"/>
              <w:jc w:val="center"/>
              <w:rPr>
                <w:rFonts w:ascii="Calibri" w:hAnsi="Calibri"/>
                <w:b/>
                <w:sz w:val="20"/>
                <w:szCs w:val="16"/>
              </w:rPr>
            </w:pPr>
            <w:r w:rsidRPr="004065EC">
              <w:rPr>
                <w:rFonts w:ascii="Calibri" w:eastAsia="Times New Roman" w:hAnsi="Calibri" w:cs="Arial"/>
                <w:b/>
                <w:sz w:val="20"/>
                <w:szCs w:val="20"/>
                <w:lang w:eastAsia="en-AU"/>
              </w:rPr>
              <w:t xml:space="preserve">NT </w:t>
            </w:r>
            <w:r w:rsidRPr="004065EC">
              <w:rPr>
                <w:rFonts w:ascii="Calibri" w:eastAsia="Times New Roman" w:hAnsi="Calibri" w:cs="Arial"/>
                <w:b/>
                <w:sz w:val="20"/>
                <w:szCs w:val="20"/>
                <w:lang w:eastAsia="en-AU"/>
              </w:rPr>
              <w:br/>
            </w:r>
            <w:r w:rsidRPr="004065EC">
              <w:rPr>
                <w:rFonts w:ascii="Calibri" w:eastAsia="Times New Roman" w:hAnsi="Calibri" w:cs="Arial"/>
                <w:sz w:val="20"/>
                <w:szCs w:val="20"/>
                <w:lang w:eastAsia="en-AU"/>
              </w:rPr>
              <w:t>(seven regions</w:t>
            </w:r>
            <w:r w:rsidRPr="004065EC">
              <w:rPr>
                <w:rFonts w:ascii="Calibri" w:eastAsia="Times New Roman" w:hAnsi="Calibri" w:cs="Arial"/>
                <w:sz w:val="20"/>
                <w:szCs w:val="20"/>
                <w:vertAlign w:val="superscript"/>
                <w:lang w:eastAsia="en-AU"/>
              </w:rPr>
              <w:t xml:space="preserve"> β</w:t>
            </w:r>
            <w:r w:rsidRPr="004065EC">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57B04E91" w14:textId="77777777" w:rsidR="00AC5F75" w:rsidRPr="004065EC" w:rsidRDefault="00AC5F75" w:rsidP="00415E21">
            <w:pPr>
              <w:pStyle w:val="ListParagraph"/>
              <w:spacing w:before="60"/>
              <w:ind w:left="0"/>
              <w:contextualSpacing w:val="0"/>
              <w:jc w:val="center"/>
              <w:rPr>
                <w:rFonts w:ascii="Calibri" w:hAnsi="Calibri"/>
                <w:b/>
                <w:sz w:val="20"/>
                <w:szCs w:val="16"/>
              </w:rPr>
            </w:pPr>
            <w:r w:rsidRPr="004065EC">
              <w:rPr>
                <w:rFonts w:ascii="Calibri" w:eastAsia="Times New Roman" w:hAnsi="Calibri" w:cs="Arial"/>
                <w:b/>
                <w:sz w:val="20"/>
                <w:szCs w:val="20"/>
                <w:lang w:eastAsia="en-AU"/>
              </w:rPr>
              <w:t>WA</w:t>
            </w:r>
            <w:r w:rsidRPr="004065EC">
              <w:rPr>
                <w:rFonts w:ascii="Calibri" w:eastAsia="Times New Roman" w:hAnsi="Calibri" w:cs="Arial"/>
                <w:b/>
                <w:sz w:val="20"/>
                <w:szCs w:val="20"/>
                <w:lang w:eastAsia="en-AU"/>
              </w:rPr>
              <w:br/>
            </w:r>
            <w:r w:rsidRPr="004065EC">
              <w:rPr>
                <w:rFonts w:ascii="Calibri" w:eastAsia="Times New Roman" w:hAnsi="Calibri" w:cs="Arial"/>
                <w:sz w:val="20"/>
                <w:szCs w:val="20"/>
                <w:lang w:eastAsia="en-AU"/>
              </w:rPr>
              <w:t xml:space="preserve"> (three regions</w:t>
            </w:r>
            <w:r w:rsidRPr="004065EC">
              <w:rPr>
                <w:rFonts w:ascii="Calibri" w:eastAsia="Times New Roman" w:hAnsi="Calibri" w:cs="Arial"/>
                <w:sz w:val="20"/>
                <w:szCs w:val="20"/>
                <w:vertAlign w:val="superscript"/>
                <w:lang w:eastAsia="en-AU"/>
              </w:rPr>
              <w:t xml:space="preserve"> β</w:t>
            </w:r>
            <w:r w:rsidRPr="004065EC">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57B04E92" w14:textId="77777777" w:rsidR="00AC5F75" w:rsidRPr="004065EC" w:rsidRDefault="00AC5F75" w:rsidP="00415E21">
            <w:pPr>
              <w:ind w:left="34" w:hanging="34"/>
              <w:jc w:val="center"/>
              <w:rPr>
                <w:rFonts w:ascii="Calibri" w:eastAsia="Times New Roman" w:hAnsi="Calibri" w:cs="Arial"/>
                <w:b/>
                <w:sz w:val="20"/>
                <w:szCs w:val="20"/>
                <w:lang w:eastAsia="en-AU"/>
              </w:rPr>
            </w:pPr>
            <w:r w:rsidRPr="004065EC">
              <w:rPr>
                <w:rFonts w:ascii="Calibri" w:eastAsia="Times New Roman" w:hAnsi="Calibri" w:cs="Arial"/>
                <w:b/>
                <w:sz w:val="20"/>
                <w:szCs w:val="20"/>
                <w:lang w:eastAsia="en-AU"/>
              </w:rPr>
              <w:t>SA</w:t>
            </w:r>
          </w:p>
          <w:p w14:paraId="57B04E93" w14:textId="77777777" w:rsidR="00AC5F75" w:rsidRPr="004065EC" w:rsidRDefault="00AC5F75" w:rsidP="00415E21">
            <w:pPr>
              <w:pStyle w:val="ListParagraph"/>
              <w:spacing w:before="60"/>
              <w:ind w:left="0"/>
              <w:contextualSpacing w:val="0"/>
              <w:jc w:val="center"/>
              <w:rPr>
                <w:rFonts w:ascii="Calibri" w:hAnsi="Calibri"/>
                <w:b/>
                <w:sz w:val="20"/>
                <w:szCs w:val="16"/>
              </w:rPr>
            </w:pPr>
            <w:r w:rsidRPr="004065EC">
              <w:rPr>
                <w:rFonts w:ascii="Calibri" w:eastAsia="Times New Roman" w:hAnsi="Calibri" w:cs="Arial"/>
                <w:sz w:val="20"/>
                <w:szCs w:val="20"/>
                <w:lang w:eastAsia="en-AU"/>
              </w:rPr>
              <w:t>(three regions</w:t>
            </w:r>
            <w:r w:rsidRPr="004065EC">
              <w:rPr>
                <w:rFonts w:ascii="Calibri" w:eastAsia="Times New Roman" w:hAnsi="Calibri" w:cs="Arial"/>
                <w:sz w:val="20"/>
                <w:szCs w:val="20"/>
                <w:vertAlign w:val="superscript"/>
                <w:lang w:eastAsia="en-AU"/>
              </w:rPr>
              <w:t xml:space="preserve"> β</w:t>
            </w:r>
            <w:r w:rsidRPr="004065EC">
              <w:rPr>
                <w:rFonts w:ascii="Calibri" w:eastAsia="Times New Roman" w:hAnsi="Calibri" w:cs="Arial"/>
                <w:sz w:val="20"/>
                <w:szCs w:val="20"/>
                <w:lang w:eastAsia="en-AU"/>
              </w:rPr>
              <w:t>)</w:t>
            </w:r>
          </w:p>
        </w:tc>
      </w:tr>
      <w:tr w:rsidR="00AC5F75" w:rsidRPr="004065EC" w14:paraId="57B04E96" w14:textId="77777777" w:rsidTr="00415E21">
        <w:tc>
          <w:tcPr>
            <w:tcW w:w="10456" w:type="dxa"/>
            <w:gridSpan w:val="5"/>
            <w:shd w:val="clear" w:color="auto" w:fill="DBE5F1" w:themeFill="accent1" w:themeFillTint="33"/>
          </w:tcPr>
          <w:p w14:paraId="57B04E95" w14:textId="77777777" w:rsidR="00AC5F75" w:rsidRPr="004065EC" w:rsidRDefault="00AC5F75" w:rsidP="00415E21">
            <w:pPr>
              <w:pStyle w:val="ListParagraph"/>
              <w:spacing w:before="60"/>
              <w:ind w:left="0"/>
              <w:contextualSpacing w:val="0"/>
              <w:rPr>
                <w:b/>
                <w:sz w:val="16"/>
                <w:szCs w:val="16"/>
              </w:rPr>
            </w:pPr>
            <w:r w:rsidRPr="004065EC">
              <w:rPr>
                <w:b/>
                <w:sz w:val="20"/>
                <w:szCs w:val="16"/>
              </w:rPr>
              <w:t xml:space="preserve">Situation to-date, </w:t>
            </w:r>
            <w:r w:rsidRPr="004065EC">
              <w:rPr>
                <w:rFonts w:ascii="Calibri" w:eastAsia="Times New Roman" w:hAnsi="Calibri" w:cs="Arial"/>
                <w:b/>
                <w:sz w:val="20"/>
                <w:szCs w:val="20"/>
                <w:lang w:eastAsia="en-AU"/>
              </w:rPr>
              <w:t xml:space="preserve">31 </w:t>
            </w:r>
            <w:r>
              <w:rPr>
                <w:rFonts w:ascii="Calibri" w:eastAsia="Times New Roman" w:hAnsi="Calibri" w:cs="Arial"/>
                <w:b/>
                <w:sz w:val="20"/>
                <w:szCs w:val="20"/>
                <w:lang w:eastAsia="en-AU"/>
              </w:rPr>
              <w:t>December</w:t>
            </w:r>
            <w:r w:rsidRPr="004065EC">
              <w:rPr>
                <w:rFonts w:ascii="Calibri" w:eastAsia="Times New Roman" w:hAnsi="Calibri" w:cs="Arial"/>
                <w:b/>
                <w:sz w:val="20"/>
                <w:szCs w:val="20"/>
                <w:lang w:eastAsia="en-AU"/>
              </w:rPr>
              <w:t xml:space="preserve"> 2019</w:t>
            </w:r>
          </w:p>
        </w:tc>
      </w:tr>
      <w:tr w:rsidR="00AC5F75" w:rsidRPr="004065EC" w14:paraId="57B04E9C" w14:textId="77777777" w:rsidTr="00415E21">
        <w:tc>
          <w:tcPr>
            <w:tcW w:w="3964" w:type="dxa"/>
            <w:shd w:val="clear" w:color="auto" w:fill="auto"/>
          </w:tcPr>
          <w:p w14:paraId="57B04E97" w14:textId="77777777" w:rsidR="00AC5F75" w:rsidRPr="004065EC" w:rsidRDefault="00AC5F75" w:rsidP="00415E21">
            <w:pPr>
              <w:pStyle w:val="ListParagraph"/>
              <w:spacing w:before="60"/>
              <w:ind w:left="0"/>
              <w:contextualSpacing w:val="0"/>
              <w:rPr>
                <w:sz w:val="20"/>
                <w:szCs w:val="16"/>
              </w:rPr>
            </w:pPr>
            <w:r w:rsidRPr="004065EC">
              <w:rPr>
                <w:sz w:val="20"/>
                <w:szCs w:val="16"/>
              </w:rPr>
              <w:t>Outbreak commencement month/year</w:t>
            </w:r>
          </w:p>
        </w:tc>
        <w:tc>
          <w:tcPr>
            <w:tcW w:w="1701" w:type="dxa"/>
            <w:shd w:val="clear" w:color="auto" w:fill="B8CCE4" w:themeFill="accent1" w:themeFillTint="66"/>
          </w:tcPr>
          <w:p w14:paraId="57B04E98" w14:textId="77777777" w:rsidR="00AC5F75" w:rsidRPr="004065EC" w:rsidRDefault="00AC5F75" w:rsidP="00415E21">
            <w:pPr>
              <w:pStyle w:val="ListParagraph"/>
              <w:spacing w:before="60"/>
              <w:ind w:left="0"/>
              <w:contextualSpacing w:val="0"/>
              <w:jc w:val="center"/>
              <w:rPr>
                <w:sz w:val="20"/>
                <w:szCs w:val="16"/>
              </w:rPr>
            </w:pPr>
            <w:r w:rsidRPr="004065EC">
              <w:rPr>
                <w:sz w:val="20"/>
                <w:szCs w:val="16"/>
              </w:rPr>
              <w:t>January 2011</w:t>
            </w:r>
          </w:p>
        </w:tc>
        <w:tc>
          <w:tcPr>
            <w:tcW w:w="1560" w:type="dxa"/>
            <w:shd w:val="clear" w:color="auto" w:fill="B6DDE8" w:themeFill="accent5" w:themeFillTint="66"/>
          </w:tcPr>
          <w:p w14:paraId="57B04E99" w14:textId="77777777" w:rsidR="00AC5F75" w:rsidRPr="004065EC" w:rsidRDefault="00AC5F75" w:rsidP="00415E21">
            <w:pPr>
              <w:pStyle w:val="ListParagraph"/>
              <w:spacing w:before="60"/>
              <w:ind w:left="0"/>
              <w:contextualSpacing w:val="0"/>
              <w:jc w:val="center"/>
              <w:rPr>
                <w:sz w:val="20"/>
                <w:szCs w:val="16"/>
              </w:rPr>
            </w:pPr>
            <w:r w:rsidRPr="004065EC">
              <w:rPr>
                <w:sz w:val="20"/>
                <w:szCs w:val="16"/>
              </w:rPr>
              <w:t>July 2013</w:t>
            </w:r>
          </w:p>
        </w:tc>
        <w:tc>
          <w:tcPr>
            <w:tcW w:w="1672" w:type="dxa"/>
            <w:shd w:val="clear" w:color="auto" w:fill="CCC0D9" w:themeFill="accent4" w:themeFillTint="66"/>
          </w:tcPr>
          <w:p w14:paraId="57B04E9A" w14:textId="77777777" w:rsidR="00AC5F75" w:rsidRPr="004065EC" w:rsidRDefault="00AC5F75" w:rsidP="00415E21">
            <w:pPr>
              <w:pStyle w:val="ListParagraph"/>
              <w:spacing w:before="60"/>
              <w:ind w:left="0"/>
              <w:contextualSpacing w:val="0"/>
              <w:jc w:val="center"/>
              <w:rPr>
                <w:sz w:val="20"/>
                <w:szCs w:val="16"/>
              </w:rPr>
            </w:pPr>
            <w:r w:rsidRPr="004065EC">
              <w:rPr>
                <w:sz w:val="20"/>
                <w:szCs w:val="16"/>
              </w:rPr>
              <w:t>June 2014</w:t>
            </w:r>
          </w:p>
        </w:tc>
        <w:tc>
          <w:tcPr>
            <w:tcW w:w="1559" w:type="dxa"/>
            <w:shd w:val="clear" w:color="auto" w:fill="FBD4B4" w:themeFill="accent6" w:themeFillTint="66"/>
          </w:tcPr>
          <w:p w14:paraId="57B04E9B" w14:textId="77777777" w:rsidR="00AC5F75" w:rsidRPr="004065EC" w:rsidRDefault="00AC5F75" w:rsidP="00415E21">
            <w:pPr>
              <w:pStyle w:val="ListParagraph"/>
              <w:spacing w:before="60"/>
              <w:ind w:left="0"/>
              <w:contextualSpacing w:val="0"/>
              <w:jc w:val="center"/>
              <w:rPr>
                <w:sz w:val="20"/>
                <w:szCs w:val="16"/>
              </w:rPr>
            </w:pPr>
            <w:r w:rsidRPr="004065EC">
              <w:rPr>
                <w:sz w:val="20"/>
                <w:szCs w:val="16"/>
              </w:rPr>
              <w:t>November 2016</w:t>
            </w:r>
          </w:p>
        </w:tc>
      </w:tr>
      <w:tr w:rsidR="00AC5F75" w:rsidRPr="004065EC" w14:paraId="57B04EA2" w14:textId="77777777" w:rsidTr="00415E21">
        <w:tc>
          <w:tcPr>
            <w:tcW w:w="3964" w:type="dxa"/>
            <w:shd w:val="clear" w:color="auto" w:fill="auto"/>
          </w:tcPr>
          <w:p w14:paraId="57B04E9D" w14:textId="77777777" w:rsidR="00AC5F75" w:rsidRPr="004065EC" w:rsidRDefault="00AC5F75" w:rsidP="00415E21">
            <w:pPr>
              <w:pStyle w:val="ListParagraph"/>
              <w:spacing w:before="60"/>
              <w:ind w:left="0"/>
              <w:contextualSpacing w:val="0"/>
              <w:rPr>
                <w:sz w:val="16"/>
                <w:szCs w:val="16"/>
              </w:rPr>
            </w:pPr>
            <w:r w:rsidRPr="004065EC">
              <w:rPr>
                <w:sz w:val="20"/>
                <w:szCs w:val="16"/>
              </w:rPr>
              <w:t>Aboriginal and Torres Strait Islander people</w:t>
            </w:r>
            <w:r w:rsidRPr="004065EC">
              <w:rPr>
                <w:rFonts w:ascii="Agency FB" w:hAnsi="Agency FB"/>
                <w:sz w:val="20"/>
                <w:szCs w:val="16"/>
                <w:vertAlign w:val="superscript"/>
              </w:rPr>
              <w:t>§</w:t>
            </w:r>
          </w:p>
        </w:tc>
        <w:tc>
          <w:tcPr>
            <w:tcW w:w="1701" w:type="dxa"/>
            <w:shd w:val="clear" w:color="auto" w:fill="B8CCE4" w:themeFill="accent1" w:themeFillTint="66"/>
          </w:tcPr>
          <w:p w14:paraId="57B04E9E" w14:textId="77777777" w:rsidR="00AC5F75" w:rsidRPr="00381006" w:rsidRDefault="00AC5F75" w:rsidP="00415E21">
            <w:pPr>
              <w:pStyle w:val="ListParagraph"/>
              <w:spacing w:before="60"/>
              <w:ind w:left="0"/>
              <w:contextualSpacing w:val="0"/>
              <w:jc w:val="center"/>
              <w:rPr>
                <w:sz w:val="20"/>
                <w:szCs w:val="16"/>
              </w:rPr>
            </w:pPr>
            <w:r w:rsidRPr="00381006">
              <w:rPr>
                <w:sz w:val="20"/>
                <w:szCs w:val="16"/>
              </w:rPr>
              <w:t>13</w:t>
            </w:r>
          </w:p>
        </w:tc>
        <w:tc>
          <w:tcPr>
            <w:tcW w:w="1560" w:type="dxa"/>
            <w:shd w:val="clear" w:color="auto" w:fill="B6DDE8" w:themeFill="accent5" w:themeFillTint="66"/>
          </w:tcPr>
          <w:p w14:paraId="57B04E9F" w14:textId="77777777" w:rsidR="00AC5F75" w:rsidRPr="0004116A" w:rsidRDefault="00AC5F75" w:rsidP="00415E21">
            <w:pPr>
              <w:pStyle w:val="ListParagraph"/>
              <w:spacing w:before="60"/>
              <w:ind w:left="0"/>
              <w:contextualSpacing w:val="0"/>
              <w:jc w:val="center"/>
              <w:rPr>
                <w:sz w:val="20"/>
                <w:szCs w:val="16"/>
              </w:rPr>
            </w:pPr>
            <w:r w:rsidRPr="0004116A">
              <w:rPr>
                <w:sz w:val="20"/>
                <w:szCs w:val="16"/>
              </w:rPr>
              <w:t>2</w:t>
            </w:r>
          </w:p>
        </w:tc>
        <w:tc>
          <w:tcPr>
            <w:tcW w:w="1672" w:type="dxa"/>
            <w:shd w:val="clear" w:color="auto" w:fill="CCC0D9" w:themeFill="accent4" w:themeFillTint="66"/>
            <w:vAlign w:val="center"/>
          </w:tcPr>
          <w:p w14:paraId="57B04EA0" w14:textId="77777777" w:rsidR="00AC5F75" w:rsidRPr="00B254C8" w:rsidRDefault="00AC5F75" w:rsidP="00415E21">
            <w:pPr>
              <w:pStyle w:val="ListParagraph"/>
              <w:spacing w:before="60"/>
              <w:ind w:left="0"/>
              <w:contextualSpacing w:val="0"/>
              <w:jc w:val="center"/>
              <w:rPr>
                <w:sz w:val="20"/>
                <w:szCs w:val="16"/>
              </w:rPr>
            </w:pPr>
            <w:r w:rsidRPr="00B254C8">
              <w:rPr>
                <w:sz w:val="20"/>
                <w:szCs w:val="16"/>
              </w:rPr>
              <w:t>-</w:t>
            </w:r>
          </w:p>
        </w:tc>
        <w:tc>
          <w:tcPr>
            <w:tcW w:w="1559" w:type="dxa"/>
            <w:shd w:val="clear" w:color="auto" w:fill="FBD4B4" w:themeFill="accent6" w:themeFillTint="66"/>
          </w:tcPr>
          <w:p w14:paraId="57B04EA1" w14:textId="77777777" w:rsidR="00AC5F75" w:rsidRPr="00781DD9" w:rsidRDefault="00AC5F75" w:rsidP="00415E21">
            <w:pPr>
              <w:pStyle w:val="ListParagraph"/>
              <w:spacing w:before="60"/>
              <w:ind w:left="0"/>
              <w:contextualSpacing w:val="0"/>
              <w:jc w:val="center"/>
              <w:rPr>
                <w:sz w:val="20"/>
                <w:szCs w:val="16"/>
              </w:rPr>
            </w:pPr>
            <w:r w:rsidRPr="00781DD9">
              <w:rPr>
                <w:sz w:val="20"/>
                <w:szCs w:val="16"/>
              </w:rPr>
              <w:t>-</w:t>
            </w:r>
          </w:p>
        </w:tc>
      </w:tr>
      <w:tr w:rsidR="00AC5F75" w:rsidRPr="004065EC" w14:paraId="57B04EA8" w14:textId="77777777" w:rsidTr="00415E21">
        <w:tc>
          <w:tcPr>
            <w:tcW w:w="3964" w:type="dxa"/>
            <w:tcBorders>
              <w:bottom w:val="single" w:sz="4" w:space="0" w:color="auto"/>
            </w:tcBorders>
            <w:shd w:val="clear" w:color="auto" w:fill="auto"/>
          </w:tcPr>
          <w:p w14:paraId="57B04EA3" w14:textId="77777777" w:rsidR="00AC5F75" w:rsidRPr="004065EC" w:rsidRDefault="00AC5F75" w:rsidP="00415E21">
            <w:pPr>
              <w:pStyle w:val="ListParagraph"/>
              <w:spacing w:before="60"/>
              <w:ind w:left="0"/>
              <w:contextualSpacing w:val="0"/>
              <w:rPr>
                <w:sz w:val="16"/>
                <w:szCs w:val="16"/>
              </w:rPr>
            </w:pPr>
            <w:r w:rsidRPr="004065EC">
              <w:rPr>
                <w:sz w:val="20"/>
                <w:szCs w:val="16"/>
              </w:rPr>
              <w:t>Non-Indigenous people</w:t>
            </w:r>
            <w:r w:rsidRPr="004065EC">
              <w:rPr>
                <w:sz w:val="20"/>
                <w:szCs w:val="16"/>
                <w:vertAlign w:val="superscript"/>
              </w:rPr>
              <w:t>µ</w:t>
            </w:r>
          </w:p>
        </w:tc>
        <w:tc>
          <w:tcPr>
            <w:tcW w:w="1701" w:type="dxa"/>
            <w:tcBorders>
              <w:bottom w:val="single" w:sz="4" w:space="0" w:color="auto"/>
            </w:tcBorders>
            <w:shd w:val="clear" w:color="auto" w:fill="B8CCE4" w:themeFill="accent1" w:themeFillTint="66"/>
          </w:tcPr>
          <w:p w14:paraId="57B04EA4" w14:textId="77777777" w:rsidR="00AC5F75" w:rsidRPr="00381006" w:rsidRDefault="00AC5F75" w:rsidP="00415E21">
            <w:pPr>
              <w:pStyle w:val="ListParagraph"/>
              <w:spacing w:before="60"/>
              <w:ind w:left="0"/>
              <w:contextualSpacing w:val="0"/>
              <w:jc w:val="center"/>
              <w:rPr>
                <w:sz w:val="20"/>
                <w:szCs w:val="16"/>
              </w:rPr>
            </w:pPr>
            <w:r w:rsidRPr="00381006">
              <w:rPr>
                <w:sz w:val="20"/>
                <w:szCs w:val="16"/>
              </w:rPr>
              <w:t>28</w:t>
            </w:r>
          </w:p>
        </w:tc>
        <w:tc>
          <w:tcPr>
            <w:tcW w:w="1560" w:type="dxa"/>
            <w:tcBorders>
              <w:bottom w:val="single" w:sz="4" w:space="0" w:color="auto"/>
            </w:tcBorders>
            <w:shd w:val="clear" w:color="auto" w:fill="B6DDE8" w:themeFill="accent5" w:themeFillTint="66"/>
          </w:tcPr>
          <w:p w14:paraId="57B04EA5" w14:textId="77777777" w:rsidR="00AC5F75" w:rsidRPr="0004116A" w:rsidRDefault="00AC5F75" w:rsidP="00415E21">
            <w:pPr>
              <w:pStyle w:val="ListParagraph"/>
              <w:spacing w:before="60"/>
              <w:ind w:left="0"/>
              <w:contextualSpacing w:val="0"/>
              <w:jc w:val="center"/>
              <w:rPr>
                <w:sz w:val="20"/>
                <w:szCs w:val="16"/>
              </w:rPr>
            </w:pPr>
            <w:r w:rsidRPr="0004116A">
              <w:rPr>
                <w:sz w:val="20"/>
                <w:szCs w:val="16"/>
              </w:rPr>
              <w:t>10</w:t>
            </w:r>
          </w:p>
        </w:tc>
        <w:tc>
          <w:tcPr>
            <w:tcW w:w="1672" w:type="dxa"/>
            <w:tcBorders>
              <w:bottom w:val="single" w:sz="4" w:space="0" w:color="auto"/>
            </w:tcBorders>
            <w:shd w:val="clear" w:color="auto" w:fill="CCC0D9" w:themeFill="accent4" w:themeFillTint="66"/>
            <w:vAlign w:val="center"/>
          </w:tcPr>
          <w:p w14:paraId="57B04EA6" w14:textId="77777777" w:rsidR="00AC5F75" w:rsidRPr="00B254C8" w:rsidRDefault="00AC5F75" w:rsidP="00415E21">
            <w:pPr>
              <w:pStyle w:val="ListParagraph"/>
              <w:spacing w:before="60"/>
              <w:ind w:left="0"/>
              <w:contextualSpacing w:val="0"/>
              <w:jc w:val="center"/>
              <w:rPr>
                <w:sz w:val="20"/>
                <w:szCs w:val="16"/>
              </w:rPr>
            </w:pPr>
            <w:r w:rsidRPr="00B254C8">
              <w:rPr>
                <w:sz w:val="20"/>
                <w:szCs w:val="16"/>
              </w:rPr>
              <w:t>-</w:t>
            </w:r>
          </w:p>
        </w:tc>
        <w:tc>
          <w:tcPr>
            <w:tcW w:w="1559" w:type="dxa"/>
            <w:tcBorders>
              <w:bottom w:val="single" w:sz="4" w:space="0" w:color="auto"/>
            </w:tcBorders>
            <w:shd w:val="clear" w:color="auto" w:fill="FBD4B4" w:themeFill="accent6" w:themeFillTint="66"/>
          </w:tcPr>
          <w:p w14:paraId="57B04EA7" w14:textId="77777777" w:rsidR="00AC5F75" w:rsidRPr="00781DD9" w:rsidRDefault="00AC5F75" w:rsidP="00415E21">
            <w:pPr>
              <w:pStyle w:val="ListParagraph"/>
              <w:spacing w:before="60"/>
              <w:ind w:left="0"/>
              <w:contextualSpacing w:val="0"/>
              <w:jc w:val="center"/>
              <w:rPr>
                <w:sz w:val="20"/>
                <w:szCs w:val="16"/>
              </w:rPr>
            </w:pPr>
            <w:r w:rsidRPr="00781DD9">
              <w:rPr>
                <w:sz w:val="20"/>
                <w:szCs w:val="16"/>
              </w:rPr>
              <w:t>2</w:t>
            </w:r>
          </w:p>
        </w:tc>
      </w:tr>
      <w:tr w:rsidR="00AC5F75" w:rsidRPr="004065EC" w14:paraId="57B04EAA" w14:textId="77777777" w:rsidTr="00415E21">
        <w:tc>
          <w:tcPr>
            <w:tcW w:w="10456" w:type="dxa"/>
            <w:gridSpan w:val="5"/>
            <w:shd w:val="clear" w:color="auto" w:fill="DBE5F1" w:themeFill="accent1" w:themeFillTint="33"/>
            <w:vAlign w:val="center"/>
          </w:tcPr>
          <w:p w14:paraId="57B04EA9" w14:textId="77777777" w:rsidR="00AC5F75" w:rsidRPr="00B254C8" w:rsidRDefault="00AC5F75" w:rsidP="00415E21">
            <w:pPr>
              <w:pStyle w:val="ListParagraph"/>
              <w:spacing w:before="60"/>
              <w:ind w:left="0"/>
              <w:contextualSpacing w:val="0"/>
              <w:rPr>
                <w:b/>
                <w:sz w:val="20"/>
                <w:szCs w:val="16"/>
              </w:rPr>
            </w:pPr>
            <w:r w:rsidRPr="00B254C8">
              <w:rPr>
                <w:b/>
                <w:sz w:val="20"/>
                <w:szCs w:val="16"/>
              </w:rPr>
              <w:t xml:space="preserve">Last reporting month, 1 </w:t>
            </w:r>
            <w:r w:rsidRPr="00B254C8">
              <w:rPr>
                <w:rFonts w:ascii="Calibri" w:eastAsia="Times New Roman" w:hAnsi="Calibri" w:cs="Arial"/>
                <w:b/>
                <w:sz w:val="20"/>
                <w:szCs w:val="20"/>
                <w:lang w:eastAsia="en-AU"/>
              </w:rPr>
              <w:t>–</w:t>
            </w:r>
            <w:r w:rsidRPr="00B254C8">
              <w:rPr>
                <w:b/>
                <w:sz w:val="20"/>
                <w:szCs w:val="16"/>
              </w:rPr>
              <w:t xml:space="preserve"> </w:t>
            </w:r>
            <w:r w:rsidRPr="00B254C8">
              <w:rPr>
                <w:rFonts w:ascii="Calibri" w:eastAsia="Times New Roman" w:hAnsi="Calibri" w:cs="Arial"/>
                <w:b/>
                <w:sz w:val="20"/>
                <w:szCs w:val="20"/>
                <w:lang w:eastAsia="en-AU"/>
              </w:rPr>
              <w:t>31 December 2019</w:t>
            </w:r>
          </w:p>
        </w:tc>
      </w:tr>
      <w:tr w:rsidR="00AC5F75" w:rsidRPr="004065EC" w14:paraId="57B04EB0" w14:textId="77777777" w:rsidTr="00415E21">
        <w:trPr>
          <w:trHeight w:val="85"/>
        </w:trPr>
        <w:tc>
          <w:tcPr>
            <w:tcW w:w="3964" w:type="dxa"/>
            <w:shd w:val="clear" w:color="auto" w:fill="auto"/>
          </w:tcPr>
          <w:p w14:paraId="57B04EAB" w14:textId="77777777" w:rsidR="00AC5F75" w:rsidRPr="004065EC" w:rsidRDefault="00AC5F75" w:rsidP="00415E21">
            <w:pPr>
              <w:pStyle w:val="ListParagraph"/>
              <w:spacing w:before="60"/>
              <w:ind w:left="0"/>
              <w:contextualSpacing w:val="0"/>
              <w:rPr>
                <w:sz w:val="16"/>
                <w:szCs w:val="16"/>
              </w:rPr>
            </w:pPr>
            <w:r w:rsidRPr="004065EC">
              <w:rPr>
                <w:sz w:val="20"/>
                <w:szCs w:val="16"/>
              </w:rPr>
              <w:t>Aboriginal and Torres Strait Islander people</w:t>
            </w:r>
            <w:r w:rsidRPr="004065EC">
              <w:rPr>
                <w:rFonts w:ascii="Agency FB" w:hAnsi="Agency FB"/>
                <w:sz w:val="20"/>
                <w:szCs w:val="16"/>
                <w:vertAlign w:val="superscript"/>
              </w:rPr>
              <w:t>§</w:t>
            </w:r>
          </w:p>
        </w:tc>
        <w:tc>
          <w:tcPr>
            <w:tcW w:w="1701" w:type="dxa"/>
            <w:shd w:val="clear" w:color="auto" w:fill="B8CCE4" w:themeFill="accent1" w:themeFillTint="66"/>
          </w:tcPr>
          <w:p w14:paraId="57B04EAC" w14:textId="77777777" w:rsidR="00AC5F75" w:rsidRPr="00381006" w:rsidRDefault="00AC5F75" w:rsidP="00415E21">
            <w:pPr>
              <w:pStyle w:val="ListParagraph"/>
              <w:spacing w:before="60"/>
              <w:ind w:left="0"/>
              <w:contextualSpacing w:val="0"/>
              <w:jc w:val="center"/>
              <w:rPr>
                <w:sz w:val="20"/>
                <w:szCs w:val="16"/>
              </w:rPr>
            </w:pPr>
            <w:r w:rsidRPr="00381006">
              <w:rPr>
                <w:sz w:val="20"/>
                <w:szCs w:val="16"/>
              </w:rPr>
              <w:t>1</w:t>
            </w:r>
          </w:p>
        </w:tc>
        <w:tc>
          <w:tcPr>
            <w:tcW w:w="1560" w:type="dxa"/>
            <w:shd w:val="clear" w:color="auto" w:fill="B6DDE8" w:themeFill="accent5" w:themeFillTint="66"/>
          </w:tcPr>
          <w:p w14:paraId="57B04EAD" w14:textId="77777777" w:rsidR="00AC5F75" w:rsidRPr="0004116A" w:rsidRDefault="00AC5F75" w:rsidP="00415E21">
            <w:pPr>
              <w:pStyle w:val="ListParagraph"/>
              <w:spacing w:before="60"/>
              <w:ind w:left="0"/>
              <w:contextualSpacing w:val="0"/>
              <w:jc w:val="center"/>
              <w:rPr>
                <w:sz w:val="20"/>
                <w:szCs w:val="16"/>
              </w:rPr>
            </w:pPr>
            <w:r w:rsidRPr="0004116A">
              <w:rPr>
                <w:sz w:val="20"/>
                <w:szCs w:val="16"/>
              </w:rPr>
              <w:t>-</w:t>
            </w:r>
          </w:p>
        </w:tc>
        <w:tc>
          <w:tcPr>
            <w:tcW w:w="1672" w:type="dxa"/>
            <w:shd w:val="clear" w:color="auto" w:fill="CCC0D9" w:themeFill="accent4" w:themeFillTint="66"/>
            <w:vAlign w:val="center"/>
          </w:tcPr>
          <w:p w14:paraId="57B04EAE" w14:textId="77777777" w:rsidR="00AC5F75" w:rsidRPr="00B254C8" w:rsidRDefault="00AC5F75" w:rsidP="00415E21">
            <w:pPr>
              <w:pStyle w:val="ListParagraph"/>
              <w:spacing w:before="60"/>
              <w:ind w:left="0"/>
              <w:contextualSpacing w:val="0"/>
              <w:jc w:val="center"/>
              <w:rPr>
                <w:sz w:val="20"/>
                <w:szCs w:val="16"/>
              </w:rPr>
            </w:pPr>
            <w:r w:rsidRPr="00B254C8">
              <w:rPr>
                <w:sz w:val="20"/>
                <w:szCs w:val="16"/>
              </w:rPr>
              <w:t>-</w:t>
            </w:r>
          </w:p>
        </w:tc>
        <w:tc>
          <w:tcPr>
            <w:tcW w:w="1559" w:type="dxa"/>
            <w:shd w:val="clear" w:color="auto" w:fill="FBD4B4" w:themeFill="accent6" w:themeFillTint="66"/>
          </w:tcPr>
          <w:p w14:paraId="57B04EAF" w14:textId="77777777" w:rsidR="00AC5F75" w:rsidRPr="00781DD9" w:rsidRDefault="00AC5F75" w:rsidP="00415E21">
            <w:pPr>
              <w:pStyle w:val="ListParagraph"/>
              <w:spacing w:before="60"/>
              <w:ind w:left="0"/>
              <w:contextualSpacing w:val="0"/>
              <w:jc w:val="center"/>
              <w:rPr>
                <w:sz w:val="20"/>
                <w:szCs w:val="16"/>
              </w:rPr>
            </w:pPr>
            <w:r w:rsidRPr="00781DD9">
              <w:rPr>
                <w:sz w:val="20"/>
                <w:szCs w:val="16"/>
              </w:rPr>
              <w:t>-</w:t>
            </w:r>
          </w:p>
        </w:tc>
      </w:tr>
      <w:tr w:rsidR="00AC5F75" w:rsidRPr="00F03247" w14:paraId="57B04EB6" w14:textId="77777777" w:rsidTr="00415E21">
        <w:tc>
          <w:tcPr>
            <w:tcW w:w="3964" w:type="dxa"/>
            <w:shd w:val="clear" w:color="auto" w:fill="auto"/>
          </w:tcPr>
          <w:p w14:paraId="57B04EB1" w14:textId="77777777" w:rsidR="00AC5F75" w:rsidRPr="004065EC" w:rsidRDefault="00AC5F75" w:rsidP="00415E21">
            <w:pPr>
              <w:pStyle w:val="ListParagraph"/>
              <w:spacing w:before="60"/>
              <w:ind w:left="0"/>
              <w:contextualSpacing w:val="0"/>
              <w:rPr>
                <w:sz w:val="16"/>
                <w:szCs w:val="16"/>
              </w:rPr>
            </w:pPr>
            <w:r w:rsidRPr="004065EC">
              <w:rPr>
                <w:sz w:val="20"/>
                <w:szCs w:val="16"/>
              </w:rPr>
              <w:t>Non-Indigenous people</w:t>
            </w:r>
            <w:r w:rsidRPr="004065EC">
              <w:rPr>
                <w:sz w:val="20"/>
                <w:szCs w:val="16"/>
                <w:vertAlign w:val="superscript"/>
              </w:rPr>
              <w:t>µ</w:t>
            </w:r>
          </w:p>
        </w:tc>
        <w:tc>
          <w:tcPr>
            <w:tcW w:w="1701" w:type="dxa"/>
            <w:shd w:val="clear" w:color="auto" w:fill="B8CCE4" w:themeFill="accent1" w:themeFillTint="66"/>
          </w:tcPr>
          <w:p w14:paraId="57B04EB2" w14:textId="77777777" w:rsidR="00AC5F75" w:rsidRPr="00381006" w:rsidRDefault="00AC5F75" w:rsidP="00415E21">
            <w:pPr>
              <w:pStyle w:val="ListParagraph"/>
              <w:spacing w:before="60"/>
              <w:ind w:left="0"/>
              <w:contextualSpacing w:val="0"/>
              <w:jc w:val="center"/>
              <w:rPr>
                <w:sz w:val="20"/>
                <w:szCs w:val="16"/>
              </w:rPr>
            </w:pPr>
            <w:r w:rsidRPr="00381006">
              <w:rPr>
                <w:sz w:val="20"/>
                <w:szCs w:val="16"/>
              </w:rPr>
              <w:t>1</w:t>
            </w:r>
          </w:p>
        </w:tc>
        <w:tc>
          <w:tcPr>
            <w:tcW w:w="1560" w:type="dxa"/>
            <w:shd w:val="clear" w:color="auto" w:fill="B6DDE8" w:themeFill="accent5" w:themeFillTint="66"/>
          </w:tcPr>
          <w:p w14:paraId="57B04EB3" w14:textId="77777777" w:rsidR="00AC5F75" w:rsidRPr="0004116A" w:rsidRDefault="00AC5F75" w:rsidP="00415E21">
            <w:pPr>
              <w:pStyle w:val="ListParagraph"/>
              <w:spacing w:before="60"/>
              <w:ind w:left="0"/>
              <w:contextualSpacing w:val="0"/>
              <w:jc w:val="center"/>
              <w:rPr>
                <w:sz w:val="20"/>
                <w:szCs w:val="16"/>
              </w:rPr>
            </w:pPr>
            <w:r w:rsidRPr="0004116A">
              <w:rPr>
                <w:sz w:val="20"/>
                <w:szCs w:val="16"/>
              </w:rPr>
              <w:t>-</w:t>
            </w:r>
          </w:p>
        </w:tc>
        <w:tc>
          <w:tcPr>
            <w:tcW w:w="1672" w:type="dxa"/>
            <w:shd w:val="clear" w:color="auto" w:fill="CCC0D9" w:themeFill="accent4" w:themeFillTint="66"/>
            <w:vAlign w:val="center"/>
          </w:tcPr>
          <w:p w14:paraId="57B04EB4" w14:textId="77777777" w:rsidR="00AC5F75" w:rsidRPr="00B254C8" w:rsidRDefault="00AC5F75" w:rsidP="00415E21">
            <w:pPr>
              <w:pStyle w:val="ListParagraph"/>
              <w:spacing w:before="60"/>
              <w:ind w:left="0"/>
              <w:contextualSpacing w:val="0"/>
              <w:jc w:val="center"/>
              <w:rPr>
                <w:b/>
                <w:sz w:val="16"/>
                <w:szCs w:val="16"/>
              </w:rPr>
            </w:pPr>
            <w:r w:rsidRPr="00B254C8">
              <w:rPr>
                <w:b/>
                <w:sz w:val="16"/>
                <w:szCs w:val="16"/>
              </w:rPr>
              <w:t>-</w:t>
            </w:r>
          </w:p>
        </w:tc>
        <w:tc>
          <w:tcPr>
            <w:tcW w:w="1559" w:type="dxa"/>
            <w:shd w:val="clear" w:color="auto" w:fill="FBD4B4" w:themeFill="accent6" w:themeFillTint="66"/>
          </w:tcPr>
          <w:p w14:paraId="57B04EB5" w14:textId="77777777" w:rsidR="00AC5F75" w:rsidRPr="00781DD9" w:rsidRDefault="00AC5F75" w:rsidP="00415E21">
            <w:pPr>
              <w:pStyle w:val="ListParagraph"/>
              <w:spacing w:before="60"/>
              <w:ind w:left="0"/>
              <w:contextualSpacing w:val="0"/>
              <w:jc w:val="center"/>
              <w:rPr>
                <w:sz w:val="20"/>
                <w:szCs w:val="16"/>
              </w:rPr>
            </w:pPr>
            <w:r w:rsidRPr="00781DD9">
              <w:rPr>
                <w:sz w:val="20"/>
                <w:szCs w:val="16"/>
              </w:rPr>
              <w:t>-</w:t>
            </w:r>
          </w:p>
        </w:tc>
      </w:tr>
    </w:tbl>
    <w:p w14:paraId="57B04EB7" w14:textId="77777777" w:rsidR="00AC5F75" w:rsidRPr="00F03247" w:rsidRDefault="00AC5F75" w:rsidP="00AC5F75">
      <w:pPr>
        <w:pStyle w:val="ListParagraph"/>
        <w:spacing w:before="60" w:after="0" w:line="240" w:lineRule="auto"/>
        <w:ind w:left="-567"/>
        <w:contextualSpacing w:val="0"/>
        <w:rPr>
          <w:b/>
          <w:sz w:val="16"/>
          <w:szCs w:val="16"/>
        </w:rPr>
      </w:pPr>
    </w:p>
    <w:p w14:paraId="57B04EB8" w14:textId="77777777" w:rsidR="00AC5F75" w:rsidRPr="00F03247" w:rsidRDefault="00AC5F75" w:rsidP="00AC5F75">
      <w:pPr>
        <w:pStyle w:val="ListParagraph"/>
        <w:spacing w:before="60" w:after="0" w:line="240" w:lineRule="auto"/>
        <w:ind w:left="-709"/>
        <w:contextualSpacing w:val="0"/>
        <w:jc w:val="both"/>
        <w:rPr>
          <w:b/>
          <w:sz w:val="16"/>
          <w:szCs w:val="16"/>
        </w:rPr>
      </w:pPr>
      <w:r w:rsidRPr="00F03247">
        <w:rPr>
          <w:b/>
          <w:sz w:val="16"/>
          <w:szCs w:val="16"/>
        </w:rPr>
        <w:t>Notes:</w:t>
      </w:r>
    </w:p>
    <w:p w14:paraId="57B04EB9" w14:textId="77777777" w:rsidR="00AC5F75" w:rsidRPr="00F03247" w:rsidRDefault="00AC5F75" w:rsidP="00AC5F75">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14:paraId="57B04EBA" w14:textId="77777777" w:rsidR="00AC5F75" w:rsidRPr="00F03247" w:rsidRDefault="00AC5F75" w:rsidP="00AC5F75">
      <w:pPr>
        <w:pStyle w:val="ListParagraph"/>
        <w:spacing w:after="0" w:line="240" w:lineRule="auto"/>
        <w:ind w:left="-567" w:right="119"/>
        <w:contextualSpacing w:val="0"/>
        <w:rPr>
          <w:sz w:val="16"/>
          <w:szCs w:val="16"/>
        </w:rPr>
      </w:pPr>
      <w:proofErr w:type="gramStart"/>
      <w:r w:rsidRPr="00F03247">
        <w:rPr>
          <w:b/>
          <w:sz w:val="16"/>
          <w:szCs w:val="16"/>
          <w:vertAlign w:val="superscript"/>
        </w:rPr>
        <w:t>α</w:t>
      </w:r>
      <w:proofErr w:type="gramEnd"/>
      <w:r w:rsidRPr="00F03247">
        <w:rPr>
          <w:sz w:val="16"/>
          <w:szCs w:val="16"/>
        </w:rPr>
        <w:t xml:space="preserve"> Cases defined as per the MJSO syphilis outbreak case definition: </w:t>
      </w:r>
    </w:p>
    <w:p w14:paraId="57B04EBB" w14:textId="77777777" w:rsidR="00AC5F75" w:rsidRPr="00F03247" w:rsidRDefault="00AC5F75" w:rsidP="00AC5F75">
      <w:pPr>
        <w:pStyle w:val="ListParagraph"/>
        <w:spacing w:after="0" w:line="240" w:lineRule="auto"/>
        <w:ind w:left="-426" w:right="119"/>
        <w:contextualSpacing w:val="0"/>
      </w:pPr>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Hospital and Health Service area (from</w:t>
      </w:r>
      <w:r>
        <w:rPr>
          <w:sz w:val="16"/>
          <w:szCs w:val="16"/>
        </w:rPr>
        <w:t xml:space="preserve"> </w:t>
      </w:r>
      <w:r w:rsidRPr="00546B60">
        <w:rPr>
          <w:sz w:val="16"/>
          <w:szCs w:val="16"/>
        </w:rPr>
        <w:t xml:space="preserve">1 August 2013); Townsville Hospital and Health Service area (from 1 January 2014); Central Queensland Hospital and Health Service  area (from 1 June 2017) </w:t>
      </w:r>
      <w:r w:rsidRPr="00546B60">
        <w:rPr>
          <w:b/>
          <w:i/>
          <w:sz w:val="16"/>
          <w:szCs w:val="16"/>
        </w:rPr>
        <w:t>NT</w:t>
      </w:r>
      <w:r w:rsidRPr="00546B60">
        <w:rPr>
          <w:sz w:val="16"/>
          <w:szCs w:val="16"/>
        </w:rPr>
        <w:t xml:space="preserve"> - Alice Springs Rural and Urban 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 Pilbara region (from 1 February 2018); Goldfields region (from 1 January 2019); </w:t>
      </w:r>
      <w:r w:rsidRPr="00F03247">
        <w:rPr>
          <w:b/>
          <w:i/>
          <w:sz w:val="16"/>
          <w:szCs w:val="16"/>
        </w:rPr>
        <w:t>SA</w:t>
      </w:r>
      <w:r w:rsidRPr="00F03247">
        <w:rPr>
          <w:b/>
          <w:sz w:val="16"/>
          <w:szCs w:val="16"/>
        </w:rPr>
        <w:t xml:space="preserve"> </w:t>
      </w:r>
      <w:r w:rsidRPr="00F03247">
        <w:rPr>
          <w:sz w:val="16"/>
          <w:szCs w:val="16"/>
        </w:rPr>
        <w:t xml:space="preserve"> - Far North and Western and Eyre regions (from 15 November 2016); Adelaide (from 1 February 2018) (category 1 outbreak cases) </w:t>
      </w:r>
      <w:r w:rsidRPr="00F03247">
        <w:rPr>
          <w:b/>
          <w:sz w:val="16"/>
          <w:szCs w:val="16"/>
        </w:rPr>
        <w:t>OR</w:t>
      </w:r>
      <w:r w:rsidRPr="00F03247">
        <w:rPr>
          <w:sz w:val="16"/>
          <w:szCs w:val="16"/>
        </w:rPr>
        <w:t xml:space="preserve">,  is a sexual contact of a confirmed outbreak case (category 2 outbreak cases). </w:t>
      </w:r>
    </w:p>
    <w:p w14:paraId="57B04EBC" w14:textId="77777777" w:rsidR="00AC5F75" w:rsidRPr="00F03247" w:rsidRDefault="00AC5F75" w:rsidP="00AC5F75">
      <w:pPr>
        <w:spacing w:after="0" w:line="240" w:lineRule="auto"/>
        <w:ind w:left="-426" w:right="119" w:hanging="141"/>
        <w:rPr>
          <w:sz w:val="16"/>
          <w:szCs w:val="16"/>
        </w:rPr>
      </w:pPr>
      <w:proofErr w:type="gramStart"/>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Pr>
          <w:sz w:val="16"/>
          <w:szCs w:val="16"/>
        </w:rPr>
        <w:t xml:space="preserve"> and Central Queensland</w:t>
      </w:r>
      <w:r w:rsidRPr="00F03247">
        <w:rPr>
          <w:sz w:val="16"/>
          <w:szCs w:val="16"/>
        </w:rPr>
        <w:t xml:space="preserve"> Hospital and Health Services in Queensland; Alice Springs Urban, Alice Springs Rural, Barkly, East Arnhem, Katherine, Darwin Urban and Darwin Rural regions in the Northern Territory;  Kimberley, Pilbara and Goldfield regions in Western Australia, and; Far North, Western and Eyre and Adelaide regions in South Australia.</w:t>
      </w:r>
      <w:proofErr w:type="gramEnd"/>
    </w:p>
    <w:p w14:paraId="57B04EBD" w14:textId="77777777" w:rsidR="00AC5F75" w:rsidRPr="00F03247" w:rsidRDefault="00AC5F75" w:rsidP="00AC5F75">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57B04EBE" w14:textId="77777777" w:rsidR="00AC5F75" w:rsidRPr="00F03247" w:rsidRDefault="00AC5F75" w:rsidP="00AC5F75">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Aboriginal and Torres Strait Islander people who are sexual contacts of a confirmed outbreak case and reside outside an outbreak declared region at the time of diagnosis.</w:t>
      </w:r>
    </w:p>
    <w:p w14:paraId="57B04EBF" w14:textId="77777777" w:rsidR="00AC5F75" w:rsidRPr="00F03247" w:rsidRDefault="00AC5F75" w:rsidP="00AC5F75">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Non-Indigenous people who are sexual contacts of a confirmed outbreak case and reside in or out of an outbreak declared region at the time of diagnosis.</w:t>
      </w:r>
    </w:p>
    <w:p w14:paraId="57B04EC0" w14:textId="77777777" w:rsidR="00AC5F75" w:rsidRPr="00216285" w:rsidRDefault="00AC5F75" w:rsidP="00AC5F75">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proofErr w:type="gramStart"/>
      <w:r w:rsidRPr="00F03247">
        <w:rPr>
          <w:sz w:val="16"/>
          <w:szCs w:val="16"/>
          <w:u w:val="single"/>
        </w:rPr>
        <w:t>Please</w:t>
      </w:r>
      <w:proofErr w:type="gramEnd"/>
      <w:r w:rsidRPr="00F03247">
        <w:rPr>
          <w:sz w:val="16"/>
          <w:szCs w:val="16"/>
          <w:u w:val="single"/>
        </w:rPr>
        <w:t xml:space="preserv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p w14:paraId="57B04EC1" w14:textId="77777777" w:rsidR="00EB11F0" w:rsidRPr="00216285" w:rsidRDefault="00EB11F0" w:rsidP="001251E7">
      <w:pPr>
        <w:pStyle w:val="ListParagraph"/>
        <w:spacing w:after="0" w:line="240" w:lineRule="auto"/>
        <w:ind w:left="-567" w:right="119"/>
        <w:contextualSpacing w:val="0"/>
        <w:rPr>
          <w:rFonts w:ascii="Arial" w:hAnsi="Arial" w:cs="Arial"/>
          <w:b/>
        </w:rPr>
      </w:pPr>
    </w:p>
    <w:sectPr w:rsidR="00EB11F0" w:rsidRPr="00216285" w:rsidSect="00931BF1">
      <w:footerReference w:type="default" r:id="rId23"/>
      <w:pgSz w:w="11906" w:h="16838"/>
      <w:pgMar w:top="284" w:right="566" w:bottom="249"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4EDC" w14:textId="77777777" w:rsidR="00EB11F0" w:rsidRDefault="00EB11F0" w:rsidP="000E0F9D">
      <w:pPr>
        <w:spacing w:after="0" w:line="240" w:lineRule="auto"/>
      </w:pPr>
      <w:r>
        <w:separator/>
      </w:r>
    </w:p>
  </w:endnote>
  <w:endnote w:type="continuationSeparator" w:id="0">
    <w:p w14:paraId="57B04EDD" w14:textId="77777777" w:rsidR="00EB11F0" w:rsidRDefault="00EB11F0" w:rsidP="000E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4EDE" w14:textId="77777777" w:rsidR="00EB11F0" w:rsidRPr="00350985" w:rsidRDefault="00EB11F0" w:rsidP="00350985">
    <w:pPr>
      <w:pStyle w:val="Footer"/>
      <w:ind w:left="-1134" w:right="-308"/>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4EDA" w14:textId="77777777" w:rsidR="00EB11F0" w:rsidRDefault="00EB11F0" w:rsidP="000E0F9D">
      <w:pPr>
        <w:spacing w:after="0" w:line="240" w:lineRule="auto"/>
      </w:pPr>
      <w:r>
        <w:separator/>
      </w:r>
    </w:p>
  </w:footnote>
  <w:footnote w:type="continuationSeparator" w:id="0">
    <w:p w14:paraId="57B04EDB" w14:textId="77777777" w:rsidR="00EB11F0" w:rsidRDefault="00EB11F0" w:rsidP="000E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60B"/>
    <w:multiLevelType w:val="hybridMultilevel"/>
    <w:tmpl w:val="FD2878F4"/>
    <w:lvl w:ilvl="0" w:tplc="0C090001">
      <w:start w:val="1"/>
      <w:numFmt w:val="bullet"/>
      <w:lvlText w:val=""/>
      <w:lvlJc w:val="left"/>
      <w:pPr>
        <w:ind w:left="2550" w:hanging="360"/>
      </w:pPr>
      <w:rPr>
        <w:rFonts w:ascii="Symbol" w:hAnsi="Symbol" w:hint="default"/>
      </w:rPr>
    </w:lvl>
    <w:lvl w:ilvl="1" w:tplc="0C090003">
      <w:start w:val="1"/>
      <w:numFmt w:val="bullet"/>
      <w:lvlText w:val="o"/>
      <w:lvlJc w:val="left"/>
      <w:pPr>
        <w:ind w:left="3270" w:hanging="360"/>
      </w:pPr>
      <w:rPr>
        <w:rFonts w:ascii="Courier New" w:hAnsi="Courier New" w:cs="Courier New" w:hint="default"/>
      </w:rPr>
    </w:lvl>
    <w:lvl w:ilvl="2" w:tplc="0C090005">
      <w:start w:val="1"/>
      <w:numFmt w:val="bullet"/>
      <w:lvlText w:val=""/>
      <w:lvlJc w:val="left"/>
      <w:pPr>
        <w:ind w:left="3990" w:hanging="360"/>
      </w:pPr>
      <w:rPr>
        <w:rFonts w:ascii="Wingdings" w:hAnsi="Wingdings" w:hint="default"/>
      </w:rPr>
    </w:lvl>
    <w:lvl w:ilvl="3" w:tplc="0C090001">
      <w:start w:val="1"/>
      <w:numFmt w:val="bullet"/>
      <w:lvlText w:val=""/>
      <w:lvlJc w:val="left"/>
      <w:pPr>
        <w:ind w:left="4710" w:hanging="360"/>
      </w:pPr>
      <w:rPr>
        <w:rFonts w:ascii="Symbol" w:hAnsi="Symbol" w:hint="default"/>
      </w:rPr>
    </w:lvl>
    <w:lvl w:ilvl="4" w:tplc="0C090003">
      <w:start w:val="1"/>
      <w:numFmt w:val="bullet"/>
      <w:lvlText w:val="o"/>
      <w:lvlJc w:val="left"/>
      <w:pPr>
        <w:ind w:left="5430" w:hanging="360"/>
      </w:pPr>
      <w:rPr>
        <w:rFonts w:ascii="Courier New" w:hAnsi="Courier New" w:cs="Courier New" w:hint="default"/>
      </w:rPr>
    </w:lvl>
    <w:lvl w:ilvl="5" w:tplc="0C090005">
      <w:start w:val="1"/>
      <w:numFmt w:val="bullet"/>
      <w:lvlText w:val=""/>
      <w:lvlJc w:val="left"/>
      <w:pPr>
        <w:ind w:left="6150" w:hanging="360"/>
      </w:pPr>
      <w:rPr>
        <w:rFonts w:ascii="Wingdings" w:hAnsi="Wingdings" w:hint="default"/>
      </w:rPr>
    </w:lvl>
    <w:lvl w:ilvl="6" w:tplc="0C090001">
      <w:start w:val="1"/>
      <w:numFmt w:val="bullet"/>
      <w:lvlText w:val=""/>
      <w:lvlJc w:val="left"/>
      <w:pPr>
        <w:ind w:left="6870" w:hanging="360"/>
      </w:pPr>
      <w:rPr>
        <w:rFonts w:ascii="Symbol" w:hAnsi="Symbol" w:hint="default"/>
      </w:rPr>
    </w:lvl>
    <w:lvl w:ilvl="7" w:tplc="0C090003">
      <w:start w:val="1"/>
      <w:numFmt w:val="bullet"/>
      <w:lvlText w:val="o"/>
      <w:lvlJc w:val="left"/>
      <w:pPr>
        <w:ind w:left="7590" w:hanging="360"/>
      </w:pPr>
      <w:rPr>
        <w:rFonts w:ascii="Courier New" w:hAnsi="Courier New" w:cs="Courier New" w:hint="default"/>
      </w:rPr>
    </w:lvl>
    <w:lvl w:ilvl="8" w:tplc="0C090005">
      <w:start w:val="1"/>
      <w:numFmt w:val="bullet"/>
      <w:lvlText w:val=""/>
      <w:lvlJc w:val="left"/>
      <w:pPr>
        <w:ind w:left="8310" w:hanging="360"/>
      </w:pPr>
      <w:rPr>
        <w:rFonts w:ascii="Wingdings" w:hAnsi="Wingdings" w:hint="default"/>
      </w:rPr>
    </w:lvl>
  </w:abstractNum>
  <w:abstractNum w:abstractNumId="1" w15:restartNumberingAfterBreak="0">
    <w:nsid w:val="09A77009"/>
    <w:multiLevelType w:val="hybridMultilevel"/>
    <w:tmpl w:val="A194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601"/>
    <w:multiLevelType w:val="hybridMultilevel"/>
    <w:tmpl w:val="54A497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8D15E3"/>
    <w:multiLevelType w:val="hybridMultilevel"/>
    <w:tmpl w:val="EB329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E04A10"/>
    <w:multiLevelType w:val="hybridMultilevel"/>
    <w:tmpl w:val="30626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EC714D"/>
    <w:multiLevelType w:val="hybridMultilevel"/>
    <w:tmpl w:val="DE3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1327CF"/>
    <w:multiLevelType w:val="hybridMultilevel"/>
    <w:tmpl w:val="71506F9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7" w15:restartNumberingAfterBreak="0">
    <w:nsid w:val="67613A80"/>
    <w:multiLevelType w:val="hybridMultilevel"/>
    <w:tmpl w:val="93828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136965"/>
    <w:multiLevelType w:val="hybridMultilevel"/>
    <w:tmpl w:val="B984B184"/>
    <w:lvl w:ilvl="0" w:tplc="BB6245E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72B38"/>
    <w:multiLevelType w:val="hybridMultilevel"/>
    <w:tmpl w:val="4C22282E"/>
    <w:lvl w:ilvl="0" w:tplc="298A03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2F2F25"/>
    <w:multiLevelType w:val="hybridMultilevel"/>
    <w:tmpl w:val="C8AE3538"/>
    <w:lvl w:ilvl="0" w:tplc="C2E687C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8"/>
  </w:num>
  <w:num w:numId="8">
    <w:abstractNumId w:val="2"/>
  </w:num>
  <w:num w:numId="9">
    <w:abstractNumId w:val="7"/>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00"/>
    <w:rsid w:val="00001C5C"/>
    <w:rsid w:val="00007E3A"/>
    <w:rsid w:val="00011831"/>
    <w:rsid w:val="000177ED"/>
    <w:rsid w:val="000205D1"/>
    <w:rsid w:val="00032905"/>
    <w:rsid w:val="00035C8C"/>
    <w:rsid w:val="000369C4"/>
    <w:rsid w:val="000428F5"/>
    <w:rsid w:val="0004335D"/>
    <w:rsid w:val="00047478"/>
    <w:rsid w:val="00063663"/>
    <w:rsid w:val="000701CF"/>
    <w:rsid w:val="00084454"/>
    <w:rsid w:val="00090D76"/>
    <w:rsid w:val="00093BA1"/>
    <w:rsid w:val="00094607"/>
    <w:rsid w:val="000A2EF8"/>
    <w:rsid w:val="000A7306"/>
    <w:rsid w:val="000B0E56"/>
    <w:rsid w:val="000B3967"/>
    <w:rsid w:val="000E032B"/>
    <w:rsid w:val="000E0F9D"/>
    <w:rsid w:val="000E159A"/>
    <w:rsid w:val="000E3EA4"/>
    <w:rsid w:val="000E6F4E"/>
    <w:rsid w:val="000E6F86"/>
    <w:rsid w:val="000F4306"/>
    <w:rsid w:val="000F5C56"/>
    <w:rsid w:val="001006BD"/>
    <w:rsid w:val="001022FA"/>
    <w:rsid w:val="00105CD4"/>
    <w:rsid w:val="001067DE"/>
    <w:rsid w:val="00110E59"/>
    <w:rsid w:val="00117FB5"/>
    <w:rsid w:val="001251E7"/>
    <w:rsid w:val="00125E04"/>
    <w:rsid w:val="001314AA"/>
    <w:rsid w:val="0013716E"/>
    <w:rsid w:val="00137987"/>
    <w:rsid w:val="0014247E"/>
    <w:rsid w:val="001435E8"/>
    <w:rsid w:val="00145B1F"/>
    <w:rsid w:val="00146FCC"/>
    <w:rsid w:val="001541C8"/>
    <w:rsid w:val="00165ADE"/>
    <w:rsid w:val="001862AC"/>
    <w:rsid w:val="00194A6C"/>
    <w:rsid w:val="00195866"/>
    <w:rsid w:val="00195A95"/>
    <w:rsid w:val="00196E76"/>
    <w:rsid w:val="001A0B3E"/>
    <w:rsid w:val="001B04F8"/>
    <w:rsid w:val="001B06D2"/>
    <w:rsid w:val="001B36AE"/>
    <w:rsid w:val="001B6125"/>
    <w:rsid w:val="001C0B84"/>
    <w:rsid w:val="001C6D38"/>
    <w:rsid w:val="001C6D89"/>
    <w:rsid w:val="001D35DF"/>
    <w:rsid w:val="001D3B21"/>
    <w:rsid w:val="001D42E9"/>
    <w:rsid w:val="001E3448"/>
    <w:rsid w:val="001E6624"/>
    <w:rsid w:val="001E68E8"/>
    <w:rsid w:val="001F22FF"/>
    <w:rsid w:val="001F5532"/>
    <w:rsid w:val="001F615E"/>
    <w:rsid w:val="001F7C39"/>
    <w:rsid w:val="00200CF7"/>
    <w:rsid w:val="00200DE9"/>
    <w:rsid w:val="00202507"/>
    <w:rsid w:val="00203A32"/>
    <w:rsid w:val="0020431B"/>
    <w:rsid w:val="00210DF9"/>
    <w:rsid w:val="00216285"/>
    <w:rsid w:val="002275C1"/>
    <w:rsid w:val="00230738"/>
    <w:rsid w:val="00231126"/>
    <w:rsid w:val="0023357F"/>
    <w:rsid w:val="00233A22"/>
    <w:rsid w:val="0024042B"/>
    <w:rsid w:val="002442C1"/>
    <w:rsid w:val="002453EC"/>
    <w:rsid w:val="00246280"/>
    <w:rsid w:val="002475C0"/>
    <w:rsid w:val="002568C9"/>
    <w:rsid w:val="00256DB2"/>
    <w:rsid w:val="0026178B"/>
    <w:rsid w:val="00264198"/>
    <w:rsid w:val="00264CC6"/>
    <w:rsid w:val="00280EDD"/>
    <w:rsid w:val="00284720"/>
    <w:rsid w:val="00286943"/>
    <w:rsid w:val="0028781C"/>
    <w:rsid w:val="0028791D"/>
    <w:rsid w:val="00292662"/>
    <w:rsid w:val="0029498C"/>
    <w:rsid w:val="00294EE1"/>
    <w:rsid w:val="002977A4"/>
    <w:rsid w:val="002A0F87"/>
    <w:rsid w:val="002A4485"/>
    <w:rsid w:val="002A67B6"/>
    <w:rsid w:val="002A6AA0"/>
    <w:rsid w:val="002B1066"/>
    <w:rsid w:val="002B58C0"/>
    <w:rsid w:val="002B7899"/>
    <w:rsid w:val="002B7961"/>
    <w:rsid w:val="002C27F4"/>
    <w:rsid w:val="002C510D"/>
    <w:rsid w:val="002C52B9"/>
    <w:rsid w:val="002C5F6F"/>
    <w:rsid w:val="002C67BB"/>
    <w:rsid w:val="002C7019"/>
    <w:rsid w:val="002D2069"/>
    <w:rsid w:val="002D63D0"/>
    <w:rsid w:val="002E6E53"/>
    <w:rsid w:val="002E727C"/>
    <w:rsid w:val="002F7525"/>
    <w:rsid w:val="003006AB"/>
    <w:rsid w:val="00301173"/>
    <w:rsid w:val="00303B67"/>
    <w:rsid w:val="003078CF"/>
    <w:rsid w:val="0031566C"/>
    <w:rsid w:val="00315F9C"/>
    <w:rsid w:val="003339AD"/>
    <w:rsid w:val="00335ED6"/>
    <w:rsid w:val="00340B98"/>
    <w:rsid w:val="003410FD"/>
    <w:rsid w:val="00350985"/>
    <w:rsid w:val="00350C8C"/>
    <w:rsid w:val="00353031"/>
    <w:rsid w:val="00355CED"/>
    <w:rsid w:val="00355F25"/>
    <w:rsid w:val="003612F6"/>
    <w:rsid w:val="0036364B"/>
    <w:rsid w:val="00367354"/>
    <w:rsid w:val="003675DE"/>
    <w:rsid w:val="003723FD"/>
    <w:rsid w:val="00372815"/>
    <w:rsid w:val="00372E85"/>
    <w:rsid w:val="0037506D"/>
    <w:rsid w:val="00380649"/>
    <w:rsid w:val="0038367E"/>
    <w:rsid w:val="003844E5"/>
    <w:rsid w:val="00384BA7"/>
    <w:rsid w:val="00385678"/>
    <w:rsid w:val="00387F41"/>
    <w:rsid w:val="00390AED"/>
    <w:rsid w:val="0039185A"/>
    <w:rsid w:val="003A4B9A"/>
    <w:rsid w:val="003A5D28"/>
    <w:rsid w:val="003B1FF8"/>
    <w:rsid w:val="003B4187"/>
    <w:rsid w:val="003D0CC3"/>
    <w:rsid w:val="003D13EF"/>
    <w:rsid w:val="003D1684"/>
    <w:rsid w:val="003D507E"/>
    <w:rsid w:val="003D6934"/>
    <w:rsid w:val="003E5666"/>
    <w:rsid w:val="003E7264"/>
    <w:rsid w:val="003E7C01"/>
    <w:rsid w:val="003F010C"/>
    <w:rsid w:val="003F4A86"/>
    <w:rsid w:val="004009E2"/>
    <w:rsid w:val="00401CE7"/>
    <w:rsid w:val="00415E72"/>
    <w:rsid w:val="00417787"/>
    <w:rsid w:val="00417C2B"/>
    <w:rsid w:val="00417EA4"/>
    <w:rsid w:val="00421F15"/>
    <w:rsid w:val="0042214C"/>
    <w:rsid w:val="004246D5"/>
    <w:rsid w:val="0042771C"/>
    <w:rsid w:val="00427A81"/>
    <w:rsid w:val="00431952"/>
    <w:rsid w:val="00431D4A"/>
    <w:rsid w:val="004328F9"/>
    <w:rsid w:val="00445B9D"/>
    <w:rsid w:val="00446740"/>
    <w:rsid w:val="00460319"/>
    <w:rsid w:val="00460892"/>
    <w:rsid w:val="00470A53"/>
    <w:rsid w:val="00481F89"/>
    <w:rsid w:val="00483373"/>
    <w:rsid w:val="00485D36"/>
    <w:rsid w:val="004916D3"/>
    <w:rsid w:val="00496938"/>
    <w:rsid w:val="00497745"/>
    <w:rsid w:val="004A0277"/>
    <w:rsid w:val="004A3E3B"/>
    <w:rsid w:val="004A667D"/>
    <w:rsid w:val="004B04E0"/>
    <w:rsid w:val="004B1036"/>
    <w:rsid w:val="004B20AE"/>
    <w:rsid w:val="004B2F44"/>
    <w:rsid w:val="004B4FE0"/>
    <w:rsid w:val="004B60D9"/>
    <w:rsid w:val="004C202C"/>
    <w:rsid w:val="004D0EAB"/>
    <w:rsid w:val="004D1BEB"/>
    <w:rsid w:val="004E0587"/>
    <w:rsid w:val="004E075B"/>
    <w:rsid w:val="004E2C6E"/>
    <w:rsid w:val="004E38D7"/>
    <w:rsid w:val="004E44BA"/>
    <w:rsid w:val="0051101C"/>
    <w:rsid w:val="00511C72"/>
    <w:rsid w:val="00511F84"/>
    <w:rsid w:val="0051372D"/>
    <w:rsid w:val="00517440"/>
    <w:rsid w:val="0052201A"/>
    <w:rsid w:val="005244E4"/>
    <w:rsid w:val="00527DCF"/>
    <w:rsid w:val="005311AC"/>
    <w:rsid w:val="005318DA"/>
    <w:rsid w:val="00536427"/>
    <w:rsid w:val="00537659"/>
    <w:rsid w:val="005464F4"/>
    <w:rsid w:val="00546872"/>
    <w:rsid w:val="0055094C"/>
    <w:rsid w:val="00557024"/>
    <w:rsid w:val="00560C03"/>
    <w:rsid w:val="005678C0"/>
    <w:rsid w:val="005717BA"/>
    <w:rsid w:val="00572A6B"/>
    <w:rsid w:val="00573ABB"/>
    <w:rsid w:val="005749E8"/>
    <w:rsid w:val="005752EC"/>
    <w:rsid w:val="00580C89"/>
    <w:rsid w:val="00582CFF"/>
    <w:rsid w:val="005852E5"/>
    <w:rsid w:val="00586082"/>
    <w:rsid w:val="00587394"/>
    <w:rsid w:val="0059053F"/>
    <w:rsid w:val="00590C21"/>
    <w:rsid w:val="00590C97"/>
    <w:rsid w:val="0059384B"/>
    <w:rsid w:val="005A51A9"/>
    <w:rsid w:val="005B2C33"/>
    <w:rsid w:val="005B33B7"/>
    <w:rsid w:val="005C08D2"/>
    <w:rsid w:val="005C166D"/>
    <w:rsid w:val="005C2372"/>
    <w:rsid w:val="005C4C71"/>
    <w:rsid w:val="005D3162"/>
    <w:rsid w:val="005D3A2D"/>
    <w:rsid w:val="005D643F"/>
    <w:rsid w:val="005D676A"/>
    <w:rsid w:val="005E4E9D"/>
    <w:rsid w:val="005F1175"/>
    <w:rsid w:val="005F380C"/>
    <w:rsid w:val="005F77AB"/>
    <w:rsid w:val="006004EF"/>
    <w:rsid w:val="00606E2D"/>
    <w:rsid w:val="00610350"/>
    <w:rsid w:val="0061736D"/>
    <w:rsid w:val="00621406"/>
    <w:rsid w:val="00630D11"/>
    <w:rsid w:val="00641A4D"/>
    <w:rsid w:val="00641BF8"/>
    <w:rsid w:val="006441E0"/>
    <w:rsid w:val="00646927"/>
    <w:rsid w:val="00647A04"/>
    <w:rsid w:val="00651D16"/>
    <w:rsid w:val="006521BD"/>
    <w:rsid w:val="006529C4"/>
    <w:rsid w:val="00654FB9"/>
    <w:rsid w:val="006567A8"/>
    <w:rsid w:val="00656924"/>
    <w:rsid w:val="0066567E"/>
    <w:rsid w:val="00665C0D"/>
    <w:rsid w:val="0066612D"/>
    <w:rsid w:val="00674C45"/>
    <w:rsid w:val="00675F74"/>
    <w:rsid w:val="006810B8"/>
    <w:rsid w:val="006829B0"/>
    <w:rsid w:val="006923C8"/>
    <w:rsid w:val="00695EC9"/>
    <w:rsid w:val="006A1E4E"/>
    <w:rsid w:val="006B4D7B"/>
    <w:rsid w:val="006C0818"/>
    <w:rsid w:val="006C7223"/>
    <w:rsid w:val="006C7A6D"/>
    <w:rsid w:val="006D7EDC"/>
    <w:rsid w:val="006E465C"/>
    <w:rsid w:val="006E50EB"/>
    <w:rsid w:val="006E564C"/>
    <w:rsid w:val="006F2B7D"/>
    <w:rsid w:val="006F390D"/>
    <w:rsid w:val="007036F8"/>
    <w:rsid w:val="00707254"/>
    <w:rsid w:val="00717463"/>
    <w:rsid w:val="00722005"/>
    <w:rsid w:val="00722EA8"/>
    <w:rsid w:val="007238C5"/>
    <w:rsid w:val="00727900"/>
    <w:rsid w:val="00727B57"/>
    <w:rsid w:val="00732E1A"/>
    <w:rsid w:val="00736C89"/>
    <w:rsid w:val="00736F53"/>
    <w:rsid w:val="00737360"/>
    <w:rsid w:val="007468C2"/>
    <w:rsid w:val="00747270"/>
    <w:rsid w:val="00750C9F"/>
    <w:rsid w:val="00754915"/>
    <w:rsid w:val="00755343"/>
    <w:rsid w:val="00760E22"/>
    <w:rsid w:val="00763E38"/>
    <w:rsid w:val="007718BB"/>
    <w:rsid w:val="00772420"/>
    <w:rsid w:val="00775E7E"/>
    <w:rsid w:val="00784B4A"/>
    <w:rsid w:val="00785917"/>
    <w:rsid w:val="00786D69"/>
    <w:rsid w:val="0079074F"/>
    <w:rsid w:val="00790BDD"/>
    <w:rsid w:val="00795D1C"/>
    <w:rsid w:val="007960DF"/>
    <w:rsid w:val="007A06CD"/>
    <w:rsid w:val="007B2992"/>
    <w:rsid w:val="007B5B07"/>
    <w:rsid w:val="007B5C23"/>
    <w:rsid w:val="007B6C2A"/>
    <w:rsid w:val="007B6CE1"/>
    <w:rsid w:val="007C4992"/>
    <w:rsid w:val="007C6C41"/>
    <w:rsid w:val="007D4F62"/>
    <w:rsid w:val="007E6D7B"/>
    <w:rsid w:val="007E6F1D"/>
    <w:rsid w:val="007F0AC6"/>
    <w:rsid w:val="007F14A2"/>
    <w:rsid w:val="007F509F"/>
    <w:rsid w:val="00802606"/>
    <w:rsid w:val="00806C94"/>
    <w:rsid w:val="0082562E"/>
    <w:rsid w:val="008270F8"/>
    <w:rsid w:val="00831676"/>
    <w:rsid w:val="00832B8F"/>
    <w:rsid w:val="00832D3D"/>
    <w:rsid w:val="00833AB7"/>
    <w:rsid w:val="00833E19"/>
    <w:rsid w:val="00834F18"/>
    <w:rsid w:val="00843191"/>
    <w:rsid w:val="0084566F"/>
    <w:rsid w:val="00845A70"/>
    <w:rsid w:val="00846705"/>
    <w:rsid w:val="00856385"/>
    <w:rsid w:val="008614D4"/>
    <w:rsid w:val="008628E3"/>
    <w:rsid w:val="00873960"/>
    <w:rsid w:val="00875F0F"/>
    <w:rsid w:val="00881195"/>
    <w:rsid w:val="0088425B"/>
    <w:rsid w:val="00885BFB"/>
    <w:rsid w:val="00887255"/>
    <w:rsid w:val="008947E7"/>
    <w:rsid w:val="008B0A90"/>
    <w:rsid w:val="008B1882"/>
    <w:rsid w:val="008B2666"/>
    <w:rsid w:val="008B3C9B"/>
    <w:rsid w:val="008B3ED5"/>
    <w:rsid w:val="008B44D3"/>
    <w:rsid w:val="008B527A"/>
    <w:rsid w:val="008B7A61"/>
    <w:rsid w:val="008C7921"/>
    <w:rsid w:val="008D0045"/>
    <w:rsid w:val="008D1136"/>
    <w:rsid w:val="008D155D"/>
    <w:rsid w:val="008D31F3"/>
    <w:rsid w:val="008E16EA"/>
    <w:rsid w:val="008E6150"/>
    <w:rsid w:val="008F36DD"/>
    <w:rsid w:val="00904AAB"/>
    <w:rsid w:val="00905049"/>
    <w:rsid w:val="009061F8"/>
    <w:rsid w:val="00907C81"/>
    <w:rsid w:val="00913817"/>
    <w:rsid w:val="0091718D"/>
    <w:rsid w:val="009201EE"/>
    <w:rsid w:val="00922B1B"/>
    <w:rsid w:val="00922EE1"/>
    <w:rsid w:val="00931BF1"/>
    <w:rsid w:val="00932A1B"/>
    <w:rsid w:val="00932BDE"/>
    <w:rsid w:val="00933602"/>
    <w:rsid w:val="009364C4"/>
    <w:rsid w:val="009402B6"/>
    <w:rsid w:val="00944E66"/>
    <w:rsid w:val="00947732"/>
    <w:rsid w:val="009562F0"/>
    <w:rsid w:val="00957270"/>
    <w:rsid w:val="0097185C"/>
    <w:rsid w:val="00973296"/>
    <w:rsid w:val="0097348B"/>
    <w:rsid w:val="00977976"/>
    <w:rsid w:val="00977AD3"/>
    <w:rsid w:val="009868D5"/>
    <w:rsid w:val="0099297E"/>
    <w:rsid w:val="00994DDA"/>
    <w:rsid w:val="009A3524"/>
    <w:rsid w:val="009A52AF"/>
    <w:rsid w:val="009B0038"/>
    <w:rsid w:val="009C2CAA"/>
    <w:rsid w:val="009C3C6F"/>
    <w:rsid w:val="009C40E9"/>
    <w:rsid w:val="009C78D5"/>
    <w:rsid w:val="009D01F7"/>
    <w:rsid w:val="009D0CDE"/>
    <w:rsid w:val="009D42BF"/>
    <w:rsid w:val="009D4BAF"/>
    <w:rsid w:val="009D600D"/>
    <w:rsid w:val="009F1C6C"/>
    <w:rsid w:val="00A02B69"/>
    <w:rsid w:val="00A0477F"/>
    <w:rsid w:val="00A04E9A"/>
    <w:rsid w:val="00A0588D"/>
    <w:rsid w:val="00A1112A"/>
    <w:rsid w:val="00A265CD"/>
    <w:rsid w:val="00A33A77"/>
    <w:rsid w:val="00A34CE9"/>
    <w:rsid w:val="00A37CD4"/>
    <w:rsid w:val="00A37ED5"/>
    <w:rsid w:val="00A40F15"/>
    <w:rsid w:val="00A43572"/>
    <w:rsid w:val="00A43AA9"/>
    <w:rsid w:val="00A44D4A"/>
    <w:rsid w:val="00A5030D"/>
    <w:rsid w:val="00A5187A"/>
    <w:rsid w:val="00A51D7D"/>
    <w:rsid w:val="00A530E0"/>
    <w:rsid w:val="00A60142"/>
    <w:rsid w:val="00A604FC"/>
    <w:rsid w:val="00A629F0"/>
    <w:rsid w:val="00A7347C"/>
    <w:rsid w:val="00A73CE5"/>
    <w:rsid w:val="00A74C79"/>
    <w:rsid w:val="00A8082D"/>
    <w:rsid w:val="00A919B9"/>
    <w:rsid w:val="00AB125E"/>
    <w:rsid w:val="00AB5293"/>
    <w:rsid w:val="00AB5C26"/>
    <w:rsid w:val="00AC0A8B"/>
    <w:rsid w:val="00AC5F75"/>
    <w:rsid w:val="00AD3617"/>
    <w:rsid w:val="00AD45DF"/>
    <w:rsid w:val="00AD6E2C"/>
    <w:rsid w:val="00AE0177"/>
    <w:rsid w:val="00AE0885"/>
    <w:rsid w:val="00AE3F53"/>
    <w:rsid w:val="00AE506E"/>
    <w:rsid w:val="00AE6705"/>
    <w:rsid w:val="00AE78F2"/>
    <w:rsid w:val="00AF1D86"/>
    <w:rsid w:val="00AF515B"/>
    <w:rsid w:val="00AF6C69"/>
    <w:rsid w:val="00B00AA1"/>
    <w:rsid w:val="00B042CA"/>
    <w:rsid w:val="00B0465E"/>
    <w:rsid w:val="00B0594E"/>
    <w:rsid w:val="00B204E5"/>
    <w:rsid w:val="00B2152B"/>
    <w:rsid w:val="00B21EE8"/>
    <w:rsid w:val="00B22EC4"/>
    <w:rsid w:val="00B33A6E"/>
    <w:rsid w:val="00B3597C"/>
    <w:rsid w:val="00B35B4A"/>
    <w:rsid w:val="00B36F9B"/>
    <w:rsid w:val="00B37FEF"/>
    <w:rsid w:val="00B41CCF"/>
    <w:rsid w:val="00B53E3C"/>
    <w:rsid w:val="00B57142"/>
    <w:rsid w:val="00B60B0F"/>
    <w:rsid w:val="00B64D47"/>
    <w:rsid w:val="00B6574A"/>
    <w:rsid w:val="00B72432"/>
    <w:rsid w:val="00B8094B"/>
    <w:rsid w:val="00B84EF0"/>
    <w:rsid w:val="00B909E6"/>
    <w:rsid w:val="00B91DC5"/>
    <w:rsid w:val="00B9220B"/>
    <w:rsid w:val="00B925F2"/>
    <w:rsid w:val="00B97120"/>
    <w:rsid w:val="00BA190A"/>
    <w:rsid w:val="00BA5F4B"/>
    <w:rsid w:val="00BB1356"/>
    <w:rsid w:val="00BB17DE"/>
    <w:rsid w:val="00BB484A"/>
    <w:rsid w:val="00BB559B"/>
    <w:rsid w:val="00BB55F0"/>
    <w:rsid w:val="00BB61BE"/>
    <w:rsid w:val="00BB76E8"/>
    <w:rsid w:val="00BC570C"/>
    <w:rsid w:val="00BE1627"/>
    <w:rsid w:val="00BE480C"/>
    <w:rsid w:val="00BE5FAF"/>
    <w:rsid w:val="00BF172F"/>
    <w:rsid w:val="00BF4C9B"/>
    <w:rsid w:val="00BF5475"/>
    <w:rsid w:val="00C019C3"/>
    <w:rsid w:val="00C062C7"/>
    <w:rsid w:val="00C12577"/>
    <w:rsid w:val="00C2607E"/>
    <w:rsid w:val="00C30661"/>
    <w:rsid w:val="00C321FF"/>
    <w:rsid w:val="00C410C4"/>
    <w:rsid w:val="00C55AC7"/>
    <w:rsid w:val="00C615BA"/>
    <w:rsid w:val="00C61994"/>
    <w:rsid w:val="00C65263"/>
    <w:rsid w:val="00C700B4"/>
    <w:rsid w:val="00C70F3A"/>
    <w:rsid w:val="00C7209E"/>
    <w:rsid w:val="00C7221F"/>
    <w:rsid w:val="00C75415"/>
    <w:rsid w:val="00C76B4C"/>
    <w:rsid w:val="00C80D07"/>
    <w:rsid w:val="00C818A1"/>
    <w:rsid w:val="00C84382"/>
    <w:rsid w:val="00C84B61"/>
    <w:rsid w:val="00C8630D"/>
    <w:rsid w:val="00CA0114"/>
    <w:rsid w:val="00CA182E"/>
    <w:rsid w:val="00CA38ED"/>
    <w:rsid w:val="00CA4AB4"/>
    <w:rsid w:val="00CA78DC"/>
    <w:rsid w:val="00CB22C2"/>
    <w:rsid w:val="00CC111F"/>
    <w:rsid w:val="00CC1278"/>
    <w:rsid w:val="00CD31AE"/>
    <w:rsid w:val="00CD51A1"/>
    <w:rsid w:val="00CD696F"/>
    <w:rsid w:val="00CD747B"/>
    <w:rsid w:val="00CF5790"/>
    <w:rsid w:val="00D03B19"/>
    <w:rsid w:val="00D06E02"/>
    <w:rsid w:val="00D1241B"/>
    <w:rsid w:val="00D125E8"/>
    <w:rsid w:val="00D20E68"/>
    <w:rsid w:val="00D216E9"/>
    <w:rsid w:val="00D30938"/>
    <w:rsid w:val="00D3186A"/>
    <w:rsid w:val="00D3271A"/>
    <w:rsid w:val="00D356DA"/>
    <w:rsid w:val="00D365E0"/>
    <w:rsid w:val="00D4180A"/>
    <w:rsid w:val="00D44019"/>
    <w:rsid w:val="00D45E85"/>
    <w:rsid w:val="00D470FF"/>
    <w:rsid w:val="00D6189B"/>
    <w:rsid w:val="00D61AFB"/>
    <w:rsid w:val="00D62026"/>
    <w:rsid w:val="00D62F60"/>
    <w:rsid w:val="00D64D84"/>
    <w:rsid w:val="00D70A76"/>
    <w:rsid w:val="00D80BED"/>
    <w:rsid w:val="00D813C4"/>
    <w:rsid w:val="00D85DFB"/>
    <w:rsid w:val="00D862F4"/>
    <w:rsid w:val="00D870F7"/>
    <w:rsid w:val="00D87986"/>
    <w:rsid w:val="00D91837"/>
    <w:rsid w:val="00DA11A4"/>
    <w:rsid w:val="00DA403F"/>
    <w:rsid w:val="00DB43C5"/>
    <w:rsid w:val="00DB4CBD"/>
    <w:rsid w:val="00DB6B54"/>
    <w:rsid w:val="00DB7285"/>
    <w:rsid w:val="00DC02EC"/>
    <w:rsid w:val="00DC3F9B"/>
    <w:rsid w:val="00DC456E"/>
    <w:rsid w:val="00DC57E5"/>
    <w:rsid w:val="00DC67BC"/>
    <w:rsid w:val="00DC6A72"/>
    <w:rsid w:val="00DC7606"/>
    <w:rsid w:val="00DD1889"/>
    <w:rsid w:val="00DD4BB9"/>
    <w:rsid w:val="00DD7CCF"/>
    <w:rsid w:val="00DE5EA2"/>
    <w:rsid w:val="00DF6428"/>
    <w:rsid w:val="00E026AA"/>
    <w:rsid w:val="00E050FE"/>
    <w:rsid w:val="00E06F1D"/>
    <w:rsid w:val="00E0752F"/>
    <w:rsid w:val="00E11095"/>
    <w:rsid w:val="00E12B3A"/>
    <w:rsid w:val="00E14C4E"/>
    <w:rsid w:val="00E2278F"/>
    <w:rsid w:val="00E254E1"/>
    <w:rsid w:val="00E25D56"/>
    <w:rsid w:val="00E26279"/>
    <w:rsid w:val="00E27768"/>
    <w:rsid w:val="00E27FA1"/>
    <w:rsid w:val="00E40B70"/>
    <w:rsid w:val="00E41D30"/>
    <w:rsid w:val="00E457F5"/>
    <w:rsid w:val="00E45A46"/>
    <w:rsid w:val="00E47145"/>
    <w:rsid w:val="00E477CC"/>
    <w:rsid w:val="00E505A1"/>
    <w:rsid w:val="00E572C9"/>
    <w:rsid w:val="00E61355"/>
    <w:rsid w:val="00E62A19"/>
    <w:rsid w:val="00E6630A"/>
    <w:rsid w:val="00E7631A"/>
    <w:rsid w:val="00E77CC1"/>
    <w:rsid w:val="00E9131E"/>
    <w:rsid w:val="00E9272A"/>
    <w:rsid w:val="00E93956"/>
    <w:rsid w:val="00E955F8"/>
    <w:rsid w:val="00EA21D4"/>
    <w:rsid w:val="00EA443C"/>
    <w:rsid w:val="00EA6011"/>
    <w:rsid w:val="00EB0FD7"/>
    <w:rsid w:val="00EB11F0"/>
    <w:rsid w:val="00EB2911"/>
    <w:rsid w:val="00EC6125"/>
    <w:rsid w:val="00EC70E2"/>
    <w:rsid w:val="00EC732E"/>
    <w:rsid w:val="00ED1717"/>
    <w:rsid w:val="00ED4B23"/>
    <w:rsid w:val="00ED5EBE"/>
    <w:rsid w:val="00EE4895"/>
    <w:rsid w:val="00EE6B6C"/>
    <w:rsid w:val="00F04C3D"/>
    <w:rsid w:val="00F05FAD"/>
    <w:rsid w:val="00F062C9"/>
    <w:rsid w:val="00F12A54"/>
    <w:rsid w:val="00F12E09"/>
    <w:rsid w:val="00F133F7"/>
    <w:rsid w:val="00F14A92"/>
    <w:rsid w:val="00F14EF4"/>
    <w:rsid w:val="00F167A6"/>
    <w:rsid w:val="00F21B4C"/>
    <w:rsid w:val="00F23D96"/>
    <w:rsid w:val="00F30433"/>
    <w:rsid w:val="00F30E65"/>
    <w:rsid w:val="00F364F4"/>
    <w:rsid w:val="00F43C32"/>
    <w:rsid w:val="00F47535"/>
    <w:rsid w:val="00F5370A"/>
    <w:rsid w:val="00F631C4"/>
    <w:rsid w:val="00F741AA"/>
    <w:rsid w:val="00F83A73"/>
    <w:rsid w:val="00F855C6"/>
    <w:rsid w:val="00F8608E"/>
    <w:rsid w:val="00F9027F"/>
    <w:rsid w:val="00F94849"/>
    <w:rsid w:val="00FA2F48"/>
    <w:rsid w:val="00FA4889"/>
    <w:rsid w:val="00FA4E86"/>
    <w:rsid w:val="00FB308C"/>
    <w:rsid w:val="00FB3FFA"/>
    <w:rsid w:val="00FC4048"/>
    <w:rsid w:val="00FC4868"/>
    <w:rsid w:val="00FC5374"/>
    <w:rsid w:val="00FC7B1B"/>
    <w:rsid w:val="00FD1ADB"/>
    <w:rsid w:val="00FD48B7"/>
    <w:rsid w:val="00FD71F0"/>
    <w:rsid w:val="00FE26AD"/>
    <w:rsid w:val="00FE7825"/>
    <w:rsid w:val="00FF344A"/>
    <w:rsid w:val="00FF5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B047F3"/>
  <w15:docId w15:val="{1B4EFA0E-1958-4066-A64E-F4083DE5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51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 w:type="character" w:customStyle="1" w:styleId="Heading1Char">
    <w:name w:val="Heading 1 Char"/>
    <w:basedOn w:val="DefaultParagraphFont"/>
    <w:link w:val="Heading1"/>
    <w:uiPriority w:val="9"/>
    <w:rsid w:val="00AF515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4189">
      <w:bodyDiv w:val="1"/>
      <w:marLeft w:val="0"/>
      <w:marRight w:val="0"/>
      <w:marTop w:val="0"/>
      <w:marBottom w:val="0"/>
      <w:divBdr>
        <w:top w:val="none" w:sz="0" w:space="0" w:color="auto"/>
        <w:left w:val="none" w:sz="0" w:space="0" w:color="auto"/>
        <w:bottom w:val="none" w:sz="0" w:space="0" w:color="auto"/>
        <w:right w:val="none" w:sz="0" w:space="0" w:color="auto"/>
      </w:divBdr>
    </w:div>
    <w:div w:id="241716409">
      <w:bodyDiv w:val="1"/>
      <w:marLeft w:val="0"/>
      <w:marRight w:val="0"/>
      <w:marTop w:val="0"/>
      <w:marBottom w:val="0"/>
      <w:divBdr>
        <w:top w:val="none" w:sz="0" w:space="0" w:color="auto"/>
        <w:left w:val="none" w:sz="0" w:space="0" w:color="auto"/>
        <w:bottom w:val="none" w:sz="0" w:space="0" w:color="auto"/>
        <w:right w:val="none" w:sz="0" w:space="0" w:color="auto"/>
      </w:divBdr>
    </w:div>
    <w:div w:id="1311904717">
      <w:bodyDiv w:val="1"/>
      <w:marLeft w:val="0"/>
      <w:marRight w:val="0"/>
      <w:marTop w:val="0"/>
      <w:marBottom w:val="0"/>
      <w:divBdr>
        <w:top w:val="none" w:sz="0" w:space="0" w:color="auto"/>
        <w:left w:val="none" w:sz="0" w:space="0" w:color="auto"/>
        <w:bottom w:val="none" w:sz="0" w:space="0" w:color="auto"/>
        <w:right w:val="none" w:sz="0" w:space="0" w:color="auto"/>
      </w:divBdr>
    </w:div>
    <w:div w:id="2067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0A62-3025-4916-B083-EA16ABD76E65}">
  <ds:schemaRefs>
    <ds:schemaRef ds:uri="http://schemas.microsoft.com/sharepoint/v3/contenttype/forms"/>
  </ds:schemaRefs>
</ds:datastoreItem>
</file>

<file path=customXml/itemProps2.xml><?xml version="1.0" encoding="utf-8"?>
<ds:datastoreItem xmlns:ds="http://schemas.openxmlformats.org/officeDocument/2006/customXml" ds:itemID="{7CEED48D-DCB8-4664-8B43-92323A7D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851CE-9ECA-4F59-B80A-4084E12D25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F043FBE3-C093-4879-997D-637F1D25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13462</Words>
  <Characters>76739</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90021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Dups, Johanna</dc:creator>
  <cp:lastModifiedBy>MARTIN, Mel</cp:lastModifiedBy>
  <cp:revision>2</cp:revision>
  <cp:lastPrinted>2018-05-03T22:29:00Z</cp:lastPrinted>
  <dcterms:created xsi:type="dcterms:W3CDTF">2020-12-08T02:51:00Z</dcterms:created>
  <dcterms:modified xsi:type="dcterms:W3CDTF">2020-12-08T02:51:00Z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