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EE82F" w14:textId="44B07701" w:rsidR="002A6B02" w:rsidRPr="006005A8" w:rsidRDefault="002A6B02" w:rsidP="00E07072">
      <w:pPr>
        <w:pStyle w:val="Title"/>
      </w:pPr>
      <w:bookmarkStart w:id="0" w:name="_Toc351979439"/>
      <w:bookmarkStart w:id="1" w:name="_GoBack"/>
      <w:bookmarkEnd w:id="1"/>
      <w:r w:rsidRPr="006005A8">
        <w:t>Indigenous Australians’ Health Programme:</w:t>
      </w:r>
      <w:r w:rsidR="00097D7C" w:rsidRPr="006005A8">
        <w:br/>
      </w:r>
      <w:r w:rsidRPr="006005A8">
        <w:t>Tackling Indigenous Smoking</w:t>
      </w:r>
    </w:p>
    <w:p w14:paraId="49FA3212" w14:textId="77777777" w:rsidR="00A47C8E" w:rsidRPr="006005A8" w:rsidRDefault="002A6B02" w:rsidP="006005A8">
      <w:pPr>
        <w:pStyle w:val="Subtitle"/>
        <w:sectPr w:rsidR="00A47C8E" w:rsidRPr="006005A8" w:rsidSect="00970319">
          <w:headerReference w:type="even" r:id="rId11"/>
          <w:headerReference w:type="default" r:id="rId12"/>
          <w:footerReference w:type="even" r:id="rId13"/>
          <w:footerReference w:type="default" r:id="rId14"/>
          <w:headerReference w:type="first" r:id="rId15"/>
          <w:footerReference w:type="first" r:id="rId16"/>
          <w:pgSz w:w="11906" w:h="16838"/>
          <w:pgMar w:top="851" w:right="1134" w:bottom="1134" w:left="1134" w:header="709" w:footer="709" w:gutter="0"/>
          <w:cols w:space="708"/>
          <w:titlePg/>
          <w:docGrid w:linePitch="360"/>
        </w:sectPr>
      </w:pPr>
      <w:r w:rsidRPr="006005A8">
        <w:t>Gran</w:t>
      </w:r>
      <w:r w:rsidR="0076218B" w:rsidRPr="006005A8">
        <w:t>t</w:t>
      </w:r>
      <w:r w:rsidRPr="006005A8">
        <w:t xml:space="preserve"> </w:t>
      </w:r>
      <w:r w:rsidR="00A25AF5" w:rsidRPr="006005A8">
        <w:t>Activity</w:t>
      </w:r>
      <w:r w:rsidR="006B5169" w:rsidRPr="006005A8">
        <w:t xml:space="preserve"> Guidelines</w:t>
      </w:r>
      <w:bookmarkEnd w:id="0"/>
    </w:p>
    <w:sdt>
      <w:sdtPr>
        <w:rPr>
          <w:rFonts w:ascii="Times New Roman" w:eastAsiaTheme="minorHAnsi" w:hAnsi="Times New Roman" w:cstheme="minorBidi"/>
          <w:b w:val="0"/>
          <w:i w:val="0"/>
          <w:color w:val="auto"/>
          <w:sz w:val="24"/>
          <w:szCs w:val="22"/>
          <w:lang w:val="en-AU"/>
        </w:rPr>
        <w:id w:val="-1279715950"/>
        <w:docPartObj>
          <w:docPartGallery w:val="Table of Contents"/>
          <w:docPartUnique/>
        </w:docPartObj>
      </w:sdtPr>
      <w:sdtEndPr>
        <w:rPr>
          <w:bCs/>
          <w:noProof/>
        </w:rPr>
      </w:sdtEndPr>
      <w:sdtContent>
        <w:p w14:paraId="0FBF3AC2" w14:textId="586FF37D" w:rsidR="00C36AF0" w:rsidRDefault="00C36AF0" w:rsidP="00C36AF0">
          <w:pPr>
            <w:pStyle w:val="TOCHeading"/>
            <w:numPr>
              <w:ilvl w:val="0"/>
              <w:numId w:val="0"/>
            </w:numPr>
            <w:ind w:left="432" w:hanging="432"/>
          </w:pPr>
          <w:r>
            <w:t>Table of Contents</w:t>
          </w:r>
        </w:p>
        <w:p w14:paraId="4CA1C6F1" w14:textId="77777777" w:rsidR="00C36AF0" w:rsidRDefault="00C36AF0">
          <w:pPr>
            <w:pStyle w:val="TOC3"/>
            <w:tabs>
              <w:tab w:val="right" w:leader="dot" w:pos="9628"/>
            </w:tabs>
            <w:rPr>
              <w:rFonts w:asciiTheme="minorHAnsi" w:eastAsiaTheme="minorEastAsia" w:hAnsiTheme="minorHAnsi" w:cstheme="minorBidi"/>
              <w:noProof/>
              <w:sz w:val="22"/>
              <w:szCs w:val="22"/>
              <w:lang w:val="en-AU" w:eastAsia="en-AU"/>
            </w:rPr>
          </w:pPr>
          <w:r>
            <w:fldChar w:fldCharType="begin"/>
          </w:r>
          <w:r>
            <w:instrText xml:space="preserve"> TOC \o "1-3" \h \z \u </w:instrText>
          </w:r>
          <w:r>
            <w:fldChar w:fldCharType="separate"/>
          </w:r>
          <w:hyperlink w:anchor="_Toc427755320" w:history="1">
            <w:r w:rsidRPr="00DD7DA2">
              <w:rPr>
                <w:rStyle w:val="Hyperlink"/>
                <w:rFonts w:eastAsia="Calibri"/>
                <w:noProof/>
              </w:rPr>
              <w:t>Grant Activity Process Flowchart</w:t>
            </w:r>
            <w:r>
              <w:rPr>
                <w:noProof/>
                <w:webHidden/>
              </w:rPr>
              <w:tab/>
            </w:r>
            <w:r>
              <w:rPr>
                <w:noProof/>
                <w:webHidden/>
              </w:rPr>
              <w:fldChar w:fldCharType="begin"/>
            </w:r>
            <w:r>
              <w:rPr>
                <w:noProof/>
                <w:webHidden/>
              </w:rPr>
              <w:instrText xml:space="preserve"> PAGEREF _Toc427755320 \h </w:instrText>
            </w:r>
            <w:r>
              <w:rPr>
                <w:noProof/>
                <w:webHidden/>
              </w:rPr>
            </w:r>
            <w:r>
              <w:rPr>
                <w:noProof/>
                <w:webHidden/>
              </w:rPr>
              <w:fldChar w:fldCharType="separate"/>
            </w:r>
            <w:r>
              <w:rPr>
                <w:noProof/>
                <w:webHidden/>
              </w:rPr>
              <w:t>3</w:t>
            </w:r>
            <w:r>
              <w:rPr>
                <w:noProof/>
                <w:webHidden/>
              </w:rPr>
              <w:fldChar w:fldCharType="end"/>
            </w:r>
          </w:hyperlink>
        </w:p>
        <w:p w14:paraId="7559F3D9" w14:textId="77777777" w:rsidR="00C36AF0" w:rsidRDefault="00AF30B2">
          <w:pPr>
            <w:pStyle w:val="TOC1"/>
            <w:tabs>
              <w:tab w:val="left" w:pos="440"/>
              <w:tab w:val="right" w:leader="dot" w:pos="9628"/>
            </w:tabs>
            <w:rPr>
              <w:rFonts w:asciiTheme="minorHAnsi" w:eastAsiaTheme="minorEastAsia" w:hAnsiTheme="minorHAnsi" w:cstheme="minorBidi"/>
              <w:noProof/>
              <w:sz w:val="22"/>
              <w:szCs w:val="22"/>
              <w:lang w:val="en-AU" w:eastAsia="en-AU"/>
            </w:rPr>
          </w:pPr>
          <w:hyperlink w:anchor="_Toc427755321" w:history="1">
            <w:r w:rsidR="00C36AF0" w:rsidRPr="00DD7DA2">
              <w:rPr>
                <w:rStyle w:val="Hyperlink"/>
                <w:noProof/>
              </w:rPr>
              <w:t>1.</w:t>
            </w:r>
            <w:r w:rsidR="00C36AF0">
              <w:rPr>
                <w:rFonts w:asciiTheme="minorHAnsi" w:eastAsiaTheme="minorEastAsia" w:hAnsiTheme="minorHAnsi" w:cstheme="minorBidi"/>
                <w:noProof/>
                <w:sz w:val="22"/>
                <w:szCs w:val="22"/>
                <w:lang w:val="en-AU" w:eastAsia="en-AU"/>
              </w:rPr>
              <w:tab/>
            </w:r>
            <w:r w:rsidR="00C36AF0" w:rsidRPr="00DD7DA2">
              <w:rPr>
                <w:rStyle w:val="Hyperlink"/>
                <w:noProof/>
              </w:rPr>
              <w:t>Introduction</w:t>
            </w:r>
            <w:r w:rsidR="00C36AF0">
              <w:rPr>
                <w:noProof/>
                <w:webHidden/>
              </w:rPr>
              <w:tab/>
            </w:r>
            <w:r w:rsidR="00C36AF0">
              <w:rPr>
                <w:noProof/>
                <w:webHidden/>
              </w:rPr>
              <w:fldChar w:fldCharType="begin"/>
            </w:r>
            <w:r w:rsidR="00C36AF0">
              <w:rPr>
                <w:noProof/>
                <w:webHidden/>
              </w:rPr>
              <w:instrText xml:space="preserve"> PAGEREF _Toc427755321 \h </w:instrText>
            </w:r>
            <w:r w:rsidR="00C36AF0">
              <w:rPr>
                <w:noProof/>
                <w:webHidden/>
              </w:rPr>
            </w:r>
            <w:r w:rsidR="00C36AF0">
              <w:rPr>
                <w:noProof/>
                <w:webHidden/>
              </w:rPr>
              <w:fldChar w:fldCharType="separate"/>
            </w:r>
            <w:r w:rsidR="00C36AF0">
              <w:rPr>
                <w:noProof/>
                <w:webHidden/>
              </w:rPr>
              <w:t>4</w:t>
            </w:r>
            <w:r w:rsidR="00C36AF0">
              <w:rPr>
                <w:noProof/>
                <w:webHidden/>
              </w:rPr>
              <w:fldChar w:fldCharType="end"/>
            </w:r>
          </w:hyperlink>
        </w:p>
        <w:p w14:paraId="16ECC60B" w14:textId="77777777" w:rsidR="00C36AF0" w:rsidRDefault="00AF30B2">
          <w:pPr>
            <w:pStyle w:val="TOC2"/>
            <w:tabs>
              <w:tab w:val="left" w:pos="960"/>
              <w:tab w:val="right" w:leader="dot" w:pos="9628"/>
            </w:tabs>
            <w:rPr>
              <w:rFonts w:asciiTheme="minorHAnsi" w:eastAsiaTheme="minorEastAsia" w:hAnsiTheme="minorHAnsi" w:cstheme="minorBidi"/>
              <w:noProof/>
              <w:sz w:val="22"/>
              <w:szCs w:val="22"/>
              <w:lang w:val="en-AU" w:eastAsia="en-AU"/>
            </w:rPr>
          </w:pPr>
          <w:hyperlink w:anchor="_Toc427755322" w:history="1">
            <w:r w:rsidR="00C36AF0" w:rsidRPr="00DD7DA2">
              <w:rPr>
                <w:rStyle w:val="Hyperlink"/>
                <w:noProof/>
              </w:rPr>
              <w:t>1.1</w:t>
            </w:r>
            <w:r w:rsidR="00C36AF0">
              <w:rPr>
                <w:rFonts w:asciiTheme="minorHAnsi" w:eastAsiaTheme="minorEastAsia" w:hAnsiTheme="minorHAnsi" w:cstheme="minorBidi"/>
                <w:noProof/>
                <w:sz w:val="22"/>
                <w:szCs w:val="22"/>
                <w:lang w:val="en-AU" w:eastAsia="en-AU"/>
              </w:rPr>
              <w:tab/>
            </w:r>
            <w:r w:rsidR="00C36AF0" w:rsidRPr="00DD7DA2">
              <w:rPr>
                <w:rStyle w:val="Hyperlink"/>
                <w:noProof/>
              </w:rPr>
              <w:t>Activity Background</w:t>
            </w:r>
            <w:r w:rsidR="00C36AF0">
              <w:rPr>
                <w:noProof/>
                <w:webHidden/>
              </w:rPr>
              <w:tab/>
            </w:r>
            <w:r w:rsidR="00C36AF0">
              <w:rPr>
                <w:noProof/>
                <w:webHidden/>
              </w:rPr>
              <w:fldChar w:fldCharType="begin"/>
            </w:r>
            <w:r w:rsidR="00C36AF0">
              <w:rPr>
                <w:noProof/>
                <w:webHidden/>
              </w:rPr>
              <w:instrText xml:space="preserve"> PAGEREF _Toc427755322 \h </w:instrText>
            </w:r>
            <w:r w:rsidR="00C36AF0">
              <w:rPr>
                <w:noProof/>
                <w:webHidden/>
              </w:rPr>
            </w:r>
            <w:r w:rsidR="00C36AF0">
              <w:rPr>
                <w:noProof/>
                <w:webHidden/>
              </w:rPr>
              <w:fldChar w:fldCharType="separate"/>
            </w:r>
            <w:r w:rsidR="00C36AF0">
              <w:rPr>
                <w:noProof/>
                <w:webHidden/>
              </w:rPr>
              <w:t>4</w:t>
            </w:r>
            <w:r w:rsidR="00C36AF0">
              <w:rPr>
                <w:noProof/>
                <w:webHidden/>
              </w:rPr>
              <w:fldChar w:fldCharType="end"/>
            </w:r>
          </w:hyperlink>
        </w:p>
        <w:p w14:paraId="1476515E" w14:textId="77777777" w:rsidR="00C36AF0" w:rsidRDefault="00AF30B2">
          <w:pPr>
            <w:pStyle w:val="TOC3"/>
            <w:tabs>
              <w:tab w:val="right" w:leader="dot" w:pos="9628"/>
            </w:tabs>
            <w:rPr>
              <w:rFonts w:asciiTheme="minorHAnsi" w:eastAsiaTheme="minorEastAsia" w:hAnsiTheme="minorHAnsi" w:cstheme="minorBidi"/>
              <w:noProof/>
              <w:sz w:val="22"/>
              <w:szCs w:val="22"/>
              <w:lang w:val="en-AU" w:eastAsia="en-AU"/>
            </w:rPr>
          </w:pPr>
          <w:hyperlink w:anchor="_Toc427755323" w:history="1">
            <w:r w:rsidR="00C36AF0" w:rsidRPr="00DD7DA2">
              <w:rPr>
                <w:rStyle w:val="Hyperlink"/>
                <w:noProof/>
              </w:rPr>
              <w:t>Indigenous Australians’ Health Programme</w:t>
            </w:r>
            <w:r w:rsidR="00C36AF0">
              <w:rPr>
                <w:noProof/>
                <w:webHidden/>
              </w:rPr>
              <w:tab/>
            </w:r>
            <w:r w:rsidR="00C36AF0">
              <w:rPr>
                <w:noProof/>
                <w:webHidden/>
              </w:rPr>
              <w:fldChar w:fldCharType="begin"/>
            </w:r>
            <w:r w:rsidR="00C36AF0">
              <w:rPr>
                <w:noProof/>
                <w:webHidden/>
              </w:rPr>
              <w:instrText xml:space="preserve"> PAGEREF _Toc427755323 \h </w:instrText>
            </w:r>
            <w:r w:rsidR="00C36AF0">
              <w:rPr>
                <w:noProof/>
                <w:webHidden/>
              </w:rPr>
            </w:r>
            <w:r w:rsidR="00C36AF0">
              <w:rPr>
                <w:noProof/>
                <w:webHidden/>
              </w:rPr>
              <w:fldChar w:fldCharType="separate"/>
            </w:r>
            <w:r w:rsidR="00C36AF0">
              <w:rPr>
                <w:noProof/>
                <w:webHidden/>
              </w:rPr>
              <w:t>4</w:t>
            </w:r>
            <w:r w:rsidR="00C36AF0">
              <w:rPr>
                <w:noProof/>
                <w:webHidden/>
              </w:rPr>
              <w:fldChar w:fldCharType="end"/>
            </w:r>
          </w:hyperlink>
        </w:p>
        <w:p w14:paraId="1A1C2D8F" w14:textId="77777777" w:rsidR="00C36AF0" w:rsidRDefault="00AF30B2">
          <w:pPr>
            <w:pStyle w:val="TOC3"/>
            <w:tabs>
              <w:tab w:val="right" w:leader="dot" w:pos="9628"/>
            </w:tabs>
            <w:rPr>
              <w:rFonts w:asciiTheme="minorHAnsi" w:eastAsiaTheme="minorEastAsia" w:hAnsiTheme="minorHAnsi" w:cstheme="minorBidi"/>
              <w:noProof/>
              <w:sz w:val="22"/>
              <w:szCs w:val="22"/>
              <w:lang w:val="en-AU" w:eastAsia="en-AU"/>
            </w:rPr>
          </w:pPr>
          <w:hyperlink w:anchor="_Toc427755324" w:history="1">
            <w:r w:rsidR="00C36AF0" w:rsidRPr="00DD7DA2">
              <w:rPr>
                <w:rStyle w:val="Hyperlink"/>
                <w:noProof/>
              </w:rPr>
              <w:t>Tackling Indigenous Smoking (TIS) Activity</w:t>
            </w:r>
            <w:r w:rsidR="00C36AF0">
              <w:rPr>
                <w:noProof/>
                <w:webHidden/>
              </w:rPr>
              <w:tab/>
            </w:r>
            <w:r w:rsidR="00C36AF0">
              <w:rPr>
                <w:noProof/>
                <w:webHidden/>
              </w:rPr>
              <w:fldChar w:fldCharType="begin"/>
            </w:r>
            <w:r w:rsidR="00C36AF0">
              <w:rPr>
                <w:noProof/>
                <w:webHidden/>
              </w:rPr>
              <w:instrText xml:space="preserve"> PAGEREF _Toc427755324 \h </w:instrText>
            </w:r>
            <w:r w:rsidR="00C36AF0">
              <w:rPr>
                <w:noProof/>
                <w:webHidden/>
              </w:rPr>
            </w:r>
            <w:r w:rsidR="00C36AF0">
              <w:rPr>
                <w:noProof/>
                <w:webHidden/>
              </w:rPr>
              <w:fldChar w:fldCharType="separate"/>
            </w:r>
            <w:r w:rsidR="00C36AF0">
              <w:rPr>
                <w:noProof/>
                <w:webHidden/>
              </w:rPr>
              <w:t>4</w:t>
            </w:r>
            <w:r w:rsidR="00C36AF0">
              <w:rPr>
                <w:noProof/>
                <w:webHidden/>
              </w:rPr>
              <w:fldChar w:fldCharType="end"/>
            </w:r>
          </w:hyperlink>
        </w:p>
        <w:p w14:paraId="460C9972" w14:textId="77777777" w:rsidR="00C36AF0" w:rsidRDefault="00AF30B2">
          <w:pPr>
            <w:pStyle w:val="TOC2"/>
            <w:tabs>
              <w:tab w:val="left" w:pos="960"/>
              <w:tab w:val="right" w:leader="dot" w:pos="9628"/>
            </w:tabs>
            <w:rPr>
              <w:rFonts w:asciiTheme="minorHAnsi" w:eastAsiaTheme="minorEastAsia" w:hAnsiTheme="minorHAnsi" w:cstheme="minorBidi"/>
              <w:noProof/>
              <w:sz w:val="22"/>
              <w:szCs w:val="22"/>
              <w:lang w:val="en-AU" w:eastAsia="en-AU"/>
            </w:rPr>
          </w:pPr>
          <w:hyperlink w:anchor="_Toc427755325" w:history="1">
            <w:r w:rsidR="00C36AF0" w:rsidRPr="00DD7DA2">
              <w:rPr>
                <w:rStyle w:val="Hyperlink"/>
                <w:noProof/>
              </w:rPr>
              <w:t>1.2</w:t>
            </w:r>
            <w:r w:rsidR="00C36AF0">
              <w:rPr>
                <w:rFonts w:asciiTheme="minorHAnsi" w:eastAsiaTheme="minorEastAsia" w:hAnsiTheme="minorHAnsi" w:cstheme="minorBidi"/>
                <w:noProof/>
                <w:sz w:val="22"/>
                <w:szCs w:val="22"/>
                <w:lang w:val="en-AU" w:eastAsia="en-AU"/>
              </w:rPr>
              <w:tab/>
            </w:r>
            <w:r w:rsidR="00C36AF0" w:rsidRPr="00DD7DA2">
              <w:rPr>
                <w:rStyle w:val="Hyperlink"/>
                <w:noProof/>
              </w:rPr>
              <w:t>TIS Activity Principles</w:t>
            </w:r>
            <w:r w:rsidR="00C36AF0">
              <w:rPr>
                <w:noProof/>
                <w:webHidden/>
              </w:rPr>
              <w:tab/>
            </w:r>
            <w:r w:rsidR="00C36AF0">
              <w:rPr>
                <w:noProof/>
                <w:webHidden/>
              </w:rPr>
              <w:fldChar w:fldCharType="begin"/>
            </w:r>
            <w:r w:rsidR="00C36AF0">
              <w:rPr>
                <w:noProof/>
                <w:webHidden/>
              </w:rPr>
              <w:instrText xml:space="preserve"> PAGEREF _Toc427755325 \h </w:instrText>
            </w:r>
            <w:r w:rsidR="00C36AF0">
              <w:rPr>
                <w:noProof/>
                <w:webHidden/>
              </w:rPr>
            </w:r>
            <w:r w:rsidR="00C36AF0">
              <w:rPr>
                <w:noProof/>
                <w:webHidden/>
              </w:rPr>
              <w:fldChar w:fldCharType="separate"/>
            </w:r>
            <w:r w:rsidR="00C36AF0">
              <w:rPr>
                <w:noProof/>
                <w:webHidden/>
              </w:rPr>
              <w:t>6</w:t>
            </w:r>
            <w:r w:rsidR="00C36AF0">
              <w:rPr>
                <w:noProof/>
                <w:webHidden/>
              </w:rPr>
              <w:fldChar w:fldCharType="end"/>
            </w:r>
          </w:hyperlink>
        </w:p>
        <w:p w14:paraId="6C6783BA" w14:textId="77777777" w:rsidR="00C36AF0" w:rsidRDefault="00AF30B2">
          <w:pPr>
            <w:pStyle w:val="TOC2"/>
            <w:tabs>
              <w:tab w:val="left" w:pos="960"/>
              <w:tab w:val="right" w:leader="dot" w:pos="9628"/>
            </w:tabs>
            <w:rPr>
              <w:rFonts w:asciiTheme="minorHAnsi" w:eastAsiaTheme="minorEastAsia" w:hAnsiTheme="minorHAnsi" w:cstheme="minorBidi"/>
              <w:noProof/>
              <w:sz w:val="22"/>
              <w:szCs w:val="22"/>
              <w:lang w:val="en-AU" w:eastAsia="en-AU"/>
            </w:rPr>
          </w:pPr>
          <w:hyperlink w:anchor="_Toc427755326" w:history="1">
            <w:r w:rsidR="00C36AF0" w:rsidRPr="00DD7DA2">
              <w:rPr>
                <w:rStyle w:val="Hyperlink"/>
                <w:noProof/>
              </w:rPr>
              <w:t>1.3</w:t>
            </w:r>
            <w:r w:rsidR="00C36AF0">
              <w:rPr>
                <w:rFonts w:asciiTheme="minorHAnsi" w:eastAsiaTheme="minorEastAsia" w:hAnsiTheme="minorHAnsi" w:cstheme="minorBidi"/>
                <w:noProof/>
                <w:sz w:val="22"/>
                <w:szCs w:val="22"/>
                <w:lang w:val="en-AU" w:eastAsia="en-AU"/>
              </w:rPr>
              <w:tab/>
            </w:r>
            <w:r w:rsidR="00C36AF0" w:rsidRPr="00DD7DA2">
              <w:rPr>
                <w:rStyle w:val="Hyperlink"/>
                <w:noProof/>
              </w:rPr>
              <w:t>Activity funding allocation</w:t>
            </w:r>
            <w:r w:rsidR="00C36AF0">
              <w:rPr>
                <w:noProof/>
                <w:webHidden/>
              </w:rPr>
              <w:tab/>
            </w:r>
            <w:r w:rsidR="00C36AF0">
              <w:rPr>
                <w:noProof/>
                <w:webHidden/>
              </w:rPr>
              <w:fldChar w:fldCharType="begin"/>
            </w:r>
            <w:r w:rsidR="00C36AF0">
              <w:rPr>
                <w:noProof/>
                <w:webHidden/>
              </w:rPr>
              <w:instrText xml:space="preserve"> PAGEREF _Toc427755326 \h </w:instrText>
            </w:r>
            <w:r w:rsidR="00C36AF0">
              <w:rPr>
                <w:noProof/>
                <w:webHidden/>
              </w:rPr>
            </w:r>
            <w:r w:rsidR="00C36AF0">
              <w:rPr>
                <w:noProof/>
                <w:webHidden/>
              </w:rPr>
              <w:fldChar w:fldCharType="separate"/>
            </w:r>
            <w:r w:rsidR="00C36AF0">
              <w:rPr>
                <w:noProof/>
                <w:webHidden/>
              </w:rPr>
              <w:t>7</w:t>
            </w:r>
            <w:r w:rsidR="00C36AF0">
              <w:rPr>
                <w:noProof/>
                <w:webHidden/>
              </w:rPr>
              <w:fldChar w:fldCharType="end"/>
            </w:r>
          </w:hyperlink>
        </w:p>
        <w:p w14:paraId="5A356430" w14:textId="77777777" w:rsidR="00C36AF0" w:rsidRDefault="00AF30B2">
          <w:pPr>
            <w:pStyle w:val="TOC2"/>
            <w:tabs>
              <w:tab w:val="left" w:pos="960"/>
              <w:tab w:val="right" w:leader="dot" w:pos="9628"/>
            </w:tabs>
            <w:rPr>
              <w:rFonts w:asciiTheme="minorHAnsi" w:eastAsiaTheme="minorEastAsia" w:hAnsiTheme="minorHAnsi" w:cstheme="minorBidi"/>
              <w:noProof/>
              <w:sz w:val="22"/>
              <w:szCs w:val="22"/>
              <w:lang w:val="en-AU" w:eastAsia="en-AU"/>
            </w:rPr>
          </w:pPr>
          <w:hyperlink w:anchor="_Toc427755327" w:history="1">
            <w:r w:rsidR="00C36AF0" w:rsidRPr="00DD7DA2">
              <w:rPr>
                <w:rStyle w:val="Hyperlink"/>
                <w:noProof/>
              </w:rPr>
              <w:t>1.4</w:t>
            </w:r>
            <w:r w:rsidR="00C36AF0">
              <w:rPr>
                <w:rFonts w:asciiTheme="minorHAnsi" w:eastAsiaTheme="minorEastAsia" w:hAnsiTheme="minorHAnsi" w:cstheme="minorBidi"/>
                <w:noProof/>
                <w:sz w:val="22"/>
                <w:szCs w:val="22"/>
                <w:lang w:val="en-AU" w:eastAsia="en-AU"/>
              </w:rPr>
              <w:tab/>
            </w:r>
            <w:r w:rsidR="00C36AF0" w:rsidRPr="00DD7DA2">
              <w:rPr>
                <w:rStyle w:val="Hyperlink"/>
                <w:noProof/>
              </w:rPr>
              <w:t>Activity Purpose, Scope, Objectives and Outcomes</w:t>
            </w:r>
            <w:r w:rsidR="00C36AF0">
              <w:rPr>
                <w:noProof/>
                <w:webHidden/>
              </w:rPr>
              <w:tab/>
            </w:r>
            <w:r w:rsidR="00C36AF0">
              <w:rPr>
                <w:noProof/>
                <w:webHidden/>
              </w:rPr>
              <w:fldChar w:fldCharType="begin"/>
            </w:r>
            <w:r w:rsidR="00C36AF0">
              <w:rPr>
                <w:noProof/>
                <w:webHidden/>
              </w:rPr>
              <w:instrText xml:space="preserve"> PAGEREF _Toc427755327 \h </w:instrText>
            </w:r>
            <w:r w:rsidR="00C36AF0">
              <w:rPr>
                <w:noProof/>
                <w:webHidden/>
              </w:rPr>
            </w:r>
            <w:r w:rsidR="00C36AF0">
              <w:rPr>
                <w:noProof/>
                <w:webHidden/>
              </w:rPr>
              <w:fldChar w:fldCharType="separate"/>
            </w:r>
            <w:r w:rsidR="00C36AF0">
              <w:rPr>
                <w:noProof/>
                <w:webHidden/>
              </w:rPr>
              <w:t>7</w:t>
            </w:r>
            <w:r w:rsidR="00C36AF0">
              <w:rPr>
                <w:noProof/>
                <w:webHidden/>
              </w:rPr>
              <w:fldChar w:fldCharType="end"/>
            </w:r>
          </w:hyperlink>
        </w:p>
        <w:p w14:paraId="4D517BC0" w14:textId="77777777" w:rsidR="00C36AF0" w:rsidRDefault="00AF30B2">
          <w:pPr>
            <w:pStyle w:val="TOC3"/>
            <w:tabs>
              <w:tab w:val="right" w:leader="dot" w:pos="9628"/>
            </w:tabs>
            <w:rPr>
              <w:rFonts w:asciiTheme="minorHAnsi" w:eastAsiaTheme="minorEastAsia" w:hAnsiTheme="minorHAnsi" w:cstheme="minorBidi"/>
              <w:noProof/>
              <w:sz w:val="22"/>
              <w:szCs w:val="22"/>
              <w:lang w:val="en-AU" w:eastAsia="en-AU"/>
            </w:rPr>
          </w:pPr>
          <w:hyperlink w:anchor="_Toc427755328" w:history="1">
            <w:r w:rsidR="00C36AF0" w:rsidRPr="00DD7DA2">
              <w:rPr>
                <w:rStyle w:val="Hyperlink"/>
                <w:noProof/>
              </w:rPr>
              <w:t>Regional tobacco control grants</w:t>
            </w:r>
            <w:r w:rsidR="00C36AF0">
              <w:rPr>
                <w:noProof/>
                <w:webHidden/>
              </w:rPr>
              <w:tab/>
            </w:r>
            <w:r w:rsidR="00C36AF0">
              <w:rPr>
                <w:noProof/>
                <w:webHidden/>
              </w:rPr>
              <w:fldChar w:fldCharType="begin"/>
            </w:r>
            <w:r w:rsidR="00C36AF0">
              <w:rPr>
                <w:noProof/>
                <w:webHidden/>
              </w:rPr>
              <w:instrText xml:space="preserve"> PAGEREF _Toc427755328 \h </w:instrText>
            </w:r>
            <w:r w:rsidR="00C36AF0">
              <w:rPr>
                <w:noProof/>
                <w:webHidden/>
              </w:rPr>
            </w:r>
            <w:r w:rsidR="00C36AF0">
              <w:rPr>
                <w:noProof/>
                <w:webHidden/>
              </w:rPr>
              <w:fldChar w:fldCharType="separate"/>
            </w:r>
            <w:r w:rsidR="00C36AF0">
              <w:rPr>
                <w:noProof/>
                <w:webHidden/>
              </w:rPr>
              <w:t>8</w:t>
            </w:r>
            <w:r w:rsidR="00C36AF0">
              <w:rPr>
                <w:noProof/>
                <w:webHidden/>
              </w:rPr>
              <w:fldChar w:fldCharType="end"/>
            </w:r>
          </w:hyperlink>
        </w:p>
        <w:p w14:paraId="4A054752" w14:textId="77777777" w:rsidR="00C36AF0" w:rsidRDefault="00AF30B2">
          <w:pPr>
            <w:pStyle w:val="TOC3"/>
            <w:tabs>
              <w:tab w:val="right" w:leader="dot" w:pos="9628"/>
            </w:tabs>
            <w:rPr>
              <w:rFonts w:asciiTheme="minorHAnsi" w:eastAsiaTheme="minorEastAsia" w:hAnsiTheme="minorHAnsi" w:cstheme="minorBidi"/>
              <w:noProof/>
              <w:sz w:val="22"/>
              <w:szCs w:val="22"/>
              <w:lang w:val="en-AU" w:eastAsia="en-AU"/>
            </w:rPr>
          </w:pPr>
          <w:hyperlink w:anchor="_Toc427755329" w:history="1">
            <w:r w:rsidR="00C36AF0" w:rsidRPr="00DD7DA2">
              <w:rPr>
                <w:rStyle w:val="Hyperlink"/>
                <w:noProof/>
              </w:rPr>
              <w:t>The National Best Practice Unit</w:t>
            </w:r>
            <w:r w:rsidR="00C36AF0">
              <w:rPr>
                <w:noProof/>
                <w:webHidden/>
              </w:rPr>
              <w:tab/>
            </w:r>
            <w:r w:rsidR="00C36AF0">
              <w:rPr>
                <w:noProof/>
                <w:webHidden/>
              </w:rPr>
              <w:fldChar w:fldCharType="begin"/>
            </w:r>
            <w:r w:rsidR="00C36AF0">
              <w:rPr>
                <w:noProof/>
                <w:webHidden/>
              </w:rPr>
              <w:instrText xml:space="preserve"> PAGEREF _Toc427755329 \h </w:instrText>
            </w:r>
            <w:r w:rsidR="00C36AF0">
              <w:rPr>
                <w:noProof/>
                <w:webHidden/>
              </w:rPr>
            </w:r>
            <w:r w:rsidR="00C36AF0">
              <w:rPr>
                <w:noProof/>
                <w:webHidden/>
              </w:rPr>
              <w:fldChar w:fldCharType="separate"/>
            </w:r>
            <w:r w:rsidR="00C36AF0">
              <w:rPr>
                <w:noProof/>
                <w:webHidden/>
              </w:rPr>
              <w:t>9</w:t>
            </w:r>
            <w:r w:rsidR="00C36AF0">
              <w:rPr>
                <w:noProof/>
                <w:webHidden/>
              </w:rPr>
              <w:fldChar w:fldCharType="end"/>
            </w:r>
          </w:hyperlink>
        </w:p>
        <w:p w14:paraId="478DF512" w14:textId="77777777" w:rsidR="00C36AF0" w:rsidRDefault="00AF30B2">
          <w:pPr>
            <w:pStyle w:val="TOC3"/>
            <w:tabs>
              <w:tab w:val="right" w:leader="dot" w:pos="9628"/>
            </w:tabs>
            <w:rPr>
              <w:rFonts w:asciiTheme="minorHAnsi" w:eastAsiaTheme="minorEastAsia" w:hAnsiTheme="minorHAnsi" w:cstheme="minorBidi"/>
              <w:noProof/>
              <w:sz w:val="22"/>
              <w:szCs w:val="22"/>
              <w:lang w:val="en-AU" w:eastAsia="en-AU"/>
            </w:rPr>
          </w:pPr>
          <w:hyperlink w:anchor="_Toc427755330" w:history="1">
            <w:r w:rsidR="00C36AF0" w:rsidRPr="00DD7DA2">
              <w:rPr>
                <w:rStyle w:val="Hyperlink"/>
                <w:noProof/>
              </w:rPr>
              <w:t>Activity evaluation</w:t>
            </w:r>
            <w:r w:rsidR="00C36AF0">
              <w:rPr>
                <w:noProof/>
                <w:webHidden/>
              </w:rPr>
              <w:tab/>
            </w:r>
            <w:r w:rsidR="00C36AF0">
              <w:rPr>
                <w:noProof/>
                <w:webHidden/>
              </w:rPr>
              <w:fldChar w:fldCharType="begin"/>
            </w:r>
            <w:r w:rsidR="00C36AF0">
              <w:rPr>
                <w:noProof/>
                <w:webHidden/>
              </w:rPr>
              <w:instrText xml:space="preserve"> PAGEREF _Toc427755330 \h </w:instrText>
            </w:r>
            <w:r w:rsidR="00C36AF0">
              <w:rPr>
                <w:noProof/>
                <w:webHidden/>
              </w:rPr>
            </w:r>
            <w:r w:rsidR="00C36AF0">
              <w:rPr>
                <w:noProof/>
                <w:webHidden/>
              </w:rPr>
              <w:fldChar w:fldCharType="separate"/>
            </w:r>
            <w:r w:rsidR="00C36AF0">
              <w:rPr>
                <w:noProof/>
                <w:webHidden/>
              </w:rPr>
              <w:t>9</w:t>
            </w:r>
            <w:r w:rsidR="00C36AF0">
              <w:rPr>
                <w:noProof/>
                <w:webHidden/>
              </w:rPr>
              <w:fldChar w:fldCharType="end"/>
            </w:r>
          </w:hyperlink>
        </w:p>
        <w:p w14:paraId="2BFF9D0A" w14:textId="77777777" w:rsidR="00C36AF0" w:rsidRDefault="00AF30B2">
          <w:pPr>
            <w:pStyle w:val="TOC3"/>
            <w:tabs>
              <w:tab w:val="right" w:leader="dot" w:pos="9628"/>
            </w:tabs>
            <w:rPr>
              <w:rFonts w:asciiTheme="minorHAnsi" w:eastAsiaTheme="minorEastAsia" w:hAnsiTheme="minorHAnsi" w:cstheme="minorBidi"/>
              <w:noProof/>
              <w:sz w:val="22"/>
              <w:szCs w:val="22"/>
              <w:lang w:val="en-AU" w:eastAsia="en-AU"/>
            </w:rPr>
          </w:pPr>
          <w:hyperlink w:anchor="_Toc427755331" w:history="1">
            <w:r w:rsidR="00C36AF0" w:rsidRPr="00DD7DA2">
              <w:rPr>
                <w:rStyle w:val="Hyperlink"/>
                <w:noProof/>
              </w:rPr>
              <w:t>Other components</w:t>
            </w:r>
            <w:r w:rsidR="00C36AF0">
              <w:rPr>
                <w:noProof/>
                <w:webHidden/>
              </w:rPr>
              <w:tab/>
            </w:r>
            <w:r w:rsidR="00C36AF0">
              <w:rPr>
                <w:noProof/>
                <w:webHidden/>
              </w:rPr>
              <w:fldChar w:fldCharType="begin"/>
            </w:r>
            <w:r w:rsidR="00C36AF0">
              <w:rPr>
                <w:noProof/>
                <w:webHidden/>
              </w:rPr>
              <w:instrText xml:space="preserve"> PAGEREF _Toc427755331 \h </w:instrText>
            </w:r>
            <w:r w:rsidR="00C36AF0">
              <w:rPr>
                <w:noProof/>
                <w:webHidden/>
              </w:rPr>
            </w:r>
            <w:r w:rsidR="00C36AF0">
              <w:rPr>
                <w:noProof/>
                <w:webHidden/>
              </w:rPr>
              <w:fldChar w:fldCharType="separate"/>
            </w:r>
            <w:r w:rsidR="00C36AF0">
              <w:rPr>
                <w:noProof/>
                <w:webHidden/>
              </w:rPr>
              <w:t>9</w:t>
            </w:r>
            <w:r w:rsidR="00C36AF0">
              <w:rPr>
                <w:noProof/>
                <w:webHidden/>
              </w:rPr>
              <w:fldChar w:fldCharType="end"/>
            </w:r>
          </w:hyperlink>
        </w:p>
        <w:p w14:paraId="083858E2" w14:textId="77777777" w:rsidR="00C36AF0" w:rsidRDefault="00AF30B2">
          <w:pPr>
            <w:pStyle w:val="TOC2"/>
            <w:tabs>
              <w:tab w:val="left" w:pos="960"/>
              <w:tab w:val="right" w:leader="dot" w:pos="9628"/>
            </w:tabs>
            <w:rPr>
              <w:rFonts w:asciiTheme="minorHAnsi" w:eastAsiaTheme="minorEastAsia" w:hAnsiTheme="minorHAnsi" w:cstheme="minorBidi"/>
              <w:noProof/>
              <w:sz w:val="22"/>
              <w:szCs w:val="22"/>
              <w:lang w:val="en-AU" w:eastAsia="en-AU"/>
            </w:rPr>
          </w:pPr>
          <w:hyperlink w:anchor="_Toc427755332" w:history="1">
            <w:r w:rsidR="00C36AF0" w:rsidRPr="00DD7DA2">
              <w:rPr>
                <w:rStyle w:val="Hyperlink"/>
                <w:noProof/>
              </w:rPr>
              <w:t>1.5</w:t>
            </w:r>
            <w:r w:rsidR="00C36AF0">
              <w:rPr>
                <w:rFonts w:asciiTheme="minorHAnsi" w:eastAsiaTheme="minorEastAsia" w:hAnsiTheme="minorHAnsi" w:cstheme="minorBidi"/>
                <w:noProof/>
                <w:sz w:val="22"/>
                <w:szCs w:val="22"/>
                <w:lang w:val="en-AU" w:eastAsia="en-AU"/>
              </w:rPr>
              <w:tab/>
            </w:r>
            <w:r w:rsidR="00C36AF0" w:rsidRPr="00DD7DA2">
              <w:rPr>
                <w:rStyle w:val="Hyperlink"/>
                <w:noProof/>
              </w:rPr>
              <w:t>Consultation</w:t>
            </w:r>
            <w:r w:rsidR="00C36AF0">
              <w:rPr>
                <w:noProof/>
                <w:webHidden/>
              </w:rPr>
              <w:tab/>
            </w:r>
            <w:r w:rsidR="00C36AF0">
              <w:rPr>
                <w:noProof/>
                <w:webHidden/>
              </w:rPr>
              <w:fldChar w:fldCharType="begin"/>
            </w:r>
            <w:r w:rsidR="00C36AF0">
              <w:rPr>
                <w:noProof/>
                <w:webHidden/>
              </w:rPr>
              <w:instrText xml:space="preserve"> PAGEREF _Toc427755332 \h </w:instrText>
            </w:r>
            <w:r w:rsidR="00C36AF0">
              <w:rPr>
                <w:noProof/>
                <w:webHidden/>
              </w:rPr>
            </w:r>
            <w:r w:rsidR="00C36AF0">
              <w:rPr>
                <w:noProof/>
                <w:webHidden/>
              </w:rPr>
              <w:fldChar w:fldCharType="separate"/>
            </w:r>
            <w:r w:rsidR="00C36AF0">
              <w:rPr>
                <w:noProof/>
                <w:webHidden/>
              </w:rPr>
              <w:t>9</w:t>
            </w:r>
            <w:r w:rsidR="00C36AF0">
              <w:rPr>
                <w:noProof/>
                <w:webHidden/>
              </w:rPr>
              <w:fldChar w:fldCharType="end"/>
            </w:r>
          </w:hyperlink>
        </w:p>
        <w:p w14:paraId="74B69E2E" w14:textId="77777777" w:rsidR="00C36AF0" w:rsidRDefault="00AF30B2">
          <w:pPr>
            <w:pStyle w:val="TOC2"/>
            <w:tabs>
              <w:tab w:val="left" w:pos="960"/>
              <w:tab w:val="right" w:leader="dot" w:pos="9628"/>
            </w:tabs>
            <w:rPr>
              <w:rFonts w:asciiTheme="minorHAnsi" w:eastAsiaTheme="minorEastAsia" w:hAnsiTheme="minorHAnsi" w:cstheme="minorBidi"/>
              <w:noProof/>
              <w:sz w:val="22"/>
              <w:szCs w:val="22"/>
              <w:lang w:val="en-AU" w:eastAsia="en-AU"/>
            </w:rPr>
          </w:pPr>
          <w:hyperlink w:anchor="_Toc427755333" w:history="1">
            <w:r w:rsidR="00C36AF0" w:rsidRPr="00DD7DA2">
              <w:rPr>
                <w:rStyle w:val="Hyperlink"/>
                <w:noProof/>
              </w:rPr>
              <w:t>1.6</w:t>
            </w:r>
            <w:r w:rsidR="00C36AF0">
              <w:rPr>
                <w:rFonts w:asciiTheme="minorHAnsi" w:eastAsiaTheme="minorEastAsia" w:hAnsiTheme="minorHAnsi" w:cstheme="minorBidi"/>
                <w:noProof/>
                <w:sz w:val="22"/>
                <w:szCs w:val="22"/>
                <w:lang w:val="en-AU" w:eastAsia="en-AU"/>
              </w:rPr>
              <w:tab/>
            </w:r>
            <w:r w:rsidR="00C36AF0" w:rsidRPr="00DD7DA2">
              <w:rPr>
                <w:rStyle w:val="Hyperlink"/>
                <w:noProof/>
              </w:rPr>
              <w:t>Relevant legislation</w:t>
            </w:r>
            <w:r w:rsidR="00C36AF0">
              <w:rPr>
                <w:noProof/>
                <w:webHidden/>
              </w:rPr>
              <w:tab/>
            </w:r>
            <w:r w:rsidR="00C36AF0">
              <w:rPr>
                <w:noProof/>
                <w:webHidden/>
              </w:rPr>
              <w:fldChar w:fldCharType="begin"/>
            </w:r>
            <w:r w:rsidR="00C36AF0">
              <w:rPr>
                <w:noProof/>
                <w:webHidden/>
              </w:rPr>
              <w:instrText xml:space="preserve"> PAGEREF _Toc427755333 \h </w:instrText>
            </w:r>
            <w:r w:rsidR="00C36AF0">
              <w:rPr>
                <w:noProof/>
                <w:webHidden/>
              </w:rPr>
            </w:r>
            <w:r w:rsidR="00C36AF0">
              <w:rPr>
                <w:noProof/>
                <w:webHidden/>
              </w:rPr>
              <w:fldChar w:fldCharType="separate"/>
            </w:r>
            <w:r w:rsidR="00C36AF0">
              <w:rPr>
                <w:noProof/>
                <w:webHidden/>
              </w:rPr>
              <w:t>10</w:t>
            </w:r>
            <w:r w:rsidR="00C36AF0">
              <w:rPr>
                <w:noProof/>
                <w:webHidden/>
              </w:rPr>
              <w:fldChar w:fldCharType="end"/>
            </w:r>
          </w:hyperlink>
        </w:p>
        <w:p w14:paraId="1CDF40E0" w14:textId="77777777" w:rsidR="00C36AF0" w:rsidRDefault="00AF30B2">
          <w:pPr>
            <w:pStyle w:val="TOC2"/>
            <w:tabs>
              <w:tab w:val="left" w:pos="960"/>
              <w:tab w:val="right" w:leader="dot" w:pos="9628"/>
            </w:tabs>
            <w:rPr>
              <w:rFonts w:asciiTheme="minorHAnsi" w:eastAsiaTheme="minorEastAsia" w:hAnsiTheme="minorHAnsi" w:cstheme="minorBidi"/>
              <w:noProof/>
              <w:sz w:val="22"/>
              <w:szCs w:val="22"/>
              <w:lang w:val="en-AU" w:eastAsia="en-AU"/>
            </w:rPr>
          </w:pPr>
          <w:hyperlink w:anchor="_Toc427755334" w:history="1">
            <w:r w:rsidR="00C36AF0" w:rsidRPr="00DD7DA2">
              <w:rPr>
                <w:rStyle w:val="Hyperlink"/>
                <w:noProof/>
              </w:rPr>
              <w:t>1.7</w:t>
            </w:r>
            <w:r w:rsidR="00C36AF0">
              <w:rPr>
                <w:rFonts w:asciiTheme="minorHAnsi" w:eastAsiaTheme="minorEastAsia" w:hAnsiTheme="minorHAnsi" w:cstheme="minorBidi"/>
                <w:noProof/>
                <w:sz w:val="22"/>
                <w:szCs w:val="22"/>
                <w:lang w:val="en-AU" w:eastAsia="en-AU"/>
              </w:rPr>
              <w:tab/>
            </w:r>
            <w:r w:rsidR="00C36AF0" w:rsidRPr="00DD7DA2">
              <w:rPr>
                <w:rStyle w:val="Hyperlink"/>
                <w:noProof/>
              </w:rPr>
              <w:t>Roles and Responsibilities</w:t>
            </w:r>
            <w:r w:rsidR="00C36AF0">
              <w:rPr>
                <w:noProof/>
                <w:webHidden/>
              </w:rPr>
              <w:tab/>
            </w:r>
            <w:r w:rsidR="00C36AF0">
              <w:rPr>
                <w:noProof/>
                <w:webHidden/>
              </w:rPr>
              <w:fldChar w:fldCharType="begin"/>
            </w:r>
            <w:r w:rsidR="00C36AF0">
              <w:rPr>
                <w:noProof/>
                <w:webHidden/>
              </w:rPr>
              <w:instrText xml:space="preserve"> PAGEREF _Toc427755334 \h </w:instrText>
            </w:r>
            <w:r w:rsidR="00C36AF0">
              <w:rPr>
                <w:noProof/>
                <w:webHidden/>
              </w:rPr>
            </w:r>
            <w:r w:rsidR="00C36AF0">
              <w:rPr>
                <w:noProof/>
                <w:webHidden/>
              </w:rPr>
              <w:fldChar w:fldCharType="separate"/>
            </w:r>
            <w:r w:rsidR="00C36AF0">
              <w:rPr>
                <w:noProof/>
                <w:webHidden/>
              </w:rPr>
              <w:t>10</w:t>
            </w:r>
            <w:r w:rsidR="00C36AF0">
              <w:rPr>
                <w:noProof/>
                <w:webHidden/>
              </w:rPr>
              <w:fldChar w:fldCharType="end"/>
            </w:r>
          </w:hyperlink>
        </w:p>
        <w:p w14:paraId="3BC89616" w14:textId="77777777" w:rsidR="00C36AF0" w:rsidRDefault="00AF30B2">
          <w:pPr>
            <w:pStyle w:val="TOC3"/>
            <w:tabs>
              <w:tab w:val="right" w:leader="dot" w:pos="9628"/>
            </w:tabs>
            <w:rPr>
              <w:rFonts w:asciiTheme="minorHAnsi" w:eastAsiaTheme="minorEastAsia" w:hAnsiTheme="minorHAnsi" w:cstheme="minorBidi"/>
              <w:noProof/>
              <w:sz w:val="22"/>
              <w:szCs w:val="22"/>
              <w:lang w:val="en-AU" w:eastAsia="en-AU"/>
            </w:rPr>
          </w:pPr>
          <w:hyperlink w:anchor="_Toc427755335" w:history="1">
            <w:r w:rsidR="00C36AF0" w:rsidRPr="00DD7DA2">
              <w:rPr>
                <w:rStyle w:val="Hyperlink"/>
                <w:noProof/>
              </w:rPr>
              <w:t>Department of Health</w:t>
            </w:r>
            <w:r w:rsidR="00C36AF0">
              <w:rPr>
                <w:noProof/>
                <w:webHidden/>
              </w:rPr>
              <w:tab/>
            </w:r>
            <w:r w:rsidR="00C36AF0">
              <w:rPr>
                <w:noProof/>
                <w:webHidden/>
              </w:rPr>
              <w:fldChar w:fldCharType="begin"/>
            </w:r>
            <w:r w:rsidR="00C36AF0">
              <w:rPr>
                <w:noProof/>
                <w:webHidden/>
              </w:rPr>
              <w:instrText xml:space="preserve"> PAGEREF _Toc427755335 \h </w:instrText>
            </w:r>
            <w:r w:rsidR="00C36AF0">
              <w:rPr>
                <w:noProof/>
                <w:webHidden/>
              </w:rPr>
            </w:r>
            <w:r w:rsidR="00C36AF0">
              <w:rPr>
                <w:noProof/>
                <w:webHidden/>
              </w:rPr>
              <w:fldChar w:fldCharType="separate"/>
            </w:r>
            <w:r w:rsidR="00C36AF0">
              <w:rPr>
                <w:noProof/>
                <w:webHidden/>
              </w:rPr>
              <w:t>10</w:t>
            </w:r>
            <w:r w:rsidR="00C36AF0">
              <w:rPr>
                <w:noProof/>
                <w:webHidden/>
              </w:rPr>
              <w:fldChar w:fldCharType="end"/>
            </w:r>
          </w:hyperlink>
        </w:p>
        <w:p w14:paraId="19329320" w14:textId="77777777" w:rsidR="00C36AF0" w:rsidRDefault="00AF30B2">
          <w:pPr>
            <w:pStyle w:val="TOC3"/>
            <w:tabs>
              <w:tab w:val="right" w:leader="dot" w:pos="9628"/>
            </w:tabs>
            <w:rPr>
              <w:rFonts w:asciiTheme="minorHAnsi" w:eastAsiaTheme="minorEastAsia" w:hAnsiTheme="minorHAnsi" w:cstheme="minorBidi"/>
              <w:noProof/>
              <w:sz w:val="22"/>
              <w:szCs w:val="22"/>
              <w:lang w:val="en-AU" w:eastAsia="en-AU"/>
            </w:rPr>
          </w:pPr>
          <w:hyperlink w:anchor="_Toc427755336" w:history="1">
            <w:r w:rsidR="00C36AF0" w:rsidRPr="00DD7DA2">
              <w:rPr>
                <w:rStyle w:val="Hyperlink"/>
                <w:noProof/>
              </w:rPr>
              <w:t>Approver</w:t>
            </w:r>
            <w:r w:rsidR="00C36AF0">
              <w:rPr>
                <w:noProof/>
                <w:webHidden/>
              </w:rPr>
              <w:tab/>
            </w:r>
            <w:r w:rsidR="00C36AF0">
              <w:rPr>
                <w:noProof/>
                <w:webHidden/>
              </w:rPr>
              <w:fldChar w:fldCharType="begin"/>
            </w:r>
            <w:r w:rsidR="00C36AF0">
              <w:rPr>
                <w:noProof/>
                <w:webHidden/>
              </w:rPr>
              <w:instrText xml:space="preserve"> PAGEREF _Toc427755336 \h </w:instrText>
            </w:r>
            <w:r w:rsidR="00C36AF0">
              <w:rPr>
                <w:noProof/>
                <w:webHidden/>
              </w:rPr>
            </w:r>
            <w:r w:rsidR="00C36AF0">
              <w:rPr>
                <w:noProof/>
                <w:webHidden/>
              </w:rPr>
              <w:fldChar w:fldCharType="separate"/>
            </w:r>
            <w:r w:rsidR="00C36AF0">
              <w:rPr>
                <w:noProof/>
                <w:webHidden/>
              </w:rPr>
              <w:t>10</w:t>
            </w:r>
            <w:r w:rsidR="00C36AF0">
              <w:rPr>
                <w:noProof/>
                <w:webHidden/>
              </w:rPr>
              <w:fldChar w:fldCharType="end"/>
            </w:r>
          </w:hyperlink>
        </w:p>
        <w:p w14:paraId="4442F0E4" w14:textId="77777777" w:rsidR="00C36AF0" w:rsidRDefault="00AF30B2">
          <w:pPr>
            <w:pStyle w:val="TOC3"/>
            <w:tabs>
              <w:tab w:val="right" w:leader="dot" w:pos="9628"/>
            </w:tabs>
            <w:rPr>
              <w:rFonts w:asciiTheme="minorHAnsi" w:eastAsiaTheme="minorEastAsia" w:hAnsiTheme="minorHAnsi" w:cstheme="minorBidi"/>
              <w:noProof/>
              <w:sz w:val="22"/>
              <w:szCs w:val="22"/>
              <w:lang w:val="en-AU" w:eastAsia="en-AU"/>
            </w:rPr>
          </w:pPr>
          <w:hyperlink w:anchor="_Toc427755337" w:history="1">
            <w:r w:rsidR="00C36AF0" w:rsidRPr="00DD7DA2">
              <w:rPr>
                <w:rStyle w:val="Hyperlink"/>
                <w:noProof/>
              </w:rPr>
              <w:t>Funding Recipients</w:t>
            </w:r>
            <w:r w:rsidR="00C36AF0">
              <w:rPr>
                <w:noProof/>
                <w:webHidden/>
              </w:rPr>
              <w:tab/>
            </w:r>
            <w:r w:rsidR="00C36AF0">
              <w:rPr>
                <w:noProof/>
                <w:webHidden/>
              </w:rPr>
              <w:fldChar w:fldCharType="begin"/>
            </w:r>
            <w:r w:rsidR="00C36AF0">
              <w:rPr>
                <w:noProof/>
                <w:webHidden/>
              </w:rPr>
              <w:instrText xml:space="preserve"> PAGEREF _Toc427755337 \h </w:instrText>
            </w:r>
            <w:r w:rsidR="00C36AF0">
              <w:rPr>
                <w:noProof/>
                <w:webHidden/>
              </w:rPr>
            </w:r>
            <w:r w:rsidR="00C36AF0">
              <w:rPr>
                <w:noProof/>
                <w:webHidden/>
              </w:rPr>
              <w:fldChar w:fldCharType="separate"/>
            </w:r>
            <w:r w:rsidR="00C36AF0">
              <w:rPr>
                <w:noProof/>
                <w:webHidden/>
              </w:rPr>
              <w:t>11</w:t>
            </w:r>
            <w:r w:rsidR="00C36AF0">
              <w:rPr>
                <w:noProof/>
                <w:webHidden/>
              </w:rPr>
              <w:fldChar w:fldCharType="end"/>
            </w:r>
          </w:hyperlink>
        </w:p>
        <w:p w14:paraId="5720327E" w14:textId="77777777" w:rsidR="00C36AF0" w:rsidRDefault="00AF30B2">
          <w:pPr>
            <w:pStyle w:val="TOC2"/>
            <w:tabs>
              <w:tab w:val="left" w:pos="960"/>
              <w:tab w:val="right" w:leader="dot" w:pos="9628"/>
            </w:tabs>
            <w:rPr>
              <w:rFonts w:asciiTheme="minorHAnsi" w:eastAsiaTheme="minorEastAsia" w:hAnsiTheme="minorHAnsi" w:cstheme="minorBidi"/>
              <w:noProof/>
              <w:sz w:val="22"/>
              <w:szCs w:val="22"/>
              <w:lang w:val="en-AU" w:eastAsia="en-AU"/>
            </w:rPr>
          </w:pPr>
          <w:hyperlink w:anchor="_Toc427755338" w:history="1">
            <w:r w:rsidR="00C36AF0" w:rsidRPr="00DD7DA2">
              <w:rPr>
                <w:rStyle w:val="Hyperlink"/>
                <w:noProof/>
              </w:rPr>
              <w:t>1.8</w:t>
            </w:r>
            <w:r w:rsidR="00C36AF0">
              <w:rPr>
                <w:rFonts w:asciiTheme="minorHAnsi" w:eastAsiaTheme="minorEastAsia" w:hAnsiTheme="minorHAnsi" w:cstheme="minorBidi"/>
                <w:noProof/>
                <w:sz w:val="22"/>
                <w:szCs w:val="22"/>
                <w:lang w:val="en-AU" w:eastAsia="en-AU"/>
              </w:rPr>
              <w:tab/>
            </w:r>
            <w:r w:rsidR="00C36AF0" w:rsidRPr="00DD7DA2">
              <w:rPr>
                <w:rStyle w:val="Hyperlink"/>
                <w:noProof/>
              </w:rPr>
              <w:t>Risk Management</w:t>
            </w:r>
            <w:r w:rsidR="00C36AF0">
              <w:rPr>
                <w:noProof/>
                <w:webHidden/>
              </w:rPr>
              <w:tab/>
            </w:r>
            <w:r w:rsidR="00C36AF0">
              <w:rPr>
                <w:noProof/>
                <w:webHidden/>
              </w:rPr>
              <w:fldChar w:fldCharType="begin"/>
            </w:r>
            <w:r w:rsidR="00C36AF0">
              <w:rPr>
                <w:noProof/>
                <w:webHidden/>
              </w:rPr>
              <w:instrText xml:space="preserve"> PAGEREF _Toc427755338 \h </w:instrText>
            </w:r>
            <w:r w:rsidR="00C36AF0">
              <w:rPr>
                <w:noProof/>
                <w:webHidden/>
              </w:rPr>
            </w:r>
            <w:r w:rsidR="00C36AF0">
              <w:rPr>
                <w:noProof/>
                <w:webHidden/>
              </w:rPr>
              <w:fldChar w:fldCharType="separate"/>
            </w:r>
            <w:r w:rsidR="00C36AF0">
              <w:rPr>
                <w:noProof/>
                <w:webHidden/>
              </w:rPr>
              <w:t>11</w:t>
            </w:r>
            <w:r w:rsidR="00C36AF0">
              <w:rPr>
                <w:noProof/>
                <w:webHidden/>
              </w:rPr>
              <w:fldChar w:fldCharType="end"/>
            </w:r>
          </w:hyperlink>
        </w:p>
        <w:p w14:paraId="093DF98C" w14:textId="77777777" w:rsidR="00C36AF0" w:rsidRDefault="00AF30B2">
          <w:pPr>
            <w:pStyle w:val="TOC2"/>
            <w:tabs>
              <w:tab w:val="left" w:pos="960"/>
              <w:tab w:val="right" w:leader="dot" w:pos="9628"/>
            </w:tabs>
            <w:rPr>
              <w:rFonts w:asciiTheme="minorHAnsi" w:eastAsiaTheme="minorEastAsia" w:hAnsiTheme="minorHAnsi" w:cstheme="minorBidi"/>
              <w:noProof/>
              <w:sz w:val="22"/>
              <w:szCs w:val="22"/>
              <w:lang w:val="en-AU" w:eastAsia="en-AU"/>
            </w:rPr>
          </w:pPr>
          <w:hyperlink w:anchor="_Toc427755339" w:history="1">
            <w:r w:rsidR="00C36AF0" w:rsidRPr="00DD7DA2">
              <w:rPr>
                <w:rStyle w:val="Hyperlink"/>
                <w:noProof/>
              </w:rPr>
              <w:t>1.9</w:t>
            </w:r>
            <w:r w:rsidR="00C36AF0">
              <w:rPr>
                <w:rFonts w:asciiTheme="minorHAnsi" w:eastAsiaTheme="minorEastAsia" w:hAnsiTheme="minorHAnsi" w:cstheme="minorBidi"/>
                <w:noProof/>
                <w:sz w:val="22"/>
                <w:szCs w:val="22"/>
                <w:lang w:val="en-AU" w:eastAsia="en-AU"/>
              </w:rPr>
              <w:tab/>
            </w:r>
            <w:r w:rsidR="00C36AF0" w:rsidRPr="00DD7DA2">
              <w:rPr>
                <w:rStyle w:val="Hyperlink"/>
                <w:noProof/>
              </w:rPr>
              <w:t>Activity Timeframes</w:t>
            </w:r>
            <w:r w:rsidR="00C36AF0">
              <w:rPr>
                <w:noProof/>
                <w:webHidden/>
              </w:rPr>
              <w:tab/>
            </w:r>
            <w:r w:rsidR="00C36AF0">
              <w:rPr>
                <w:noProof/>
                <w:webHidden/>
              </w:rPr>
              <w:fldChar w:fldCharType="begin"/>
            </w:r>
            <w:r w:rsidR="00C36AF0">
              <w:rPr>
                <w:noProof/>
                <w:webHidden/>
              </w:rPr>
              <w:instrText xml:space="preserve"> PAGEREF _Toc427755339 \h </w:instrText>
            </w:r>
            <w:r w:rsidR="00C36AF0">
              <w:rPr>
                <w:noProof/>
                <w:webHidden/>
              </w:rPr>
            </w:r>
            <w:r w:rsidR="00C36AF0">
              <w:rPr>
                <w:noProof/>
                <w:webHidden/>
              </w:rPr>
              <w:fldChar w:fldCharType="separate"/>
            </w:r>
            <w:r w:rsidR="00C36AF0">
              <w:rPr>
                <w:noProof/>
                <w:webHidden/>
              </w:rPr>
              <w:t>11</w:t>
            </w:r>
            <w:r w:rsidR="00C36AF0">
              <w:rPr>
                <w:noProof/>
                <w:webHidden/>
              </w:rPr>
              <w:fldChar w:fldCharType="end"/>
            </w:r>
          </w:hyperlink>
        </w:p>
        <w:p w14:paraId="299B274F" w14:textId="77777777" w:rsidR="00C36AF0" w:rsidRDefault="00AF30B2">
          <w:pPr>
            <w:pStyle w:val="TOC1"/>
            <w:tabs>
              <w:tab w:val="left" w:pos="440"/>
              <w:tab w:val="right" w:leader="dot" w:pos="9628"/>
            </w:tabs>
            <w:rPr>
              <w:rFonts w:asciiTheme="minorHAnsi" w:eastAsiaTheme="minorEastAsia" w:hAnsiTheme="minorHAnsi" w:cstheme="minorBidi"/>
              <w:noProof/>
              <w:sz w:val="22"/>
              <w:szCs w:val="22"/>
              <w:lang w:val="en-AU" w:eastAsia="en-AU"/>
            </w:rPr>
          </w:pPr>
          <w:hyperlink w:anchor="_Toc427755340" w:history="1">
            <w:r w:rsidR="00C36AF0" w:rsidRPr="00DD7DA2">
              <w:rPr>
                <w:rStyle w:val="Hyperlink"/>
                <w:noProof/>
              </w:rPr>
              <w:t>2</w:t>
            </w:r>
            <w:r w:rsidR="00C36AF0">
              <w:rPr>
                <w:rFonts w:asciiTheme="minorHAnsi" w:eastAsiaTheme="minorEastAsia" w:hAnsiTheme="minorHAnsi" w:cstheme="minorBidi"/>
                <w:noProof/>
                <w:sz w:val="22"/>
                <w:szCs w:val="22"/>
                <w:lang w:val="en-AU" w:eastAsia="en-AU"/>
              </w:rPr>
              <w:tab/>
            </w:r>
            <w:r w:rsidR="00C36AF0" w:rsidRPr="00DD7DA2">
              <w:rPr>
                <w:rStyle w:val="Hyperlink"/>
                <w:noProof/>
              </w:rPr>
              <w:t>Eligibility</w:t>
            </w:r>
            <w:r w:rsidR="00C36AF0">
              <w:rPr>
                <w:noProof/>
                <w:webHidden/>
              </w:rPr>
              <w:tab/>
            </w:r>
            <w:r w:rsidR="00C36AF0">
              <w:rPr>
                <w:noProof/>
                <w:webHidden/>
              </w:rPr>
              <w:fldChar w:fldCharType="begin"/>
            </w:r>
            <w:r w:rsidR="00C36AF0">
              <w:rPr>
                <w:noProof/>
                <w:webHidden/>
              </w:rPr>
              <w:instrText xml:space="preserve"> PAGEREF _Toc427755340 \h </w:instrText>
            </w:r>
            <w:r w:rsidR="00C36AF0">
              <w:rPr>
                <w:noProof/>
                <w:webHidden/>
              </w:rPr>
            </w:r>
            <w:r w:rsidR="00C36AF0">
              <w:rPr>
                <w:noProof/>
                <w:webHidden/>
              </w:rPr>
              <w:fldChar w:fldCharType="separate"/>
            </w:r>
            <w:r w:rsidR="00C36AF0">
              <w:rPr>
                <w:noProof/>
                <w:webHidden/>
              </w:rPr>
              <w:t>12</w:t>
            </w:r>
            <w:r w:rsidR="00C36AF0">
              <w:rPr>
                <w:noProof/>
                <w:webHidden/>
              </w:rPr>
              <w:fldChar w:fldCharType="end"/>
            </w:r>
          </w:hyperlink>
        </w:p>
        <w:p w14:paraId="403FC50F" w14:textId="77777777" w:rsidR="00C36AF0" w:rsidRDefault="00AF30B2">
          <w:pPr>
            <w:pStyle w:val="TOC2"/>
            <w:tabs>
              <w:tab w:val="left" w:pos="960"/>
              <w:tab w:val="right" w:leader="dot" w:pos="9628"/>
            </w:tabs>
            <w:rPr>
              <w:rFonts w:asciiTheme="minorHAnsi" w:eastAsiaTheme="minorEastAsia" w:hAnsiTheme="minorHAnsi" w:cstheme="minorBidi"/>
              <w:noProof/>
              <w:sz w:val="22"/>
              <w:szCs w:val="22"/>
              <w:lang w:val="en-AU" w:eastAsia="en-AU"/>
            </w:rPr>
          </w:pPr>
          <w:hyperlink w:anchor="_Toc427755341" w:history="1">
            <w:r w:rsidR="00C36AF0" w:rsidRPr="00DD7DA2">
              <w:rPr>
                <w:rStyle w:val="Hyperlink"/>
                <w:noProof/>
              </w:rPr>
              <w:t>2.1</w:t>
            </w:r>
            <w:r w:rsidR="00C36AF0">
              <w:rPr>
                <w:rFonts w:asciiTheme="minorHAnsi" w:eastAsiaTheme="minorEastAsia" w:hAnsiTheme="minorHAnsi" w:cstheme="minorBidi"/>
                <w:noProof/>
                <w:sz w:val="22"/>
                <w:szCs w:val="22"/>
                <w:lang w:val="en-AU" w:eastAsia="en-AU"/>
              </w:rPr>
              <w:tab/>
            </w:r>
            <w:r w:rsidR="00C36AF0" w:rsidRPr="00DD7DA2">
              <w:rPr>
                <w:rStyle w:val="Hyperlink"/>
                <w:noProof/>
              </w:rPr>
              <w:t>What entities are eligible to apply for funding?</w:t>
            </w:r>
            <w:r w:rsidR="00C36AF0">
              <w:rPr>
                <w:noProof/>
                <w:webHidden/>
              </w:rPr>
              <w:tab/>
            </w:r>
            <w:r w:rsidR="00C36AF0">
              <w:rPr>
                <w:noProof/>
                <w:webHidden/>
              </w:rPr>
              <w:fldChar w:fldCharType="begin"/>
            </w:r>
            <w:r w:rsidR="00C36AF0">
              <w:rPr>
                <w:noProof/>
                <w:webHidden/>
              </w:rPr>
              <w:instrText xml:space="preserve"> PAGEREF _Toc427755341 \h </w:instrText>
            </w:r>
            <w:r w:rsidR="00C36AF0">
              <w:rPr>
                <w:noProof/>
                <w:webHidden/>
              </w:rPr>
            </w:r>
            <w:r w:rsidR="00C36AF0">
              <w:rPr>
                <w:noProof/>
                <w:webHidden/>
              </w:rPr>
              <w:fldChar w:fldCharType="separate"/>
            </w:r>
            <w:r w:rsidR="00C36AF0">
              <w:rPr>
                <w:noProof/>
                <w:webHidden/>
              </w:rPr>
              <w:t>12</w:t>
            </w:r>
            <w:r w:rsidR="00C36AF0">
              <w:rPr>
                <w:noProof/>
                <w:webHidden/>
              </w:rPr>
              <w:fldChar w:fldCharType="end"/>
            </w:r>
          </w:hyperlink>
        </w:p>
        <w:p w14:paraId="6977B59A" w14:textId="77777777" w:rsidR="00C36AF0" w:rsidRDefault="00AF30B2">
          <w:pPr>
            <w:pStyle w:val="TOC2"/>
            <w:tabs>
              <w:tab w:val="left" w:pos="960"/>
              <w:tab w:val="right" w:leader="dot" w:pos="9628"/>
            </w:tabs>
            <w:rPr>
              <w:rFonts w:asciiTheme="minorHAnsi" w:eastAsiaTheme="minorEastAsia" w:hAnsiTheme="minorHAnsi" w:cstheme="minorBidi"/>
              <w:noProof/>
              <w:sz w:val="22"/>
              <w:szCs w:val="22"/>
              <w:lang w:val="en-AU" w:eastAsia="en-AU"/>
            </w:rPr>
          </w:pPr>
          <w:hyperlink w:anchor="_Toc427755342" w:history="1">
            <w:r w:rsidR="00C36AF0" w:rsidRPr="00DD7DA2">
              <w:rPr>
                <w:rStyle w:val="Hyperlink"/>
                <w:noProof/>
              </w:rPr>
              <w:t>2.2</w:t>
            </w:r>
            <w:r w:rsidR="00C36AF0">
              <w:rPr>
                <w:rFonts w:asciiTheme="minorHAnsi" w:eastAsiaTheme="minorEastAsia" w:hAnsiTheme="minorHAnsi" w:cstheme="minorBidi"/>
                <w:noProof/>
                <w:sz w:val="22"/>
                <w:szCs w:val="22"/>
                <w:lang w:val="en-AU" w:eastAsia="en-AU"/>
              </w:rPr>
              <w:tab/>
            </w:r>
            <w:r w:rsidR="00C36AF0" w:rsidRPr="00DD7DA2">
              <w:rPr>
                <w:rStyle w:val="Hyperlink"/>
                <w:noProof/>
              </w:rPr>
              <w:t>Consortia</w:t>
            </w:r>
            <w:r w:rsidR="00C36AF0">
              <w:rPr>
                <w:noProof/>
                <w:webHidden/>
              </w:rPr>
              <w:tab/>
            </w:r>
            <w:r w:rsidR="00C36AF0">
              <w:rPr>
                <w:noProof/>
                <w:webHidden/>
              </w:rPr>
              <w:fldChar w:fldCharType="begin"/>
            </w:r>
            <w:r w:rsidR="00C36AF0">
              <w:rPr>
                <w:noProof/>
                <w:webHidden/>
              </w:rPr>
              <w:instrText xml:space="preserve"> PAGEREF _Toc427755342 \h </w:instrText>
            </w:r>
            <w:r w:rsidR="00C36AF0">
              <w:rPr>
                <w:noProof/>
                <w:webHidden/>
              </w:rPr>
            </w:r>
            <w:r w:rsidR="00C36AF0">
              <w:rPr>
                <w:noProof/>
                <w:webHidden/>
              </w:rPr>
              <w:fldChar w:fldCharType="separate"/>
            </w:r>
            <w:r w:rsidR="00C36AF0">
              <w:rPr>
                <w:noProof/>
                <w:webHidden/>
              </w:rPr>
              <w:t>12</w:t>
            </w:r>
            <w:r w:rsidR="00C36AF0">
              <w:rPr>
                <w:noProof/>
                <w:webHidden/>
              </w:rPr>
              <w:fldChar w:fldCharType="end"/>
            </w:r>
          </w:hyperlink>
        </w:p>
        <w:p w14:paraId="307EB707" w14:textId="77777777" w:rsidR="00C36AF0" w:rsidRDefault="00AF30B2">
          <w:pPr>
            <w:pStyle w:val="TOC2"/>
            <w:tabs>
              <w:tab w:val="left" w:pos="960"/>
              <w:tab w:val="right" w:leader="dot" w:pos="9628"/>
            </w:tabs>
            <w:rPr>
              <w:rFonts w:asciiTheme="minorHAnsi" w:eastAsiaTheme="minorEastAsia" w:hAnsiTheme="minorHAnsi" w:cstheme="minorBidi"/>
              <w:noProof/>
              <w:sz w:val="22"/>
              <w:szCs w:val="22"/>
              <w:lang w:val="en-AU" w:eastAsia="en-AU"/>
            </w:rPr>
          </w:pPr>
          <w:hyperlink w:anchor="_Toc427755343" w:history="1">
            <w:r w:rsidR="00C36AF0" w:rsidRPr="00DD7DA2">
              <w:rPr>
                <w:rStyle w:val="Hyperlink"/>
                <w:noProof/>
              </w:rPr>
              <w:t>2.3</w:t>
            </w:r>
            <w:r w:rsidR="00C36AF0">
              <w:rPr>
                <w:rFonts w:asciiTheme="minorHAnsi" w:eastAsiaTheme="minorEastAsia" w:hAnsiTheme="minorHAnsi" w:cstheme="minorBidi"/>
                <w:noProof/>
                <w:sz w:val="22"/>
                <w:szCs w:val="22"/>
                <w:lang w:val="en-AU" w:eastAsia="en-AU"/>
              </w:rPr>
              <w:tab/>
            </w:r>
            <w:r w:rsidR="00C36AF0" w:rsidRPr="00DD7DA2">
              <w:rPr>
                <w:rStyle w:val="Hyperlink"/>
                <w:noProof/>
              </w:rPr>
              <w:t>What activities and items are eligible for funding?</w:t>
            </w:r>
            <w:r w:rsidR="00C36AF0">
              <w:rPr>
                <w:noProof/>
                <w:webHidden/>
              </w:rPr>
              <w:tab/>
            </w:r>
            <w:r w:rsidR="00C36AF0">
              <w:rPr>
                <w:noProof/>
                <w:webHidden/>
              </w:rPr>
              <w:fldChar w:fldCharType="begin"/>
            </w:r>
            <w:r w:rsidR="00C36AF0">
              <w:rPr>
                <w:noProof/>
                <w:webHidden/>
              </w:rPr>
              <w:instrText xml:space="preserve"> PAGEREF _Toc427755343 \h </w:instrText>
            </w:r>
            <w:r w:rsidR="00C36AF0">
              <w:rPr>
                <w:noProof/>
                <w:webHidden/>
              </w:rPr>
            </w:r>
            <w:r w:rsidR="00C36AF0">
              <w:rPr>
                <w:noProof/>
                <w:webHidden/>
              </w:rPr>
              <w:fldChar w:fldCharType="separate"/>
            </w:r>
            <w:r w:rsidR="00C36AF0">
              <w:rPr>
                <w:noProof/>
                <w:webHidden/>
              </w:rPr>
              <w:t>12</w:t>
            </w:r>
            <w:r w:rsidR="00C36AF0">
              <w:rPr>
                <w:noProof/>
                <w:webHidden/>
              </w:rPr>
              <w:fldChar w:fldCharType="end"/>
            </w:r>
          </w:hyperlink>
        </w:p>
        <w:p w14:paraId="08405878" w14:textId="77777777" w:rsidR="00C36AF0" w:rsidRDefault="00AF30B2">
          <w:pPr>
            <w:pStyle w:val="TOC2"/>
            <w:tabs>
              <w:tab w:val="left" w:pos="960"/>
              <w:tab w:val="right" w:leader="dot" w:pos="9628"/>
            </w:tabs>
            <w:rPr>
              <w:rFonts w:asciiTheme="minorHAnsi" w:eastAsiaTheme="minorEastAsia" w:hAnsiTheme="minorHAnsi" w:cstheme="minorBidi"/>
              <w:noProof/>
              <w:sz w:val="22"/>
              <w:szCs w:val="22"/>
              <w:lang w:val="en-AU" w:eastAsia="en-AU"/>
            </w:rPr>
          </w:pPr>
          <w:hyperlink w:anchor="_Toc427755344" w:history="1">
            <w:r w:rsidR="00C36AF0" w:rsidRPr="00DD7DA2">
              <w:rPr>
                <w:rStyle w:val="Hyperlink"/>
                <w:noProof/>
              </w:rPr>
              <w:t>2.4</w:t>
            </w:r>
            <w:r w:rsidR="00C36AF0">
              <w:rPr>
                <w:rFonts w:asciiTheme="minorHAnsi" w:eastAsiaTheme="minorEastAsia" w:hAnsiTheme="minorHAnsi" w:cstheme="minorBidi"/>
                <w:noProof/>
                <w:sz w:val="22"/>
                <w:szCs w:val="22"/>
                <w:lang w:val="en-AU" w:eastAsia="en-AU"/>
              </w:rPr>
              <w:tab/>
            </w:r>
            <w:r w:rsidR="00C36AF0" w:rsidRPr="00DD7DA2">
              <w:rPr>
                <w:rStyle w:val="Hyperlink"/>
                <w:noProof/>
              </w:rPr>
              <w:t>What activities and items are not eligible for funding?</w:t>
            </w:r>
            <w:r w:rsidR="00C36AF0">
              <w:rPr>
                <w:noProof/>
                <w:webHidden/>
              </w:rPr>
              <w:tab/>
            </w:r>
            <w:r w:rsidR="00C36AF0">
              <w:rPr>
                <w:noProof/>
                <w:webHidden/>
              </w:rPr>
              <w:fldChar w:fldCharType="begin"/>
            </w:r>
            <w:r w:rsidR="00C36AF0">
              <w:rPr>
                <w:noProof/>
                <w:webHidden/>
              </w:rPr>
              <w:instrText xml:space="preserve"> PAGEREF _Toc427755344 \h </w:instrText>
            </w:r>
            <w:r w:rsidR="00C36AF0">
              <w:rPr>
                <w:noProof/>
                <w:webHidden/>
              </w:rPr>
            </w:r>
            <w:r w:rsidR="00C36AF0">
              <w:rPr>
                <w:noProof/>
                <w:webHidden/>
              </w:rPr>
              <w:fldChar w:fldCharType="separate"/>
            </w:r>
            <w:r w:rsidR="00C36AF0">
              <w:rPr>
                <w:noProof/>
                <w:webHidden/>
              </w:rPr>
              <w:t>13</w:t>
            </w:r>
            <w:r w:rsidR="00C36AF0">
              <w:rPr>
                <w:noProof/>
                <w:webHidden/>
              </w:rPr>
              <w:fldChar w:fldCharType="end"/>
            </w:r>
          </w:hyperlink>
        </w:p>
        <w:p w14:paraId="278EADAA" w14:textId="77777777" w:rsidR="00C36AF0" w:rsidRDefault="00AF30B2">
          <w:pPr>
            <w:pStyle w:val="TOC2"/>
            <w:tabs>
              <w:tab w:val="left" w:pos="960"/>
              <w:tab w:val="right" w:leader="dot" w:pos="9628"/>
            </w:tabs>
            <w:rPr>
              <w:rFonts w:asciiTheme="minorHAnsi" w:eastAsiaTheme="minorEastAsia" w:hAnsiTheme="minorHAnsi" w:cstheme="minorBidi"/>
              <w:noProof/>
              <w:sz w:val="22"/>
              <w:szCs w:val="22"/>
              <w:lang w:val="en-AU" w:eastAsia="en-AU"/>
            </w:rPr>
          </w:pPr>
          <w:hyperlink w:anchor="_Toc427755345" w:history="1">
            <w:r w:rsidR="00C36AF0" w:rsidRPr="00DD7DA2">
              <w:rPr>
                <w:rStyle w:val="Hyperlink"/>
                <w:noProof/>
              </w:rPr>
              <w:t>2.5</w:t>
            </w:r>
            <w:r w:rsidR="00C36AF0">
              <w:rPr>
                <w:rFonts w:asciiTheme="minorHAnsi" w:eastAsiaTheme="minorEastAsia" w:hAnsiTheme="minorHAnsi" w:cstheme="minorBidi"/>
                <w:noProof/>
                <w:sz w:val="22"/>
                <w:szCs w:val="22"/>
                <w:lang w:val="en-AU" w:eastAsia="en-AU"/>
              </w:rPr>
              <w:tab/>
            </w:r>
            <w:r w:rsidR="00C36AF0" w:rsidRPr="00DD7DA2">
              <w:rPr>
                <w:rStyle w:val="Hyperlink"/>
                <w:noProof/>
              </w:rPr>
              <w:t>Additional requirements</w:t>
            </w:r>
            <w:r w:rsidR="00C36AF0">
              <w:rPr>
                <w:noProof/>
                <w:webHidden/>
              </w:rPr>
              <w:tab/>
            </w:r>
            <w:r w:rsidR="00C36AF0">
              <w:rPr>
                <w:noProof/>
                <w:webHidden/>
              </w:rPr>
              <w:fldChar w:fldCharType="begin"/>
            </w:r>
            <w:r w:rsidR="00C36AF0">
              <w:rPr>
                <w:noProof/>
                <w:webHidden/>
              </w:rPr>
              <w:instrText xml:space="preserve"> PAGEREF _Toc427755345 \h </w:instrText>
            </w:r>
            <w:r w:rsidR="00C36AF0">
              <w:rPr>
                <w:noProof/>
                <w:webHidden/>
              </w:rPr>
            </w:r>
            <w:r w:rsidR="00C36AF0">
              <w:rPr>
                <w:noProof/>
                <w:webHidden/>
              </w:rPr>
              <w:fldChar w:fldCharType="separate"/>
            </w:r>
            <w:r w:rsidR="00C36AF0">
              <w:rPr>
                <w:noProof/>
                <w:webHidden/>
              </w:rPr>
              <w:t>13</w:t>
            </w:r>
            <w:r w:rsidR="00C36AF0">
              <w:rPr>
                <w:noProof/>
                <w:webHidden/>
              </w:rPr>
              <w:fldChar w:fldCharType="end"/>
            </w:r>
          </w:hyperlink>
        </w:p>
        <w:p w14:paraId="27A923D5" w14:textId="77777777" w:rsidR="00C36AF0" w:rsidRDefault="00AF30B2">
          <w:pPr>
            <w:pStyle w:val="TOC3"/>
            <w:tabs>
              <w:tab w:val="right" w:leader="dot" w:pos="9628"/>
            </w:tabs>
            <w:rPr>
              <w:rFonts w:asciiTheme="minorHAnsi" w:eastAsiaTheme="minorEastAsia" w:hAnsiTheme="minorHAnsi" w:cstheme="minorBidi"/>
              <w:noProof/>
              <w:sz w:val="22"/>
              <w:szCs w:val="22"/>
              <w:lang w:val="en-AU" w:eastAsia="en-AU"/>
            </w:rPr>
          </w:pPr>
          <w:hyperlink w:anchor="_Toc427755346" w:history="1">
            <w:r w:rsidR="00C36AF0" w:rsidRPr="00DD7DA2">
              <w:rPr>
                <w:rStyle w:val="Hyperlink"/>
                <w:noProof/>
              </w:rPr>
              <w:t>If the Activity is oversubscribed</w:t>
            </w:r>
            <w:r w:rsidR="00C36AF0">
              <w:rPr>
                <w:noProof/>
                <w:webHidden/>
              </w:rPr>
              <w:tab/>
            </w:r>
            <w:r w:rsidR="00C36AF0">
              <w:rPr>
                <w:noProof/>
                <w:webHidden/>
              </w:rPr>
              <w:fldChar w:fldCharType="begin"/>
            </w:r>
            <w:r w:rsidR="00C36AF0">
              <w:rPr>
                <w:noProof/>
                <w:webHidden/>
              </w:rPr>
              <w:instrText xml:space="preserve"> PAGEREF _Toc427755346 \h </w:instrText>
            </w:r>
            <w:r w:rsidR="00C36AF0">
              <w:rPr>
                <w:noProof/>
                <w:webHidden/>
              </w:rPr>
            </w:r>
            <w:r w:rsidR="00C36AF0">
              <w:rPr>
                <w:noProof/>
                <w:webHidden/>
              </w:rPr>
              <w:fldChar w:fldCharType="separate"/>
            </w:r>
            <w:r w:rsidR="00C36AF0">
              <w:rPr>
                <w:noProof/>
                <w:webHidden/>
              </w:rPr>
              <w:t>13</w:t>
            </w:r>
            <w:r w:rsidR="00C36AF0">
              <w:rPr>
                <w:noProof/>
                <w:webHidden/>
              </w:rPr>
              <w:fldChar w:fldCharType="end"/>
            </w:r>
          </w:hyperlink>
        </w:p>
        <w:p w14:paraId="1ED06A63" w14:textId="77777777" w:rsidR="00C36AF0" w:rsidRDefault="00AF30B2">
          <w:pPr>
            <w:pStyle w:val="TOC3"/>
            <w:tabs>
              <w:tab w:val="right" w:leader="dot" w:pos="9628"/>
            </w:tabs>
            <w:rPr>
              <w:rFonts w:asciiTheme="minorHAnsi" w:eastAsiaTheme="minorEastAsia" w:hAnsiTheme="minorHAnsi" w:cstheme="minorBidi"/>
              <w:noProof/>
              <w:sz w:val="22"/>
              <w:szCs w:val="22"/>
              <w:lang w:val="en-AU" w:eastAsia="en-AU"/>
            </w:rPr>
          </w:pPr>
          <w:hyperlink w:anchor="_Toc427755347" w:history="1">
            <w:r w:rsidR="00C36AF0" w:rsidRPr="00DD7DA2">
              <w:rPr>
                <w:rStyle w:val="Hyperlink"/>
                <w:noProof/>
              </w:rPr>
              <w:t>If the Activity is undersubscribed</w:t>
            </w:r>
            <w:r w:rsidR="00C36AF0">
              <w:rPr>
                <w:noProof/>
                <w:webHidden/>
              </w:rPr>
              <w:tab/>
            </w:r>
            <w:r w:rsidR="00C36AF0">
              <w:rPr>
                <w:noProof/>
                <w:webHidden/>
              </w:rPr>
              <w:fldChar w:fldCharType="begin"/>
            </w:r>
            <w:r w:rsidR="00C36AF0">
              <w:rPr>
                <w:noProof/>
                <w:webHidden/>
              </w:rPr>
              <w:instrText xml:space="preserve"> PAGEREF _Toc427755347 \h </w:instrText>
            </w:r>
            <w:r w:rsidR="00C36AF0">
              <w:rPr>
                <w:noProof/>
                <w:webHidden/>
              </w:rPr>
            </w:r>
            <w:r w:rsidR="00C36AF0">
              <w:rPr>
                <w:noProof/>
                <w:webHidden/>
              </w:rPr>
              <w:fldChar w:fldCharType="separate"/>
            </w:r>
            <w:r w:rsidR="00C36AF0">
              <w:rPr>
                <w:noProof/>
                <w:webHidden/>
              </w:rPr>
              <w:t>13</w:t>
            </w:r>
            <w:r w:rsidR="00C36AF0">
              <w:rPr>
                <w:noProof/>
                <w:webHidden/>
              </w:rPr>
              <w:fldChar w:fldCharType="end"/>
            </w:r>
          </w:hyperlink>
        </w:p>
        <w:p w14:paraId="3C8E20CC" w14:textId="77777777" w:rsidR="00C36AF0" w:rsidRDefault="00AF30B2">
          <w:pPr>
            <w:pStyle w:val="TOC1"/>
            <w:tabs>
              <w:tab w:val="left" w:pos="440"/>
              <w:tab w:val="right" w:leader="dot" w:pos="9628"/>
            </w:tabs>
            <w:rPr>
              <w:rFonts w:asciiTheme="minorHAnsi" w:eastAsiaTheme="minorEastAsia" w:hAnsiTheme="minorHAnsi" w:cstheme="minorBidi"/>
              <w:noProof/>
              <w:sz w:val="22"/>
              <w:szCs w:val="22"/>
              <w:lang w:val="en-AU" w:eastAsia="en-AU"/>
            </w:rPr>
          </w:pPr>
          <w:hyperlink w:anchor="_Toc427755348" w:history="1">
            <w:r w:rsidR="00C36AF0" w:rsidRPr="00DD7DA2">
              <w:rPr>
                <w:rStyle w:val="Hyperlink"/>
                <w:noProof/>
              </w:rPr>
              <w:t>3</w:t>
            </w:r>
            <w:r w:rsidR="00C36AF0">
              <w:rPr>
                <w:rFonts w:asciiTheme="minorHAnsi" w:eastAsiaTheme="minorEastAsia" w:hAnsiTheme="minorHAnsi" w:cstheme="minorBidi"/>
                <w:noProof/>
                <w:sz w:val="22"/>
                <w:szCs w:val="22"/>
                <w:lang w:val="en-AU" w:eastAsia="en-AU"/>
              </w:rPr>
              <w:tab/>
            </w:r>
            <w:r w:rsidR="00C36AF0" w:rsidRPr="00DD7DA2">
              <w:rPr>
                <w:rStyle w:val="Hyperlink"/>
                <w:noProof/>
              </w:rPr>
              <w:t>Probity</w:t>
            </w:r>
            <w:r w:rsidR="00C36AF0">
              <w:rPr>
                <w:noProof/>
                <w:webHidden/>
              </w:rPr>
              <w:tab/>
            </w:r>
            <w:r w:rsidR="00C36AF0">
              <w:rPr>
                <w:noProof/>
                <w:webHidden/>
              </w:rPr>
              <w:fldChar w:fldCharType="begin"/>
            </w:r>
            <w:r w:rsidR="00C36AF0">
              <w:rPr>
                <w:noProof/>
                <w:webHidden/>
              </w:rPr>
              <w:instrText xml:space="preserve"> PAGEREF _Toc427755348 \h </w:instrText>
            </w:r>
            <w:r w:rsidR="00C36AF0">
              <w:rPr>
                <w:noProof/>
                <w:webHidden/>
              </w:rPr>
            </w:r>
            <w:r w:rsidR="00C36AF0">
              <w:rPr>
                <w:noProof/>
                <w:webHidden/>
              </w:rPr>
              <w:fldChar w:fldCharType="separate"/>
            </w:r>
            <w:r w:rsidR="00C36AF0">
              <w:rPr>
                <w:noProof/>
                <w:webHidden/>
              </w:rPr>
              <w:t>14</w:t>
            </w:r>
            <w:r w:rsidR="00C36AF0">
              <w:rPr>
                <w:noProof/>
                <w:webHidden/>
              </w:rPr>
              <w:fldChar w:fldCharType="end"/>
            </w:r>
          </w:hyperlink>
        </w:p>
        <w:p w14:paraId="338CFADE" w14:textId="77777777" w:rsidR="00C36AF0" w:rsidRDefault="00AF30B2">
          <w:pPr>
            <w:pStyle w:val="TOC2"/>
            <w:tabs>
              <w:tab w:val="left" w:pos="960"/>
              <w:tab w:val="right" w:leader="dot" w:pos="9628"/>
            </w:tabs>
            <w:rPr>
              <w:rFonts w:asciiTheme="minorHAnsi" w:eastAsiaTheme="minorEastAsia" w:hAnsiTheme="minorHAnsi" w:cstheme="minorBidi"/>
              <w:noProof/>
              <w:sz w:val="22"/>
              <w:szCs w:val="22"/>
              <w:lang w:val="en-AU" w:eastAsia="en-AU"/>
            </w:rPr>
          </w:pPr>
          <w:hyperlink w:anchor="_Toc427755349" w:history="1">
            <w:r w:rsidR="00C36AF0" w:rsidRPr="00DD7DA2">
              <w:rPr>
                <w:rStyle w:val="Hyperlink"/>
                <w:noProof/>
              </w:rPr>
              <w:t>3.1</w:t>
            </w:r>
            <w:r w:rsidR="00C36AF0">
              <w:rPr>
                <w:rFonts w:asciiTheme="minorHAnsi" w:eastAsiaTheme="minorEastAsia" w:hAnsiTheme="minorHAnsi" w:cstheme="minorBidi"/>
                <w:noProof/>
                <w:sz w:val="22"/>
                <w:szCs w:val="22"/>
                <w:lang w:val="en-AU" w:eastAsia="en-AU"/>
              </w:rPr>
              <w:tab/>
            </w:r>
            <w:r w:rsidR="00C36AF0" w:rsidRPr="00DD7DA2">
              <w:rPr>
                <w:rStyle w:val="Hyperlink"/>
                <w:noProof/>
              </w:rPr>
              <w:t>Conflict of interest</w:t>
            </w:r>
            <w:r w:rsidR="00C36AF0">
              <w:rPr>
                <w:noProof/>
                <w:webHidden/>
              </w:rPr>
              <w:tab/>
            </w:r>
            <w:r w:rsidR="00C36AF0">
              <w:rPr>
                <w:noProof/>
                <w:webHidden/>
              </w:rPr>
              <w:fldChar w:fldCharType="begin"/>
            </w:r>
            <w:r w:rsidR="00C36AF0">
              <w:rPr>
                <w:noProof/>
                <w:webHidden/>
              </w:rPr>
              <w:instrText xml:space="preserve"> PAGEREF _Toc427755349 \h </w:instrText>
            </w:r>
            <w:r w:rsidR="00C36AF0">
              <w:rPr>
                <w:noProof/>
                <w:webHidden/>
              </w:rPr>
            </w:r>
            <w:r w:rsidR="00C36AF0">
              <w:rPr>
                <w:noProof/>
                <w:webHidden/>
              </w:rPr>
              <w:fldChar w:fldCharType="separate"/>
            </w:r>
            <w:r w:rsidR="00C36AF0">
              <w:rPr>
                <w:noProof/>
                <w:webHidden/>
              </w:rPr>
              <w:t>14</w:t>
            </w:r>
            <w:r w:rsidR="00C36AF0">
              <w:rPr>
                <w:noProof/>
                <w:webHidden/>
              </w:rPr>
              <w:fldChar w:fldCharType="end"/>
            </w:r>
          </w:hyperlink>
        </w:p>
        <w:p w14:paraId="4280D870" w14:textId="77777777" w:rsidR="00C36AF0" w:rsidRDefault="00AF30B2">
          <w:pPr>
            <w:pStyle w:val="TOC2"/>
            <w:tabs>
              <w:tab w:val="left" w:pos="960"/>
              <w:tab w:val="right" w:leader="dot" w:pos="9628"/>
            </w:tabs>
            <w:rPr>
              <w:rFonts w:asciiTheme="minorHAnsi" w:eastAsiaTheme="minorEastAsia" w:hAnsiTheme="minorHAnsi" w:cstheme="minorBidi"/>
              <w:noProof/>
              <w:sz w:val="22"/>
              <w:szCs w:val="22"/>
              <w:lang w:val="en-AU" w:eastAsia="en-AU"/>
            </w:rPr>
          </w:pPr>
          <w:hyperlink w:anchor="_Toc427755350" w:history="1">
            <w:r w:rsidR="00C36AF0" w:rsidRPr="00DD7DA2">
              <w:rPr>
                <w:rStyle w:val="Hyperlink"/>
                <w:noProof/>
              </w:rPr>
              <w:t>3.2</w:t>
            </w:r>
            <w:r w:rsidR="00C36AF0">
              <w:rPr>
                <w:rFonts w:asciiTheme="minorHAnsi" w:eastAsiaTheme="minorEastAsia" w:hAnsiTheme="minorHAnsi" w:cstheme="minorBidi"/>
                <w:noProof/>
                <w:sz w:val="22"/>
                <w:szCs w:val="22"/>
                <w:lang w:val="en-AU" w:eastAsia="en-AU"/>
              </w:rPr>
              <w:tab/>
            </w:r>
            <w:r w:rsidR="00C36AF0" w:rsidRPr="00DD7DA2">
              <w:rPr>
                <w:rStyle w:val="Hyperlink"/>
                <w:noProof/>
              </w:rPr>
              <w:t>Privacy - Confidentiality and Protection of Personal Information</w:t>
            </w:r>
            <w:r w:rsidR="00C36AF0">
              <w:rPr>
                <w:noProof/>
                <w:webHidden/>
              </w:rPr>
              <w:tab/>
            </w:r>
            <w:r w:rsidR="00C36AF0">
              <w:rPr>
                <w:noProof/>
                <w:webHidden/>
              </w:rPr>
              <w:fldChar w:fldCharType="begin"/>
            </w:r>
            <w:r w:rsidR="00C36AF0">
              <w:rPr>
                <w:noProof/>
                <w:webHidden/>
              </w:rPr>
              <w:instrText xml:space="preserve"> PAGEREF _Toc427755350 \h </w:instrText>
            </w:r>
            <w:r w:rsidR="00C36AF0">
              <w:rPr>
                <w:noProof/>
                <w:webHidden/>
              </w:rPr>
            </w:r>
            <w:r w:rsidR="00C36AF0">
              <w:rPr>
                <w:noProof/>
                <w:webHidden/>
              </w:rPr>
              <w:fldChar w:fldCharType="separate"/>
            </w:r>
            <w:r w:rsidR="00C36AF0">
              <w:rPr>
                <w:noProof/>
                <w:webHidden/>
              </w:rPr>
              <w:t>14</w:t>
            </w:r>
            <w:r w:rsidR="00C36AF0">
              <w:rPr>
                <w:noProof/>
                <w:webHidden/>
              </w:rPr>
              <w:fldChar w:fldCharType="end"/>
            </w:r>
          </w:hyperlink>
        </w:p>
        <w:p w14:paraId="63FC0698" w14:textId="77777777" w:rsidR="00C36AF0" w:rsidRDefault="00AF30B2">
          <w:pPr>
            <w:pStyle w:val="TOC1"/>
            <w:tabs>
              <w:tab w:val="left" w:pos="440"/>
              <w:tab w:val="right" w:leader="dot" w:pos="9628"/>
            </w:tabs>
            <w:rPr>
              <w:rFonts w:asciiTheme="minorHAnsi" w:eastAsiaTheme="minorEastAsia" w:hAnsiTheme="minorHAnsi" w:cstheme="minorBidi"/>
              <w:noProof/>
              <w:sz w:val="22"/>
              <w:szCs w:val="22"/>
              <w:lang w:val="en-AU" w:eastAsia="en-AU"/>
            </w:rPr>
          </w:pPr>
          <w:hyperlink w:anchor="_Toc427755351" w:history="1">
            <w:r w:rsidR="00C36AF0" w:rsidRPr="00DD7DA2">
              <w:rPr>
                <w:rStyle w:val="Hyperlink"/>
                <w:noProof/>
              </w:rPr>
              <w:t>4</w:t>
            </w:r>
            <w:r w:rsidR="00C36AF0">
              <w:rPr>
                <w:rFonts w:asciiTheme="minorHAnsi" w:eastAsiaTheme="minorEastAsia" w:hAnsiTheme="minorHAnsi" w:cstheme="minorBidi"/>
                <w:noProof/>
                <w:sz w:val="22"/>
                <w:szCs w:val="22"/>
                <w:lang w:val="en-AU" w:eastAsia="en-AU"/>
              </w:rPr>
              <w:tab/>
            </w:r>
            <w:r w:rsidR="00C36AF0" w:rsidRPr="00DD7DA2">
              <w:rPr>
                <w:rStyle w:val="Hyperlink"/>
                <w:noProof/>
              </w:rPr>
              <w:t>Type of Application Process</w:t>
            </w:r>
            <w:r w:rsidR="00C36AF0">
              <w:rPr>
                <w:noProof/>
                <w:webHidden/>
              </w:rPr>
              <w:tab/>
            </w:r>
            <w:r w:rsidR="00C36AF0">
              <w:rPr>
                <w:noProof/>
                <w:webHidden/>
              </w:rPr>
              <w:fldChar w:fldCharType="begin"/>
            </w:r>
            <w:r w:rsidR="00C36AF0">
              <w:rPr>
                <w:noProof/>
                <w:webHidden/>
              </w:rPr>
              <w:instrText xml:space="preserve"> PAGEREF _Toc427755351 \h </w:instrText>
            </w:r>
            <w:r w:rsidR="00C36AF0">
              <w:rPr>
                <w:noProof/>
                <w:webHidden/>
              </w:rPr>
            </w:r>
            <w:r w:rsidR="00C36AF0">
              <w:rPr>
                <w:noProof/>
                <w:webHidden/>
              </w:rPr>
              <w:fldChar w:fldCharType="separate"/>
            </w:r>
            <w:r w:rsidR="00C36AF0">
              <w:rPr>
                <w:noProof/>
                <w:webHidden/>
              </w:rPr>
              <w:t>15</w:t>
            </w:r>
            <w:r w:rsidR="00C36AF0">
              <w:rPr>
                <w:noProof/>
                <w:webHidden/>
              </w:rPr>
              <w:fldChar w:fldCharType="end"/>
            </w:r>
          </w:hyperlink>
        </w:p>
        <w:p w14:paraId="5695E11D" w14:textId="77777777" w:rsidR="00C36AF0" w:rsidRDefault="00AF30B2">
          <w:pPr>
            <w:pStyle w:val="TOC2"/>
            <w:tabs>
              <w:tab w:val="right" w:leader="dot" w:pos="9628"/>
            </w:tabs>
            <w:rPr>
              <w:rFonts w:asciiTheme="minorHAnsi" w:eastAsiaTheme="minorEastAsia" w:hAnsiTheme="minorHAnsi" w:cstheme="minorBidi"/>
              <w:noProof/>
              <w:sz w:val="22"/>
              <w:szCs w:val="22"/>
              <w:lang w:val="en-AU" w:eastAsia="en-AU"/>
            </w:rPr>
          </w:pPr>
          <w:hyperlink w:anchor="_Toc427755352" w:history="1">
            <w:r w:rsidR="00C36AF0" w:rsidRPr="00DD7DA2">
              <w:rPr>
                <w:rStyle w:val="Hyperlink"/>
                <w:noProof/>
              </w:rPr>
              <w:t>Targeted or restricted funding rounds</w:t>
            </w:r>
            <w:r w:rsidR="00C36AF0">
              <w:rPr>
                <w:noProof/>
                <w:webHidden/>
              </w:rPr>
              <w:tab/>
            </w:r>
            <w:r w:rsidR="00C36AF0">
              <w:rPr>
                <w:noProof/>
                <w:webHidden/>
              </w:rPr>
              <w:fldChar w:fldCharType="begin"/>
            </w:r>
            <w:r w:rsidR="00C36AF0">
              <w:rPr>
                <w:noProof/>
                <w:webHidden/>
              </w:rPr>
              <w:instrText xml:space="preserve"> PAGEREF _Toc427755352 \h </w:instrText>
            </w:r>
            <w:r w:rsidR="00C36AF0">
              <w:rPr>
                <w:noProof/>
                <w:webHidden/>
              </w:rPr>
            </w:r>
            <w:r w:rsidR="00C36AF0">
              <w:rPr>
                <w:noProof/>
                <w:webHidden/>
              </w:rPr>
              <w:fldChar w:fldCharType="separate"/>
            </w:r>
            <w:r w:rsidR="00C36AF0">
              <w:rPr>
                <w:noProof/>
                <w:webHidden/>
              </w:rPr>
              <w:t>15</w:t>
            </w:r>
            <w:r w:rsidR="00C36AF0">
              <w:rPr>
                <w:noProof/>
                <w:webHidden/>
              </w:rPr>
              <w:fldChar w:fldCharType="end"/>
            </w:r>
          </w:hyperlink>
        </w:p>
        <w:p w14:paraId="4EEA04F4" w14:textId="77777777" w:rsidR="00C36AF0" w:rsidRDefault="00AF30B2">
          <w:pPr>
            <w:pStyle w:val="TOC2"/>
            <w:tabs>
              <w:tab w:val="right" w:leader="dot" w:pos="9628"/>
            </w:tabs>
            <w:rPr>
              <w:rFonts w:asciiTheme="minorHAnsi" w:eastAsiaTheme="minorEastAsia" w:hAnsiTheme="minorHAnsi" w:cstheme="minorBidi"/>
              <w:noProof/>
              <w:sz w:val="22"/>
              <w:szCs w:val="22"/>
              <w:lang w:val="en-AU" w:eastAsia="en-AU"/>
            </w:rPr>
          </w:pPr>
          <w:hyperlink w:anchor="_Toc427755353" w:history="1">
            <w:r w:rsidR="00C36AF0" w:rsidRPr="00DD7DA2">
              <w:rPr>
                <w:rStyle w:val="Hyperlink"/>
                <w:noProof/>
                <w:lang w:eastAsia="en-AU"/>
              </w:rPr>
              <w:t>Procurement</w:t>
            </w:r>
            <w:r w:rsidR="00C36AF0">
              <w:rPr>
                <w:noProof/>
                <w:webHidden/>
              </w:rPr>
              <w:tab/>
            </w:r>
            <w:r w:rsidR="00C36AF0">
              <w:rPr>
                <w:noProof/>
                <w:webHidden/>
              </w:rPr>
              <w:fldChar w:fldCharType="begin"/>
            </w:r>
            <w:r w:rsidR="00C36AF0">
              <w:rPr>
                <w:noProof/>
                <w:webHidden/>
              </w:rPr>
              <w:instrText xml:space="preserve"> PAGEREF _Toc427755353 \h </w:instrText>
            </w:r>
            <w:r w:rsidR="00C36AF0">
              <w:rPr>
                <w:noProof/>
                <w:webHidden/>
              </w:rPr>
            </w:r>
            <w:r w:rsidR="00C36AF0">
              <w:rPr>
                <w:noProof/>
                <w:webHidden/>
              </w:rPr>
              <w:fldChar w:fldCharType="separate"/>
            </w:r>
            <w:r w:rsidR="00C36AF0">
              <w:rPr>
                <w:noProof/>
                <w:webHidden/>
              </w:rPr>
              <w:t>15</w:t>
            </w:r>
            <w:r w:rsidR="00C36AF0">
              <w:rPr>
                <w:noProof/>
                <w:webHidden/>
              </w:rPr>
              <w:fldChar w:fldCharType="end"/>
            </w:r>
          </w:hyperlink>
        </w:p>
        <w:p w14:paraId="02CCE24E" w14:textId="77777777" w:rsidR="00C36AF0" w:rsidRDefault="00AF30B2">
          <w:pPr>
            <w:pStyle w:val="TOC2"/>
            <w:tabs>
              <w:tab w:val="right" w:leader="dot" w:pos="9628"/>
            </w:tabs>
            <w:rPr>
              <w:rFonts w:asciiTheme="minorHAnsi" w:eastAsiaTheme="minorEastAsia" w:hAnsiTheme="minorHAnsi" w:cstheme="minorBidi"/>
              <w:noProof/>
              <w:sz w:val="22"/>
              <w:szCs w:val="22"/>
              <w:lang w:val="en-AU" w:eastAsia="en-AU"/>
            </w:rPr>
          </w:pPr>
          <w:hyperlink w:anchor="_Toc427755354" w:history="1">
            <w:r w:rsidR="00C36AF0" w:rsidRPr="00DD7DA2">
              <w:rPr>
                <w:rStyle w:val="Hyperlink"/>
                <w:noProof/>
              </w:rPr>
              <w:t>Open competitive funding rounds</w:t>
            </w:r>
            <w:r w:rsidR="00C36AF0">
              <w:rPr>
                <w:noProof/>
                <w:webHidden/>
              </w:rPr>
              <w:tab/>
            </w:r>
            <w:r w:rsidR="00C36AF0">
              <w:rPr>
                <w:noProof/>
                <w:webHidden/>
              </w:rPr>
              <w:fldChar w:fldCharType="begin"/>
            </w:r>
            <w:r w:rsidR="00C36AF0">
              <w:rPr>
                <w:noProof/>
                <w:webHidden/>
              </w:rPr>
              <w:instrText xml:space="preserve"> PAGEREF _Toc427755354 \h </w:instrText>
            </w:r>
            <w:r w:rsidR="00C36AF0">
              <w:rPr>
                <w:noProof/>
                <w:webHidden/>
              </w:rPr>
            </w:r>
            <w:r w:rsidR="00C36AF0">
              <w:rPr>
                <w:noProof/>
                <w:webHidden/>
              </w:rPr>
              <w:fldChar w:fldCharType="separate"/>
            </w:r>
            <w:r w:rsidR="00C36AF0">
              <w:rPr>
                <w:noProof/>
                <w:webHidden/>
              </w:rPr>
              <w:t>15</w:t>
            </w:r>
            <w:r w:rsidR="00C36AF0">
              <w:rPr>
                <w:noProof/>
                <w:webHidden/>
              </w:rPr>
              <w:fldChar w:fldCharType="end"/>
            </w:r>
          </w:hyperlink>
        </w:p>
        <w:p w14:paraId="09127FC3" w14:textId="77777777" w:rsidR="00C36AF0" w:rsidRDefault="00AF30B2">
          <w:pPr>
            <w:pStyle w:val="TOC1"/>
            <w:tabs>
              <w:tab w:val="left" w:pos="440"/>
              <w:tab w:val="right" w:leader="dot" w:pos="9628"/>
            </w:tabs>
            <w:rPr>
              <w:rFonts w:asciiTheme="minorHAnsi" w:eastAsiaTheme="minorEastAsia" w:hAnsiTheme="minorHAnsi" w:cstheme="minorBidi"/>
              <w:noProof/>
              <w:sz w:val="22"/>
              <w:szCs w:val="22"/>
              <w:lang w:val="en-AU" w:eastAsia="en-AU"/>
            </w:rPr>
          </w:pPr>
          <w:hyperlink w:anchor="_Toc427755355" w:history="1">
            <w:r w:rsidR="00C36AF0" w:rsidRPr="00DD7DA2">
              <w:rPr>
                <w:rStyle w:val="Hyperlink"/>
                <w:noProof/>
              </w:rPr>
              <w:t>5</w:t>
            </w:r>
            <w:r w:rsidR="00C36AF0">
              <w:rPr>
                <w:rFonts w:asciiTheme="minorHAnsi" w:eastAsiaTheme="minorEastAsia" w:hAnsiTheme="minorHAnsi" w:cstheme="minorBidi"/>
                <w:noProof/>
                <w:sz w:val="22"/>
                <w:szCs w:val="22"/>
                <w:lang w:val="en-AU" w:eastAsia="en-AU"/>
              </w:rPr>
              <w:tab/>
            </w:r>
            <w:r w:rsidR="00C36AF0" w:rsidRPr="00DD7DA2">
              <w:rPr>
                <w:rStyle w:val="Hyperlink"/>
                <w:noProof/>
              </w:rPr>
              <w:t>Application Process</w:t>
            </w:r>
            <w:r w:rsidR="00C36AF0">
              <w:rPr>
                <w:noProof/>
                <w:webHidden/>
              </w:rPr>
              <w:tab/>
            </w:r>
            <w:r w:rsidR="00C36AF0">
              <w:rPr>
                <w:noProof/>
                <w:webHidden/>
              </w:rPr>
              <w:fldChar w:fldCharType="begin"/>
            </w:r>
            <w:r w:rsidR="00C36AF0">
              <w:rPr>
                <w:noProof/>
                <w:webHidden/>
              </w:rPr>
              <w:instrText xml:space="preserve"> PAGEREF _Toc427755355 \h </w:instrText>
            </w:r>
            <w:r w:rsidR="00C36AF0">
              <w:rPr>
                <w:noProof/>
                <w:webHidden/>
              </w:rPr>
            </w:r>
            <w:r w:rsidR="00C36AF0">
              <w:rPr>
                <w:noProof/>
                <w:webHidden/>
              </w:rPr>
              <w:fldChar w:fldCharType="separate"/>
            </w:r>
            <w:r w:rsidR="00C36AF0">
              <w:rPr>
                <w:noProof/>
                <w:webHidden/>
              </w:rPr>
              <w:t>15</w:t>
            </w:r>
            <w:r w:rsidR="00C36AF0">
              <w:rPr>
                <w:noProof/>
                <w:webHidden/>
              </w:rPr>
              <w:fldChar w:fldCharType="end"/>
            </w:r>
          </w:hyperlink>
        </w:p>
        <w:p w14:paraId="25BC22E0" w14:textId="77777777" w:rsidR="00C36AF0" w:rsidRDefault="00AF30B2">
          <w:pPr>
            <w:pStyle w:val="TOC2"/>
            <w:tabs>
              <w:tab w:val="left" w:pos="960"/>
              <w:tab w:val="right" w:leader="dot" w:pos="9628"/>
            </w:tabs>
            <w:rPr>
              <w:rFonts w:asciiTheme="minorHAnsi" w:eastAsiaTheme="minorEastAsia" w:hAnsiTheme="minorHAnsi" w:cstheme="minorBidi"/>
              <w:noProof/>
              <w:sz w:val="22"/>
              <w:szCs w:val="22"/>
              <w:lang w:val="en-AU" w:eastAsia="en-AU"/>
            </w:rPr>
          </w:pPr>
          <w:hyperlink w:anchor="_Toc427755356" w:history="1">
            <w:r w:rsidR="00C36AF0" w:rsidRPr="00DD7DA2">
              <w:rPr>
                <w:rStyle w:val="Hyperlink"/>
                <w:noProof/>
              </w:rPr>
              <w:t>5.1</w:t>
            </w:r>
            <w:r w:rsidR="00C36AF0">
              <w:rPr>
                <w:rFonts w:asciiTheme="minorHAnsi" w:eastAsiaTheme="minorEastAsia" w:hAnsiTheme="minorHAnsi" w:cstheme="minorBidi"/>
                <w:noProof/>
                <w:sz w:val="22"/>
                <w:szCs w:val="22"/>
                <w:lang w:val="en-AU" w:eastAsia="en-AU"/>
              </w:rPr>
              <w:tab/>
            </w:r>
            <w:r w:rsidR="00C36AF0" w:rsidRPr="00DD7DA2">
              <w:rPr>
                <w:rStyle w:val="Hyperlink"/>
                <w:noProof/>
              </w:rPr>
              <w:t>Obtaining an application pack</w:t>
            </w:r>
            <w:r w:rsidR="00C36AF0">
              <w:rPr>
                <w:noProof/>
                <w:webHidden/>
              </w:rPr>
              <w:tab/>
            </w:r>
            <w:r w:rsidR="00C36AF0">
              <w:rPr>
                <w:noProof/>
                <w:webHidden/>
              </w:rPr>
              <w:fldChar w:fldCharType="begin"/>
            </w:r>
            <w:r w:rsidR="00C36AF0">
              <w:rPr>
                <w:noProof/>
                <w:webHidden/>
              </w:rPr>
              <w:instrText xml:space="preserve"> PAGEREF _Toc427755356 \h </w:instrText>
            </w:r>
            <w:r w:rsidR="00C36AF0">
              <w:rPr>
                <w:noProof/>
                <w:webHidden/>
              </w:rPr>
            </w:r>
            <w:r w:rsidR="00C36AF0">
              <w:rPr>
                <w:noProof/>
                <w:webHidden/>
              </w:rPr>
              <w:fldChar w:fldCharType="separate"/>
            </w:r>
            <w:r w:rsidR="00C36AF0">
              <w:rPr>
                <w:noProof/>
                <w:webHidden/>
              </w:rPr>
              <w:t>15</w:t>
            </w:r>
            <w:r w:rsidR="00C36AF0">
              <w:rPr>
                <w:noProof/>
                <w:webHidden/>
              </w:rPr>
              <w:fldChar w:fldCharType="end"/>
            </w:r>
          </w:hyperlink>
        </w:p>
        <w:p w14:paraId="3D92BD56" w14:textId="77777777" w:rsidR="00C36AF0" w:rsidRDefault="00AF30B2">
          <w:pPr>
            <w:pStyle w:val="TOC2"/>
            <w:tabs>
              <w:tab w:val="left" w:pos="960"/>
              <w:tab w:val="right" w:leader="dot" w:pos="9628"/>
            </w:tabs>
            <w:rPr>
              <w:rFonts w:asciiTheme="minorHAnsi" w:eastAsiaTheme="minorEastAsia" w:hAnsiTheme="minorHAnsi" w:cstheme="minorBidi"/>
              <w:noProof/>
              <w:sz w:val="22"/>
              <w:szCs w:val="22"/>
              <w:lang w:val="en-AU" w:eastAsia="en-AU"/>
            </w:rPr>
          </w:pPr>
          <w:hyperlink w:anchor="_Toc427755357" w:history="1">
            <w:r w:rsidR="00C36AF0" w:rsidRPr="00DD7DA2">
              <w:rPr>
                <w:rStyle w:val="Hyperlink"/>
                <w:noProof/>
              </w:rPr>
              <w:t>5.2</w:t>
            </w:r>
            <w:r w:rsidR="00C36AF0">
              <w:rPr>
                <w:rFonts w:asciiTheme="minorHAnsi" w:eastAsiaTheme="minorEastAsia" w:hAnsiTheme="minorHAnsi" w:cstheme="minorBidi"/>
                <w:noProof/>
                <w:sz w:val="22"/>
                <w:szCs w:val="22"/>
                <w:lang w:val="en-AU" w:eastAsia="en-AU"/>
              </w:rPr>
              <w:tab/>
            </w:r>
            <w:r w:rsidR="00C36AF0" w:rsidRPr="00DD7DA2">
              <w:rPr>
                <w:rStyle w:val="Hyperlink"/>
                <w:noProof/>
              </w:rPr>
              <w:t>Application requirements</w:t>
            </w:r>
            <w:r w:rsidR="00C36AF0">
              <w:rPr>
                <w:noProof/>
                <w:webHidden/>
              </w:rPr>
              <w:tab/>
            </w:r>
            <w:r w:rsidR="00C36AF0">
              <w:rPr>
                <w:noProof/>
                <w:webHidden/>
              </w:rPr>
              <w:fldChar w:fldCharType="begin"/>
            </w:r>
            <w:r w:rsidR="00C36AF0">
              <w:rPr>
                <w:noProof/>
                <w:webHidden/>
              </w:rPr>
              <w:instrText xml:space="preserve"> PAGEREF _Toc427755357 \h </w:instrText>
            </w:r>
            <w:r w:rsidR="00C36AF0">
              <w:rPr>
                <w:noProof/>
                <w:webHidden/>
              </w:rPr>
            </w:r>
            <w:r w:rsidR="00C36AF0">
              <w:rPr>
                <w:noProof/>
                <w:webHidden/>
              </w:rPr>
              <w:fldChar w:fldCharType="separate"/>
            </w:r>
            <w:r w:rsidR="00C36AF0">
              <w:rPr>
                <w:noProof/>
                <w:webHidden/>
              </w:rPr>
              <w:t>16</w:t>
            </w:r>
            <w:r w:rsidR="00C36AF0">
              <w:rPr>
                <w:noProof/>
                <w:webHidden/>
              </w:rPr>
              <w:fldChar w:fldCharType="end"/>
            </w:r>
          </w:hyperlink>
        </w:p>
        <w:p w14:paraId="41767242" w14:textId="77777777" w:rsidR="00C36AF0" w:rsidRDefault="00AF30B2">
          <w:pPr>
            <w:pStyle w:val="TOC2"/>
            <w:tabs>
              <w:tab w:val="left" w:pos="960"/>
              <w:tab w:val="right" w:leader="dot" w:pos="9628"/>
            </w:tabs>
            <w:rPr>
              <w:rFonts w:asciiTheme="minorHAnsi" w:eastAsiaTheme="minorEastAsia" w:hAnsiTheme="minorHAnsi" w:cstheme="minorBidi"/>
              <w:noProof/>
              <w:sz w:val="22"/>
              <w:szCs w:val="22"/>
              <w:lang w:val="en-AU" w:eastAsia="en-AU"/>
            </w:rPr>
          </w:pPr>
          <w:hyperlink w:anchor="_Toc427755358" w:history="1">
            <w:r w:rsidR="00C36AF0" w:rsidRPr="00DD7DA2">
              <w:rPr>
                <w:rStyle w:val="Hyperlink"/>
                <w:noProof/>
              </w:rPr>
              <w:t>5.3</w:t>
            </w:r>
            <w:r w:rsidR="00C36AF0">
              <w:rPr>
                <w:rFonts w:asciiTheme="minorHAnsi" w:eastAsiaTheme="minorEastAsia" w:hAnsiTheme="minorHAnsi" w:cstheme="minorBidi"/>
                <w:noProof/>
                <w:sz w:val="22"/>
                <w:szCs w:val="22"/>
                <w:lang w:val="en-AU" w:eastAsia="en-AU"/>
              </w:rPr>
              <w:tab/>
            </w:r>
            <w:r w:rsidR="00C36AF0" w:rsidRPr="00DD7DA2">
              <w:rPr>
                <w:rStyle w:val="Hyperlink"/>
                <w:noProof/>
              </w:rPr>
              <w:t>How to submit an application</w:t>
            </w:r>
            <w:r w:rsidR="00C36AF0">
              <w:rPr>
                <w:noProof/>
                <w:webHidden/>
              </w:rPr>
              <w:tab/>
            </w:r>
            <w:r w:rsidR="00C36AF0">
              <w:rPr>
                <w:noProof/>
                <w:webHidden/>
              </w:rPr>
              <w:fldChar w:fldCharType="begin"/>
            </w:r>
            <w:r w:rsidR="00C36AF0">
              <w:rPr>
                <w:noProof/>
                <w:webHidden/>
              </w:rPr>
              <w:instrText xml:space="preserve"> PAGEREF _Toc427755358 \h </w:instrText>
            </w:r>
            <w:r w:rsidR="00C36AF0">
              <w:rPr>
                <w:noProof/>
                <w:webHidden/>
              </w:rPr>
            </w:r>
            <w:r w:rsidR="00C36AF0">
              <w:rPr>
                <w:noProof/>
                <w:webHidden/>
              </w:rPr>
              <w:fldChar w:fldCharType="separate"/>
            </w:r>
            <w:r w:rsidR="00C36AF0">
              <w:rPr>
                <w:noProof/>
                <w:webHidden/>
              </w:rPr>
              <w:t>16</w:t>
            </w:r>
            <w:r w:rsidR="00C36AF0">
              <w:rPr>
                <w:noProof/>
                <w:webHidden/>
              </w:rPr>
              <w:fldChar w:fldCharType="end"/>
            </w:r>
          </w:hyperlink>
        </w:p>
        <w:p w14:paraId="780A2052" w14:textId="77777777" w:rsidR="00C36AF0" w:rsidRDefault="00AF30B2">
          <w:pPr>
            <w:pStyle w:val="TOC1"/>
            <w:tabs>
              <w:tab w:val="left" w:pos="440"/>
              <w:tab w:val="right" w:leader="dot" w:pos="9628"/>
            </w:tabs>
            <w:rPr>
              <w:rFonts w:asciiTheme="minorHAnsi" w:eastAsiaTheme="minorEastAsia" w:hAnsiTheme="minorHAnsi" w:cstheme="minorBidi"/>
              <w:noProof/>
              <w:sz w:val="22"/>
              <w:szCs w:val="22"/>
              <w:lang w:val="en-AU" w:eastAsia="en-AU"/>
            </w:rPr>
          </w:pPr>
          <w:hyperlink w:anchor="_Toc427755359" w:history="1">
            <w:r w:rsidR="00C36AF0" w:rsidRPr="00DD7DA2">
              <w:rPr>
                <w:rStyle w:val="Hyperlink"/>
                <w:noProof/>
              </w:rPr>
              <w:t>6</w:t>
            </w:r>
            <w:r w:rsidR="00C36AF0">
              <w:rPr>
                <w:rFonts w:asciiTheme="minorHAnsi" w:eastAsiaTheme="minorEastAsia" w:hAnsiTheme="minorHAnsi" w:cstheme="minorBidi"/>
                <w:noProof/>
                <w:sz w:val="22"/>
                <w:szCs w:val="22"/>
                <w:lang w:val="en-AU" w:eastAsia="en-AU"/>
              </w:rPr>
              <w:tab/>
            </w:r>
            <w:r w:rsidR="00C36AF0" w:rsidRPr="00DD7DA2">
              <w:rPr>
                <w:rStyle w:val="Hyperlink"/>
                <w:noProof/>
              </w:rPr>
              <w:t>Selection Process</w:t>
            </w:r>
            <w:r w:rsidR="00C36AF0">
              <w:rPr>
                <w:noProof/>
                <w:webHidden/>
              </w:rPr>
              <w:tab/>
            </w:r>
            <w:r w:rsidR="00C36AF0">
              <w:rPr>
                <w:noProof/>
                <w:webHidden/>
              </w:rPr>
              <w:fldChar w:fldCharType="begin"/>
            </w:r>
            <w:r w:rsidR="00C36AF0">
              <w:rPr>
                <w:noProof/>
                <w:webHidden/>
              </w:rPr>
              <w:instrText xml:space="preserve"> PAGEREF _Toc427755359 \h </w:instrText>
            </w:r>
            <w:r w:rsidR="00C36AF0">
              <w:rPr>
                <w:noProof/>
                <w:webHidden/>
              </w:rPr>
            </w:r>
            <w:r w:rsidR="00C36AF0">
              <w:rPr>
                <w:noProof/>
                <w:webHidden/>
              </w:rPr>
              <w:fldChar w:fldCharType="separate"/>
            </w:r>
            <w:r w:rsidR="00C36AF0">
              <w:rPr>
                <w:noProof/>
                <w:webHidden/>
              </w:rPr>
              <w:t>16</w:t>
            </w:r>
            <w:r w:rsidR="00C36AF0">
              <w:rPr>
                <w:noProof/>
                <w:webHidden/>
              </w:rPr>
              <w:fldChar w:fldCharType="end"/>
            </w:r>
          </w:hyperlink>
        </w:p>
        <w:p w14:paraId="3786DB88" w14:textId="77777777" w:rsidR="00C36AF0" w:rsidRDefault="00AF30B2">
          <w:pPr>
            <w:pStyle w:val="TOC2"/>
            <w:tabs>
              <w:tab w:val="left" w:pos="960"/>
              <w:tab w:val="right" w:leader="dot" w:pos="9628"/>
            </w:tabs>
            <w:rPr>
              <w:rFonts w:asciiTheme="minorHAnsi" w:eastAsiaTheme="minorEastAsia" w:hAnsiTheme="minorHAnsi" w:cstheme="minorBidi"/>
              <w:noProof/>
              <w:sz w:val="22"/>
              <w:szCs w:val="22"/>
              <w:lang w:val="en-AU" w:eastAsia="en-AU"/>
            </w:rPr>
          </w:pPr>
          <w:hyperlink w:anchor="_Toc427755360" w:history="1">
            <w:r w:rsidR="00C36AF0" w:rsidRPr="00DD7DA2">
              <w:rPr>
                <w:rStyle w:val="Hyperlink"/>
                <w:noProof/>
              </w:rPr>
              <w:t>6.1</w:t>
            </w:r>
            <w:r w:rsidR="00C36AF0">
              <w:rPr>
                <w:rFonts w:asciiTheme="minorHAnsi" w:eastAsiaTheme="minorEastAsia" w:hAnsiTheme="minorHAnsi" w:cstheme="minorBidi"/>
                <w:noProof/>
                <w:sz w:val="22"/>
                <w:szCs w:val="22"/>
                <w:lang w:val="en-AU" w:eastAsia="en-AU"/>
              </w:rPr>
              <w:tab/>
            </w:r>
            <w:r w:rsidR="00C36AF0" w:rsidRPr="00DD7DA2">
              <w:rPr>
                <w:rStyle w:val="Hyperlink"/>
                <w:noProof/>
              </w:rPr>
              <w:t>Assessment process</w:t>
            </w:r>
            <w:r w:rsidR="00C36AF0">
              <w:rPr>
                <w:noProof/>
                <w:webHidden/>
              </w:rPr>
              <w:tab/>
            </w:r>
            <w:r w:rsidR="00C36AF0">
              <w:rPr>
                <w:noProof/>
                <w:webHidden/>
              </w:rPr>
              <w:fldChar w:fldCharType="begin"/>
            </w:r>
            <w:r w:rsidR="00C36AF0">
              <w:rPr>
                <w:noProof/>
                <w:webHidden/>
              </w:rPr>
              <w:instrText xml:space="preserve"> PAGEREF _Toc427755360 \h </w:instrText>
            </w:r>
            <w:r w:rsidR="00C36AF0">
              <w:rPr>
                <w:noProof/>
                <w:webHidden/>
              </w:rPr>
            </w:r>
            <w:r w:rsidR="00C36AF0">
              <w:rPr>
                <w:noProof/>
                <w:webHidden/>
              </w:rPr>
              <w:fldChar w:fldCharType="separate"/>
            </w:r>
            <w:r w:rsidR="00C36AF0">
              <w:rPr>
                <w:noProof/>
                <w:webHidden/>
              </w:rPr>
              <w:t>16</w:t>
            </w:r>
            <w:r w:rsidR="00C36AF0">
              <w:rPr>
                <w:noProof/>
                <w:webHidden/>
              </w:rPr>
              <w:fldChar w:fldCharType="end"/>
            </w:r>
          </w:hyperlink>
        </w:p>
        <w:p w14:paraId="4BA0BFE8" w14:textId="77777777" w:rsidR="00C36AF0" w:rsidRDefault="00AF30B2">
          <w:pPr>
            <w:pStyle w:val="TOC3"/>
            <w:tabs>
              <w:tab w:val="right" w:leader="dot" w:pos="9628"/>
            </w:tabs>
            <w:rPr>
              <w:rFonts w:asciiTheme="minorHAnsi" w:eastAsiaTheme="minorEastAsia" w:hAnsiTheme="minorHAnsi" w:cstheme="minorBidi"/>
              <w:noProof/>
              <w:sz w:val="22"/>
              <w:szCs w:val="22"/>
              <w:lang w:val="en-AU" w:eastAsia="en-AU"/>
            </w:rPr>
          </w:pPr>
          <w:hyperlink w:anchor="_Toc427755361" w:history="1">
            <w:r w:rsidR="00C36AF0" w:rsidRPr="00DD7DA2">
              <w:rPr>
                <w:rStyle w:val="Hyperlink"/>
                <w:noProof/>
              </w:rPr>
              <w:t>Stage 1 – Eligibility Criteria</w:t>
            </w:r>
            <w:r w:rsidR="00C36AF0">
              <w:rPr>
                <w:noProof/>
                <w:webHidden/>
              </w:rPr>
              <w:tab/>
            </w:r>
            <w:r w:rsidR="00C36AF0">
              <w:rPr>
                <w:noProof/>
                <w:webHidden/>
              </w:rPr>
              <w:fldChar w:fldCharType="begin"/>
            </w:r>
            <w:r w:rsidR="00C36AF0">
              <w:rPr>
                <w:noProof/>
                <w:webHidden/>
              </w:rPr>
              <w:instrText xml:space="preserve"> PAGEREF _Toc427755361 \h </w:instrText>
            </w:r>
            <w:r w:rsidR="00C36AF0">
              <w:rPr>
                <w:noProof/>
                <w:webHidden/>
              </w:rPr>
            </w:r>
            <w:r w:rsidR="00C36AF0">
              <w:rPr>
                <w:noProof/>
                <w:webHidden/>
              </w:rPr>
              <w:fldChar w:fldCharType="separate"/>
            </w:r>
            <w:r w:rsidR="00C36AF0">
              <w:rPr>
                <w:noProof/>
                <w:webHidden/>
              </w:rPr>
              <w:t>16</w:t>
            </w:r>
            <w:r w:rsidR="00C36AF0">
              <w:rPr>
                <w:noProof/>
                <w:webHidden/>
              </w:rPr>
              <w:fldChar w:fldCharType="end"/>
            </w:r>
          </w:hyperlink>
        </w:p>
        <w:p w14:paraId="70EEF667" w14:textId="77777777" w:rsidR="00C36AF0" w:rsidRDefault="00AF30B2">
          <w:pPr>
            <w:pStyle w:val="TOC3"/>
            <w:tabs>
              <w:tab w:val="right" w:leader="dot" w:pos="9628"/>
            </w:tabs>
            <w:rPr>
              <w:rFonts w:asciiTheme="minorHAnsi" w:eastAsiaTheme="minorEastAsia" w:hAnsiTheme="minorHAnsi" w:cstheme="minorBidi"/>
              <w:noProof/>
              <w:sz w:val="22"/>
              <w:szCs w:val="22"/>
              <w:lang w:val="en-AU" w:eastAsia="en-AU"/>
            </w:rPr>
          </w:pPr>
          <w:hyperlink w:anchor="_Toc427755362" w:history="1">
            <w:r w:rsidR="00C36AF0" w:rsidRPr="00DD7DA2">
              <w:rPr>
                <w:rStyle w:val="Hyperlink"/>
                <w:noProof/>
              </w:rPr>
              <w:t>Stage 2 – Selection Criteria</w:t>
            </w:r>
            <w:r w:rsidR="00C36AF0">
              <w:rPr>
                <w:noProof/>
                <w:webHidden/>
              </w:rPr>
              <w:tab/>
            </w:r>
            <w:r w:rsidR="00C36AF0">
              <w:rPr>
                <w:noProof/>
                <w:webHidden/>
              </w:rPr>
              <w:fldChar w:fldCharType="begin"/>
            </w:r>
            <w:r w:rsidR="00C36AF0">
              <w:rPr>
                <w:noProof/>
                <w:webHidden/>
              </w:rPr>
              <w:instrText xml:space="preserve"> PAGEREF _Toc427755362 \h </w:instrText>
            </w:r>
            <w:r w:rsidR="00C36AF0">
              <w:rPr>
                <w:noProof/>
                <w:webHidden/>
              </w:rPr>
            </w:r>
            <w:r w:rsidR="00C36AF0">
              <w:rPr>
                <w:noProof/>
                <w:webHidden/>
              </w:rPr>
              <w:fldChar w:fldCharType="separate"/>
            </w:r>
            <w:r w:rsidR="00C36AF0">
              <w:rPr>
                <w:noProof/>
                <w:webHidden/>
              </w:rPr>
              <w:t>16</w:t>
            </w:r>
            <w:r w:rsidR="00C36AF0">
              <w:rPr>
                <w:noProof/>
                <w:webHidden/>
              </w:rPr>
              <w:fldChar w:fldCharType="end"/>
            </w:r>
          </w:hyperlink>
        </w:p>
        <w:p w14:paraId="1A6FC66E" w14:textId="77777777" w:rsidR="00C36AF0" w:rsidRDefault="00AF30B2">
          <w:pPr>
            <w:pStyle w:val="TOC2"/>
            <w:tabs>
              <w:tab w:val="left" w:pos="960"/>
              <w:tab w:val="right" w:leader="dot" w:pos="9628"/>
            </w:tabs>
            <w:rPr>
              <w:rFonts w:asciiTheme="minorHAnsi" w:eastAsiaTheme="minorEastAsia" w:hAnsiTheme="minorHAnsi" w:cstheme="minorBidi"/>
              <w:noProof/>
              <w:sz w:val="22"/>
              <w:szCs w:val="22"/>
              <w:lang w:val="en-AU" w:eastAsia="en-AU"/>
            </w:rPr>
          </w:pPr>
          <w:hyperlink w:anchor="_Toc427755363" w:history="1">
            <w:r w:rsidR="00C36AF0" w:rsidRPr="00DD7DA2">
              <w:rPr>
                <w:rStyle w:val="Hyperlink"/>
                <w:noProof/>
              </w:rPr>
              <w:t>6.2</w:t>
            </w:r>
            <w:r w:rsidR="00C36AF0">
              <w:rPr>
                <w:rFonts w:asciiTheme="minorHAnsi" w:eastAsiaTheme="minorEastAsia" w:hAnsiTheme="minorHAnsi" w:cstheme="minorBidi"/>
                <w:noProof/>
                <w:sz w:val="22"/>
                <w:szCs w:val="22"/>
                <w:lang w:val="en-AU" w:eastAsia="en-AU"/>
              </w:rPr>
              <w:tab/>
            </w:r>
            <w:r w:rsidR="00C36AF0" w:rsidRPr="00DD7DA2">
              <w:rPr>
                <w:rStyle w:val="Hyperlink"/>
                <w:noProof/>
              </w:rPr>
              <w:t>Selection Criteria</w:t>
            </w:r>
            <w:r w:rsidR="00C36AF0">
              <w:rPr>
                <w:noProof/>
                <w:webHidden/>
              </w:rPr>
              <w:tab/>
            </w:r>
            <w:r w:rsidR="00C36AF0">
              <w:rPr>
                <w:noProof/>
                <w:webHidden/>
              </w:rPr>
              <w:fldChar w:fldCharType="begin"/>
            </w:r>
            <w:r w:rsidR="00C36AF0">
              <w:rPr>
                <w:noProof/>
                <w:webHidden/>
              </w:rPr>
              <w:instrText xml:space="preserve"> PAGEREF _Toc427755363 \h </w:instrText>
            </w:r>
            <w:r w:rsidR="00C36AF0">
              <w:rPr>
                <w:noProof/>
                <w:webHidden/>
              </w:rPr>
            </w:r>
            <w:r w:rsidR="00C36AF0">
              <w:rPr>
                <w:noProof/>
                <w:webHidden/>
              </w:rPr>
              <w:fldChar w:fldCharType="separate"/>
            </w:r>
            <w:r w:rsidR="00C36AF0">
              <w:rPr>
                <w:noProof/>
                <w:webHidden/>
              </w:rPr>
              <w:t>16</w:t>
            </w:r>
            <w:r w:rsidR="00C36AF0">
              <w:rPr>
                <w:noProof/>
                <w:webHidden/>
              </w:rPr>
              <w:fldChar w:fldCharType="end"/>
            </w:r>
          </w:hyperlink>
        </w:p>
        <w:p w14:paraId="4D1C2AEC" w14:textId="77777777" w:rsidR="00C36AF0" w:rsidRDefault="00AF30B2">
          <w:pPr>
            <w:pStyle w:val="TOC3"/>
            <w:tabs>
              <w:tab w:val="right" w:leader="dot" w:pos="9628"/>
            </w:tabs>
            <w:rPr>
              <w:rFonts w:asciiTheme="minorHAnsi" w:eastAsiaTheme="minorEastAsia" w:hAnsiTheme="minorHAnsi" w:cstheme="minorBidi"/>
              <w:noProof/>
              <w:sz w:val="22"/>
              <w:szCs w:val="22"/>
              <w:lang w:val="en-AU" w:eastAsia="en-AU"/>
            </w:rPr>
          </w:pPr>
          <w:hyperlink w:anchor="_Toc427755364" w:history="1">
            <w:r w:rsidR="00C36AF0" w:rsidRPr="00DD7DA2">
              <w:rPr>
                <w:rStyle w:val="Hyperlink"/>
                <w:noProof/>
              </w:rPr>
              <w:t>Value with Relevant Money</w:t>
            </w:r>
            <w:r w:rsidR="00C36AF0">
              <w:rPr>
                <w:noProof/>
                <w:webHidden/>
              </w:rPr>
              <w:tab/>
            </w:r>
            <w:r w:rsidR="00C36AF0">
              <w:rPr>
                <w:noProof/>
                <w:webHidden/>
              </w:rPr>
              <w:fldChar w:fldCharType="begin"/>
            </w:r>
            <w:r w:rsidR="00C36AF0">
              <w:rPr>
                <w:noProof/>
                <w:webHidden/>
              </w:rPr>
              <w:instrText xml:space="preserve"> PAGEREF _Toc427755364 \h </w:instrText>
            </w:r>
            <w:r w:rsidR="00C36AF0">
              <w:rPr>
                <w:noProof/>
                <w:webHidden/>
              </w:rPr>
            </w:r>
            <w:r w:rsidR="00C36AF0">
              <w:rPr>
                <w:noProof/>
                <w:webHidden/>
              </w:rPr>
              <w:fldChar w:fldCharType="separate"/>
            </w:r>
            <w:r w:rsidR="00C36AF0">
              <w:rPr>
                <w:noProof/>
                <w:webHidden/>
              </w:rPr>
              <w:t>17</w:t>
            </w:r>
            <w:r w:rsidR="00C36AF0">
              <w:rPr>
                <w:noProof/>
                <w:webHidden/>
              </w:rPr>
              <w:fldChar w:fldCharType="end"/>
            </w:r>
          </w:hyperlink>
        </w:p>
        <w:p w14:paraId="4CA78C15" w14:textId="77777777" w:rsidR="00C36AF0" w:rsidRDefault="00AF30B2">
          <w:pPr>
            <w:pStyle w:val="TOC1"/>
            <w:tabs>
              <w:tab w:val="left" w:pos="440"/>
              <w:tab w:val="right" w:leader="dot" w:pos="9628"/>
            </w:tabs>
            <w:rPr>
              <w:rFonts w:asciiTheme="minorHAnsi" w:eastAsiaTheme="minorEastAsia" w:hAnsiTheme="minorHAnsi" w:cstheme="minorBidi"/>
              <w:noProof/>
              <w:sz w:val="22"/>
              <w:szCs w:val="22"/>
              <w:lang w:val="en-AU" w:eastAsia="en-AU"/>
            </w:rPr>
          </w:pPr>
          <w:hyperlink w:anchor="_Toc427755365" w:history="1">
            <w:r w:rsidR="00C36AF0" w:rsidRPr="00DD7DA2">
              <w:rPr>
                <w:rStyle w:val="Hyperlink"/>
                <w:noProof/>
              </w:rPr>
              <w:t>7</w:t>
            </w:r>
            <w:r w:rsidR="00C36AF0">
              <w:rPr>
                <w:rFonts w:asciiTheme="minorHAnsi" w:eastAsiaTheme="minorEastAsia" w:hAnsiTheme="minorHAnsi" w:cstheme="minorBidi"/>
                <w:noProof/>
                <w:sz w:val="22"/>
                <w:szCs w:val="22"/>
                <w:lang w:val="en-AU" w:eastAsia="en-AU"/>
              </w:rPr>
              <w:tab/>
            </w:r>
            <w:r w:rsidR="00C36AF0" w:rsidRPr="00DD7DA2">
              <w:rPr>
                <w:rStyle w:val="Hyperlink"/>
                <w:noProof/>
              </w:rPr>
              <w:t>Decision Making</w:t>
            </w:r>
            <w:r w:rsidR="00C36AF0">
              <w:rPr>
                <w:noProof/>
                <w:webHidden/>
              </w:rPr>
              <w:tab/>
            </w:r>
            <w:r w:rsidR="00C36AF0">
              <w:rPr>
                <w:noProof/>
                <w:webHidden/>
              </w:rPr>
              <w:fldChar w:fldCharType="begin"/>
            </w:r>
            <w:r w:rsidR="00C36AF0">
              <w:rPr>
                <w:noProof/>
                <w:webHidden/>
              </w:rPr>
              <w:instrText xml:space="preserve"> PAGEREF _Toc427755365 \h </w:instrText>
            </w:r>
            <w:r w:rsidR="00C36AF0">
              <w:rPr>
                <w:noProof/>
                <w:webHidden/>
              </w:rPr>
            </w:r>
            <w:r w:rsidR="00C36AF0">
              <w:rPr>
                <w:noProof/>
                <w:webHidden/>
              </w:rPr>
              <w:fldChar w:fldCharType="separate"/>
            </w:r>
            <w:r w:rsidR="00C36AF0">
              <w:rPr>
                <w:noProof/>
                <w:webHidden/>
              </w:rPr>
              <w:t>17</w:t>
            </w:r>
            <w:r w:rsidR="00C36AF0">
              <w:rPr>
                <w:noProof/>
                <w:webHidden/>
              </w:rPr>
              <w:fldChar w:fldCharType="end"/>
            </w:r>
          </w:hyperlink>
        </w:p>
        <w:p w14:paraId="52B5CE21" w14:textId="77777777" w:rsidR="00C36AF0" w:rsidRDefault="00AF30B2">
          <w:pPr>
            <w:pStyle w:val="TOC2"/>
            <w:tabs>
              <w:tab w:val="left" w:pos="960"/>
              <w:tab w:val="right" w:leader="dot" w:pos="9628"/>
            </w:tabs>
            <w:rPr>
              <w:rFonts w:asciiTheme="minorHAnsi" w:eastAsiaTheme="minorEastAsia" w:hAnsiTheme="minorHAnsi" w:cstheme="minorBidi"/>
              <w:noProof/>
              <w:sz w:val="22"/>
              <w:szCs w:val="22"/>
              <w:lang w:val="en-AU" w:eastAsia="en-AU"/>
            </w:rPr>
          </w:pPr>
          <w:hyperlink w:anchor="_Toc427755366" w:history="1">
            <w:r w:rsidR="00C36AF0" w:rsidRPr="00DD7DA2">
              <w:rPr>
                <w:rStyle w:val="Hyperlink"/>
                <w:noProof/>
              </w:rPr>
              <w:t>7.1</w:t>
            </w:r>
            <w:r w:rsidR="00C36AF0">
              <w:rPr>
                <w:rFonts w:asciiTheme="minorHAnsi" w:eastAsiaTheme="minorEastAsia" w:hAnsiTheme="minorHAnsi" w:cstheme="minorBidi"/>
                <w:noProof/>
                <w:sz w:val="22"/>
                <w:szCs w:val="22"/>
                <w:lang w:val="en-AU" w:eastAsia="en-AU"/>
              </w:rPr>
              <w:tab/>
            </w:r>
            <w:r w:rsidR="00C36AF0" w:rsidRPr="00DD7DA2">
              <w:rPr>
                <w:rStyle w:val="Hyperlink"/>
                <w:noProof/>
              </w:rPr>
              <w:t>Approval of funding</w:t>
            </w:r>
            <w:r w:rsidR="00C36AF0">
              <w:rPr>
                <w:noProof/>
                <w:webHidden/>
              </w:rPr>
              <w:tab/>
            </w:r>
            <w:r w:rsidR="00C36AF0">
              <w:rPr>
                <w:noProof/>
                <w:webHidden/>
              </w:rPr>
              <w:fldChar w:fldCharType="begin"/>
            </w:r>
            <w:r w:rsidR="00C36AF0">
              <w:rPr>
                <w:noProof/>
                <w:webHidden/>
              </w:rPr>
              <w:instrText xml:space="preserve"> PAGEREF _Toc427755366 \h </w:instrText>
            </w:r>
            <w:r w:rsidR="00C36AF0">
              <w:rPr>
                <w:noProof/>
                <w:webHidden/>
              </w:rPr>
            </w:r>
            <w:r w:rsidR="00C36AF0">
              <w:rPr>
                <w:noProof/>
                <w:webHidden/>
              </w:rPr>
              <w:fldChar w:fldCharType="separate"/>
            </w:r>
            <w:r w:rsidR="00C36AF0">
              <w:rPr>
                <w:noProof/>
                <w:webHidden/>
              </w:rPr>
              <w:t>17</w:t>
            </w:r>
            <w:r w:rsidR="00C36AF0">
              <w:rPr>
                <w:noProof/>
                <w:webHidden/>
              </w:rPr>
              <w:fldChar w:fldCharType="end"/>
            </w:r>
          </w:hyperlink>
        </w:p>
        <w:p w14:paraId="23B1B34A" w14:textId="77777777" w:rsidR="00C36AF0" w:rsidRDefault="00AF30B2">
          <w:pPr>
            <w:pStyle w:val="TOC2"/>
            <w:tabs>
              <w:tab w:val="left" w:pos="960"/>
              <w:tab w:val="right" w:leader="dot" w:pos="9628"/>
            </w:tabs>
            <w:rPr>
              <w:rFonts w:asciiTheme="minorHAnsi" w:eastAsiaTheme="minorEastAsia" w:hAnsiTheme="minorHAnsi" w:cstheme="minorBidi"/>
              <w:noProof/>
              <w:sz w:val="22"/>
              <w:szCs w:val="22"/>
              <w:lang w:val="en-AU" w:eastAsia="en-AU"/>
            </w:rPr>
          </w:pPr>
          <w:hyperlink w:anchor="_Toc427755367" w:history="1">
            <w:r w:rsidR="00C36AF0" w:rsidRPr="00DD7DA2">
              <w:rPr>
                <w:rStyle w:val="Hyperlink"/>
                <w:noProof/>
              </w:rPr>
              <w:t>7.2</w:t>
            </w:r>
            <w:r w:rsidR="00C36AF0">
              <w:rPr>
                <w:rFonts w:asciiTheme="minorHAnsi" w:eastAsiaTheme="minorEastAsia" w:hAnsiTheme="minorHAnsi" w:cstheme="minorBidi"/>
                <w:noProof/>
                <w:sz w:val="22"/>
                <w:szCs w:val="22"/>
                <w:lang w:val="en-AU" w:eastAsia="en-AU"/>
              </w:rPr>
              <w:tab/>
            </w:r>
            <w:r w:rsidR="00C36AF0" w:rsidRPr="00DD7DA2">
              <w:rPr>
                <w:rStyle w:val="Hyperlink"/>
                <w:noProof/>
              </w:rPr>
              <w:t>Advice to Applicants</w:t>
            </w:r>
            <w:r w:rsidR="00C36AF0">
              <w:rPr>
                <w:noProof/>
                <w:webHidden/>
              </w:rPr>
              <w:tab/>
            </w:r>
            <w:r w:rsidR="00C36AF0">
              <w:rPr>
                <w:noProof/>
                <w:webHidden/>
              </w:rPr>
              <w:fldChar w:fldCharType="begin"/>
            </w:r>
            <w:r w:rsidR="00C36AF0">
              <w:rPr>
                <w:noProof/>
                <w:webHidden/>
              </w:rPr>
              <w:instrText xml:space="preserve"> PAGEREF _Toc427755367 \h </w:instrText>
            </w:r>
            <w:r w:rsidR="00C36AF0">
              <w:rPr>
                <w:noProof/>
                <w:webHidden/>
              </w:rPr>
            </w:r>
            <w:r w:rsidR="00C36AF0">
              <w:rPr>
                <w:noProof/>
                <w:webHidden/>
              </w:rPr>
              <w:fldChar w:fldCharType="separate"/>
            </w:r>
            <w:r w:rsidR="00C36AF0">
              <w:rPr>
                <w:noProof/>
                <w:webHidden/>
              </w:rPr>
              <w:t>17</w:t>
            </w:r>
            <w:r w:rsidR="00C36AF0">
              <w:rPr>
                <w:noProof/>
                <w:webHidden/>
              </w:rPr>
              <w:fldChar w:fldCharType="end"/>
            </w:r>
          </w:hyperlink>
        </w:p>
        <w:p w14:paraId="7337D58D" w14:textId="77777777" w:rsidR="00C36AF0" w:rsidRDefault="00AF30B2">
          <w:pPr>
            <w:pStyle w:val="TOC2"/>
            <w:tabs>
              <w:tab w:val="left" w:pos="960"/>
              <w:tab w:val="right" w:leader="dot" w:pos="9628"/>
            </w:tabs>
            <w:rPr>
              <w:rFonts w:asciiTheme="minorHAnsi" w:eastAsiaTheme="minorEastAsia" w:hAnsiTheme="minorHAnsi" w:cstheme="minorBidi"/>
              <w:noProof/>
              <w:sz w:val="22"/>
              <w:szCs w:val="22"/>
              <w:lang w:val="en-AU" w:eastAsia="en-AU"/>
            </w:rPr>
          </w:pPr>
          <w:hyperlink w:anchor="_Toc427755368" w:history="1">
            <w:r w:rsidR="00C36AF0" w:rsidRPr="00DD7DA2">
              <w:rPr>
                <w:rStyle w:val="Hyperlink"/>
                <w:noProof/>
              </w:rPr>
              <w:t>7.3</w:t>
            </w:r>
            <w:r w:rsidR="00C36AF0">
              <w:rPr>
                <w:rFonts w:asciiTheme="minorHAnsi" w:eastAsiaTheme="minorEastAsia" w:hAnsiTheme="minorHAnsi" w:cstheme="minorBidi"/>
                <w:noProof/>
                <w:sz w:val="22"/>
                <w:szCs w:val="22"/>
                <w:lang w:val="en-AU" w:eastAsia="en-AU"/>
              </w:rPr>
              <w:tab/>
            </w:r>
            <w:r w:rsidR="00C36AF0" w:rsidRPr="00DD7DA2">
              <w:rPr>
                <w:rStyle w:val="Hyperlink"/>
                <w:noProof/>
              </w:rPr>
              <w:t>Complaint handling</w:t>
            </w:r>
            <w:r w:rsidR="00C36AF0">
              <w:rPr>
                <w:noProof/>
                <w:webHidden/>
              </w:rPr>
              <w:tab/>
            </w:r>
            <w:r w:rsidR="00C36AF0">
              <w:rPr>
                <w:noProof/>
                <w:webHidden/>
              </w:rPr>
              <w:fldChar w:fldCharType="begin"/>
            </w:r>
            <w:r w:rsidR="00C36AF0">
              <w:rPr>
                <w:noProof/>
                <w:webHidden/>
              </w:rPr>
              <w:instrText xml:space="preserve"> PAGEREF _Toc427755368 \h </w:instrText>
            </w:r>
            <w:r w:rsidR="00C36AF0">
              <w:rPr>
                <w:noProof/>
                <w:webHidden/>
              </w:rPr>
            </w:r>
            <w:r w:rsidR="00C36AF0">
              <w:rPr>
                <w:noProof/>
                <w:webHidden/>
              </w:rPr>
              <w:fldChar w:fldCharType="separate"/>
            </w:r>
            <w:r w:rsidR="00C36AF0">
              <w:rPr>
                <w:noProof/>
                <w:webHidden/>
              </w:rPr>
              <w:t>17</w:t>
            </w:r>
            <w:r w:rsidR="00C36AF0">
              <w:rPr>
                <w:noProof/>
                <w:webHidden/>
              </w:rPr>
              <w:fldChar w:fldCharType="end"/>
            </w:r>
          </w:hyperlink>
        </w:p>
        <w:p w14:paraId="400880DA" w14:textId="77777777" w:rsidR="00C36AF0" w:rsidRDefault="00AF30B2">
          <w:pPr>
            <w:pStyle w:val="TOC1"/>
            <w:tabs>
              <w:tab w:val="left" w:pos="440"/>
              <w:tab w:val="right" w:leader="dot" w:pos="9628"/>
            </w:tabs>
            <w:rPr>
              <w:rFonts w:asciiTheme="minorHAnsi" w:eastAsiaTheme="minorEastAsia" w:hAnsiTheme="minorHAnsi" w:cstheme="minorBidi"/>
              <w:noProof/>
              <w:sz w:val="22"/>
              <w:szCs w:val="22"/>
              <w:lang w:val="en-AU" w:eastAsia="en-AU"/>
            </w:rPr>
          </w:pPr>
          <w:hyperlink w:anchor="_Toc427755369" w:history="1">
            <w:r w:rsidR="00C36AF0" w:rsidRPr="00DD7DA2">
              <w:rPr>
                <w:rStyle w:val="Hyperlink"/>
                <w:noProof/>
              </w:rPr>
              <w:t>8</w:t>
            </w:r>
            <w:r w:rsidR="00C36AF0">
              <w:rPr>
                <w:rFonts w:asciiTheme="minorHAnsi" w:eastAsiaTheme="minorEastAsia" w:hAnsiTheme="minorHAnsi" w:cstheme="minorBidi"/>
                <w:noProof/>
                <w:sz w:val="22"/>
                <w:szCs w:val="22"/>
                <w:lang w:val="en-AU" w:eastAsia="en-AU"/>
              </w:rPr>
              <w:tab/>
            </w:r>
            <w:r w:rsidR="00C36AF0" w:rsidRPr="00DD7DA2">
              <w:rPr>
                <w:rStyle w:val="Hyperlink"/>
                <w:noProof/>
              </w:rPr>
              <w:t>Governance and Accountability</w:t>
            </w:r>
            <w:r w:rsidR="00C36AF0">
              <w:rPr>
                <w:noProof/>
                <w:webHidden/>
              </w:rPr>
              <w:tab/>
            </w:r>
            <w:r w:rsidR="00C36AF0">
              <w:rPr>
                <w:noProof/>
                <w:webHidden/>
              </w:rPr>
              <w:fldChar w:fldCharType="begin"/>
            </w:r>
            <w:r w:rsidR="00C36AF0">
              <w:rPr>
                <w:noProof/>
                <w:webHidden/>
              </w:rPr>
              <w:instrText xml:space="preserve"> PAGEREF _Toc427755369 \h </w:instrText>
            </w:r>
            <w:r w:rsidR="00C36AF0">
              <w:rPr>
                <w:noProof/>
                <w:webHidden/>
              </w:rPr>
            </w:r>
            <w:r w:rsidR="00C36AF0">
              <w:rPr>
                <w:noProof/>
                <w:webHidden/>
              </w:rPr>
              <w:fldChar w:fldCharType="separate"/>
            </w:r>
            <w:r w:rsidR="00C36AF0">
              <w:rPr>
                <w:noProof/>
                <w:webHidden/>
              </w:rPr>
              <w:t>18</w:t>
            </w:r>
            <w:r w:rsidR="00C36AF0">
              <w:rPr>
                <w:noProof/>
                <w:webHidden/>
              </w:rPr>
              <w:fldChar w:fldCharType="end"/>
            </w:r>
          </w:hyperlink>
        </w:p>
        <w:p w14:paraId="214403FD" w14:textId="77777777" w:rsidR="00C36AF0" w:rsidRDefault="00AF30B2">
          <w:pPr>
            <w:pStyle w:val="TOC2"/>
            <w:tabs>
              <w:tab w:val="left" w:pos="960"/>
              <w:tab w:val="right" w:leader="dot" w:pos="9628"/>
            </w:tabs>
            <w:rPr>
              <w:rFonts w:asciiTheme="minorHAnsi" w:eastAsiaTheme="minorEastAsia" w:hAnsiTheme="minorHAnsi" w:cstheme="minorBidi"/>
              <w:noProof/>
              <w:sz w:val="22"/>
              <w:szCs w:val="22"/>
              <w:lang w:val="en-AU" w:eastAsia="en-AU"/>
            </w:rPr>
          </w:pPr>
          <w:hyperlink w:anchor="_Toc427755370" w:history="1">
            <w:r w:rsidR="00C36AF0" w:rsidRPr="00DD7DA2">
              <w:rPr>
                <w:rStyle w:val="Hyperlink"/>
                <w:noProof/>
              </w:rPr>
              <w:t>8.1</w:t>
            </w:r>
            <w:r w:rsidR="00C36AF0">
              <w:rPr>
                <w:rFonts w:asciiTheme="minorHAnsi" w:eastAsiaTheme="minorEastAsia" w:hAnsiTheme="minorHAnsi" w:cstheme="minorBidi"/>
                <w:noProof/>
                <w:sz w:val="22"/>
                <w:szCs w:val="22"/>
                <w:lang w:val="en-AU" w:eastAsia="en-AU"/>
              </w:rPr>
              <w:tab/>
            </w:r>
            <w:r w:rsidR="00C36AF0" w:rsidRPr="00DD7DA2">
              <w:rPr>
                <w:rStyle w:val="Hyperlink"/>
                <w:noProof/>
              </w:rPr>
              <w:t>Contracting arrangements</w:t>
            </w:r>
            <w:r w:rsidR="00C36AF0">
              <w:rPr>
                <w:noProof/>
                <w:webHidden/>
              </w:rPr>
              <w:tab/>
            </w:r>
            <w:r w:rsidR="00C36AF0">
              <w:rPr>
                <w:noProof/>
                <w:webHidden/>
              </w:rPr>
              <w:fldChar w:fldCharType="begin"/>
            </w:r>
            <w:r w:rsidR="00C36AF0">
              <w:rPr>
                <w:noProof/>
                <w:webHidden/>
              </w:rPr>
              <w:instrText xml:space="preserve"> PAGEREF _Toc427755370 \h </w:instrText>
            </w:r>
            <w:r w:rsidR="00C36AF0">
              <w:rPr>
                <w:noProof/>
                <w:webHidden/>
              </w:rPr>
            </w:r>
            <w:r w:rsidR="00C36AF0">
              <w:rPr>
                <w:noProof/>
                <w:webHidden/>
              </w:rPr>
              <w:fldChar w:fldCharType="separate"/>
            </w:r>
            <w:r w:rsidR="00C36AF0">
              <w:rPr>
                <w:noProof/>
                <w:webHidden/>
              </w:rPr>
              <w:t>18</w:t>
            </w:r>
            <w:r w:rsidR="00C36AF0">
              <w:rPr>
                <w:noProof/>
                <w:webHidden/>
              </w:rPr>
              <w:fldChar w:fldCharType="end"/>
            </w:r>
          </w:hyperlink>
        </w:p>
        <w:p w14:paraId="4959BDC0" w14:textId="77777777" w:rsidR="00C36AF0" w:rsidRDefault="00AF30B2">
          <w:pPr>
            <w:pStyle w:val="TOC2"/>
            <w:tabs>
              <w:tab w:val="left" w:pos="960"/>
              <w:tab w:val="right" w:leader="dot" w:pos="9628"/>
            </w:tabs>
            <w:rPr>
              <w:rFonts w:asciiTheme="minorHAnsi" w:eastAsiaTheme="minorEastAsia" w:hAnsiTheme="minorHAnsi" w:cstheme="minorBidi"/>
              <w:noProof/>
              <w:sz w:val="22"/>
              <w:szCs w:val="22"/>
              <w:lang w:val="en-AU" w:eastAsia="en-AU"/>
            </w:rPr>
          </w:pPr>
          <w:hyperlink w:anchor="_Toc427755371" w:history="1">
            <w:r w:rsidR="00C36AF0" w:rsidRPr="00DD7DA2">
              <w:rPr>
                <w:rStyle w:val="Hyperlink"/>
                <w:noProof/>
              </w:rPr>
              <w:t>8.2</w:t>
            </w:r>
            <w:r w:rsidR="00C36AF0">
              <w:rPr>
                <w:rFonts w:asciiTheme="minorHAnsi" w:eastAsiaTheme="minorEastAsia" w:hAnsiTheme="minorHAnsi" w:cstheme="minorBidi"/>
                <w:noProof/>
                <w:sz w:val="22"/>
                <w:szCs w:val="22"/>
                <w:lang w:val="en-AU" w:eastAsia="en-AU"/>
              </w:rPr>
              <w:tab/>
            </w:r>
            <w:r w:rsidR="00C36AF0" w:rsidRPr="00DD7DA2">
              <w:rPr>
                <w:rStyle w:val="Hyperlink"/>
                <w:noProof/>
              </w:rPr>
              <w:t>Specific conditions</w:t>
            </w:r>
            <w:r w:rsidR="00C36AF0">
              <w:rPr>
                <w:noProof/>
                <w:webHidden/>
              </w:rPr>
              <w:tab/>
            </w:r>
            <w:r w:rsidR="00C36AF0">
              <w:rPr>
                <w:noProof/>
                <w:webHidden/>
              </w:rPr>
              <w:fldChar w:fldCharType="begin"/>
            </w:r>
            <w:r w:rsidR="00C36AF0">
              <w:rPr>
                <w:noProof/>
                <w:webHidden/>
              </w:rPr>
              <w:instrText xml:space="preserve"> PAGEREF _Toc427755371 \h </w:instrText>
            </w:r>
            <w:r w:rsidR="00C36AF0">
              <w:rPr>
                <w:noProof/>
                <w:webHidden/>
              </w:rPr>
            </w:r>
            <w:r w:rsidR="00C36AF0">
              <w:rPr>
                <w:noProof/>
                <w:webHidden/>
              </w:rPr>
              <w:fldChar w:fldCharType="separate"/>
            </w:r>
            <w:r w:rsidR="00C36AF0">
              <w:rPr>
                <w:noProof/>
                <w:webHidden/>
              </w:rPr>
              <w:t>18</w:t>
            </w:r>
            <w:r w:rsidR="00C36AF0">
              <w:rPr>
                <w:noProof/>
                <w:webHidden/>
              </w:rPr>
              <w:fldChar w:fldCharType="end"/>
            </w:r>
          </w:hyperlink>
        </w:p>
        <w:p w14:paraId="12D15B79" w14:textId="77777777" w:rsidR="00C36AF0" w:rsidRDefault="00AF30B2">
          <w:pPr>
            <w:pStyle w:val="TOC2"/>
            <w:tabs>
              <w:tab w:val="left" w:pos="960"/>
              <w:tab w:val="right" w:leader="dot" w:pos="9628"/>
            </w:tabs>
            <w:rPr>
              <w:rFonts w:asciiTheme="minorHAnsi" w:eastAsiaTheme="minorEastAsia" w:hAnsiTheme="minorHAnsi" w:cstheme="minorBidi"/>
              <w:noProof/>
              <w:sz w:val="22"/>
              <w:szCs w:val="22"/>
              <w:lang w:val="en-AU" w:eastAsia="en-AU"/>
            </w:rPr>
          </w:pPr>
          <w:hyperlink w:anchor="_Toc427755372" w:history="1">
            <w:r w:rsidR="00C36AF0" w:rsidRPr="00DD7DA2">
              <w:rPr>
                <w:rStyle w:val="Hyperlink"/>
                <w:noProof/>
              </w:rPr>
              <w:t>8.3</w:t>
            </w:r>
            <w:r w:rsidR="00C36AF0">
              <w:rPr>
                <w:rFonts w:asciiTheme="minorHAnsi" w:eastAsiaTheme="minorEastAsia" w:hAnsiTheme="minorHAnsi" w:cstheme="minorBidi"/>
                <w:noProof/>
                <w:sz w:val="22"/>
                <w:szCs w:val="22"/>
                <w:lang w:val="en-AU" w:eastAsia="en-AU"/>
              </w:rPr>
              <w:tab/>
            </w:r>
            <w:r w:rsidR="00C36AF0" w:rsidRPr="00DD7DA2">
              <w:rPr>
                <w:rStyle w:val="Hyperlink"/>
                <w:noProof/>
              </w:rPr>
              <w:t>Payment arrangements</w:t>
            </w:r>
            <w:r w:rsidR="00C36AF0">
              <w:rPr>
                <w:noProof/>
                <w:webHidden/>
              </w:rPr>
              <w:tab/>
            </w:r>
            <w:r w:rsidR="00C36AF0">
              <w:rPr>
                <w:noProof/>
                <w:webHidden/>
              </w:rPr>
              <w:fldChar w:fldCharType="begin"/>
            </w:r>
            <w:r w:rsidR="00C36AF0">
              <w:rPr>
                <w:noProof/>
                <w:webHidden/>
              </w:rPr>
              <w:instrText xml:space="preserve"> PAGEREF _Toc427755372 \h </w:instrText>
            </w:r>
            <w:r w:rsidR="00C36AF0">
              <w:rPr>
                <w:noProof/>
                <w:webHidden/>
              </w:rPr>
            </w:r>
            <w:r w:rsidR="00C36AF0">
              <w:rPr>
                <w:noProof/>
                <w:webHidden/>
              </w:rPr>
              <w:fldChar w:fldCharType="separate"/>
            </w:r>
            <w:r w:rsidR="00C36AF0">
              <w:rPr>
                <w:noProof/>
                <w:webHidden/>
              </w:rPr>
              <w:t>18</w:t>
            </w:r>
            <w:r w:rsidR="00C36AF0">
              <w:rPr>
                <w:noProof/>
                <w:webHidden/>
              </w:rPr>
              <w:fldChar w:fldCharType="end"/>
            </w:r>
          </w:hyperlink>
        </w:p>
        <w:p w14:paraId="04AEF9F1" w14:textId="77777777" w:rsidR="00C36AF0" w:rsidRDefault="00AF30B2">
          <w:pPr>
            <w:pStyle w:val="TOC2"/>
            <w:tabs>
              <w:tab w:val="left" w:pos="960"/>
              <w:tab w:val="right" w:leader="dot" w:pos="9628"/>
            </w:tabs>
            <w:rPr>
              <w:rFonts w:asciiTheme="minorHAnsi" w:eastAsiaTheme="minorEastAsia" w:hAnsiTheme="minorHAnsi" w:cstheme="minorBidi"/>
              <w:noProof/>
              <w:sz w:val="22"/>
              <w:szCs w:val="22"/>
              <w:lang w:val="en-AU" w:eastAsia="en-AU"/>
            </w:rPr>
          </w:pPr>
          <w:hyperlink w:anchor="_Toc427755373" w:history="1">
            <w:r w:rsidR="00C36AF0" w:rsidRPr="00DD7DA2">
              <w:rPr>
                <w:rStyle w:val="Hyperlink"/>
                <w:noProof/>
              </w:rPr>
              <w:t>8.4</w:t>
            </w:r>
            <w:r w:rsidR="00C36AF0">
              <w:rPr>
                <w:rFonts w:asciiTheme="minorHAnsi" w:eastAsiaTheme="minorEastAsia" w:hAnsiTheme="minorHAnsi" w:cstheme="minorBidi"/>
                <w:noProof/>
                <w:sz w:val="22"/>
                <w:szCs w:val="22"/>
                <w:lang w:val="en-AU" w:eastAsia="en-AU"/>
              </w:rPr>
              <w:tab/>
            </w:r>
            <w:r w:rsidR="00C36AF0" w:rsidRPr="00DD7DA2">
              <w:rPr>
                <w:rStyle w:val="Hyperlink"/>
                <w:noProof/>
              </w:rPr>
              <w:t>Reporting requirements</w:t>
            </w:r>
            <w:r w:rsidR="00C36AF0">
              <w:rPr>
                <w:noProof/>
                <w:webHidden/>
              </w:rPr>
              <w:tab/>
            </w:r>
            <w:r w:rsidR="00C36AF0">
              <w:rPr>
                <w:noProof/>
                <w:webHidden/>
              </w:rPr>
              <w:fldChar w:fldCharType="begin"/>
            </w:r>
            <w:r w:rsidR="00C36AF0">
              <w:rPr>
                <w:noProof/>
                <w:webHidden/>
              </w:rPr>
              <w:instrText xml:space="preserve"> PAGEREF _Toc427755373 \h </w:instrText>
            </w:r>
            <w:r w:rsidR="00C36AF0">
              <w:rPr>
                <w:noProof/>
                <w:webHidden/>
              </w:rPr>
            </w:r>
            <w:r w:rsidR="00C36AF0">
              <w:rPr>
                <w:noProof/>
                <w:webHidden/>
              </w:rPr>
              <w:fldChar w:fldCharType="separate"/>
            </w:r>
            <w:r w:rsidR="00C36AF0">
              <w:rPr>
                <w:noProof/>
                <w:webHidden/>
              </w:rPr>
              <w:t>18</w:t>
            </w:r>
            <w:r w:rsidR="00C36AF0">
              <w:rPr>
                <w:noProof/>
                <w:webHidden/>
              </w:rPr>
              <w:fldChar w:fldCharType="end"/>
            </w:r>
          </w:hyperlink>
        </w:p>
        <w:p w14:paraId="47B742E1" w14:textId="77777777" w:rsidR="00C36AF0" w:rsidRDefault="00AF30B2">
          <w:pPr>
            <w:pStyle w:val="TOC2"/>
            <w:tabs>
              <w:tab w:val="left" w:pos="960"/>
              <w:tab w:val="right" w:leader="dot" w:pos="9628"/>
            </w:tabs>
            <w:rPr>
              <w:rFonts w:asciiTheme="minorHAnsi" w:eastAsiaTheme="minorEastAsia" w:hAnsiTheme="minorHAnsi" w:cstheme="minorBidi"/>
              <w:noProof/>
              <w:sz w:val="22"/>
              <w:szCs w:val="22"/>
              <w:lang w:val="en-AU" w:eastAsia="en-AU"/>
            </w:rPr>
          </w:pPr>
          <w:hyperlink w:anchor="_Toc427755374" w:history="1">
            <w:r w:rsidR="00C36AF0" w:rsidRPr="00DD7DA2">
              <w:rPr>
                <w:rStyle w:val="Hyperlink"/>
                <w:noProof/>
              </w:rPr>
              <w:t>8.5</w:t>
            </w:r>
            <w:r w:rsidR="00C36AF0">
              <w:rPr>
                <w:rFonts w:asciiTheme="minorHAnsi" w:eastAsiaTheme="minorEastAsia" w:hAnsiTheme="minorHAnsi" w:cstheme="minorBidi"/>
                <w:noProof/>
                <w:sz w:val="22"/>
                <w:szCs w:val="22"/>
                <w:lang w:val="en-AU" w:eastAsia="en-AU"/>
              </w:rPr>
              <w:tab/>
            </w:r>
            <w:r w:rsidR="00C36AF0" w:rsidRPr="00DD7DA2">
              <w:rPr>
                <w:rStyle w:val="Hyperlink"/>
                <w:noProof/>
              </w:rPr>
              <w:t>Monitoring</w:t>
            </w:r>
            <w:r w:rsidR="00C36AF0">
              <w:rPr>
                <w:noProof/>
                <w:webHidden/>
              </w:rPr>
              <w:tab/>
            </w:r>
            <w:r w:rsidR="00C36AF0">
              <w:rPr>
                <w:noProof/>
                <w:webHidden/>
              </w:rPr>
              <w:fldChar w:fldCharType="begin"/>
            </w:r>
            <w:r w:rsidR="00C36AF0">
              <w:rPr>
                <w:noProof/>
                <w:webHidden/>
              </w:rPr>
              <w:instrText xml:space="preserve"> PAGEREF _Toc427755374 \h </w:instrText>
            </w:r>
            <w:r w:rsidR="00C36AF0">
              <w:rPr>
                <w:noProof/>
                <w:webHidden/>
              </w:rPr>
            </w:r>
            <w:r w:rsidR="00C36AF0">
              <w:rPr>
                <w:noProof/>
                <w:webHidden/>
              </w:rPr>
              <w:fldChar w:fldCharType="separate"/>
            </w:r>
            <w:r w:rsidR="00C36AF0">
              <w:rPr>
                <w:noProof/>
                <w:webHidden/>
              </w:rPr>
              <w:t>19</w:t>
            </w:r>
            <w:r w:rsidR="00C36AF0">
              <w:rPr>
                <w:noProof/>
                <w:webHidden/>
              </w:rPr>
              <w:fldChar w:fldCharType="end"/>
            </w:r>
          </w:hyperlink>
        </w:p>
        <w:p w14:paraId="5C8D91A5" w14:textId="77777777" w:rsidR="00C36AF0" w:rsidRDefault="00AF30B2">
          <w:pPr>
            <w:pStyle w:val="TOC2"/>
            <w:tabs>
              <w:tab w:val="left" w:pos="960"/>
              <w:tab w:val="right" w:leader="dot" w:pos="9628"/>
            </w:tabs>
            <w:rPr>
              <w:rFonts w:asciiTheme="minorHAnsi" w:eastAsiaTheme="minorEastAsia" w:hAnsiTheme="minorHAnsi" w:cstheme="minorBidi"/>
              <w:noProof/>
              <w:sz w:val="22"/>
              <w:szCs w:val="22"/>
              <w:lang w:val="en-AU" w:eastAsia="en-AU"/>
            </w:rPr>
          </w:pPr>
          <w:hyperlink w:anchor="_Toc427755375" w:history="1">
            <w:r w:rsidR="00C36AF0" w:rsidRPr="00DD7DA2">
              <w:rPr>
                <w:rStyle w:val="Hyperlink"/>
                <w:noProof/>
              </w:rPr>
              <w:t>8.6</w:t>
            </w:r>
            <w:r w:rsidR="00C36AF0">
              <w:rPr>
                <w:rFonts w:asciiTheme="minorHAnsi" w:eastAsiaTheme="minorEastAsia" w:hAnsiTheme="minorHAnsi" w:cstheme="minorBidi"/>
                <w:noProof/>
                <w:sz w:val="22"/>
                <w:szCs w:val="22"/>
                <w:lang w:val="en-AU" w:eastAsia="en-AU"/>
              </w:rPr>
              <w:tab/>
            </w:r>
            <w:r w:rsidR="00C36AF0" w:rsidRPr="00DD7DA2">
              <w:rPr>
                <w:rStyle w:val="Hyperlink"/>
                <w:noProof/>
              </w:rPr>
              <w:t>Evaluation</w:t>
            </w:r>
            <w:r w:rsidR="00C36AF0">
              <w:rPr>
                <w:noProof/>
                <w:webHidden/>
              </w:rPr>
              <w:tab/>
            </w:r>
            <w:r w:rsidR="00C36AF0">
              <w:rPr>
                <w:noProof/>
                <w:webHidden/>
              </w:rPr>
              <w:fldChar w:fldCharType="begin"/>
            </w:r>
            <w:r w:rsidR="00C36AF0">
              <w:rPr>
                <w:noProof/>
                <w:webHidden/>
              </w:rPr>
              <w:instrText xml:space="preserve"> PAGEREF _Toc427755375 \h </w:instrText>
            </w:r>
            <w:r w:rsidR="00C36AF0">
              <w:rPr>
                <w:noProof/>
                <w:webHidden/>
              </w:rPr>
            </w:r>
            <w:r w:rsidR="00C36AF0">
              <w:rPr>
                <w:noProof/>
                <w:webHidden/>
              </w:rPr>
              <w:fldChar w:fldCharType="separate"/>
            </w:r>
            <w:r w:rsidR="00C36AF0">
              <w:rPr>
                <w:noProof/>
                <w:webHidden/>
              </w:rPr>
              <w:t>19</w:t>
            </w:r>
            <w:r w:rsidR="00C36AF0">
              <w:rPr>
                <w:noProof/>
                <w:webHidden/>
              </w:rPr>
              <w:fldChar w:fldCharType="end"/>
            </w:r>
          </w:hyperlink>
        </w:p>
        <w:p w14:paraId="3E1953F6" w14:textId="77777777" w:rsidR="00C36AF0" w:rsidRDefault="00AF30B2">
          <w:pPr>
            <w:pStyle w:val="TOC2"/>
            <w:tabs>
              <w:tab w:val="left" w:pos="960"/>
              <w:tab w:val="right" w:leader="dot" w:pos="9628"/>
            </w:tabs>
            <w:rPr>
              <w:rFonts w:asciiTheme="minorHAnsi" w:eastAsiaTheme="minorEastAsia" w:hAnsiTheme="minorHAnsi" w:cstheme="minorBidi"/>
              <w:noProof/>
              <w:sz w:val="22"/>
              <w:szCs w:val="22"/>
              <w:lang w:val="en-AU" w:eastAsia="en-AU"/>
            </w:rPr>
          </w:pPr>
          <w:hyperlink w:anchor="_Toc427755376" w:history="1">
            <w:r w:rsidR="00C36AF0" w:rsidRPr="00DD7DA2">
              <w:rPr>
                <w:rStyle w:val="Hyperlink"/>
                <w:noProof/>
              </w:rPr>
              <w:t>8.7</w:t>
            </w:r>
            <w:r w:rsidR="00C36AF0">
              <w:rPr>
                <w:rFonts w:asciiTheme="minorHAnsi" w:eastAsiaTheme="minorEastAsia" w:hAnsiTheme="minorHAnsi" w:cstheme="minorBidi"/>
                <w:noProof/>
                <w:sz w:val="22"/>
                <w:szCs w:val="22"/>
                <w:lang w:val="en-AU" w:eastAsia="en-AU"/>
              </w:rPr>
              <w:tab/>
            </w:r>
            <w:r w:rsidR="00C36AF0" w:rsidRPr="00DD7DA2">
              <w:rPr>
                <w:rStyle w:val="Hyperlink"/>
                <w:noProof/>
              </w:rPr>
              <w:t>Branding</w:t>
            </w:r>
            <w:r w:rsidR="00C36AF0">
              <w:rPr>
                <w:noProof/>
                <w:webHidden/>
              </w:rPr>
              <w:tab/>
            </w:r>
            <w:r w:rsidR="00C36AF0">
              <w:rPr>
                <w:noProof/>
                <w:webHidden/>
              </w:rPr>
              <w:fldChar w:fldCharType="begin"/>
            </w:r>
            <w:r w:rsidR="00C36AF0">
              <w:rPr>
                <w:noProof/>
                <w:webHidden/>
              </w:rPr>
              <w:instrText xml:space="preserve"> PAGEREF _Toc427755376 \h </w:instrText>
            </w:r>
            <w:r w:rsidR="00C36AF0">
              <w:rPr>
                <w:noProof/>
                <w:webHidden/>
              </w:rPr>
            </w:r>
            <w:r w:rsidR="00C36AF0">
              <w:rPr>
                <w:noProof/>
                <w:webHidden/>
              </w:rPr>
              <w:fldChar w:fldCharType="separate"/>
            </w:r>
            <w:r w:rsidR="00C36AF0">
              <w:rPr>
                <w:noProof/>
                <w:webHidden/>
              </w:rPr>
              <w:t>19</w:t>
            </w:r>
            <w:r w:rsidR="00C36AF0">
              <w:rPr>
                <w:noProof/>
                <w:webHidden/>
              </w:rPr>
              <w:fldChar w:fldCharType="end"/>
            </w:r>
          </w:hyperlink>
        </w:p>
        <w:p w14:paraId="6CB6E938" w14:textId="77777777" w:rsidR="00C36AF0" w:rsidRDefault="00AF30B2">
          <w:pPr>
            <w:pStyle w:val="TOC1"/>
            <w:tabs>
              <w:tab w:val="left" w:pos="440"/>
              <w:tab w:val="right" w:leader="dot" w:pos="9628"/>
            </w:tabs>
            <w:rPr>
              <w:rFonts w:asciiTheme="minorHAnsi" w:eastAsiaTheme="minorEastAsia" w:hAnsiTheme="minorHAnsi" w:cstheme="minorBidi"/>
              <w:noProof/>
              <w:sz w:val="22"/>
              <w:szCs w:val="22"/>
              <w:lang w:val="en-AU" w:eastAsia="en-AU"/>
            </w:rPr>
          </w:pPr>
          <w:hyperlink w:anchor="_Toc427755377" w:history="1">
            <w:r w:rsidR="00C36AF0" w:rsidRPr="00DD7DA2">
              <w:rPr>
                <w:rStyle w:val="Hyperlink"/>
                <w:noProof/>
              </w:rPr>
              <w:t>9</w:t>
            </w:r>
            <w:r w:rsidR="00C36AF0">
              <w:rPr>
                <w:rFonts w:asciiTheme="minorHAnsi" w:eastAsiaTheme="minorEastAsia" w:hAnsiTheme="minorHAnsi" w:cstheme="minorBidi"/>
                <w:noProof/>
                <w:sz w:val="22"/>
                <w:szCs w:val="22"/>
                <w:lang w:val="en-AU" w:eastAsia="en-AU"/>
              </w:rPr>
              <w:tab/>
            </w:r>
            <w:r w:rsidR="00C36AF0" w:rsidRPr="00DD7DA2">
              <w:rPr>
                <w:rStyle w:val="Hyperlink"/>
                <w:noProof/>
              </w:rPr>
              <w:t>Glossary of Terms</w:t>
            </w:r>
            <w:r w:rsidR="00C36AF0">
              <w:rPr>
                <w:noProof/>
                <w:webHidden/>
              </w:rPr>
              <w:tab/>
            </w:r>
            <w:r w:rsidR="00C36AF0">
              <w:rPr>
                <w:noProof/>
                <w:webHidden/>
              </w:rPr>
              <w:fldChar w:fldCharType="begin"/>
            </w:r>
            <w:r w:rsidR="00C36AF0">
              <w:rPr>
                <w:noProof/>
                <w:webHidden/>
              </w:rPr>
              <w:instrText xml:space="preserve"> PAGEREF _Toc427755377 \h </w:instrText>
            </w:r>
            <w:r w:rsidR="00C36AF0">
              <w:rPr>
                <w:noProof/>
                <w:webHidden/>
              </w:rPr>
            </w:r>
            <w:r w:rsidR="00C36AF0">
              <w:rPr>
                <w:noProof/>
                <w:webHidden/>
              </w:rPr>
              <w:fldChar w:fldCharType="separate"/>
            </w:r>
            <w:r w:rsidR="00C36AF0">
              <w:rPr>
                <w:noProof/>
                <w:webHidden/>
              </w:rPr>
              <w:t>19</w:t>
            </w:r>
            <w:r w:rsidR="00C36AF0">
              <w:rPr>
                <w:noProof/>
                <w:webHidden/>
              </w:rPr>
              <w:fldChar w:fldCharType="end"/>
            </w:r>
          </w:hyperlink>
        </w:p>
        <w:p w14:paraId="363DED3C" w14:textId="401DF5EA" w:rsidR="00C36AF0" w:rsidRDefault="00C36AF0">
          <w:r>
            <w:rPr>
              <w:b/>
              <w:bCs/>
              <w:noProof/>
            </w:rPr>
            <w:fldChar w:fldCharType="end"/>
          </w:r>
        </w:p>
      </w:sdtContent>
    </w:sdt>
    <w:p w14:paraId="1A8DD8D0" w14:textId="60E15385" w:rsidR="00A47C8E" w:rsidRDefault="00A47C8E" w:rsidP="00C36AF0">
      <w:pPr>
        <w:pStyle w:val="Subtitle"/>
        <w:rPr>
          <w:rFonts w:cs="Times New Roman"/>
          <w:noProof/>
        </w:rPr>
        <w:sectPr w:rsidR="00A47C8E" w:rsidSect="008A4019">
          <w:pgSz w:w="11906" w:h="16838"/>
          <w:pgMar w:top="851" w:right="1134" w:bottom="1134" w:left="1134" w:header="709" w:footer="709" w:gutter="0"/>
          <w:cols w:space="708"/>
          <w:docGrid w:linePitch="360"/>
        </w:sectPr>
      </w:pPr>
    </w:p>
    <w:p w14:paraId="5EA48F5D" w14:textId="5DFA6472" w:rsidR="006B5169" w:rsidRDefault="006B5169" w:rsidP="006005A8">
      <w:pPr>
        <w:pStyle w:val="Heading3"/>
        <w:numPr>
          <w:ilvl w:val="0"/>
          <w:numId w:val="0"/>
        </w:numPr>
        <w:ind w:left="709" w:hanging="709"/>
        <w:rPr>
          <w:rFonts w:eastAsia="Calibri"/>
        </w:rPr>
      </w:pPr>
      <w:bookmarkStart w:id="2" w:name="_Grant_Activity_Process"/>
      <w:bookmarkStart w:id="3" w:name="_Toc427755238"/>
      <w:bookmarkStart w:id="4" w:name="_Toc427755320"/>
      <w:bookmarkEnd w:id="2"/>
      <w:r w:rsidRPr="006B5169">
        <w:rPr>
          <w:rFonts w:eastAsia="Calibri"/>
        </w:rPr>
        <w:lastRenderedPageBreak/>
        <w:t xml:space="preserve">Grant </w:t>
      </w:r>
      <w:r w:rsidR="00A25AF5">
        <w:rPr>
          <w:rFonts w:eastAsia="Calibri"/>
        </w:rPr>
        <w:t>Activity</w:t>
      </w:r>
      <w:r w:rsidRPr="006B5169">
        <w:rPr>
          <w:rFonts w:eastAsia="Calibri"/>
        </w:rPr>
        <w:t xml:space="preserve"> Process Flowchart</w:t>
      </w:r>
      <w:bookmarkEnd w:id="3"/>
      <w:bookmarkEnd w:id="4"/>
    </w:p>
    <w:p w14:paraId="3ECEE8D0" w14:textId="1A653168" w:rsidR="00E65E5F" w:rsidRPr="00E65E5F" w:rsidRDefault="00146AB5" w:rsidP="00E65E5F">
      <w:pPr>
        <w:rPr>
          <w:lang w:val="en-US"/>
        </w:rPr>
      </w:pPr>
      <w:r>
        <w:rPr>
          <w:noProof/>
          <w:lang w:eastAsia="en-AU"/>
        </w:rPr>
        <w:drawing>
          <wp:inline distT="0" distB="0" distL="0" distR="0" wp14:anchorId="2DC37956" wp14:editId="3174A90C">
            <wp:extent cx="6311866" cy="7274560"/>
            <wp:effectExtent l="0" t="0" r="0" b="2540"/>
            <wp:docPr id="6" name="Picture 6" descr="Grant Programme Process Flowchart is an image of coloured boxes with arrows flowing from top of page to bottom of page indicating the order of events.  The text within each box relays the stages from: &#10;Application, &#10;Submitting an Application, &#10;Assessment, &#10;Advice to the Approver, &#10;Decisions / Notifications, &#10;Contract / Funding,&#10;Do / Complete/ Acquit&#10;Evalu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ts-flowchart1.png"/>
                    <pic:cNvPicPr/>
                  </pic:nvPicPr>
                  <pic:blipFill>
                    <a:blip r:embed="rId17">
                      <a:extLst>
                        <a:ext uri="{28A0092B-C50C-407E-A947-70E740481C1C}">
                          <a14:useLocalDpi xmlns:a14="http://schemas.microsoft.com/office/drawing/2010/main" val="0"/>
                        </a:ext>
                      </a:extLst>
                    </a:blip>
                    <a:stretch>
                      <a:fillRect/>
                    </a:stretch>
                  </pic:blipFill>
                  <pic:spPr>
                    <a:xfrm>
                      <a:off x="0" y="0"/>
                      <a:ext cx="6307891" cy="7269979"/>
                    </a:xfrm>
                    <a:prstGeom prst="rect">
                      <a:avLst/>
                    </a:prstGeom>
                  </pic:spPr>
                </pic:pic>
              </a:graphicData>
            </a:graphic>
          </wp:inline>
        </w:drawing>
      </w:r>
    </w:p>
    <w:p w14:paraId="6BB0D577" w14:textId="77777777" w:rsidR="006B5169" w:rsidRPr="006B5169" w:rsidRDefault="006B5169" w:rsidP="006B5169">
      <w:pPr>
        <w:spacing w:after="0" w:line="240" w:lineRule="auto"/>
        <w:rPr>
          <w:rFonts w:eastAsia="Times New Roman" w:cs="Calibri"/>
          <w:color w:val="FFFFFF"/>
          <w:szCs w:val="24"/>
        </w:rPr>
      </w:pPr>
    </w:p>
    <w:p w14:paraId="06029D76" w14:textId="77777777" w:rsidR="006B5169" w:rsidRPr="006B5169" w:rsidRDefault="006B5169" w:rsidP="009F10AB">
      <w:pPr>
        <w:spacing w:after="0" w:line="240" w:lineRule="auto"/>
        <w:ind w:left="360"/>
        <w:rPr>
          <w:rFonts w:eastAsia="Times New Roman" w:cs="Calibri"/>
          <w:szCs w:val="24"/>
        </w:rPr>
      </w:pPr>
      <w:r w:rsidRPr="006B5169">
        <w:rPr>
          <w:rFonts w:eastAsia="Times New Roman" w:cs="Calibri"/>
          <w:szCs w:val="24"/>
        </w:rPr>
        <w:br w:type="page"/>
      </w:r>
    </w:p>
    <w:p w14:paraId="238C23D5" w14:textId="77777777" w:rsidR="00104047" w:rsidRDefault="006B5169" w:rsidP="002A4E7B">
      <w:pPr>
        <w:pStyle w:val="Heading1"/>
        <w:numPr>
          <w:ilvl w:val="0"/>
          <w:numId w:val="23"/>
        </w:numPr>
      </w:pPr>
      <w:bookmarkStart w:id="5" w:name="_Toc427754983"/>
      <w:bookmarkStart w:id="6" w:name="_Toc427755239"/>
      <w:bookmarkStart w:id="7" w:name="_Toc427755321"/>
      <w:r w:rsidRPr="006005A8">
        <w:lastRenderedPageBreak/>
        <w:t>Introduction</w:t>
      </w:r>
      <w:bookmarkEnd w:id="5"/>
      <w:bookmarkEnd w:id="6"/>
      <w:bookmarkEnd w:id="7"/>
    </w:p>
    <w:p w14:paraId="1AB472B6" w14:textId="52476A76" w:rsidR="006B5169" w:rsidRPr="00B34EEA" w:rsidRDefault="00A25AF5" w:rsidP="000A40E8">
      <w:pPr>
        <w:pStyle w:val="Heading2"/>
      </w:pPr>
      <w:bookmarkStart w:id="8" w:name="_Toc427754984"/>
      <w:bookmarkStart w:id="9" w:name="_Toc427755240"/>
      <w:bookmarkStart w:id="10" w:name="_Toc427755322"/>
      <w:r w:rsidRPr="00B34EEA">
        <w:t>Activity</w:t>
      </w:r>
      <w:r w:rsidR="006B5169" w:rsidRPr="00B34EEA">
        <w:t xml:space="preserve"> Background</w:t>
      </w:r>
      <w:bookmarkEnd w:id="8"/>
      <w:bookmarkEnd w:id="9"/>
      <w:bookmarkEnd w:id="10"/>
      <w:r w:rsidR="006B5169" w:rsidRPr="00B34EEA">
        <w:t xml:space="preserve"> </w:t>
      </w:r>
    </w:p>
    <w:p w14:paraId="17A17DAC" w14:textId="77777777" w:rsidR="001E58C9" w:rsidRDefault="001E58C9" w:rsidP="00C25C16">
      <w:r w:rsidRPr="001F67AF">
        <w:rPr>
          <w:lang w:eastAsia="en-AU"/>
        </w:rPr>
        <w:t>Through the Council of Australian Governments (COAG), the Australian Government has committed to six targets to close the gap in disadvantage between Indigenous and non-Indigenous Australians across health, education and employment. Two of these targets relate directly to the Health Portfolio: to close the gap in life expectancy within a generation (by 2031); and to halve the gap in mortality rates for Indigenous children under five within a decade (by 2018). This involves working in partnership with Aboriginal and Torres Strait Islander people and organisations, and in collaboration with State and Territory Governments. The National Indigenous Reform Agreement frames the task of closing the gap in Indigenous disadvantage and sets out the objectives, outcomes, outputs, performance indicators and performance benchmarks agreed by COAG.</w:t>
      </w:r>
    </w:p>
    <w:p w14:paraId="3832E92B" w14:textId="77777777" w:rsidR="001E58C9" w:rsidRPr="00297FE1" w:rsidRDefault="001E58C9" w:rsidP="000A40E8">
      <w:pPr>
        <w:pStyle w:val="H3nonumbers"/>
      </w:pPr>
      <w:bookmarkStart w:id="11" w:name="_Toc427754985"/>
      <w:bookmarkStart w:id="12" w:name="_Toc427755241"/>
      <w:bookmarkStart w:id="13" w:name="_Toc427755323"/>
      <w:r w:rsidRPr="00297FE1">
        <w:t>Indigenous Australians’ Health Programme</w:t>
      </w:r>
      <w:bookmarkEnd w:id="11"/>
      <w:bookmarkEnd w:id="12"/>
      <w:bookmarkEnd w:id="13"/>
    </w:p>
    <w:p w14:paraId="773BBC29" w14:textId="291BC0B1" w:rsidR="001E58C9" w:rsidRPr="00007024" w:rsidRDefault="001E58C9" w:rsidP="00C25C16">
      <w:r w:rsidRPr="001F67AF">
        <w:t xml:space="preserve">On 1 July 2014, the Australian Government established the Indigenous Australians’ Health Programme (IAHP), consolidating four existing funding streams: primary health care funding, child and maternal health programmes, Stronger Futures in the Northern Territory (Health) and programmes covered by the Aboriginal and Torres Strait Islander Chronic Disease Fund. </w:t>
      </w:r>
    </w:p>
    <w:p w14:paraId="49AE77D7" w14:textId="09306F7C" w:rsidR="001E58C9" w:rsidRDefault="001E58C9" w:rsidP="00C25C16">
      <w:r w:rsidRPr="00F24C31">
        <w:t xml:space="preserve">The </w:t>
      </w:r>
      <w:r>
        <w:t xml:space="preserve">IAHP </w:t>
      </w:r>
      <w:r w:rsidRPr="00F24C31">
        <w:t xml:space="preserve">aims to improve the health of all </w:t>
      </w:r>
      <w:r w:rsidR="00692568" w:rsidRPr="00D977FD">
        <w:t xml:space="preserve">Aboriginal and Torres Strait Islander peoples </w:t>
      </w:r>
      <w:r w:rsidRPr="00C31AC7">
        <w:t>through a variety of targeted activities focused on local health needs that are</w:t>
      </w:r>
      <w:r w:rsidRPr="00F24C31">
        <w:t xml:space="preserve"> designed to achieve health equality between Indigenous and non-Indigenous Australians</w:t>
      </w:r>
      <w:r>
        <w:t xml:space="preserve"> in child mortality and life expectancy</w:t>
      </w:r>
      <w:r w:rsidRPr="00F24C31">
        <w:t>.</w:t>
      </w:r>
      <w:r w:rsidR="000E01EB">
        <w:t xml:space="preserve"> Components of the IAHP are referred to as Activities.</w:t>
      </w:r>
    </w:p>
    <w:p w14:paraId="45385231" w14:textId="74A7B81F" w:rsidR="00985FD3" w:rsidRPr="00297FE1" w:rsidRDefault="00985FD3" w:rsidP="000A40E8">
      <w:pPr>
        <w:pStyle w:val="H3nonumbers"/>
      </w:pPr>
      <w:bookmarkStart w:id="14" w:name="_Toc427754986"/>
      <w:bookmarkStart w:id="15" w:name="_Toc427755242"/>
      <w:bookmarkStart w:id="16" w:name="_Toc427755324"/>
      <w:r w:rsidRPr="00297FE1">
        <w:t xml:space="preserve">Tackling Indigenous Smoking (TIS) </w:t>
      </w:r>
      <w:r w:rsidR="00A25AF5" w:rsidRPr="00297FE1">
        <w:t>Activity</w:t>
      </w:r>
      <w:bookmarkEnd w:id="14"/>
      <w:bookmarkEnd w:id="15"/>
      <w:bookmarkEnd w:id="16"/>
    </w:p>
    <w:p w14:paraId="1CB5E889" w14:textId="77777777" w:rsidR="00985FD3" w:rsidRPr="00C41BB7" w:rsidRDefault="00985FD3" w:rsidP="00C41BB7">
      <w:pPr>
        <w:pStyle w:val="H4nonumbers"/>
      </w:pPr>
      <w:bookmarkStart w:id="17" w:name="_Toc427754987"/>
      <w:bookmarkStart w:id="18" w:name="_Toc427755243"/>
      <w:r w:rsidRPr="00C41BB7">
        <w:t>Policy context and background</w:t>
      </w:r>
      <w:bookmarkEnd w:id="17"/>
      <w:bookmarkEnd w:id="18"/>
    </w:p>
    <w:p w14:paraId="09A6953B" w14:textId="1DC4EAB6" w:rsidR="00985FD3" w:rsidRPr="00D977FD" w:rsidRDefault="00985FD3" w:rsidP="00C25C16">
      <w:r w:rsidRPr="00D977FD">
        <w:t xml:space="preserve">Tobacco related illness is estimated to cost the Australian economy $31.5 billion each year.  Tobacco smoking is the most preventable cause of ill health and early death among </w:t>
      </w:r>
      <w:r w:rsidR="00692568" w:rsidRPr="00D977FD">
        <w:t>Aboriginal an</w:t>
      </w:r>
      <w:r w:rsidR="00692568">
        <w:t>d Torres Strait Islander people</w:t>
      </w:r>
      <w:r w:rsidRPr="00D977FD">
        <w:t>, and smoking is responsible for around one in five deaths</w:t>
      </w:r>
      <w:r w:rsidR="00D533FE">
        <w:t xml:space="preserve"> among Indigenous Australians. </w:t>
      </w:r>
      <w:r w:rsidRPr="00D977FD">
        <w:t xml:space="preserve">In 2012-13, 44% of Aboriginal and Torres Strait Islander peoples aged 15 years and over reported being a current smoker, 2.5 times the non-Indigenous rate. In 2011, 50% of </w:t>
      </w:r>
      <w:r w:rsidR="00726973" w:rsidRPr="00D977FD">
        <w:t xml:space="preserve">Aboriginal and Torres Strait Islander </w:t>
      </w:r>
      <w:r w:rsidRPr="00D977FD">
        <w:t>w</w:t>
      </w:r>
      <w:r w:rsidR="00D533FE">
        <w:t>omen smoked during pregnancy, 4 </w:t>
      </w:r>
      <w:r w:rsidRPr="00D977FD">
        <w:t>times the non-Indigenous rate. In 2012-13, an estimated 57% of Aboriginal and Torres Strait Islander children aged 0-14 years lived in households with a current daily smoker compared with 26% of non-Indigenous children.</w:t>
      </w:r>
      <w:r w:rsidRPr="00D977FD">
        <w:rPr>
          <w:rStyle w:val="FootnoteReference"/>
          <w:szCs w:val="24"/>
        </w:rPr>
        <w:footnoteReference w:id="1"/>
      </w:r>
    </w:p>
    <w:p w14:paraId="56B7BA85" w14:textId="6D7E7207" w:rsidR="00F715F0" w:rsidRDefault="00985FD3" w:rsidP="00C25C16">
      <w:r w:rsidRPr="00D977FD">
        <w:t xml:space="preserve">The </w:t>
      </w:r>
      <w:r w:rsidR="00B34DF2">
        <w:t xml:space="preserve">outgoing </w:t>
      </w:r>
      <w:r w:rsidRPr="00D977FD">
        <w:t xml:space="preserve">TIS </w:t>
      </w:r>
      <w:r w:rsidR="00B34DF2">
        <w:t>Programme</w:t>
      </w:r>
      <w:r w:rsidR="00B34DF2" w:rsidRPr="00D977FD">
        <w:t xml:space="preserve"> </w:t>
      </w:r>
      <w:r w:rsidRPr="00D977FD">
        <w:t xml:space="preserve">commenced in 2010 as a regional team-based approach to build a dedicated Indigenous tobacco action workforce, with organisations funded to provide locally designed and delivered approaches including tobacco campaign activities, community events and culturally appropriate quit smoking services. As a result of the </w:t>
      </w:r>
      <w:r w:rsidR="000E01EB">
        <w:t>Programme</w:t>
      </w:r>
      <w:r w:rsidR="000E01EB" w:rsidRPr="00D977FD">
        <w:t xml:space="preserve"> </w:t>
      </w:r>
      <w:r w:rsidRPr="00D977FD">
        <w:t xml:space="preserve">the issue of smoking has become important within </w:t>
      </w:r>
      <w:r w:rsidR="00726973" w:rsidRPr="00D977FD">
        <w:t xml:space="preserve">Aboriginal and Torres Strait Islander </w:t>
      </w:r>
      <w:r w:rsidRPr="00D977FD">
        <w:t xml:space="preserve">communities and has </w:t>
      </w:r>
      <w:r w:rsidR="00F715F0">
        <w:t>acted as an impetus for change.</w:t>
      </w:r>
      <w:r w:rsidR="00F715F0">
        <w:br w:type="page"/>
      </w:r>
    </w:p>
    <w:p w14:paraId="617B6219" w14:textId="630AAB53" w:rsidR="00726973" w:rsidRPr="00726973" w:rsidRDefault="00726973" w:rsidP="000A40E8">
      <w:pPr>
        <w:pStyle w:val="H4nonumbers"/>
      </w:pPr>
      <w:bookmarkStart w:id="19" w:name="_Toc427754988"/>
      <w:bookmarkStart w:id="20" w:name="_Toc427755244"/>
      <w:r w:rsidRPr="00726973">
        <w:lastRenderedPageBreak/>
        <w:t xml:space="preserve">TIS </w:t>
      </w:r>
      <w:r w:rsidR="000E01EB">
        <w:t>Programme</w:t>
      </w:r>
      <w:r w:rsidR="000E01EB" w:rsidRPr="00726973">
        <w:t xml:space="preserve"> </w:t>
      </w:r>
      <w:r w:rsidRPr="00726973">
        <w:t>Review</w:t>
      </w:r>
      <w:bookmarkEnd w:id="19"/>
      <w:bookmarkEnd w:id="20"/>
    </w:p>
    <w:p w14:paraId="556F347E" w14:textId="7038E304" w:rsidR="00985FD3" w:rsidRPr="00AE6BA3" w:rsidRDefault="00985FD3" w:rsidP="007E079B">
      <w:pPr>
        <w:widowControl w:val="0"/>
        <w:spacing w:after="0"/>
        <w:ind w:left="357"/>
      </w:pPr>
      <w:r w:rsidRPr="00D977FD">
        <w:t xml:space="preserve">A review of the TIS </w:t>
      </w:r>
      <w:r w:rsidR="000E01EB">
        <w:t>Programme</w:t>
      </w:r>
      <w:r w:rsidR="000E01EB" w:rsidRPr="00D977FD">
        <w:t xml:space="preserve"> </w:t>
      </w:r>
      <w:r w:rsidRPr="00D977FD">
        <w:t xml:space="preserve">was undertaken in 2014-15 to examine: </w:t>
      </w:r>
    </w:p>
    <w:p w14:paraId="263DB6B1" w14:textId="6B1105BE" w:rsidR="00985FD3" w:rsidRPr="00612290" w:rsidRDefault="00985FD3" w:rsidP="009C5BF1">
      <w:pPr>
        <w:pStyle w:val="ListParagraph"/>
        <w:numPr>
          <w:ilvl w:val="0"/>
          <w:numId w:val="2"/>
        </w:numPr>
        <w:ind w:left="720"/>
      </w:pPr>
      <w:r w:rsidRPr="00612290">
        <w:t xml:space="preserve">The </w:t>
      </w:r>
      <w:r w:rsidR="000E01EB">
        <w:t>Programme</w:t>
      </w:r>
      <w:r w:rsidR="000E01EB" w:rsidRPr="00612290">
        <w:t xml:space="preserve"> </w:t>
      </w:r>
      <w:r w:rsidRPr="00612290">
        <w:t>and its performance against stated objectives;</w:t>
      </w:r>
    </w:p>
    <w:p w14:paraId="289673E0" w14:textId="79842EEB" w:rsidR="00985FD3" w:rsidRPr="00612290" w:rsidRDefault="000E01EB" w:rsidP="009C5BF1">
      <w:pPr>
        <w:pStyle w:val="ListParagraph"/>
        <w:numPr>
          <w:ilvl w:val="0"/>
          <w:numId w:val="2"/>
        </w:numPr>
        <w:ind w:left="720"/>
      </w:pPr>
      <w:r>
        <w:t>Programme</w:t>
      </w:r>
      <w:r w:rsidRPr="00612290">
        <w:t xml:space="preserve"> </w:t>
      </w:r>
      <w:r w:rsidR="00985FD3" w:rsidRPr="00612290">
        <w:t>implementation arrangements, including management of the regional teams, the extent to which the workforce has the necessary skills, and the regional structure;</w:t>
      </w:r>
    </w:p>
    <w:p w14:paraId="2EE82E78" w14:textId="77777777" w:rsidR="00985FD3" w:rsidRPr="00612290" w:rsidRDefault="00985FD3" w:rsidP="009C5BF1">
      <w:pPr>
        <w:pStyle w:val="ListParagraph"/>
        <w:numPr>
          <w:ilvl w:val="0"/>
          <w:numId w:val="2"/>
        </w:numPr>
        <w:ind w:left="720"/>
      </w:pPr>
      <w:r w:rsidRPr="00612290">
        <w:t xml:space="preserve">Interaction between the teams and clinical services (particularly links with primary health care and chronic disease services); </w:t>
      </w:r>
    </w:p>
    <w:p w14:paraId="1C4B801F" w14:textId="761300C3" w:rsidR="00985FD3" w:rsidRPr="00612290" w:rsidRDefault="00985FD3" w:rsidP="009C5BF1">
      <w:pPr>
        <w:pStyle w:val="ListParagraph"/>
        <w:numPr>
          <w:ilvl w:val="0"/>
          <w:numId w:val="2"/>
        </w:numPr>
        <w:ind w:left="720"/>
      </w:pPr>
      <w:r w:rsidRPr="00612290">
        <w:t xml:space="preserve">The extent to which the </w:t>
      </w:r>
      <w:r w:rsidR="000E01EB">
        <w:t>Programme</w:t>
      </w:r>
      <w:r w:rsidR="000E01EB" w:rsidRPr="00612290">
        <w:t xml:space="preserve"> </w:t>
      </w:r>
      <w:r w:rsidRPr="00612290">
        <w:t>has delivered best practice in health promotion;</w:t>
      </w:r>
    </w:p>
    <w:p w14:paraId="177EE687" w14:textId="77777777" w:rsidR="00985FD3" w:rsidRPr="00612290" w:rsidRDefault="00985FD3" w:rsidP="009C5BF1">
      <w:pPr>
        <w:pStyle w:val="ListParagraph"/>
        <w:numPr>
          <w:ilvl w:val="0"/>
          <w:numId w:val="2"/>
        </w:numPr>
        <w:ind w:left="720"/>
      </w:pPr>
      <w:r w:rsidRPr="00612290">
        <w:t>The need for training in tobacco control, smoking cessation and brief interventions;</w:t>
      </w:r>
    </w:p>
    <w:p w14:paraId="7A5E8488" w14:textId="78E8D6C6" w:rsidR="00985FD3" w:rsidRPr="00612290" w:rsidRDefault="00985FD3" w:rsidP="009C5BF1">
      <w:pPr>
        <w:pStyle w:val="ListParagraph"/>
        <w:numPr>
          <w:ilvl w:val="0"/>
          <w:numId w:val="2"/>
        </w:numPr>
        <w:ind w:left="720"/>
      </w:pPr>
      <w:r w:rsidRPr="00612290">
        <w:t xml:space="preserve">Evidence and data requirements for future </w:t>
      </w:r>
      <w:r>
        <w:t xml:space="preserve">policy and </w:t>
      </w:r>
      <w:r w:rsidR="000E01EB">
        <w:t xml:space="preserve">Programme </w:t>
      </w:r>
      <w:r>
        <w:t>design;</w:t>
      </w:r>
    </w:p>
    <w:p w14:paraId="170F5E27" w14:textId="17845BAC" w:rsidR="00985FD3" w:rsidRDefault="00985FD3" w:rsidP="009C5BF1">
      <w:pPr>
        <w:pStyle w:val="ListParagraph"/>
        <w:numPr>
          <w:ilvl w:val="0"/>
          <w:numId w:val="2"/>
        </w:numPr>
        <w:ind w:left="720"/>
      </w:pPr>
      <w:r w:rsidRPr="00612290">
        <w:t xml:space="preserve">Alternative approaches to improve effectiveness and streamline the </w:t>
      </w:r>
      <w:r w:rsidR="000E01EB">
        <w:t>Programme</w:t>
      </w:r>
      <w:r>
        <w:t>; and</w:t>
      </w:r>
    </w:p>
    <w:p w14:paraId="49D4F7C4" w14:textId="7A67BA6E" w:rsidR="00985FD3" w:rsidRPr="007E079B" w:rsidRDefault="00985FD3" w:rsidP="009C5BF1">
      <w:pPr>
        <w:pStyle w:val="ListParagraph"/>
        <w:numPr>
          <w:ilvl w:val="0"/>
          <w:numId w:val="2"/>
        </w:numPr>
        <w:spacing w:after="240"/>
        <w:ind w:left="714" w:hanging="357"/>
      </w:pPr>
      <w:r>
        <w:t>Analysis of evidence and literature on best practice to inform future directions.</w:t>
      </w:r>
    </w:p>
    <w:p w14:paraId="0A31E8A8" w14:textId="4BBDA522" w:rsidR="00985FD3" w:rsidRPr="00726973" w:rsidRDefault="00CD0E60" w:rsidP="000A40E8">
      <w:pPr>
        <w:pStyle w:val="H4nonumbers"/>
      </w:pPr>
      <w:bookmarkStart w:id="21" w:name="_Toc427754989"/>
      <w:bookmarkStart w:id="22" w:name="_Toc427755245"/>
      <w:r>
        <w:t>Re-design</w:t>
      </w:r>
      <w:r w:rsidR="00985FD3" w:rsidRPr="00726973">
        <w:t xml:space="preserve"> </w:t>
      </w:r>
      <w:r w:rsidR="000E01EB">
        <w:t>for the new</w:t>
      </w:r>
      <w:r w:rsidR="000E01EB" w:rsidRPr="00726973">
        <w:t xml:space="preserve"> </w:t>
      </w:r>
      <w:r w:rsidR="00985FD3" w:rsidRPr="00726973">
        <w:t xml:space="preserve">TIS </w:t>
      </w:r>
      <w:r w:rsidR="00A25AF5">
        <w:t>Activity</w:t>
      </w:r>
      <w:r w:rsidR="00985FD3" w:rsidRPr="00726973">
        <w:t xml:space="preserve"> </w:t>
      </w:r>
      <w:r>
        <w:t xml:space="preserve">following </w:t>
      </w:r>
      <w:r w:rsidR="00985FD3" w:rsidRPr="00726973">
        <w:t>review and evaluation</w:t>
      </w:r>
      <w:bookmarkEnd w:id="21"/>
      <w:bookmarkEnd w:id="22"/>
    </w:p>
    <w:p w14:paraId="37B72F54" w14:textId="703DECD5" w:rsidR="00985FD3" w:rsidRPr="005E296B" w:rsidRDefault="00985FD3" w:rsidP="00C41BB7">
      <w:pPr>
        <w:pStyle w:val="H5nonumbers"/>
      </w:pPr>
      <w:bookmarkStart w:id="23" w:name="_Toc427754990"/>
      <w:bookmarkStart w:id="24" w:name="_Toc427755246"/>
      <w:r w:rsidRPr="005E296B">
        <w:t xml:space="preserve">Tobacco </w:t>
      </w:r>
      <w:r w:rsidR="00D533FE" w:rsidRPr="005E296B">
        <w:t>action</w:t>
      </w:r>
      <w:r w:rsidRPr="005E296B">
        <w:t xml:space="preserve"> as a primary focus</w:t>
      </w:r>
      <w:bookmarkEnd w:id="23"/>
      <w:bookmarkEnd w:id="24"/>
    </w:p>
    <w:p w14:paraId="099F6922" w14:textId="4574E66A" w:rsidR="00985FD3" w:rsidRDefault="00985FD3" w:rsidP="009C5BF1">
      <w:pPr>
        <w:pStyle w:val="ListParagraph"/>
        <w:numPr>
          <w:ilvl w:val="0"/>
          <w:numId w:val="7"/>
        </w:numPr>
      </w:pPr>
      <w:r w:rsidRPr="00C25C16">
        <w:t>T</w:t>
      </w:r>
      <w:r>
        <w:t xml:space="preserve">he </w:t>
      </w:r>
      <w:r w:rsidR="0010440A">
        <w:t xml:space="preserve">TIS </w:t>
      </w:r>
      <w:r w:rsidR="00A25AF5">
        <w:t>Activity</w:t>
      </w:r>
      <w:r>
        <w:t xml:space="preserve"> </w:t>
      </w:r>
      <w:r w:rsidR="0010440A">
        <w:t xml:space="preserve">(the Activity) </w:t>
      </w:r>
      <w:r w:rsidR="005E051E">
        <w:t>will</w:t>
      </w:r>
      <w:r>
        <w:t xml:space="preserve"> maintain a primary focus on tobacco </w:t>
      </w:r>
      <w:r w:rsidR="00D533FE">
        <w:t>use outcomes</w:t>
      </w:r>
      <w:r>
        <w:t xml:space="preserve">. </w:t>
      </w:r>
      <w:r w:rsidR="00B34DF2">
        <w:t xml:space="preserve">These outcomes can be achieved through flexible means and not necessarily through the recipient’s own team. </w:t>
      </w:r>
      <w:r>
        <w:t xml:space="preserve">Whilst </w:t>
      </w:r>
      <w:r w:rsidR="00D533FE">
        <w:t xml:space="preserve">action for prevention and reduction of tobacco use </w:t>
      </w:r>
      <w:r w:rsidRPr="00B26D79">
        <w:t>could</w:t>
      </w:r>
      <w:r>
        <w:t xml:space="preserve"> be</w:t>
      </w:r>
      <w:r w:rsidRPr="00B26D79">
        <w:t xml:space="preserve"> situate</w:t>
      </w:r>
      <w:r>
        <w:t>d</w:t>
      </w:r>
      <w:r w:rsidRPr="00B26D79">
        <w:t xml:space="preserve"> within a broader healthy lifestyle </w:t>
      </w:r>
      <w:r>
        <w:t xml:space="preserve">approach, nutrition and/or physical activity projects should not be funded through the </w:t>
      </w:r>
      <w:r w:rsidR="00A25AF5">
        <w:t>Activity</w:t>
      </w:r>
      <w:r>
        <w:t xml:space="preserve"> if they do not </w:t>
      </w:r>
      <w:r w:rsidR="00D533FE">
        <w:t>contribute to the tobacco outcomes sought</w:t>
      </w:r>
      <w:r>
        <w:t xml:space="preserve">.  </w:t>
      </w:r>
    </w:p>
    <w:p w14:paraId="6F1F8E21" w14:textId="77777777" w:rsidR="00BC684E" w:rsidRDefault="00BC684E" w:rsidP="00835AEF">
      <w:pPr>
        <w:pStyle w:val="H5nonumbers"/>
      </w:pPr>
      <w:bookmarkStart w:id="25" w:name="_Toc427754991"/>
      <w:bookmarkStart w:id="26" w:name="_Toc427755247"/>
      <w:r w:rsidRPr="00BC684E">
        <w:t>Population health approach</w:t>
      </w:r>
      <w:bookmarkEnd w:id="25"/>
      <w:bookmarkEnd w:id="26"/>
    </w:p>
    <w:p w14:paraId="31AAE999" w14:textId="30110AB8" w:rsidR="00BC684E" w:rsidRPr="00BC684E" w:rsidRDefault="00BC684E" w:rsidP="009C5BF1">
      <w:pPr>
        <w:pStyle w:val="ListParagraph"/>
        <w:numPr>
          <w:ilvl w:val="0"/>
          <w:numId w:val="7"/>
        </w:numPr>
      </w:pPr>
      <w:r w:rsidRPr="00BC684E">
        <w:t xml:space="preserve">The </w:t>
      </w:r>
      <w:r w:rsidR="00A25AF5">
        <w:t>Activity</w:t>
      </w:r>
      <w:r w:rsidRPr="00BC684E">
        <w:t xml:space="preserve"> will </w:t>
      </w:r>
      <w:r w:rsidR="005E051E">
        <w:t>deliver</w:t>
      </w:r>
      <w:r w:rsidRPr="00BC684E">
        <w:t xml:space="preserve"> a population and preventive health approach directed to all Aboriginal and Torres Strait Islander people irrespective of what health provider the individual uses.</w:t>
      </w:r>
    </w:p>
    <w:p w14:paraId="5A7E7ACD" w14:textId="3C7F50D7" w:rsidR="00BC684E" w:rsidRPr="00BC684E" w:rsidRDefault="00A25AF5" w:rsidP="009C5BF1">
      <w:pPr>
        <w:pStyle w:val="ListParagraph"/>
        <w:numPr>
          <w:ilvl w:val="0"/>
          <w:numId w:val="7"/>
        </w:numPr>
      </w:pPr>
      <w:r>
        <w:t>Activity</w:t>
      </w:r>
      <w:r w:rsidR="00BC684E" w:rsidRPr="00BC684E">
        <w:t xml:space="preserve"> delivery is to be undertaken in collaboration</w:t>
      </w:r>
      <w:r w:rsidR="00BC684E">
        <w:t xml:space="preserve"> with,</w:t>
      </w:r>
      <w:r w:rsidR="00BC684E" w:rsidRPr="00BC684E">
        <w:t xml:space="preserve"> and </w:t>
      </w:r>
      <w:r w:rsidR="00BC684E">
        <w:t>to complement,</w:t>
      </w:r>
      <w:r w:rsidR="00BC684E" w:rsidRPr="00BC684E">
        <w:t xml:space="preserve"> state and territory tobacco control activities.</w:t>
      </w:r>
    </w:p>
    <w:p w14:paraId="54144915" w14:textId="77777777" w:rsidR="00714D85" w:rsidRPr="007C3E38" w:rsidRDefault="00714D85" w:rsidP="00835AEF">
      <w:pPr>
        <w:pStyle w:val="H5nonumbers"/>
      </w:pPr>
      <w:bookmarkStart w:id="27" w:name="_Toc427754992"/>
      <w:bookmarkStart w:id="28" w:name="_Toc427755248"/>
      <w:r w:rsidRPr="007C3E38">
        <w:t>National governance and coordination</w:t>
      </w:r>
      <w:bookmarkEnd w:id="27"/>
      <w:bookmarkEnd w:id="28"/>
    </w:p>
    <w:p w14:paraId="01708112" w14:textId="3329A811" w:rsidR="00714D85" w:rsidRPr="00C25C16" w:rsidRDefault="00714D85" w:rsidP="009C5BF1">
      <w:pPr>
        <w:pStyle w:val="ListParagraph"/>
        <w:numPr>
          <w:ilvl w:val="0"/>
          <w:numId w:val="7"/>
        </w:numPr>
        <w:rPr>
          <w:i/>
        </w:rPr>
      </w:pPr>
      <w:r>
        <w:t xml:space="preserve">Establishing </w:t>
      </w:r>
      <w:r w:rsidRPr="00E33F4D">
        <w:t xml:space="preserve">a National Best Practice Unit </w:t>
      </w:r>
      <w:r>
        <w:t>(NBPU) will</w:t>
      </w:r>
      <w:r w:rsidRPr="00E33F4D">
        <w:t xml:space="preserve"> strengthen the focus on outcomes by developing a performance and reporting framework; </w:t>
      </w:r>
      <w:r>
        <w:t>driving</w:t>
      </w:r>
      <w:r w:rsidRPr="00E33F4D">
        <w:t xml:space="preserve"> a focus on building the evidence for what </w:t>
      </w:r>
      <w:r>
        <w:t>specific interventions are effective;</w:t>
      </w:r>
      <w:r w:rsidRPr="00E33F4D">
        <w:t xml:space="preserve"> </w:t>
      </w:r>
      <w:r>
        <w:t>supporting organisations to deliver evidence based activities and undertake</w:t>
      </w:r>
      <w:r w:rsidRPr="00E33F4D">
        <w:t xml:space="preserve"> </w:t>
      </w:r>
      <w:r>
        <w:t xml:space="preserve">continuous quality improvement; </w:t>
      </w:r>
      <w:r w:rsidRPr="00E33F4D">
        <w:t>and ensuring training in tob</w:t>
      </w:r>
      <w:r>
        <w:t>acco cessation interventions is</w:t>
      </w:r>
      <w:r w:rsidRPr="00E33F4D">
        <w:t xml:space="preserve"> widely available for health practitioners working with </w:t>
      </w:r>
      <w:r w:rsidRPr="00D977FD">
        <w:t>Aboriginal and Torres Strait Islander</w:t>
      </w:r>
      <w:r>
        <w:t xml:space="preserve"> people</w:t>
      </w:r>
      <w:r w:rsidRPr="00E33F4D">
        <w:t>.</w:t>
      </w:r>
    </w:p>
    <w:p w14:paraId="4390F8FF" w14:textId="77777777" w:rsidR="00985FD3" w:rsidRPr="007C3E38" w:rsidRDefault="00985FD3" w:rsidP="00835AEF">
      <w:pPr>
        <w:pStyle w:val="H5nonumbers"/>
      </w:pPr>
      <w:bookmarkStart w:id="29" w:name="_Toc427754993"/>
      <w:bookmarkStart w:id="30" w:name="_Toc427755249"/>
      <w:r w:rsidRPr="007C3E38">
        <w:t>Management through measurement</w:t>
      </w:r>
      <w:bookmarkEnd w:id="29"/>
      <w:bookmarkEnd w:id="30"/>
    </w:p>
    <w:p w14:paraId="2BAD1898" w14:textId="5658F266" w:rsidR="00985FD3" w:rsidRDefault="005E051E" w:rsidP="009C5BF1">
      <w:pPr>
        <w:pStyle w:val="ListParagraph"/>
        <w:numPr>
          <w:ilvl w:val="0"/>
          <w:numId w:val="7"/>
        </w:numPr>
      </w:pPr>
      <w:r>
        <w:t xml:space="preserve">The </w:t>
      </w:r>
      <w:r w:rsidR="00A25AF5">
        <w:t>Activity</w:t>
      </w:r>
      <w:r w:rsidR="00985FD3">
        <w:t xml:space="preserve"> </w:t>
      </w:r>
      <w:r>
        <w:t>will</w:t>
      </w:r>
      <w:r w:rsidR="00985FD3">
        <w:t xml:space="preserve"> measure the impacts of the activities undertaken (such as change in attitudes and smoking behaviours).</w:t>
      </w:r>
    </w:p>
    <w:p w14:paraId="2A953D69" w14:textId="2854E373" w:rsidR="00985FD3" w:rsidRDefault="00985FD3" w:rsidP="009C5BF1">
      <w:pPr>
        <w:pStyle w:val="ListParagraph"/>
        <w:numPr>
          <w:ilvl w:val="0"/>
          <w:numId w:val="7"/>
        </w:numPr>
      </w:pPr>
      <w:r>
        <w:t xml:space="preserve">Funding recipients need to be accountable for performance reporting against the </w:t>
      </w:r>
      <w:r w:rsidR="00A25AF5">
        <w:t>Activity</w:t>
      </w:r>
      <w:r>
        <w:t xml:space="preserve"> objectives</w:t>
      </w:r>
      <w:r w:rsidR="005E051E">
        <w:t xml:space="preserve"> (i.e. prevent uptake of smoking and increase smoking cessation)</w:t>
      </w:r>
      <w:r w:rsidR="007C3E38">
        <w:t>.</w:t>
      </w:r>
    </w:p>
    <w:p w14:paraId="39E6ACDC" w14:textId="77777777" w:rsidR="007E079B" w:rsidRDefault="00985FD3" w:rsidP="009C5BF1">
      <w:pPr>
        <w:pStyle w:val="ListParagraph"/>
        <w:numPr>
          <w:ilvl w:val="0"/>
          <w:numId w:val="7"/>
        </w:numPr>
        <w:sectPr w:rsidR="007E079B" w:rsidSect="008A4019">
          <w:pgSz w:w="11906" w:h="16838"/>
          <w:pgMar w:top="851" w:right="1134" w:bottom="1134" w:left="1134" w:header="709" w:footer="709" w:gutter="0"/>
          <w:cols w:space="708"/>
          <w:docGrid w:linePitch="360"/>
        </w:sectPr>
      </w:pPr>
      <w:r>
        <w:t xml:space="preserve">Funding recipients </w:t>
      </w:r>
      <w:r w:rsidR="00BC684E">
        <w:t>are required</w:t>
      </w:r>
      <w:r w:rsidR="00714D85">
        <w:t xml:space="preserve"> to work with the NBPU on</w:t>
      </w:r>
      <w:r>
        <w:t xml:space="preserve"> </w:t>
      </w:r>
      <w:r w:rsidR="00A25AF5">
        <w:t>Activity</w:t>
      </w:r>
      <w:r>
        <w:t xml:space="preserve"> monitoring and evaluation plan</w:t>
      </w:r>
      <w:r w:rsidR="00CD0E60">
        <w:t>s</w:t>
      </w:r>
      <w:r>
        <w:t xml:space="preserve"> to assess whether progress is being made towards </w:t>
      </w:r>
      <w:r w:rsidR="00A25AF5">
        <w:t>Activity</w:t>
      </w:r>
      <w:r>
        <w:t xml:space="preserve"> objectives. </w:t>
      </w:r>
    </w:p>
    <w:p w14:paraId="7CA6F1CA" w14:textId="709A187D" w:rsidR="00985FD3" w:rsidRPr="007C3E38" w:rsidRDefault="00985FD3" w:rsidP="00835AEF">
      <w:pPr>
        <w:pStyle w:val="H5nonumbers"/>
      </w:pPr>
      <w:bookmarkStart w:id="31" w:name="_Toc427754994"/>
      <w:bookmarkStart w:id="32" w:name="_Toc427755250"/>
      <w:r w:rsidRPr="007C3E38">
        <w:lastRenderedPageBreak/>
        <w:t>The evidence on what works</w:t>
      </w:r>
      <w:bookmarkEnd w:id="31"/>
      <w:bookmarkEnd w:id="32"/>
    </w:p>
    <w:p w14:paraId="2B96BBF5" w14:textId="3523B331" w:rsidR="00985FD3" w:rsidRPr="00C25C16" w:rsidRDefault="00985FD3" w:rsidP="009C5BF1">
      <w:pPr>
        <w:pStyle w:val="ListParagraph"/>
        <w:numPr>
          <w:ilvl w:val="0"/>
          <w:numId w:val="7"/>
        </w:numPr>
      </w:pPr>
      <w:r>
        <w:t>M</w:t>
      </w:r>
      <w:r w:rsidRPr="007C3F7F">
        <w:t xml:space="preserve">ulti-level approaches to tobacco control are likely to be most effective for reducing smoking prevalence in </w:t>
      </w:r>
      <w:r w:rsidR="00726973" w:rsidRPr="00C25C16">
        <w:t xml:space="preserve">Aboriginal and Torres Strait Islander </w:t>
      </w:r>
      <w:r>
        <w:t xml:space="preserve">communities. </w:t>
      </w:r>
      <w:r w:rsidRPr="007C3F7F">
        <w:t>Targeted, culturally sensitive social media campaigns</w:t>
      </w:r>
      <w:r>
        <w:t>,</w:t>
      </w:r>
      <w:r w:rsidRPr="007C3F7F">
        <w:t xml:space="preserve"> and community-</w:t>
      </w:r>
      <w:r>
        <w:t>designed educational activities</w:t>
      </w:r>
      <w:r w:rsidRPr="007C3F7F">
        <w:t xml:space="preserve"> can influence individual attitudes and social norms, leading to more smoke-free environments and demands for individual support to quit. </w:t>
      </w:r>
      <w:r w:rsidRPr="00C25C16">
        <w:t>Support at the individual level should include access to behavioural and pharmacological therapies, provided by a workforce trained in culturally sensitive interventions. High intensity counselling and brief interventions are also supported by the evidence reviewed.</w:t>
      </w:r>
    </w:p>
    <w:p w14:paraId="50B57D4B" w14:textId="77777777" w:rsidR="00985FD3" w:rsidRPr="00C25C16" w:rsidRDefault="00985FD3" w:rsidP="009C5BF1">
      <w:pPr>
        <w:pStyle w:val="ListParagraph"/>
        <w:numPr>
          <w:ilvl w:val="0"/>
          <w:numId w:val="7"/>
        </w:numPr>
      </w:pPr>
      <w:r w:rsidRPr="00BE599A">
        <w:t>Behavioural change theory indicates that repeated or habitual voluntary behaviours like smoking are determined by the extent to which a person:</w:t>
      </w:r>
    </w:p>
    <w:p w14:paraId="5D949789" w14:textId="77777777" w:rsidR="00985FD3" w:rsidRPr="00BE599A" w:rsidRDefault="00985FD3" w:rsidP="009C5BF1">
      <w:pPr>
        <w:pStyle w:val="ListParagraph"/>
        <w:numPr>
          <w:ilvl w:val="0"/>
          <w:numId w:val="8"/>
        </w:numPr>
      </w:pPr>
      <w:r w:rsidRPr="00BE599A">
        <w:t>Wants to do it (conscious motivation);</w:t>
      </w:r>
    </w:p>
    <w:p w14:paraId="28865530" w14:textId="77777777" w:rsidR="00985FD3" w:rsidRPr="00BE599A" w:rsidRDefault="00985FD3" w:rsidP="009C5BF1">
      <w:pPr>
        <w:pStyle w:val="ListParagraph"/>
        <w:numPr>
          <w:ilvl w:val="0"/>
          <w:numId w:val="8"/>
        </w:numPr>
      </w:pPr>
      <w:r w:rsidRPr="00BE599A">
        <w:t>Sees others doing it (modelling);</w:t>
      </w:r>
    </w:p>
    <w:p w14:paraId="447ED3ED" w14:textId="77777777" w:rsidR="00985FD3" w:rsidRPr="00BE599A" w:rsidRDefault="00985FD3" w:rsidP="009C5BF1">
      <w:pPr>
        <w:pStyle w:val="ListParagraph"/>
        <w:numPr>
          <w:ilvl w:val="0"/>
          <w:numId w:val="8"/>
        </w:numPr>
      </w:pPr>
      <w:r w:rsidRPr="00BE599A">
        <w:t>Has the required capacity to do it (resources, comprehension, training and self-efficacy);</w:t>
      </w:r>
    </w:p>
    <w:p w14:paraId="5094FB7F" w14:textId="77777777" w:rsidR="00985FD3" w:rsidRPr="00BE599A" w:rsidRDefault="00985FD3" w:rsidP="009C5BF1">
      <w:pPr>
        <w:pStyle w:val="ListParagraph"/>
        <w:numPr>
          <w:ilvl w:val="0"/>
          <w:numId w:val="8"/>
        </w:numPr>
      </w:pPr>
      <w:r w:rsidRPr="00BE599A">
        <w:t>Remembers to do it (memory and prompting); and</w:t>
      </w:r>
    </w:p>
    <w:p w14:paraId="7E810D27" w14:textId="77777777" w:rsidR="00985FD3" w:rsidRPr="00BE599A" w:rsidRDefault="00985FD3" w:rsidP="009C5BF1">
      <w:pPr>
        <w:pStyle w:val="ListParagraph"/>
        <w:numPr>
          <w:ilvl w:val="0"/>
          <w:numId w:val="8"/>
        </w:numPr>
        <w:spacing w:after="240"/>
        <w:ind w:left="1077" w:hanging="357"/>
        <w:contextualSpacing w:val="0"/>
      </w:pPr>
      <w:r w:rsidRPr="00BE599A">
        <w:t>Is rewarded for doing it, or suffers for not doing it (positive and negative reinforcement)</w:t>
      </w:r>
      <w:r w:rsidRPr="00BE599A">
        <w:rPr>
          <w:rStyle w:val="FootnoteReference"/>
        </w:rPr>
        <w:footnoteReference w:id="2"/>
      </w:r>
      <w:r w:rsidRPr="00BE599A">
        <w:t>.</w:t>
      </w:r>
    </w:p>
    <w:p w14:paraId="37E27F17" w14:textId="74A39891" w:rsidR="00985FD3" w:rsidRPr="009F22AA" w:rsidRDefault="00985FD3" w:rsidP="009C5BF1">
      <w:pPr>
        <w:pStyle w:val="ListParagraph"/>
        <w:numPr>
          <w:ilvl w:val="0"/>
          <w:numId w:val="7"/>
        </w:numPr>
      </w:pPr>
      <w:r>
        <w:t xml:space="preserve">Whilst working towards the long-term target of reduced smoking rates, it is important to measure </w:t>
      </w:r>
      <w:r w:rsidRPr="00BE599A">
        <w:t xml:space="preserve">early indicators of success </w:t>
      </w:r>
      <w:r w:rsidR="00C145BF">
        <w:t>where possible. Examples which could be developed include</w:t>
      </w:r>
      <w:r w:rsidR="0069182F">
        <w:t xml:space="preserve"> positive community attitudinal change,</w:t>
      </w:r>
      <w:r w:rsidRPr="00BE599A">
        <w:t xml:space="preserve"> smoking reduction, advocacy against tobacco use by others</w:t>
      </w:r>
      <w:r w:rsidR="00726973">
        <w:t>,</w:t>
      </w:r>
      <w:r w:rsidRPr="00BE599A">
        <w:t xml:space="preserve"> or reductions in exposure to tobacco smoke (passive smoking) that </w:t>
      </w:r>
      <w:r w:rsidR="00C145BF">
        <w:t>affects</w:t>
      </w:r>
      <w:r w:rsidRPr="00BE599A">
        <w:t xml:space="preserve"> other members of the </w:t>
      </w:r>
      <w:r w:rsidRPr="009F22AA">
        <w:t>community (i</w:t>
      </w:r>
      <w:r w:rsidR="007C3E38" w:rsidRPr="009F22AA">
        <w:t>.</w:t>
      </w:r>
      <w:r w:rsidRPr="009F22AA">
        <w:t>e</w:t>
      </w:r>
      <w:r w:rsidR="007C3E38" w:rsidRPr="009F22AA">
        <w:t>.</w:t>
      </w:r>
      <w:r w:rsidRPr="009F22AA">
        <w:t xml:space="preserve"> smoking behaviour in cars, houses or workplaces</w:t>
      </w:r>
      <w:r w:rsidR="00BC684E" w:rsidRPr="009F22AA">
        <w:t>, and social/sporting events</w:t>
      </w:r>
      <w:r w:rsidRPr="009F22AA">
        <w:t>).</w:t>
      </w:r>
    </w:p>
    <w:p w14:paraId="637EE419" w14:textId="409A4AD9" w:rsidR="009F22AA" w:rsidRPr="009F22AA" w:rsidRDefault="009F22AA" w:rsidP="009C5BF1">
      <w:pPr>
        <w:pStyle w:val="ListParagraph"/>
        <w:numPr>
          <w:ilvl w:val="0"/>
          <w:numId w:val="7"/>
        </w:numPr>
      </w:pPr>
      <w:r w:rsidRPr="00C25C16">
        <w:rPr>
          <w:color w:val="000000"/>
        </w:rPr>
        <w:t xml:space="preserve">Summaries of the tobacco control evidence can be found at the following websites: </w:t>
      </w:r>
      <w:hyperlink r:id="rId18" w:history="1">
        <w:r w:rsidR="007E079B" w:rsidRPr="00C25C16">
          <w:rPr>
            <w:rStyle w:val="Hyperlink"/>
            <w:rFonts w:eastAsia="Calibri"/>
          </w:rPr>
          <w:t>Tobacco In Australia</w:t>
        </w:r>
      </w:hyperlink>
      <w:r w:rsidRPr="00C25C16">
        <w:rPr>
          <w:color w:val="000000"/>
        </w:rPr>
        <w:t xml:space="preserve"> (internatio</w:t>
      </w:r>
      <w:r w:rsidR="007E079B" w:rsidRPr="00C25C16">
        <w:rPr>
          <w:color w:val="000000"/>
        </w:rPr>
        <w:t xml:space="preserve">nal tobacco control evidence); </w:t>
      </w:r>
      <w:hyperlink r:id="rId19" w:history="1">
        <w:r w:rsidR="007E079B" w:rsidRPr="00C25C16">
          <w:rPr>
            <w:rStyle w:val="Hyperlink"/>
            <w:rFonts w:eastAsia="Calibri"/>
          </w:rPr>
          <w:t>Medical Journal Of Australia</w:t>
        </w:r>
      </w:hyperlink>
      <w:r w:rsidRPr="00C25C16">
        <w:rPr>
          <w:color w:val="000000"/>
        </w:rPr>
        <w:t xml:space="preserve"> (evidence specific to tobacco control for Aboriginal and Torres Strait Islander communities). </w:t>
      </w:r>
    </w:p>
    <w:p w14:paraId="31D2C604" w14:textId="069F1AE5" w:rsidR="00985FD3" w:rsidRPr="000A40E8" w:rsidRDefault="00985FD3" w:rsidP="000A40E8">
      <w:pPr>
        <w:pStyle w:val="Heading2"/>
      </w:pPr>
      <w:bookmarkStart w:id="33" w:name="_Ref425181787"/>
      <w:bookmarkStart w:id="34" w:name="_Toc427754995"/>
      <w:bookmarkStart w:id="35" w:name="_Toc427755251"/>
      <w:bookmarkStart w:id="36" w:name="_Toc427755325"/>
      <w:r w:rsidRPr="000A40E8">
        <w:t xml:space="preserve">TIS </w:t>
      </w:r>
      <w:r w:rsidR="00A25AF5" w:rsidRPr="000A40E8">
        <w:t>Activity</w:t>
      </w:r>
      <w:r w:rsidRPr="000A40E8">
        <w:t xml:space="preserve"> Principles</w:t>
      </w:r>
      <w:bookmarkEnd w:id="33"/>
      <w:bookmarkEnd w:id="34"/>
      <w:bookmarkEnd w:id="35"/>
      <w:bookmarkEnd w:id="36"/>
    </w:p>
    <w:p w14:paraId="6B7BECEA" w14:textId="1BFD79D4" w:rsidR="00A73212" w:rsidRPr="00A73212" w:rsidRDefault="00985FD3" w:rsidP="00A73212">
      <w:pPr>
        <w:rPr>
          <w:rStyle w:val="Strong"/>
          <w:b w:val="0"/>
          <w:bCs w:val="0"/>
        </w:rPr>
      </w:pPr>
      <w:r>
        <w:t xml:space="preserve">In response to the review, the following principles have </w:t>
      </w:r>
      <w:r w:rsidR="006832CC">
        <w:t xml:space="preserve">been developed to underpin the </w:t>
      </w:r>
      <w:r w:rsidRPr="006832CC">
        <w:t xml:space="preserve">next phase </w:t>
      </w:r>
      <w:r w:rsidR="006832CC" w:rsidRPr="006832CC">
        <w:t>of the</w:t>
      </w:r>
      <w:r w:rsidRPr="006832CC">
        <w:t xml:space="preserve"> </w:t>
      </w:r>
      <w:r w:rsidR="00A25AF5">
        <w:t>Activity</w:t>
      </w:r>
      <w:r w:rsidR="009D6E0D">
        <w:t>:</w:t>
      </w:r>
    </w:p>
    <w:tbl>
      <w:tblPr>
        <w:tblStyle w:val="TableGrid"/>
        <w:tblW w:w="0" w:type="auto"/>
        <w:tblLook w:val="04A0" w:firstRow="1" w:lastRow="0" w:firstColumn="1" w:lastColumn="0" w:noHBand="0" w:noVBand="1"/>
        <w:tblDescription w:val="Tackling Indigenous Smoking principles table describing the principles underpinning the next phase of the Tackling Indigenous Smoking Activity.  It contains 2 heading columns; column 1. Principle name/s and column 2. Principle description/s."/>
      </w:tblPr>
      <w:tblGrid>
        <w:gridCol w:w="2235"/>
        <w:gridCol w:w="7619"/>
      </w:tblGrid>
      <w:tr w:rsidR="00A73212" w:rsidRPr="00927802" w14:paraId="6A3B67CF" w14:textId="77777777" w:rsidTr="00A73212">
        <w:trPr>
          <w:cantSplit/>
          <w:tblHeader/>
        </w:trPr>
        <w:tc>
          <w:tcPr>
            <w:tcW w:w="2235" w:type="dxa"/>
            <w:shd w:val="clear" w:color="auto" w:fill="D9D9D9" w:themeFill="background1" w:themeFillShade="D9"/>
          </w:tcPr>
          <w:p w14:paraId="049A518B" w14:textId="77777777" w:rsidR="00A73212" w:rsidRPr="00927802" w:rsidRDefault="00A73212" w:rsidP="006005A8">
            <w:pPr>
              <w:widowControl w:val="0"/>
            </w:pPr>
            <w:r w:rsidRPr="00927802">
              <w:rPr>
                <w:rStyle w:val="Strong"/>
                <w:sz w:val="24"/>
              </w:rPr>
              <w:t>Principle name</w:t>
            </w:r>
          </w:p>
        </w:tc>
        <w:tc>
          <w:tcPr>
            <w:tcW w:w="7619" w:type="dxa"/>
            <w:shd w:val="clear" w:color="auto" w:fill="D9D9D9" w:themeFill="background1" w:themeFillShade="D9"/>
          </w:tcPr>
          <w:p w14:paraId="2F36F400" w14:textId="77777777" w:rsidR="00A73212" w:rsidRPr="00A73212" w:rsidRDefault="00A73212" w:rsidP="006005A8">
            <w:pPr>
              <w:widowControl w:val="0"/>
            </w:pPr>
            <w:r w:rsidRPr="00927802">
              <w:rPr>
                <w:rStyle w:val="Strong"/>
                <w:sz w:val="24"/>
              </w:rPr>
              <w:t>Principle Description</w:t>
            </w:r>
          </w:p>
        </w:tc>
      </w:tr>
      <w:tr w:rsidR="00985FD3" w:rsidRPr="00927802" w14:paraId="5BC1BF2A" w14:textId="77777777" w:rsidTr="00A73212">
        <w:trPr>
          <w:cantSplit/>
        </w:trPr>
        <w:tc>
          <w:tcPr>
            <w:tcW w:w="2235" w:type="dxa"/>
          </w:tcPr>
          <w:p w14:paraId="5E29406C" w14:textId="77777777" w:rsidR="00985FD3" w:rsidRPr="00927802" w:rsidRDefault="00985FD3" w:rsidP="00985FD3">
            <w:pPr>
              <w:widowControl w:val="0"/>
              <w:rPr>
                <w:sz w:val="24"/>
              </w:rPr>
            </w:pPr>
            <w:r w:rsidRPr="00927802">
              <w:rPr>
                <w:sz w:val="24"/>
              </w:rPr>
              <w:t>Outcomes-based</w:t>
            </w:r>
          </w:p>
        </w:tc>
        <w:tc>
          <w:tcPr>
            <w:tcW w:w="7619" w:type="dxa"/>
          </w:tcPr>
          <w:p w14:paraId="6F996026" w14:textId="77777777" w:rsidR="00985FD3" w:rsidRPr="00927802" w:rsidRDefault="00985FD3" w:rsidP="009C5BF1">
            <w:pPr>
              <w:pStyle w:val="ListParagraph"/>
              <w:widowControl w:val="0"/>
              <w:numPr>
                <w:ilvl w:val="0"/>
                <w:numId w:val="3"/>
              </w:numPr>
              <w:rPr>
                <w:sz w:val="24"/>
              </w:rPr>
            </w:pPr>
            <w:r w:rsidRPr="00927802">
              <w:rPr>
                <w:sz w:val="24"/>
                <w:szCs w:val="20"/>
              </w:rPr>
              <w:t>Expected outcomes are defined while the means of achieving outcomes can vary, which allows for tailoring activities to local needs.</w:t>
            </w:r>
          </w:p>
          <w:p w14:paraId="6A0A87BD" w14:textId="3211B6B6" w:rsidR="00985FD3" w:rsidRPr="00927802" w:rsidRDefault="00985FD3" w:rsidP="009C5BF1">
            <w:pPr>
              <w:pStyle w:val="ListParagraph"/>
              <w:widowControl w:val="0"/>
              <w:numPr>
                <w:ilvl w:val="0"/>
                <w:numId w:val="3"/>
              </w:numPr>
              <w:rPr>
                <w:sz w:val="24"/>
              </w:rPr>
            </w:pPr>
            <w:r w:rsidRPr="00927802">
              <w:rPr>
                <w:sz w:val="24"/>
                <w:szCs w:val="20"/>
              </w:rPr>
              <w:t xml:space="preserve">Outcome measures will show how much progress is being made towards achieving the </w:t>
            </w:r>
            <w:r w:rsidR="00A25AF5" w:rsidRPr="00927802">
              <w:rPr>
                <w:sz w:val="24"/>
                <w:szCs w:val="20"/>
              </w:rPr>
              <w:t>Activity</w:t>
            </w:r>
            <w:r w:rsidRPr="00927802">
              <w:rPr>
                <w:sz w:val="24"/>
                <w:szCs w:val="20"/>
              </w:rPr>
              <w:t xml:space="preserve"> objectives.</w:t>
            </w:r>
          </w:p>
          <w:p w14:paraId="31065A44" w14:textId="3C9BD411" w:rsidR="00985FD3" w:rsidRPr="00927802" w:rsidRDefault="00985FD3" w:rsidP="009C5BF1">
            <w:pPr>
              <w:pStyle w:val="ListParagraph"/>
              <w:widowControl w:val="0"/>
              <w:numPr>
                <w:ilvl w:val="0"/>
                <w:numId w:val="3"/>
              </w:numPr>
              <w:rPr>
                <w:sz w:val="24"/>
              </w:rPr>
            </w:pPr>
            <w:r w:rsidRPr="00927802">
              <w:rPr>
                <w:sz w:val="24"/>
                <w:szCs w:val="20"/>
              </w:rPr>
              <w:t>Outcome measures are short term (</w:t>
            </w:r>
            <w:r w:rsidR="00CD0E60" w:rsidRPr="00927802">
              <w:rPr>
                <w:sz w:val="24"/>
                <w:szCs w:val="20"/>
              </w:rPr>
              <w:t>e.g. increase in</w:t>
            </w:r>
            <w:r w:rsidRPr="00927802">
              <w:rPr>
                <w:sz w:val="24"/>
                <w:szCs w:val="20"/>
              </w:rPr>
              <w:t xml:space="preserve"> </w:t>
            </w:r>
            <w:r w:rsidR="00CD0E60" w:rsidRPr="00927802">
              <w:rPr>
                <w:sz w:val="24"/>
                <w:szCs w:val="20"/>
              </w:rPr>
              <w:t>referrals to</w:t>
            </w:r>
            <w:r w:rsidRPr="00927802">
              <w:rPr>
                <w:sz w:val="24"/>
                <w:szCs w:val="20"/>
              </w:rPr>
              <w:t xml:space="preserve"> </w:t>
            </w:r>
            <w:r w:rsidR="00CD0E60" w:rsidRPr="00927802">
              <w:rPr>
                <w:sz w:val="24"/>
                <w:szCs w:val="20"/>
              </w:rPr>
              <w:t>quit services</w:t>
            </w:r>
            <w:r w:rsidRPr="00927802">
              <w:rPr>
                <w:sz w:val="24"/>
                <w:szCs w:val="20"/>
              </w:rPr>
              <w:t>) and long term (</w:t>
            </w:r>
            <w:r w:rsidR="00CD0E60" w:rsidRPr="00927802">
              <w:rPr>
                <w:sz w:val="24"/>
                <w:szCs w:val="20"/>
              </w:rPr>
              <w:t xml:space="preserve">e.g. </w:t>
            </w:r>
            <w:r w:rsidRPr="00927802">
              <w:rPr>
                <w:sz w:val="24"/>
                <w:szCs w:val="20"/>
              </w:rPr>
              <w:t>decrease in number of current smokers</w:t>
            </w:r>
            <w:r w:rsidR="00D533FE" w:rsidRPr="00927802">
              <w:rPr>
                <w:sz w:val="24"/>
                <w:szCs w:val="20"/>
              </w:rPr>
              <w:t xml:space="preserve"> and</w:t>
            </w:r>
            <w:r w:rsidR="00F6335E" w:rsidRPr="00927802">
              <w:rPr>
                <w:sz w:val="24"/>
                <w:szCs w:val="20"/>
              </w:rPr>
              <w:t xml:space="preserve"> no</w:t>
            </w:r>
            <w:r w:rsidR="00D533FE" w:rsidRPr="00927802">
              <w:rPr>
                <w:sz w:val="24"/>
                <w:szCs w:val="20"/>
              </w:rPr>
              <w:t xml:space="preserve"> take-up of smoking</w:t>
            </w:r>
            <w:r w:rsidRPr="00927802">
              <w:rPr>
                <w:sz w:val="24"/>
                <w:szCs w:val="20"/>
              </w:rPr>
              <w:t>)</w:t>
            </w:r>
            <w:r w:rsidR="007C6985">
              <w:rPr>
                <w:sz w:val="24"/>
                <w:szCs w:val="20"/>
              </w:rPr>
              <w:t>.</w:t>
            </w:r>
          </w:p>
        </w:tc>
      </w:tr>
      <w:tr w:rsidR="00985FD3" w:rsidRPr="00927802" w14:paraId="6DA2BB69" w14:textId="77777777" w:rsidTr="00985FD3">
        <w:trPr>
          <w:cantSplit/>
        </w:trPr>
        <w:tc>
          <w:tcPr>
            <w:tcW w:w="2235" w:type="dxa"/>
          </w:tcPr>
          <w:p w14:paraId="32CF8DA5" w14:textId="77777777" w:rsidR="00985FD3" w:rsidRPr="00927802" w:rsidRDefault="00985FD3" w:rsidP="00985FD3">
            <w:pPr>
              <w:widowControl w:val="0"/>
              <w:rPr>
                <w:sz w:val="24"/>
              </w:rPr>
            </w:pPr>
            <w:r w:rsidRPr="00927802">
              <w:rPr>
                <w:sz w:val="24"/>
              </w:rPr>
              <w:t>Place-based</w:t>
            </w:r>
          </w:p>
        </w:tc>
        <w:tc>
          <w:tcPr>
            <w:tcW w:w="7619" w:type="dxa"/>
          </w:tcPr>
          <w:p w14:paraId="5F79AF2F" w14:textId="77777777" w:rsidR="00985FD3" w:rsidRPr="00927802" w:rsidRDefault="00985FD3" w:rsidP="009C5BF1">
            <w:pPr>
              <w:pStyle w:val="ListParagraph"/>
              <w:widowControl w:val="0"/>
              <w:numPr>
                <w:ilvl w:val="0"/>
                <w:numId w:val="3"/>
              </w:numPr>
              <w:rPr>
                <w:sz w:val="24"/>
              </w:rPr>
            </w:pPr>
            <w:r w:rsidRPr="00927802">
              <w:rPr>
                <w:sz w:val="24"/>
                <w:szCs w:val="20"/>
              </w:rPr>
              <w:t>Local planning, ownership of solutions by the community.</w:t>
            </w:r>
          </w:p>
          <w:p w14:paraId="5A427969" w14:textId="77777777" w:rsidR="00985FD3" w:rsidRPr="00927802" w:rsidRDefault="00985FD3" w:rsidP="009C5BF1">
            <w:pPr>
              <w:pStyle w:val="ListParagraph"/>
              <w:widowControl w:val="0"/>
              <w:numPr>
                <w:ilvl w:val="0"/>
                <w:numId w:val="3"/>
              </w:numPr>
              <w:rPr>
                <w:sz w:val="24"/>
              </w:rPr>
            </w:pPr>
            <w:r w:rsidRPr="00927802">
              <w:rPr>
                <w:sz w:val="24"/>
                <w:szCs w:val="20"/>
              </w:rPr>
              <w:t>Tailoring activities to local needs expressed as local outcomes sought.</w:t>
            </w:r>
          </w:p>
          <w:p w14:paraId="43389B18" w14:textId="77777777" w:rsidR="00985FD3" w:rsidRPr="00927802" w:rsidRDefault="00985FD3" w:rsidP="009C5BF1">
            <w:pPr>
              <w:pStyle w:val="ListParagraph"/>
              <w:widowControl w:val="0"/>
              <w:numPr>
                <w:ilvl w:val="0"/>
                <w:numId w:val="3"/>
              </w:numPr>
              <w:rPr>
                <w:sz w:val="24"/>
              </w:rPr>
            </w:pPr>
            <w:r w:rsidRPr="00927802">
              <w:rPr>
                <w:sz w:val="24"/>
                <w:szCs w:val="20"/>
              </w:rPr>
              <w:t>Encourage integration with other relevant services and holistic support for individuals.</w:t>
            </w:r>
          </w:p>
        </w:tc>
      </w:tr>
      <w:tr w:rsidR="00985FD3" w:rsidRPr="00927802" w14:paraId="5FEFE156" w14:textId="77777777" w:rsidTr="00985FD3">
        <w:trPr>
          <w:cantSplit/>
        </w:trPr>
        <w:tc>
          <w:tcPr>
            <w:tcW w:w="2235" w:type="dxa"/>
          </w:tcPr>
          <w:p w14:paraId="16FCA73B" w14:textId="77777777" w:rsidR="00985FD3" w:rsidRPr="00927802" w:rsidRDefault="00985FD3" w:rsidP="00985FD3">
            <w:pPr>
              <w:widowControl w:val="0"/>
              <w:rPr>
                <w:sz w:val="24"/>
              </w:rPr>
            </w:pPr>
            <w:r w:rsidRPr="00927802">
              <w:rPr>
                <w:sz w:val="24"/>
              </w:rPr>
              <w:lastRenderedPageBreak/>
              <w:t>Evidence-based</w:t>
            </w:r>
          </w:p>
        </w:tc>
        <w:tc>
          <w:tcPr>
            <w:tcW w:w="7619" w:type="dxa"/>
          </w:tcPr>
          <w:p w14:paraId="75A82E1D" w14:textId="6BE4543C" w:rsidR="00985FD3" w:rsidRPr="00927802" w:rsidRDefault="00D8141B" w:rsidP="009C5BF1">
            <w:pPr>
              <w:pStyle w:val="ListParagraph"/>
              <w:widowControl w:val="0"/>
              <w:numPr>
                <w:ilvl w:val="0"/>
                <w:numId w:val="3"/>
              </w:numPr>
              <w:rPr>
                <w:sz w:val="24"/>
              </w:rPr>
            </w:pPr>
            <w:r w:rsidRPr="00927802">
              <w:rPr>
                <w:sz w:val="24"/>
                <w:szCs w:val="20"/>
              </w:rPr>
              <w:t>Activities</w:t>
            </w:r>
            <w:r w:rsidR="00724A22" w:rsidRPr="00927802">
              <w:rPr>
                <w:sz w:val="24"/>
                <w:szCs w:val="20"/>
              </w:rPr>
              <w:t xml:space="preserve"> </w:t>
            </w:r>
            <w:r w:rsidR="00985FD3" w:rsidRPr="00927802">
              <w:rPr>
                <w:sz w:val="24"/>
                <w:szCs w:val="20"/>
              </w:rPr>
              <w:t xml:space="preserve">are planned </w:t>
            </w:r>
            <w:r w:rsidR="00F6335E" w:rsidRPr="00927802">
              <w:rPr>
                <w:sz w:val="24"/>
                <w:szCs w:val="20"/>
              </w:rPr>
              <w:t xml:space="preserve">in consultation </w:t>
            </w:r>
            <w:r w:rsidR="00985FD3" w:rsidRPr="00927802">
              <w:rPr>
                <w:sz w:val="24"/>
                <w:szCs w:val="20"/>
              </w:rPr>
              <w:t>with the National Best Practice Unit.</w:t>
            </w:r>
          </w:p>
          <w:p w14:paraId="4FFE0AC4" w14:textId="77777777" w:rsidR="00985FD3" w:rsidRPr="00927802" w:rsidRDefault="00985FD3" w:rsidP="009C5BF1">
            <w:pPr>
              <w:pStyle w:val="ListParagraph"/>
              <w:widowControl w:val="0"/>
              <w:numPr>
                <w:ilvl w:val="0"/>
                <w:numId w:val="3"/>
              </w:numPr>
              <w:rPr>
                <w:sz w:val="24"/>
              </w:rPr>
            </w:pPr>
            <w:r w:rsidRPr="00927802">
              <w:rPr>
                <w:sz w:val="24"/>
                <w:szCs w:val="20"/>
              </w:rPr>
              <w:t>Local approaches are based on evidence of what works.</w:t>
            </w:r>
          </w:p>
        </w:tc>
      </w:tr>
      <w:tr w:rsidR="00985FD3" w:rsidRPr="00927802" w14:paraId="26DA47DA" w14:textId="77777777" w:rsidTr="00985FD3">
        <w:trPr>
          <w:cantSplit/>
        </w:trPr>
        <w:tc>
          <w:tcPr>
            <w:tcW w:w="2235" w:type="dxa"/>
          </w:tcPr>
          <w:p w14:paraId="10A47BCF" w14:textId="77777777" w:rsidR="00985FD3" w:rsidRPr="00927802" w:rsidRDefault="00985FD3" w:rsidP="00985FD3">
            <w:pPr>
              <w:widowControl w:val="0"/>
              <w:rPr>
                <w:sz w:val="24"/>
              </w:rPr>
            </w:pPr>
            <w:r w:rsidRPr="00927802">
              <w:rPr>
                <w:sz w:val="24"/>
              </w:rPr>
              <w:t>Partnership building</w:t>
            </w:r>
          </w:p>
        </w:tc>
        <w:tc>
          <w:tcPr>
            <w:tcW w:w="7619" w:type="dxa"/>
          </w:tcPr>
          <w:p w14:paraId="112E6654" w14:textId="77777777" w:rsidR="00985FD3" w:rsidRPr="00927802" w:rsidRDefault="00985FD3" w:rsidP="009C5BF1">
            <w:pPr>
              <w:pStyle w:val="ListParagraph"/>
              <w:widowControl w:val="0"/>
              <w:numPr>
                <w:ilvl w:val="0"/>
                <w:numId w:val="3"/>
              </w:numPr>
              <w:rPr>
                <w:sz w:val="24"/>
              </w:rPr>
            </w:pPr>
            <w:r w:rsidRPr="00927802">
              <w:rPr>
                <w:sz w:val="24"/>
                <w:szCs w:val="20"/>
              </w:rPr>
              <w:t>Networks are built for Indigenous Tobacco Control across local/ regional/ national areas.</w:t>
            </w:r>
          </w:p>
          <w:p w14:paraId="3C186BD9" w14:textId="7572793C" w:rsidR="00985FD3" w:rsidRPr="00927802" w:rsidRDefault="00985FD3" w:rsidP="009C5BF1">
            <w:pPr>
              <w:pStyle w:val="ListParagraph"/>
              <w:widowControl w:val="0"/>
              <w:numPr>
                <w:ilvl w:val="0"/>
                <w:numId w:val="3"/>
              </w:numPr>
              <w:rPr>
                <w:sz w:val="24"/>
              </w:rPr>
            </w:pPr>
            <w:r w:rsidRPr="00927802">
              <w:rPr>
                <w:sz w:val="24"/>
                <w:szCs w:val="20"/>
              </w:rPr>
              <w:t xml:space="preserve">Sharing information and resources across networks and through the </w:t>
            </w:r>
            <w:r w:rsidR="00CD0E60" w:rsidRPr="00927802">
              <w:rPr>
                <w:sz w:val="24"/>
                <w:szCs w:val="20"/>
              </w:rPr>
              <w:t xml:space="preserve">National </w:t>
            </w:r>
            <w:r w:rsidRPr="00927802">
              <w:rPr>
                <w:sz w:val="24"/>
                <w:szCs w:val="20"/>
              </w:rPr>
              <w:t>Best Practice Unit.</w:t>
            </w:r>
          </w:p>
          <w:p w14:paraId="0FEE3AAD" w14:textId="5E33BCAA" w:rsidR="00985FD3" w:rsidRPr="00927802" w:rsidRDefault="00985FD3" w:rsidP="009C5BF1">
            <w:pPr>
              <w:pStyle w:val="ListParagraph"/>
              <w:widowControl w:val="0"/>
              <w:numPr>
                <w:ilvl w:val="0"/>
                <w:numId w:val="3"/>
              </w:numPr>
              <w:rPr>
                <w:sz w:val="24"/>
              </w:rPr>
            </w:pPr>
            <w:r w:rsidRPr="00927802">
              <w:rPr>
                <w:sz w:val="24"/>
                <w:szCs w:val="20"/>
              </w:rPr>
              <w:t>Build partnerships with local</w:t>
            </w:r>
            <w:r w:rsidR="003F2C00" w:rsidRPr="00927802">
              <w:rPr>
                <w:sz w:val="24"/>
                <w:szCs w:val="20"/>
              </w:rPr>
              <w:t>,</w:t>
            </w:r>
            <w:r w:rsidRPr="00927802">
              <w:rPr>
                <w:sz w:val="24"/>
                <w:szCs w:val="20"/>
              </w:rPr>
              <w:t xml:space="preserve"> state/territory </w:t>
            </w:r>
            <w:r w:rsidR="003F2C00" w:rsidRPr="00927802">
              <w:rPr>
                <w:sz w:val="24"/>
                <w:szCs w:val="20"/>
              </w:rPr>
              <w:t xml:space="preserve">and </w:t>
            </w:r>
            <w:r w:rsidR="00F6335E" w:rsidRPr="00927802">
              <w:rPr>
                <w:sz w:val="24"/>
                <w:szCs w:val="20"/>
              </w:rPr>
              <w:t>C</w:t>
            </w:r>
            <w:r w:rsidR="003F2C00" w:rsidRPr="00927802">
              <w:rPr>
                <w:sz w:val="24"/>
                <w:szCs w:val="20"/>
              </w:rPr>
              <w:t xml:space="preserve">ommonwealth </w:t>
            </w:r>
            <w:r w:rsidRPr="00927802">
              <w:rPr>
                <w:sz w:val="24"/>
                <w:szCs w:val="20"/>
              </w:rPr>
              <w:t xml:space="preserve">government organisations </w:t>
            </w:r>
            <w:r w:rsidR="003F2C00" w:rsidRPr="00927802">
              <w:rPr>
                <w:sz w:val="24"/>
                <w:szCs w:val="20"/>
              </w:rPr>
              <w:t xml:space="preserve">and agencies, </w:t>
            </w:r>
            <w:r w:rsidR="003A6AFB" w:rsidRPr="00927802">
              <w:rPr>
                <w:sz w:val="24"/>
                <w:szCs w:val="20"/>
              </w:rPr>
              <w:t>NGO</w:t>
            </w:r>
            <w:r w:rsidR="00D93FF8" w:rsidRPr="00927802">
              <w:rPr>
                <w:sz w:val="24"/>
                <w:szCs w:val="20"/>
              </w:rPr>
              <w:t>s</w:t>
            </w:r>
            <w:r w:rsidR="003A6AFB" w:rsidRPr="00927802">
              <w:rPr>
                <w:sz w:val="24"/>
                <w:szCs w:val="20"/>
              </w:rPr>
              <w:t xml:space="preserve"> and Indigenous organisations</w:t>
            </w:r>
            <w:r w:rsidR="00D93FF8" w:rsidRPr="00927802">
              <w:rPr>
                <w:sz w:val="24"/>
                <w:szCs w:val="20"/>
              </w:rPr>
              <w:t>.</w:t>
            </w:r>
          </w:p>
          <w:p w14:paraId="5FBE694B" w14:textId="68570589" w:rsidR="00985FD3" w:rsidRPr="00927802" w:rsidRDefault="00985FD3" w:rsidP="009C5BF1">
            <w:pPr>
              <w:pStyle w:val="ListParagraph"/>
              <w:widowControl w:val="0"/>
              <w:numPr>
                <w:ilvl w:val="0"/>
                <w:numId w:val="3"/>
              </w:numPr>
              <w:rPr>
                <w:sz w:val="24"/>
                <w:szCs w:val="20"/>
              </w:rPr>
            </w:pPr>
            <w:r w:rsidRPr="00927802">
              <w:rPr>
                <w:sz w:val="24"/>
                <w:szCs w:val="20"/>
              </w:rPr>
              <w:t>Facilitate partnerships between services (clinical/non-clinical) to ensure a seamless service for individuals wishing to quit</w:t>
            </w:r>
            <w:r w:rsidR="00F6335E" w:rsidRPr="00927802">
              <w:rPr>
                <w:sz w:val="24"/>
                <w:szCs w:val="20"/>
              </w:rPr>
              <w:t>.</w:t>
            </w:r>
          </w:p>
        </w:tc>
      </w:tr>
      <w:tr w:rsidR="00985FD3" w:rsidRPr="00927802" w14:paraId="2B50C7DE" w14:textId="77777777" w:rsidTr="00985FD3">
        <w:trPr>
          <w:cantSplit/>
        </w:trPr>
        <w:tc>
          <w:tcPr>
            <w:tcW w:w="2235" w:type="dxa"/>
          </w:tcPr>
          <w:p w14:paraId="1F03355D" w14:textId="77777777" w:rsidR="00985FD3" w:rsidRPr="00927802" w:rsidRDefault="00985FD3" w:rsidP="00985FD3">
            <w:pPr>
              <w:widowControl w:val="0"/>
              <w:rPr>
                <w:sz w:val="24"/>
              </w:rPr>
            </w:pPr>
            <w:r w:rsidRPr="00927802">
              <w:rPr>
                <w:sz w:val="24"/>
              </w:rPr>
              <w:t>Population reach</w:t>
            </w:r>
          </w:p>
        </w:tc>
        <w:tc>
          <w:tcPr>
            <w:tcW w:w="7619" w:type="dxa"/>
          </w:tcPr>
          <w:p w14:paraId="5922E8FB" w14:textId="29B36188" w:rsidR="00985FD3" w:rsidRPr="00927802" w:rsidRDefault="00985FD3" w:rsidP="009C5BF1">
            <w:pPr>
              <w:pStyle w:val="ListParagraph"/>
              <w:widowControl w:val="0"/>
              <w:numPr>
                <w:ilvl w:val="0"/>
                <w:numId w:val="3"/>
              </w:numPr>
              <w:rPr>
                <w:sz w:val="24"/>
              </w:rPr>
            </w:pPr>
            <w:r w:rsidRPr="00927802">
              <w:rPr>
                <w:color w:val="000000"/>
                <w:sz w:val="24"/>
                <w:szCs w:val="20"/>
              </w:rPr>
              <w:t>Targeted approaches for specific population and age groups, for different communities and locations, and for families are undertaken.</w:t>
            </w:r>
          </w:p>
        </w:tc>
      </w:tr>
      <w:tr w:rsidR="00985FD3" w:rsidRPr="00927802" w14:paraId="7EA1CC42" w14:textId="77777777" w:rsidTr="00985FD3">
        <w:trPr>
          <w:cantSplit/>
        </w:trPr>
        <w:tc>
          <w:tcPr>
            <w:tcW w:w="2235" w:type="dxa"/>
          </w:tcPr>
          <w:p w14:paraId="55104B97" w14:textId="77777777" w:rsidR="00985FD3" w:rsidRPr="00927802" w:rsidRDefault="00985FD3" w:rsidP="00985FD3">
            <w:pPr>
              <w:widowControl w:val="0"/>
              <w:rPr>
                <w:sz w:val="24"/>
              </w:rPr>
            </w:pPr>
            <w:r w:rsidRPr="00927802">
              <w:rPr>
                <w:sz w:val="24"/>
              </w:rPr>
              <w:t>Modelling the message</w:t>
            </w:r>
          </w:p>
        </w:tc>
        <w:tc>
          <w:tcPr>
            <w:tcW w:w="7619" w:type="dxa"/>
          </w:tcPr>
          <w:p w14:paraId="6D30C5AE" w14:textId="2B5B7354" w:rsidR="00985FD3" w:rsidRPr="00927802" w:rsidRDefault="00C367FE" w:rsidP="009C5BF1">
            <w:pPr>
              <w:pStyle w:val="ListParagraph"/>
              <w:widowControl w:val="0"/>
              <w:numPr>
                <w:ilvl w:val="0"/>
                <w:numId w:val="3"/>
              </w:numPr>
              <w:rPr>
                <w:sz w:val="24"/>
              </w:rPr>
            </w:pPr>
            <w:r w:rsidRPr="00927802">
              <w:rPr>
                <w:sz w:val="24"/>
              </w:rPr>
              <w:t>Promoting and assisting i</w:t>
            </w:r>
            <w:r w:rsidR="00985FD3" w:rsidRPr="00927802">
              <w:rPr>
                <w:sz w:val="24"/>
              </w:rPr>
              <w:t>mplementation of smoke-free workplace policies (</w:t>
            </w:r>
            <w:r w:rsidRPr="00927802">
              <w:rPr>
                <w:sz w:val="24"/>
              </w:rPr>
              <w:t xml:space="preserve">including </w:t>
            </w:r>
            <w:r w:rsidR="00985FD3" w:rsidRPr="00927802">
              <w:rPr>
                <w:sz w:val="24"/>
              </w:rPr>
              <w:t xml:space="preserve">community events) among </w:t>
            </w:r>
            <w:r w:rsidR="00CD0E60" w:rsidRPr="00927802">
              <w:rPr>
                <w:sz w:val="24"/>
              </w:rPr>
              <w:t>Aboriginal and Torres Strait Islander</w:t>
            </w:r>
            <w:r w:rsidR="00985FD3" w:rsidRPr="00927802">
              <w:rPr>
                <w:sz w:val="24"/>
              </w:rPr>
              <w:t xml:space="preserve"> organisations</w:t>
            </w:r>
            <w:r w:rsidR="00CD0E60" w:rsidRPr="00927802">
              <w:rPr>
                <w:sz w:val="24"/>
              </w:rPr>
              <w:t xml:space="preserve"> and </w:t>
            </w:r>
            <w:r w:rsidR="005E051E" w:rsidRPr="00927802">
              <w:rPr>
                <w:sz w:val="24"/>
              </w:rPr>
              <w:t xml:space="preserve">in </w:t>
            </w:r>
            <w:r w:rsidR="00CD0E60" w:rsidRPr="00927802">
              <w:rPr>
                <w:sz w:val="24"/>
              </w:rPr>
              <w:t>public spaces</w:t>
            </w:r>
            <w:r w:rsidR="00985FD3" w:rsidRPr="00927802">
              <w:rPr>
                <w:sz w:val="24"/>
              </w:rPr>
              <w:t>.</w:t>
            </w:r>
          </w:p>
          <w:p w14:paraId="031C9EA6" w14:textId="77777777" w:rsidR="004265F0" w:rsidRPr="00927802" w:rsidRDefault="004265F0" w:rsidP="009C5BF1">
            <w:pPr>
              <w:pStyle w:val="ListParagraph"/>
              <w:widowControl w:val="0"/>
              <w:numPr>
                <w:ilvl w:val="0"/>
                <w:numId w:val="3"/>
              </w:numPr>
              <w:rPr>
                <w:sz w:val="24"/>
              </w:rPr>
            </w:pPr>
            <w:r w:rsidRPr="00927802">
              <w:rPr>
                <w:sz w:val="24"/>
              </w:rPr>
              <w:t>Promoting and assisting implementation of smoke-free homes policies.</w:t>
            </w:r>
          </w:p>
          <w:p w14:paraId="54E95C43" w14:textId="2793CE54" w:rsidR="00BC684E" w:rsidRPr="00927802" w:rsidRDefault="00BC684E" w:rsidP="009C5BF1">
            <w:pPr>
              <w:pStyle w:val="ListParagraph"/>
              <w:widowControl w:val="0"/>
              <w:numPr>
                <w:ilvl w:val="0"/>
                <w:numId w:val="3"/>
              </w:numPr>
              <w:rPr>
                <w:sz w:val="24"/>
              </w:rPr>
            </w:pPr>
            <w:r w:rsidRPr="00927802">
              <w:rPr>
                <w:sz w:val="24"/>
              </w:rPr>
              <w:t>Promoting smoke-free and alcohol-free sporting and social/cultural events.</w:t>
            </w:r>
          </w:p>
          <w:p w14:paraId="7BFEF249" w14:textId="77777777" w:rsidR="00985FD3" w:rsidRPr="00927802" w:rsidRDefault="00985FD3" w:rsidP="009C5BF1">
            <w:pPr>
              <w:pStyle w:val="ListParagraph"/>
              <w:widowControl w:val="0"/>
              <w:numPr>
                <w:ilvl w:val="0"/>
                <w:numId w:val="3"/>
              </w:numPr>
              <w:rPr>
                <w:sz w:val="24"/>
              </w:rPr>
            </w:pPr>
            <w:r w:rsidRPr="00927802">
              <w:rPr>
                <w:sz w:val="24"/>
              </w:rPr>
              <w:t xml:space="preserve">Promotion of local role models and ambassadors who have never smoked or </w:t>
            </w:r>
            <w:r w:rsidR="00C367FE" w:rsidRPr="00927802">
              <w:rPr>
                <w:sz w:val="24"/>
              </w:rPr>
              <w:t xml:space="preserve">have </w:t>
            </w:r>
            <w:r w:rsidRPr="00927802">
              <w:rPr>
                <w:sz w:val="24"/>
              </w:rPr>
              <w:t>quit.</w:t>
            </w:r>
          </w:p>
        </w:tc>
      </w:tr>
      <w:tr w:rsidR="00985FD3" w:rsidRPr="00927802" w14:paraId="00484B30" w14:textId="77777777" w:rsidTr="00985FD3">
        <w:trPr>
          <w:cantSplit/>
        </w:trPr>
        <w:tc>
          <w:tcPr>
            <w:tcW w:w="2235" w:type="dxa"/>
          </w:tcPr>
          <w:p w14:paraId="20260CEB" w14:textId="77777777" w:rsidR="00985FD3" w:rsidRPr="00927802" w:rsidRDefault="00985FD3" w:rsidP="00985FD3">
            <w:pPr>
              <w:widowControl w:val="0"/>
              <w:rPr>
                <w:sz w:val="24"/>
              </w:rPr>
            </w:pPr>
            <w:r w:rsidRPr="00927802">
              <w:rPr>
                <w:sz w:val="24"/>
              </w:rPr>
              <w:t>Monitor and measure</w:t>
            </w:r>
          </w:p>
        </w:tc>
        <w:tc>
          <w:tcPr>
            <w:tcW w:w="7619" w:type="dxa"/>
          </w:tcPr>
          <w:p w14:paraId="6ECA6078" w14:textId="34E8F049" w:rsidR="00985FD3" w:rsidRPr="00927802" w:rsidRDefault="00985FD3" w:rsidP="009C5BF1">
            <w:pPr>
              <w:pStyle w:val="ListParagraph"/>
              <w:widowControl w:val="0"/>
              <w:numPr>
                <w:ilvl w:val="0"/>
                <w:numId w:val="3"/>
              </w:numPr>
              <w:rPr>
                <w:sz w:val="24"/>
              </w:rPr>
            </w:pPr>
            <w:r w:rsidRPr="00927802">
              <w:rPr>
                <w:sz w:val="24"/>
                <w:szCs w:val="20"/>
              </w:rPr>
              <w:t xml:space="preserve">Evaluation and monitoring is built into project </w:t>
            </w:r>
            <w:r w:rsidR="004265F0" w:rsidRPr="00927802">
              <w:rPr>
                <w:sz w:val="24"/>
                <w:szCs w:val="20"/>
              </w:rPr>
              <w:t xml:space="preserve">and activity </w:t>
            </w:r>
            <w:r w:rsidRPr="00927802">
              <w:rPr>
                <w:sz w:val="24"/>
                <w:szCs w:val="20"/>
              </w:rPr>
              <w:t xml:space="preserve">planning, with assistance from </w:t>
            </w:r>
            <w:r w:rsidR="00DD62AE" w:rsidRPr="00927802">
              <w:rPr>
                <w:sz w:val="24"/>
                <w:szCs w:val="20"/>
              </w:rPr>
              <w:t xml:space="preserve">the </w:t>
            </w:r>
            <w:r w:rsidR="00CD0E60" w:rsidRPr="00927802">
              <w:rPr>
                <w:sz w:val="24"/>
                <w:szCs w:val="20"/>
              </w:rPr>
              <w:t xml:space="preserve">National </w:t>
            </w:r>
            <w:r w:rsidRPr="00927802">
              <w:rPr>
                <w:sz w:val="24"/>
                <w:szCs w:val="20"/>
              </w:rPr>
              <w:t>Best Practice Unit.</w:t>
            </w:r>
          </w:p>
          <w:p w14:paraId="64E3D846" w14:textId="1B9346F2" w:rsidR="00985FD3" w:rsidRPr="00927802" w:rsidRDefault="00985FD3" w:rsidP="009C5BF1">
            <w:pPr>
              <w:pStyle w:val="ListParagraph"/>
              <w:widowControl w:val="0"/>
              <w:numPr>
                <w:ilvl w:val="0"/>
                <w:numId w:val="3"/>
              </w:numPr>
              <w:rPr>
                <w:sz w:val="24"/>
              </w:rPr>
            </w:pPr>
            <w:r w:rsidRPr="00927802">
              <w:rPr>
                <w:sz w:val="24"/>
                <w:szCs w:val="20"/>
              </w:rPr>
              <w:t xml:space="preserve">Performance measures are linked to </w:t>
            </w:r>
            <w:r w:rsidR="00A25AF5" w:rsidRPr="00927802">
              <w:rPr>
                <w:sz w:val="24"/>
                <w:szCs w:val="20"/>
              </w:rPr>
              <w:t>Activity</w:t>
            </w:r>
            <w:r w:rsidRPr="00927802">
              <w:rPr>
                <w:sz w:val="24"/>
                <w:szCs w:val="20"/>
              </w:rPr>
              <w:t xml:space="preserve"> objectives and outcomes.</w:t>
            </w:r>
          </w:p>
          <w:p w14:paraId="13ECD8DD" w14:textId="77777777" w:rsidR="00985FD3" w:rsidRPr="00927802" w:rsidRDefault="00985FD3" w:rsidP="009C5BF1">
            <w:pPr>
              <w:pStyle w:val="ListParagraph"/>
              <w:widowControl w:val="0"/>
              <w:numPr>
                <w:ilvl w:val="0"/>
                <w:numId w:val="3"/>
              </w:numPr>
              <w:rPr>
                <w:sz w:val="24"/>
              </w:rPr>
            </w:pPr>
            <w:r w:rsidRPr="00927802">
              <w:rPr>
                <w:sz w:val="24"/>
                <w:szCs w:val="20"/>
              </w:rPr>
              <w:t>Stages of progress are measured</w:t>
            </w:r>
            <w:r w:rsidR="00682C61" w:rsidRPr="00927802">
              <w:rPr>
                <w:sz w:val="24"/>
                <w:szCs w:val="20"/>
              </w:rPr>
              <w:t xml:space="preserve"> and reported in a nationally consistent format</w:t>
            </w:r>
            <w:r w:rsidRPr="00927802">
              <w:rPr>
                <w:sz w:val="24"/>
                <w:szCs w:val="20"/>
              </w:rPr>
              <w:t>.</w:t>
            </w:r>
          </w:p>
        </w:tc>
      </w:tr>
    </w:tbl>
    <w:p w14:paraId="0A819C04" w14:textId="3F462127" w:rsidR="00A40915" w:rsidRPr="000A40E8" w:rsidRDefault="00A40915" w:rsidP="000A40E8">
      <w:pPr>
        <w:pStyle w:val="Heading2"/>
      </w:pPr>
      <w:bookmarkStart w:id="37" w:name="_Toc427754996"/>
      <w:bookmarkStart w:id="38" w:name="_Toc427755252"/>
      <w:bookmarkStart w:id="39" w:name="_Toc427755326"/>
      <w:r w:rsidRPr="000A40E8">
        <w:t>Activity funding allocation</w:t>
      </w:r>
      <w:bookmarkEnd w:id="37"/>
      <w:bookmarkEnd w:id="38"/>
      <w:bookmarkEnd w:id="39"/>
    </w:p>
    <w:p w14:paraId="476AC70F" w14:textId="3B7D8806" w:rsidR="00A40915" w:rsidRDefault="00A40915" w:rsidP="00B31BBC">
      <w:pPr>
        <w:keepLines/>
      </w:pPr>
      <w:r>
        <w:t>Funding of $116.8 million</w:t>
      </w:r>
      <w:r w:rsidRPr="003E000D">
        <w:t xml:space="preserve"> over 3 years</w:t>
      </w:r>
      <w:r>
        <w:t xml:space="preserve"> ($35.3 million in 201</w:t>
      </w:r>
      <w:r w:rsidR="00B31BBC">
        <w:t>5-16; $37.5 million in 2016-17; $44 </w:t>
      </w:r>
      <w:r>
        <w:t>million in 2017-18)</w:t>
      </w:r>
      <w:r w:rsidRPr="003E000D">
        <w:t xml:space="preserve"> has been allocated to the </w:t>
      </w:r>
      <w:r>
        <w:t>Activity</w:t>
      </w:r>
      <w:r w:rsidR="0010440A">
        <w:t>.</w:t>
      </w:r>
    </w:p>
    <w:p w14:paraId="294B0D33" w14:textId="151B699B" w:rsidR="00A40915" w:rsidRPr="00A40915" w:rsidRDefault="00A40915" w:rsidP="00927802">
      <w:r>
        <w:t xml:space="preserve">Of that funding, $93.4 million is allocated to extend the current TIS teams during the ATM process for the new grants for regional work and to offer grants to those successful in the ATM. </w:t>
      </w:r>
    </w:p>
    <w:p w14:paraId="00D0A304" w14:textId="1A7A82B5" w:rsidR="00492ABE" w:rsidRPr="000A40E8" w:rsidRDefault="00A25AF5" w:rsidP="000A40E8">
      <w:pPr>
        <w:pStyle w:val="Heading2"/>
      </w:pPr>
      <w:bookmarkStart w:id="40" w:name="_Toc427754997"/>
      <w:bookmarkStart w:id="41" w:name="_Toc427755253"/>
      <w:bookmarkStart w:id="42" w:name="_Toc427755327"/>
      <w:r w:rsidRPr="000A40E8">
        <w:t>Activity</w:t>
      </w:r>
      <w:r w:rsidR="006B5169" w:rsidRPr="000A40E8">
        <w:t xml:space="preserve"> Purpose, Scope, Objectives and Outcomes</w:t>
      </w:r>
      <w:bookmarkEnd w:id="40"/>
      <w:bookmarkEnd w:id="41"/>
      <w:bookmarkEnd w:id="42"/>
    </w:p>
    <w:p w14:paraId="5BE50F06" w14:textId="1E286C47" w:rsidR="00345509" w:rsidRDefault="005E051E" w:rsidP="00927802">
      <w:r>
        <w:rPr>
          <w:rFonts w:eastAsia="Times New Roman" w:cs="Times New Roman"/>
          <w:szCs w:val="24"/>
        </w:rPr>
        <w:t>F</w:t>
      </w:r>
      <w:r w:rsidR="006B5169" w:rsidRPr="006B5169">
        <w:rPr>
          <w:rFonts w:eastAsia="Times New Roman" w:cs="Times New Roman"/>
          <w:szCs w:val="24"/>
        </w:rPr>
        <w:t>unding will support activities which aim to</w:t>
      </w:r>
      <w:r w:rsidR="000E2DEA">
        <w:rPr>
          <w:rFonts w:eastAsia="Times New Roman" w:cs="Times New Roman"/>
          <w:szCs w:val="24"/>
        </w:rPr>
        <w:t xml:space="preserve"> </w:t>
      </w:r>
      <w:r w:rsidR="000E2DEA" w:rsidRPr="003E000D">
        <w:t xml:space="preserve">prevent the uptake of smoking and support smoking cessation among </w:t>
      </w:r>
      <w:r w:rsidR="00CD5EFB">
        <w:t>Aboriginal and Torres Strait Islander people</w:t>
      </w:r>
      <w:r w:rsidR="000E2DEA">
        <w:t>.</w:t>
      </w:r>
      <w:r w:rsidR="00B65855" w:rsidRPr="00B65855">
        <w:t xml:space="preserve"> </w:t>
      </w:r>
      <w:r w:rsidR="00B65855">
        <w:t xml:space="preserve">The </w:t>
      </w:r>
      <w:r w:rsidR="00A25AF5">
        <w:t>Activity</w:t>
      </w:r>
      <w:r w:rsidR="00B65855" w:rsidRPr="003E000D">
        <w:t xml:space="preserve"> aims to contribute to </w:t>
      </w:r>
      <w:r w:rsidR="00B65855" w:rsidRPr="001F67AF">
        <w:rPr>
          <w:rFonts w:eastAsia="Times New Roman" w:cs="Times New Roman"/>
          <w:szCs w:val="24"/>
          <w:lang w:eastAsia="en-AU"/>
        </w:rPr>
        <w:t xml:space="preserve">closing the gap in Indigenous </w:t>
      </w:r>
      <w:r w:rsidR="00BC684E">
        <w:rPr>
          <w:rFonts w:eastAsia="Times New Roman" w:cs="Times New Roman"/>
          <w:szCs w:val="24"/>
          <w:lang w:eastAsia="en-AU"/>
        </w:rPr>
        <w:t>health outcomes</w:t>
      </w:r>
      <w:r w:rsidR="00B65855" w:rsidRPr="001F67AF">
        <w:rPr>
          <w:rFonts w:eastAsia="Times New Roman" w:cs="Times New Roman"/>
          <w:szCs w:val="24"/>
          <w:lang w:eastAsia="en-AU"/>
        </w:rPr>
        <w:t xml:space="preserve"> </w:t>
      </w:r>
      <w:r w:rsidR="00B65855">
        <w:t xml:space="preserve">by </w:t>
      </w:r>
      <w:r>
        <w:t xml:space="preserve">reducing tobacco </w:t>
      </w:r>
      <w:r w:rsidR="00557B73">
        <w:t xml:space="preserve">smoking as </w:t>
      </w:r>
      <w:r w:rsidR="00B65855">
        <w:t xml:space="preserve">the most significant risk factor for chronic disease among </w:t>
      </w:r>
      <w:r w:rsidR="00CD5EFB">
        <w:t>Aboriginal and Torres Strait Islander people</w:t>
      </w:r>
      <w:r w:rsidR="00B65855" w:rsidRPr="003E000D">
        <w:t>.</w:t>
      </w:r>
    </w:p>
    <w:p w14:paraId="70847392" w14:textId="0FCEAD92" w:rsidR="009F22AA" w:rsidRPr="00363AC2" w:rsidRDefault="009F22AA" w:rsidP="00927802">
      <w:pPr>
        <w:rPr>
          <w:rFonts w:eastAsia="Times New Roman" w:cs="Times New Roman"/>
          <w:szCs w:val="24"/>
        </w:rPr>
      </w:pPr>
      <w:r w:rsidRPr="00363AC2">
        <w:rPr>
          <w:rFonts w:eastAsia="Times New Roman" w:cs="Times New Roman"/>
          <w:szCs w:val="24"/>
        </w:rPr>
        <w:t xml:space="preserve">The redesigned </w:t>
      </w:r>
      <w:r w:rsidR="00A25AF5">
        <w:rPr>
          <w:rFonts w:eastAsia="Times New Roman" w:cs="Times New Roman"/>
          <w:szCs w:val="24"/>
        </w:rPr>
        <w:t>Activity</w:t>
      </w:r>
      <w:r w:rsidRPr="00363AC2">
        <w:rPr>
          <w:rFonts w:eastAsia="Times New Roman" w:cs="Times New Roman"/>
          <w:szCs w:val="24"/>
        </w:rPr>
        <w:t xml:space="preserve"> will consist of a number of components, including grant funding for regional tobacco control activities, and a range of national supports for workforce development, performance monitoring and evaluation, and leadership and coordination. The new </w:t>
      </w:r>
      <w:r w:rsidR="00A25AF5">
        <w:rPr>
          <w:rFonts w:eastAsia="Times New Roman" w:cs="Times New Roman"/>
          <w:szCs w:val="24"/>
        </w:rPr>
        <w:t>Activity</w:t>
      </w:r>
      <w:r w:rsidRPr="00363AC2">
        <w:rPr>
          <w:rFonts w:eastAsia="Times New Roman" w:cs="Times New Roman"/>
          <w:szCs w:val="24"/>
        </w:rPr>
        <w:t xml:space="preserve"> components are as follows:</w:t>
      </w:r>
    </w:p>
    <w:p w14:paraId="24529297" w14:textId="1F57EA4C" w:rsidR="009F22AA" w:rsidRDefault="009F22AA" w:rsidP="009C5BF1">
      <w:pPr>
        <w:pStyle w:val="ListParagraph"/>
        <w:numPr>
          <w:ilvl w:val="0"/>
          <w:numId w:val="9"/>
        </w:numPr>
      </w:pPr>
      <w:r>
        <w:lastRenderedPageBreak/>
        <w:t xml:space="preserve">Funding extensions will be provided to current organisations funded </w:t>
      </w:r>
      <w:r w:rsidR="00363AC2">
        <w:t>for Regional Tobacco Action and Healthy Lifestyle teams</w:t>
      </w:r>
      <w:r>
        <w:t xml:space="preserve"> to enable continuity of TIS services during the transition to the new grants </w:t>
      </w:r>
      <w:r w:rsidR="00A25AF5">
        <w:t>Activity</w:t>
      </w:r>
      <w:r>
        <w:t xml:space="preserve"> (</w:t>
      </w:r>
      <w:r w:rsidR="00363AC2">
        <w:t xml:space="preserve">from </w:t>
      </w:r>
      <w:r>
        <w:t xml:space="preserve">July </w:t>
      </w:r>
      <w:r w:rsidR="00363AC2">
        <w:t xml:space="preserve">up </w:t>
      </w:r>
      <w:r>
        <w:t>to December 2015).</w:t>
      </w:r>
    </w:p>
    <w:p w14:paraId="0ECE69B9" w14:textId="735AB605" w:rsidR="009F22AA" w:rsidRDefault="009F22AA" w:rsidP="009C5BF1">
      <w:pPr>
        <w:pStyle w:val="ListParagraph"/>
        <w:numPr>
          <w:ilvl w:val="0"/>
          <w:numId w:val="9"/>
        </w:numPr>
      </w:pPr>
      <w:r>
        <w:t>A competitive targeted grants round (</w:t>
      </w:r>
      <w:r w:rsidR="00363AC2">
        <w:t>referred to hereafter as regional tobacco control grants</w:t>
      </w:r>
      <w:r>
        <w:t xml:space="preserve">) will </w:t>
      </w:r>
      <w:r w:rsidRPr="003E000D">
        <w:t xml:space="preserve">support multi-level approaches to tobacco control that are locally designed and delivered to prevent the uptake of smoking and support smoking cessation among </w:t>
      </w:r>
      <w:r>
        <w:t>Indigenous Australians.</w:t>
      </w:r>
    </w:p>
    <w:p w14:paraId="1FBAA0E5" w14:textId="01C2F12F" w:rsidR="009F22AA" w:rsidRDefault="009F22AA" w:rsidP="009C5BF1">
      <w:pPr>
        <w:pStyle w:val="ListParagraph"/>
        <w:numPr>
          <w:ilvl w:val="0"/>
          <w:numId w:val="9"/>
        </w:numPr>
      </w:pPr>
      <w:r>
        <w:t xml:space="preserve">a National Best Practice Unit (NBPU) for the TIS </w:t>
      </w:r>
      <w:r w:rsidR="00A25AF5">
        <w:t>Activity</w:t>
      </w:r>
      <w:r>
        <w:t xml:space="preserve"> will be established through a procurement process, </w:t>
      </w:r>
      <w:r w:rsidRPr="003E000D">
        <w:t xml:space="preserve">to support </w:t>
      </w:r>
      <w:r>
        <w:t xml:space="preserve">funding recipients under the </w:t>
      </w:r>
      <w:r w:rsidR="00A25AF5">
        <w:t>Activity</w:t>
      </w:r>
      <w:r>
        <w:t xml:space="preserve"> through </w:t>
      </w:r>
      <w:r w:rsidRPr="003E000D">
        <w:t>evidence-based resource sharing</w:t>
      </w:r>
      <w:r>
        <w:t>, information dissemination</w:t>
      </w:r>
      <w:r w:rsidRPr="003E000D">
        <w:t>, advice and mentoring, workforce development</w:t>
      </w:r>
      <w:r>
        <w:t>, and monitoring and evaluation</w:t>
      </w:r>
      <w:r w:rsidRPr="003E000D">
        <w:t>.</w:t>
      </w:r>
      <w:r>
        <w:t xml:space="preserve"> </w:t>
      </w:r>
    </w:p>
    <w:p w14:paraId="04D913C8" w14:textId="77777777" w:rsidR="009F22AA" w:rsidRDefault="009F22AA" w:rsidP="009C5BF1">
      <w:pPr>
        <w:pStyle w:val="ListParagraph"/>
        <w:numPr>
          <w:ilvl w:val="0"/>
          <w:numId w:val="9"/>
        </w:numPr>
      </w:pPr>
      <w:r>
        <w:t>Enhancements to existing Quitline services and provision of frontline community and health worker Quitskills training will be undertaken through separate funding processes.</w:t>
      </w:r>
    </w:p>
    <w:p w14:paraId="3379646A" w14:textId="16D898D4" w:rsidR="009F22AA" w:rsidRDefault="009F22AA" w:rsidP="009C5BF1">
      <w:pPr>
        <w:pStyle w:val="ListParagraph"/>
        <w:numPr>
          <w:ilvl w:val="0"/>
          <w:numId w:val="9"/>
        </w:numPr>
      </w:pPr>
      <w:r>
        <w:t>Pilots and associated evaluations in areas of significant disadvantage associated with high smoking rates will be conducted.</w:t>
      </w:r>
    </w:p>
    <w:p w14:paraId="4EB76159" w14:textId="7B535C97" w:rsidR="004B30D0" w:rsidRDefault="004B30D0" w:rsidP="009C5BF1">
      <w:pPr>
        <w:pStyle w:val="ListParagraph"/>
        <w:numPr>
          <w:ilvl w:val="0"/>
          <w:numId w:val="9"/>
        </w:numPr>
      </w:pPr>
      <w:r w:rsidRPr="00972F72">
        <w:t xml:space="preserve">Allocation of any remaining funds, as well as future years’ funding, </w:t>
      </w:r>
      <w:r>
        <w:t>may</w:t>
      </w:r>
      <w:r w:rsidRPr="00972F72">
        <w:t xml:space="preserve"> be through open, competitive</w:t>
      </w:r>
      <w:r>
        <w:t xml:space="preserve"> </w:t>
      </w:r>
      <w:r w:rsidR="001C3C14">
        <w:t>funding rounds</w:t>
      </w:r>
      <w:r w:rsidRPr="00972F72">
        <w:t>, targeting high-need areas and priorities identified through consultation with the Indigenous Health Partnership Forums.</w:t>
      </w:r>
    </w:p>
    <w:p w14:paraId="0A3EC7CE" w14:textId="06E58259" w:rsidR="004B30D0" w:rsidRDefault="00897E92" w:rsidP="009C5BF1">
      <w:pPr>
        <w:pStyle w:val="ListParagraph"/>
        <w:numPr>
          <w:ilvl w:val="0"/>
          <w:numId w:val="9"/>
        </w:numPr>
        <w:spacing w:after="240"/>
        <w:ind w:left="714" w:hanging="357"/>
        <w:contextualSpacing w:val="0"/>
      </w:pPr>
      <w:r>
        <w:t xml:space="preserve">A tender process will be held to develop an evaluation framework and undertake an evaluation of the </w:t>
      </w:r>
      <w:r w:rsidR="00A25AF5">
        <w:t>Activity</w:t>
      </w:r>
      <w:r>
        <w:t xml:space="preserve"> as a whole. </w:t>
      </w:r>
    </w:p>
    <w:p w14:paraId="68DBDE7C" w14:textId="7E523116" w:rsidR="00363AC2" w:rsidRDefault="009D6E0D" w:rsidP="00927802">
      <w:r>
        <w:t>The different</w:t>
      </w:r>
      <w:r w:rsidR="009F22AA">
        <w:t xml:space="preserve"> </w:t>
      </w:r>
      <w:r w:rsidR="00A25AF5">
        <w:t>Activity</w:t>
      </w:r>
      <w:r>
        <w:t xml:space="preserve"> components complement each other with the NBPU being an </w:t>
      </w:r>
      <w:r w:rsidR="005E051E">
        <w:t>important</w:t>
      </w:r>
      <w:r>
        <w:t xml:space="preserve"> support </w:t>
      </w:r>
      <w:r w:rsidR="00714D85">
        <w:t>for</w:t>
      </w:r>
      <w:r>
        <w:t xml:space="preserve"> </w:t>
      </w:r>
      <w:r w:rsidR="005E051E">
        <w:t>the</w:t>
      </w:r>
      <w:r>
        <w:t xml:space="preserve"> outcomes based </w:t>
      </w:r>
      <w:r w:rsidR="00363AC2">
        <w:t xml:space="preserve">regional tobacco control </w:t>
      </w:r>
      <w:r>
        <w:t xml:space="preserve">grants </w:t>
      </w:r>
      <w:r w:rsidR="00A25AF5">
        <w:t>Activity</w:t>
      </w:r>
      <w:r>
        <w:t xml:space="preserve">. </w:t>
      </w:r>
    </w:p>
    <w:p w14:paraId="6F4BD6E2" w14:textId="65C808C5" w:rsidR="00363AC2" w:rsidRPr="000A40E8" w:rsidRDefault="00363AC2" w:rsidP="000A40E8">
      <w:pPr>
        <w:pStyle w:val="H3nonumbers"/>
      </w:pPr>
      <w:bookmarkStart w:id="43" w:name="_Toc427754998"/>
      <w:bookmarkStart w:id="44" w:name="_Toc427755254"/>
      <w:bookmarkStart w:id="45" w:name="_Toc427755328"/>
      <w:r w:rsidRPr="000A40E8">
        <w:t>Regional tobacco control grants</w:t>
      </w:r>
      <w:bookmarkEnd w:id="43"/>
      <w:bookmarkEnd w:id="44"/>
      <w:bookmarkEnd w:id="45"/>
    </w:p>
    <w:p w14:paraId="6FD97D12" w14:textId="1A8E78F7" w:rsidR="00CD5EFB" w:rsidRDefault="009D6E0D" w:rsidP="009F22AA">
      <w:r>
        <w:t>The objective of the</w:t>
      </w:r>
      <w:r w:rsidR="00363AC2">
        <w:t xml:space="preserve"> regional tobacco control grants</w:t>
      </w:r>
      <w:r>
        <w:t xml:space="preserve"> is </w:t>
      </w:r>
      <w:r w:rsidR="002773E7" w:rsidRPr="0088590B">
        <w:t>to</w:t>
      </w:r>
      <w:r w:rsidR="000E2DEA">
        <w:t xml:space="preserve"> fund organisations to undertake evidence-based</w:t>
      </w:r>
      <w:r w:rsidR="008A2B4D">
        <w:t xml:space="preserve"> tobacco control</w:t>
      </w:r>
      <w:r w:rsidR="000E2DEA">
        <w:t xml:space="preserve"> activities designed to meet local needs.</w:t>
      </w:r>
      <w:r w:rsidR="00A51445">
        <w:t xml:space="preserve"> </w:t>
      </w:r>
      <w:r w:rsidR="00CD5EFB">
        <w:t>Funded organisations will be expected to undertake a multi-level approach to tobacco control, which combines a range of</w:t>
      </w:r>
      <w:r w:rsidR="00A51445">
        <w:t xml:space="preserve"> activities </w:t>
      </w:r>
      <w:r w:rsidR="00CD5EFB">
        <w:t>to meet the needs of different population groups</w:t>
      </w:r>
      <w:r w:rsidR="000218A1">
        <w:t xml:space="preserve"> within a region</w:t>
      </w:r>
      <w:r w:rsidR="00CD5EFB">
        <w:t xml:space="preserve">. </w:t>
      </w:r>
    </w:p>
    <w:p w14:paraId="059FFDC6" w14:textId="3EE2978C" w:rsidR="00A51445" w:rsidRDefault="005E051E" w:rsidP="00A51445">
      <w:r>
        <w:t xml:space="preserve">The </w:t>
      </w:r>
      <w:r w:rsidR="00A25AF5">
        <w:t>Activity</w:t>
      </w:r>
      <w:r w:rsidR="00BC684E">
        <w:t xml:space="preserve"> will fund l</w:t>
      </w:r>
      <w:r w:rsidR="00CD5EFB">
        <w:t xml:space="preserve">ocally-designed and delivered approaches </w:t>
      </w:r>
      <w:r w:rsidR="00BC684E">
        <w:t>to achieve the following outcomes</w:t>
      </w:r>
      <w:r w:rsidR="00D14469">
        <w:t xml:space="preserve"> (see also the </w:t>
      </w:r>
      <w:r w:rsidR="00D14469" w:rsidRPr="00F715F0">
        <w:rPr>
          <w:rStyle w:val="Strong"/>
        </w:rPr>
        <w:t xml:space="preserve">TIS </w:t>
      </w:r>
      <w:r w:rsidR="00A25AF5" w:rsidRPr="00F715F0">
        <w:rPr>
          <w:rStyle w:val="Strong"/>
        </w:rPr>
        <w:t>Activity</w:t>
      </w:r>
      <w:r w:rsidR="00D14469" w:rsidRPr="00F715F0">
        <w:rPr>
          <w:rStyle w:val="Strong"/>
        </w:rPr>
        <w:t xml:space="preserve"> Principles</w:t>
      </w:r>
      <w:r w:rsidR="00D14469">
        <w:t xml:space="preserve"> </w:t>
      </w:r>
      <w:r w:rsidR="00412458">
        <w:t xml:space="preserve">section </w:t>
      </w:r>
      <w:r w:rsidR="00412458">
        <w:fldChar w:fldCharType="begin"/>
      </w:r>
      <w:r w:rsidR="00412458">
        <w:instrText xml:space="preserve"> REF _Ref425181787 \r \h </w:instrText>
      </w:r>
      <w:r w:rsidR="00412458">
        <w:fldChar w:fldCharType="separate"/>
      </w:r>
      <w:r w:rsidR="007C6985">
        <w:t>1.2</w:t>
      </w:r>
      <w:r w:rsidR="00412458">
        <w:fldChar w:fldCharType="end"/>
      </w:r>
      <w:r w:rsidR="00D14469">
        <w:t>)</w:t>
      </w:r>
      <w:r w:rsidR="00CD5EFB">
        <w:t>:</w:t>
      </w:r>
    </w:p>
    <w:p w14:paraId="29DB260E" w14:textId="77777777" w:rsidR="00BC684E" w:rsidRPr="00887C2E" w:rsidRDefault="00BC684E" w:rsidP="009C5BF1">
      <w:pPr>
        <w:pStyle w:val="ListParagraph"/>
        <w:numPr>
          <w:ilvl w:val="0"/>
          <w:numId w:val="10"/>
        </w:numPr>
      </w:pPr>
      <w:r w:rsidRPr="00887C2E">
        <w:t>Aboriginal and Torres Strait Islander communities encourage community involvement in and support for local tobacco control activities;</w:t>
      </w:r>
    </w:p>
    <w:p w14:paraId="574FA5A6" w14:textId="77777777" w:rsidR="00BC684E" w:rsidRPr="00887C2E" w:rsidRDefault="00BC684E" w:rsidP="009C5BF1">
      <w:pPr>
        <w:pStyle w:val="ListParagraph"/>
        <w:numPr>
          <w:ilvl w:val="0"/>
          <w:numId w:val="10"/>
        </w:numPr>
      </w:pPr>
      <w:r w:rsidRPr="00887C2E">
        <w:t>increase in community understanding of the dangers of smoking and chewing tobacco and the links between tobacco and chronic disease;</w:t>
      </w:r>
    </w:p>
    <w:p w14:paraId="2592C4D9" w14:textId="77777777" w:rsidR="00BC684E" w:rsidRPr="00887C2E" w:rsidRDefault="00BC684E" w:rsidP="009C5BF1">
      <w:pPr>
        <w:pStyle w:val="ListParagraph"/>
        <w:numPr>
          <w:ilvl w:val="0"/>
          <w:numId w:val="10"/>
        </w:numPr>
      </w:pPr>
      <w:r w:rsidRPr="00887C2E">
        <w:t>improved knowledge, skills and understanding of the health impacts of smoking and pathways to quitting among workers and community leaders including doctors, teachers, Aboriginal Health Workers, community, sport and recreation, youth and AOD workers, nurses and other health professionals, and AMS staff, CEOs and Board members;</w:t>
      </w:r>
    </w:p>
    <w:p w14:paraId="0A966FC2" w14:textId="2BCBE0A9" w:rsidR="00BC684E" w:rsidRPr="00887C2E" w:rsidRDefault="005E051E" w:rsidP="009C5BF1">
      <w:pPr>
        <w:pStyle w:val="ListParagraph"/>
        <w:numPr>
          <w:ilvl w:val="0"/>
          <w:numId w:val="10"/>
        </w:numPr>
      </w:pPr>
      <w:r>
        <w:t xml:space="preserve">promotion of </w:t>
      </w:r>
      <w:r w:rsidR="00BC684E" w:rsidRPr="00887C2E">
        <w:t>the benefits of never becoming a smoker;</w:t>
      </w:r>
    </w:p>
    <w:p w14:paraId="484A1E6C" w14:textId="6FDE07B7" w:rsidR="00BC684E" w:rsidRPr="00887C2E" w:rsidRDefault="00BC684E" w:rsidP="009C5BF1">
      <w:pPr>
        <w:pStyle w:val="ListParagraph"/>
        <w:numPr>
          <w:ilvl w:val="0"/>
          <w:numId w:val="10"/>
        </w:numPr>
      </w:pPr>
      <w:r w:rsidRPr="00887C2E">
        <w:t>reduction in environmental s</w:t>
      </w:r>
      <w:r w:rsidR="009135A2">
        <w:t xml:space="preserve">moke in cars, homes, workplaces, </w:t>
      </w:r>
      <w:r w:rsidRPr="00887C2E">
        <w:t>community areas</w:t>
      </w:r>
      <w:r w:rsidR="009135A2">
        <w:t xml:space="preserve"> and events</w:t>
      </w:r>
      <w:r w:rsidRPr="00887C2E">
        <w:t>;</w:t>
      </w:r>
    </w:p>
    <w:p w14:paraId="5E7DF0DF" w14:textId="7427DB7B" w:rsidR="00BC684E" w:rsidRPr="00887C2E" w:rsidRDefault="00BC684E" w:rsidP="009C5BF1">
      <w:pPr>
        <w:pStyle w:val="ListParagraph"/>
        <w:numPr>
          <w:ilvl w:val="0"/>
          <w:numId w:val="10"/>
        </w:numPr>
      </w:pPr>
      <w:r w:rsidRPr="00887C2E">
        <w:t xml:space="preserve">reduction in </w:t>
      </w:r>
      <w:r w:rsidR="009135A2">
        <w:t xml:space="preserve">exposure to </w:t>
      </w:r>
      <w:r w:rsidRPr="00887C2E">
        <w:t>passive smoking;</w:t>
      </w:r>
    </w:p>
    <w:p w14:paraId="11C962A5" w14:textId="381BE769" w:rsidR="009135A2" w:rsidRDefault="009135A2" w:rsidP="009C5BF1">
      <w:pPr>
        <w:pStyle w:val="ListParagraph"/>
        <w:numPr>
          <w:ilvl w:val="0"/>
          <w:numId w:val="10"/>
        </w:numPr>
      </w:pPr>
      <w:r w:rsidRPr="00887C2E">
        <w:t>reduction in the amount of</w:t>
      </w:r>
      <w:r w:rsidRPr="009135A2">
        <w:t xml:space="preserve"> </w:t>
      </w:r>
      <w:r w:rsidRPr="00887C2E">
        <w:t>tobacco smoked each day</w:t>
      </w:r>
      <w:r>
        <w:t>;</w:t>
      </w:r>
    </w:p>
    <w:p w14:paraId="208E7A79" w14:textId="771D93EF" w:rsidR="00BC684E" w:rsidRPr="00887C2E" w:rsidRDefault="00BC684E" w:rsidP="009C5BF1">
      <w:pPr>
        <w:pStyle w:val="ListParagraph"/>
        <w:numPr>
          <w:ilvl w:val="0"/>
          <w:numId w:val="10"/>
        </w:numPr>
      </w:pPr>
      <w:r w:rsidRPr="00887C2E">
        <w:t xml:space="preserve">improved access to targeted support </w:t>
      </w:r>
      <w:r w:rsidR="005E051E">
        <w:t xml:space="preserve">to quit </w:t>
      </w:r>
      <w:r w:rsidR="00363AC2">
        <w:t xml:space="preserve">through clinical and </w:t>
      </w:r>
      <w:r w:rsidRPr="00887C2E">
        <w:t xml:space="preserve">non-clinical services; </w:t>
      </w:r>
    </w:p>
    <w:p w14:paraId="14FD372C" w14:textId="77777777" w:rsidR="00BC684E" w:rsidRPr="00887C2E" w:rsidRDefault="00BC684E" w:rsidP="009C5BF1">
      <w:pPr>
        <w:pStyle w:val="ListParagraph"/>
        <w:numPr>
          <w:ilvl w:val="0"/>
          <w:numId w:val="10"/>
        </w:numPr>
      </w:pPr>
      <w:r w:rsidRPr="00887C2E">
        <w:t>smokers quit and maintain smoking cessation;</w:t>
      </w:r>
    </w:p>
    <w:p w14:paraId="513A43D6" w14:textId="77777777" w:rsidR="00BC684E" w:rsidRPr="00887C2E" w:rsidRDefault="00BC684E" w:rsidP="009C5BF1">
      <w:pPr>
        <w:pStyle w:val="ListParagraph"/>
        <w:numPr>
          <w:ilvl w:val="0"/>
          <w:numId w:val="10"/>
        </w:numPr>
      </w:pPr>
      <w:r w:rsidRPr="00887C2E">
        <w:t xml:space="preserve">non-smokers continue avoiding uptake; </w:t>
      </w:r>
    </w:p>
    <w:p w14:paraId="43495311" w14:textId="532F5451" w:rsidR="00BC684E" w:rsidRPr="00887C2E" w:rsidRDefault="005E051E" w:rsidP="009C5BF1">
      <w:pPr>
        <w:pStyle w:val="ListParagraph"/>
        <w:numPr>
          <w:ilvl w:val="0"/>
          <w:numId w:val="10"/>
        </w:numPr>
      </w:pPr>
      <w:r>
        <w:t>effective</w:t>
      </w:r>
      <w:r w:rsidR="00BC684E" w:rsidRPr="00887C2E">
        <w:t xml:space="preserve"> monitoring, evaluation and sharing best practice for tobacco control activities within Aboriginal and Torres Strait Islander communities; and</w:t>
      </w:r>
    </w:p>
    <w:p w14:paraId="6F048359" w14:textId="175E6E70" w:rsidR="00BC684E" w:rsidRPr="00887C2E" w:rsidRDefault="005E051E" w:rsidP="009C5BF1">
      <w:pPr>
        <w:pStyle w:val="ListParagraph"/>
        <w:numPr>
          <w:ilvl w:val="0"/>
          <w:numId w:val="10"/>
        </w:numPr>
        <w:spacing w:after="240"/>
        <w:ind w:left="714" w:hanging="357"/>
        <w:contextualSpacing w:val="0"/>
      </w:pPr>
      <w:r>
        <w:lastRenderedPageBreak/>
        <w:t>better</w:t>
      </w:r>
      <w:r w:rsidR="00BC684E" w:rsidRPr="00887C2E">
        <w:t xml:space="preserve"> evidence on what works to reduce tobacco use within Aboriginal and Torres Strait Islander communities.</w:t>
      </w:r>
    </w:p>
    <w:p w14:paraId="79BA6D8E" w14:textId="620D0350" w:rsidR="00BF6725" w:rsidRPr="00BF6725" w:rsidRDefault="00627547" w:rsidP="00927802">
      <w:r>
        <w:t>F</w:t>
      </w:r>
      <w:r w:rsidR="00BF6725">
        <w:t>unding agreements will be negotiated to avoid duplication or overlaps in coverage.</w:t>
      </w:r>
    </w:p>
    <w:p w14:paraId="5F0E1178" w14:textId="40BECCFF" w:rsidR="00714D85" w:rsidRPr="000A40E8" w:rsidRDefault="00714D85" w:rsidP="000A40E8">
      <w:pPr>
        <w:pStyle w:val="H3nonumbers"/>
      </w:pPr>
      <w:bookmarkStart w:id="46" w:name="_Toc427754999"/>
      <w:bookmarkStart w:id="47" w:name="_Toc427755255"/>
      <w:bookmarkStart w:id="48" w:name="_Toc427755329"/>
      <w:r w:rsidRPr="000A40E8">
        <w:t>The N</w:t>
      </w:r>
      <w:r w:rsidR="00CD0E60" w:rsidRPr="000A40E8">
        <w:t xml:space="preserve">ational </w:t>
      </w:r>
      <w:r w:rsidRPr="000A40E8">
        <w:t>B</w:t>
      </w:r>
      <w:r w:rsidR="00CD0E60" w:rsidRPr="000A40E8">
        <w:t xml:space="preserve">est </w:t>
      </w:r>
      <w:r w:rsidRPr="000A40E8">
        <w:t>P</w:t>
      </w:r>
      <w:r w:rsidR="00CD0E60" w:rsidRPr="000A40E8">
        <w:t xml:space="preserve">ractice </w:t>
      </w:r>
      <w:r w:rsidRPr="000A40E8">
        <w:t>U</w:t>
      </w:r>
      <w:r w:rsidR="00CD0E60" w:rsidRPr="000A40E8">
        <w:t>nit</w:t>
      </w:r>
      <w:bookmarkEnd w:id="46"/>
      <w:bookmarkEnd w:id="47"/>
      <w:bookmarkEnd w:id="48"/>
    </w:p>
    <w:p w14:paraId="56753705" w14:textId="4EF3F033" w:rsidR="00B01A6F" w:rsidRDefault="00CD0E60" w:rsidP="00927802">
      <w:r>
        <w:t>The Department will establish a National Best Practice Unit</w:t>
      </w:r>
      <w:r w:rsidR="00714D85">
        <w:t xml:space="preserve"> </w:t>
      </w:r>
      <w:r>
        <w:t>(</w:t>
      </w:r>
      <w:r w:rsidR="00714D85">
        <w:t>NBPU</w:t>
      </w:r>
      <w:r>
        <w:t>)</w:t>
      </w:r>
      <w:r w:rsidR="00714D85">
        <w:t xml:space="preserve"> for Tackling Indigenous Smoking through a procurement process</w:t>
      </w:r>
      <w:r w:rsidR="000D50B3">
        <w:t xml:space="preserve"> in the coming months</w:t>
      </w:r>
      <w:r w:rsidR="00714D85">
        <w:t xml:space="preserve">. </w:t>
      </w:r>
      <w:r w:rsidR="000D50B3">
        <w:t>It is anticipated that the NBPU w</w:t>
      </w:r>
      <w:r w:rsidR="00A77253">
        <w:t>ill be operational by late 2015</w:t>
      </w:r>
      <w:r w:rsidR="00B34DF2">
        <w:t>-</w:t>
      </w:r>
      <w:r w:rsidR="000D50B3">
        <w:t xml:space="preserve">early 2016 in order to support the implementation of the new </w:t>
      </w:r>
      <w:r w:rsidR="0010440A">
        <w:t xml:space="preserve">Activity </w:t>
      </w:r>
      <w:r w:rsidR="000D50B3">
        <w:t xml:space="preserve">grant </w:t>
      </w:r>
      <w:r w:rsidR="0010440A">
        <w:t>component</w:t>
      </w:r>
      <w:r w:rsidR="000D50B3">
        <w:t>. The NBPU will</w:t>
      </w:r>
      <w:r w:rsidR="00714D85">
        <w:t xml:space="preserve"> be responsible for workforce support,</w:t>
      </w:r>
      <w:r w:rsidR="000D50B3">
        <w:t xml:space="preserve"> advice and mentoring,</w:t>
      </w:r>
      <w:r w:rsidR="00B01A6F">
        <w:t xml:space="preserve"> information sharing and dissemination including</w:t>
      </w:r>
      <w:r w:rsidR="00714D85">
        <w:t xml:space="preserve"> clearing house functions for research and evaluation, </w:t>
      </w:r>
      <w:r w:rsidR="00B01A6F">
        <w:t>in addition to various</w:t>
      </w:r>
      <w:r w:rsidR="00714D85">
        <w:t xml:space="preserve"> activities to bolster use of relevant evidence</w:t>
      </w:r>
      <w:r w:rsidR="000D50B3" w:rsidRPr="000D50B3">
        <w:t xml:space="preserve"> </w:t>
      </w:r>
      <w:r w:rsidR="000D50B3">
        <w:t>and evaluation results</w:t>
      </w:r>
      <w:r w:rsidR="00714D85">
        <w:t>.</w:t>
      </w:r>
      <w:r w:rsidR="000D50B3">
        <w:t xml:space="preserve"> </w:t>
      </w:r>
    </w:p>
    <w:p w14:paraId="05E11546" w14:textId="46338EB7" w:rsidR="00363AC2" w:rsidRDefault="000D50B3" w:rsidP="00927802">
      <w:r>
        <w:t>The NBPU will work wi</w:t>
      </w:r>
      <w:r w:rsidR="009135A2">
        <w:t>th grant recipients to develop</w:t>
      </w:r>
      <w:r>
        <w:t xml:space="preserve"> monitoring and evaluation plan</w:t>
      </w:r>
      <w:r w:rsidR="009135A2">
        <w:t>s</w:t>
      </w:r>
      <w:r>
        <w:t>, including the development of performance indicators</w:t>
      </w:r>
      <w:r w:rsidR="00C55082">
        <w:t xml:space="preserve"> and collection of data</w:t>
      </w:r>
      <w:r>
        <w:t xml:space="preserve"> to assess whether progress is being made towards </w:t>
      </w:r>
      <w:r w:rsidR="00A25AF5">
        <w:t>Activity</w:t>
      </w:r>
      <w:r w:rsidR="004B30D0">
        <w:t xml:space="preserve"> objectives.</w:t>
      </w:r>
    </w:p>
    <w:p w14:paraId="1BAC6226" w14:textId="0975A3C5" w:rsidR="00A77253" w:rsidRPr="000A40E8" w:rsidRDefault="00A77253" w:rsidP="000A40E8">
      <w:pPr>
        <w:pStyle w:val="H3nonumbers"/>
      </w:pPr>
      <w:bookmarkStart w:id="49" w:name="_Toc427755000"/>
      <w:bookmarkStart w:id="50" w:name="_Toc427755256"/>
      <w:bookmarkStart w:id="51" w:name="_Toc427755330"/>
      <w:r w:rsidRPr="000A40E8">
        <w:t>Activity evaluation</w:t>
      </w:r>
      <w:bookmarkEnd w:id="49"/>
      <w:bookmarkEnd w:id="50"/>
      <w:bookmarkEnd w:id="51"/>
    </w:p>
    <w:p w14:paraId="01187BE3" w14:textId="4A6944F4" w:rsidR="00A77253" w:rsidRPr="00A77253" w:rsidRDefault="00A77253" w:rsidP="000D50B3">
      <w:r>
        <w:t xml:space="preserve">The development of an Evaluation and Monitoring Framework will provide the basis for the development of the performance indicators for the regional grants reporting and for the Activity evaluation </w:t>
      </w:r>
      <w:r w:rsidR="00313308">
        <w:t>in which preliminary results after two years can be used for quality improvements</w:t>
      </w:r>
      <w:r>
        <w:t>.</w:t>
      </w:r>
    </w:p>
    <w:p w14:paraId="781C5C04" w14:textId="77777777" w:rsidR="00B23B12" w:rsidRPr="000A40E8" w:rsidRDefault="00B23B12" w:rsidP="000A40E8">
      <w:pPr>
        <w:pStyle w:val="H3nonumbers"/>
      </w:pPr>
      <w:bookmarkStart w:id="52" w:name="_Toc427755001"/>
      <w:bookmarkStart w:id="53" w:name="_Toc427755257"/>
      <w:bookmarkStart w:id="54" w:name="_Toc427755331"/>
      <w:r w:rsidRPr="000A40E8">
        <w:t>Other components</w:t>
      </w:r>
      <w:bookmarkEnd w:id="52"/>
      <w:bookmarkEnd w:id="53"/>
      <w:bookmarkEnd w:id="54"/>
    </w:p>
    <w:p w14:paraId="730308BA" w14:textId="447348B9" w:rsidR="00B23B12" w:rsidRDefault="00B23B12" w:rsidP="00927802">
      <w:r>
        <w:t>The TIS Activity also includes funding for Quitskills training which increases the number of suitably trained and qualified professionals working with Aboriginal and Torres Strait</w:t>
      </w:r>
      <w:r w:rsidR="001C3C14">
        <w:t xml:space="preserve"> Islander</w:t>
      </w:r>
      <w:r>
        <w:t xml:space="preserve"> smokers and their communities. Quitskills delivers best-practice intervention methods aimed at assisting people to quit smoking.</w:t>
      </w:r>
    </w:p>
    <w:p w14:paraId="5672AA66" w14:textId="77777777" w:rsidR="00B23B12" w:rsidRDefault="00B23B12" w:rsidP="00927802">
      <w:r>
        <w:t>The Indigenous Quitline enhancement grants improve the capacity of Quitline services to provide accessible and appropriate services to Indigenous people. The funds support employment of Indigenous staff, as well as training and resources for all Quitline staff.</w:t>
      </w:r>
    </w:p>
    <w:p w14:paraId="07FFFB60" w14:textId="77777777" w:rsidR="00B23B12" w:rsidRDefault="00B23B12" w:rsidP="00927802">
      <w:r>
        <w:t>The purpose of the proposed pilots is to increase the evidence base on the implementation of effective tobacco control activities in regions or sub-populations requiring special attention, such as very remote regions, pregnant women and young people susceptible to taking up smoking. The pilots will also enable intense work in these areas of need.</w:t>
      </w:r>
    </w:p>
    <w:p w14:paraId="286DF86E" w14:textId="42352D6F" w:rsidR="000D50B3" w:rsidRPr="000A40E8" w:rsidRDefault="006B5169" w:rsidP="000A40E8">
      <w:pPr>
        <w:pStyle w:val="Heading2"/>
      </w:pPr>
      <w:bookmarkStart w:id="55" w:name="_Toc427755002"/>
      <w:bookmarkStart w:id="56" w:name="_Toc427755258"/>
      <w:bookmarkStart w:id="57" w:name="_Toc427755332"/>
      <w:r w:rsidRPr="000A40E8">
        <w:t>Consultation</w:t>
      </w:r>
      <w:bookmarkEnd w:id="55"/>
      <w:bookmarkEnd w:id="56"/>
      <w:bookmarkEnd w:id="57"/>
    </w:p>
    <w:p w14:paraId="3AF90460" w14:textId="53FCFBD7" w:rsidR="003E54E6" w:rsidRDefault="00014248" w:rsidP="00927802">
      <w:r>
        <w:t xml:space="preserve">These </w:t>
      </w:r>
      <w:r w:rsidR="00A25AF5">
        <w:t>Activity</w:t>
      </w:r>
      <w:r>
        <w:t xml:space="preserve"> guidelines have been informed by </w:t>
      </w:r>
      <w:r w:rsidR="006177E6">
        <w:t>the evaluation</w:t>
      </w:r>
      <w:r w:rsidR="00F87D58">
        <w:t xml:space="preserve"> of the Indigenous Chronic Disease Package (Menzies School of Health </w:t>
      </w:r>
      <w:r w:rsidR="006177E6">
        <w:t>Research 2012)</w:t>
      </w:r>
      <w:r w:rsidR="00F87D58">
        <w:t xml:space="preserve">, the University of Canberra’s review in 2014 of the Tackling Indigenous Smoking </w:t>
      </w:r>
      <w:r w:rsidR="00A25AF5">
        <w:t>Activity</w:t>
      </w:r>
      <w:r w:rsidR="009963D5">
        <w:t xml:space="preserve">, ongoing advice from </w:t>
      </w:r>
      <w:r w:rsidR="000934C7">
        <w:t xml:space="preserve">Prof </w:t>
      </w:r>
      <w:r w:rsidR="009963D5">
        <w:t>Tom C</w:t>
      </w:r>
      <w:r w:rsidR="009135A2">
        <w:t>a</w:t>
      </w:r>
      <w:r w:rsidR="009963D5">
        <w:t>lma, the National Coordinator, Tackling Indigenous Smoking</w:t>
      </w:r>
      <w:r w:rsidR="00F87D58">
        <w:t xml:space="preserve"> and recent </w:t>
      </w:r>
      <w:r>
        <w:t>consultations with key stakeholders. The consultation process has provided support for the ke</w:t>
      </w:r>
      <w:r w:rsidR="000D50B3">
        <w:t xml:space="preserve">y </w:t>
      </w:r>
      <w:r w:rsidR="00A25AF5">
        <w:t>Activity</w:t>
      </w:r>
      <w:r w:rsidR="000D50B3">
        <w:t xml:space="preserve"> features, which are:</w:t>
      </w:r>
    </w:p>
    <w:p w14:paraId="7E29A76B" w14:textId="68CB2940" w:rsidR="00520796" w:rsidRDefault="00014248" w:rsidP="009C5BF1">
      <w:pPr>
        <w:pStyle w:val="ListParagraph"/>
        <w:numPr>
          <w:ilvl w:val="0"/>
          <w:numId w:val="4"/>
        </w:numPr>
      </w:pPr>
      <w:r>
        <w:t>an outcomes-based model</w:t>
      </w:r>
      <w:r w:rsidR="009135A2">
        <w:t xml:space="preserve"> with a primary focus on tobacco use outcomes</w:t>
      </w:r>
      <w:r>
        <w:t>;</w:t>
      </w:r>
    </w:p>
    <w:p w14:paraId="1F08BE31" w14:textId="7BFB6CFC" w:rsidR="003E54E6" w:rsidRDefault="00014248" w:rsidP="009C5BF1">
      <w:pPr>
        <w:pStyle w:val="ListParagraph"/>
        <w:numPr>
          <w:ilvl w:val="0"/>
          <w:numId w:val="4"/>
        </w:numPr>
      </w:pPr>
      <w:r>
        <w:t>national supports (including the National Best Practice Unit);</w:t>
      </w:r>
    </w:p>
    <w:p w14:paraId="2D751D44" w14:textId="048E8604" w:rsidR="003E54E6" w:rsidRDefault="00014248" w:rsidP="009C5BF1">
      <w:pPr>
        <w:pStyle w:val="ListParagraph"/>
        <w:numPr>
          <w:ilvl w:val="0"/>
          <w:numId w:val="4"/>
        </w:numPr>
      </w:pPr>
      <w:r>
        <w:lastRenderedPageBreak/>
        <w:t>an active approach to le</w:t>
      </w:r>
      <w:r w:rsidR="00BB0E38">
        <w:t>veraging other programmes;</w:t>
      </w:r>
      <w:r w:rsidR="009963D5">
        <w:t xml:space="preserve"> and</w:t>
      </w:r>
      <w:r>
        <w:t xml:space="preserve"> </w:t>
      </w:r>
    </w:p>
    <w:p w14:paraId="00F08DC7" w14:textId="13D05838" w:rsidR="00C0204F" w:rsidRPr="00D977FD" w:rsidRDefault="00BB0E38" w:rsidP="009C5BF1">
      <w:pPr>
        <w:pStyle w:val="ListParagraph"/>
        <w:numPr>
          <w:ilvl w:val="0"/>
          <w:numId w:val="4"/>
        </w:numPr>
        <w:spacing w:after="240"/>
        <w:ind w:left="714" w:hanging="357"/>
        <w:contextualSpacing w:val="0"/>
      </w:pPr>
      <w:r>
        <w:t>quality of service</w:t>
      </w:r>
      <w:r w:rsidR="00014248">
        <w:t xml:space="preserve">. </w:t>
      </w:r>
    </w:p>
    <w:p w14:paraId="277BB721" w14:textId="72D4C742" w:rsidR="006B5169" w:rsidRPr="000A40E8" w:rsidRDefault="006B5169" w:rsidP="000A40E8">
      <w:pPr>
        <w:pStyle w:val="Heading2"/>
      </w:pPr>
      <w:bookmarkStart w:id="58" w:name="_Toc427755003"/>
      <w:bookmarkStart w:id="59" w:name="_Toc427755259"/>
      <w:bookmarkStart w:id="60" w:name="_Toc427755333"/>
      <w:r w:rsidRPr="000A40E8">
        <w:t>Relevant legislation</w:t>
      </w:r>
      <w:bookmarkEnd w:id="58"/>
      <w:bookmarkEnd w:id="59"/>
      <w:bookmarkEnd w:id="60"/>
    </w:p>
    <w:p w14:paraId="1296A0D1" w14:textId="3430FFD0" w:rsidR="00FD4212" w:rsidRPr="00963228" w:rsidRDefault="00345509" w:rsidP="00884ABA">
      <w:r w:rsidRPr="00963228">
        <w:rPr>
          <w:rFonts w:cs="Times New Roman"/>
          <w:szCs w:val="24"/>
        </w:rPr>
        <w:t>T</w:t>
      </w:r>
      <w:r w:rsidR="00FD4212" w:rsidRPr="00963228">
        <w:rPr>
          <w:rFonts w:cs="Times New Roman"/>
          <w:szCs w:val="24"/>
        </w:rPr>
        <w:t xml:space="preserve">he </w:t>
      </w:r>
      <w:r w:rsidR="00A25AF5">
        <w:rPr>
          <w:rFonts w:cs="Times New Roman"/>
          <w:szCs w:val="24"/>
        </w:rPr>
        <w:t>Activity</w:t>
      </w:r>
      <w:r w:rsidR="00FD4212" w:rsidRPr="00963228">
        <w:rPr>
          <w:rFonts w:cs="Times New Roman"/>
          <w:szCs w:val="24"/>
        </w:rPr>
        <w:t xml:space="preserve"> draws its administrative authority from the Commonwealth Grants Rules and Guidelines (CGRGs) that are issued by the Minister for Finance under the Public Governance, Performance and Accountability Act 2013 (PGPA Act). The </w:t>
      </w:r>
      <w:r w:rsidR="001C3C14">
        <w:rPr>
          <w:rFonts w:cs="Times New Roman"/>
          <w:szCs w:val="24"/>
        </w:rPr>
        <w:t>legislative</w:t>
      </w:r>
      <w:r w:rsidR="001C3C14" w:rsidRPr="00963228">
        <w:rPr>
          <w:rFonts w:cs="Times New Roman"/>
          <w:szCs w:val="24"/>
        </w:rPr>
        <w:t xml:space="preserve"> </w:t>
      </w:r>
      <w:r w:rsidR="00FD4212" w:rsidRPr="00963228">
        <w:rPr>
          <w:rFonts w:cs="Times New Roman"/>
          <w:szCs w:val="24"/>
        </w:rPr>
        <w:t>authority for the grant is</w:t>
      </w:r>
      <w:r w:rsidR="001C3C14">
        <w:rPr>
          <w:rFonts w:cs="Times New Roman"/>
          <w:szCs w:val="24"/>
        </w:rPr>
        <w:t xml:space="preserve"> </w:t>
      </w:r>
      <w:r w:rsidR="00FD4212" w:rsidRPr="00884ABA">
        <w:rPr>
          <w:i/>
          <w:iCs/>
        </w:rPr>
        <w:t>Financial Framework (Supplem</w:t>
      </w:r>
      <w:r w:rsidR="00FD4212" w:rsidRPr="001C3C14">
        <w:rPr>
          <w:i/>
          <w:iCs/>
        </w:rPr>
        <w:t>entary Powers) Act 1997</w:t>
      </w:r>
      <w:r w:rsidR="00FD4212" w:rsidRPr="00963228">
        <w:t xml:space="preserve"> Section 32(b)</w:t>
      </w:r>
      <w:r w:rsidR="001C3C14">
        <w:t xml:space="preserve"> and </w:t>
      </w:r>
      <w:r w:rsidR="00FD4212" w:rsidRPr="00884ABA">
        <w:rPr>
          <w:i/>
        </w:rPr>
        <w:t xml:space="preserve">Schedule 1AA </w:t>
      </w:r>
      <w:r w:rsidR="006532B9" w:rsidRPr="00884ABA">
        <w:rPr>
          <w:i/>
        </w:rPr>
        <w:t xml:space="preserve">of the Financial Framework (Supplementary Powers) </w:t>
      </w:r>
      <w:r w:rsidR="001C3C14">
        <w:rPr>
          <w:i/>
        </w:rPr>
        <w:t>Regulations</w:t>
      </w:r>
      <w:r w:rsidR="001C3C14" w:rsidRPr="00884ABA">
        <w:rPr>
          <w:i/>
        </w:rPr>
        <w:t xml:space="preserve"> </w:t>
      </w:r>
      <w:r w:rsidR="006532B9" w:rsidRPr="00884ABA">
        <w:rPr>
          <w:i/>
        </w:rPr>
        <w:t>1997</w:t>
      </w:r>
      <w:r w:rsidR="006532B9">
        <w:t xml:space="preserve">, </w:t>
      </w:r>
      <w:r w:rsidR="00FD4212" w:rsidRPr="00963228">
        <w:t>Part 4 item 415.</w:t>
      </w:r>
      <w:r w:rsidRPr="00963228">
        <w:t xml:space="preserve">026 </w:t>
      </w:r>
      <w:r w:rsidRPr="003D0F08">
        <w:t>Aboriginal and Torres Strait Islander Health</w:t>
      </w:r>
      <w:r w:rsidRPr="00963228">
        <w:t>.</w:t>
      </w:r>
    </w:p>
    <w:p w14:paraId="37A428A0" w14:textId="60C48881" w:rsidR="00CA3607" w:rsidRDefault="00345509" w:rsidP="00492ABE">
      <w:pPr>
        <w:autoSpaceDE w:val="0"/>
        <w:autoSpaceDN w:val="0"/>
        <w:adjustRightInd w:val="0"/>
        <w:spacing w:after="120"/>
        <w:rPr>
          <w:rFonts w:cs="Times New Roman"/>
          <w:color w:val="000000"/>
          <w:szCs w:val="24"/>
        </w:rPr>
      </w:pPr>
      <w:r w:rsidRPr="00963228">
        <w:rPr>
          <w:rFonts w:cs="Times New Roman"/>
          <w:szCs w:val="24"/>
        </w:rPr>
        <w:t>Department of Health s</w:t>
      </w:r>
      <w:r w:rsidR="00FD4212" w:rsidRPr="00963228">
        <w:rPr>
          <w:rFonts w:cs="Times New Roman"/>
          <w:szCs w:val="24"/>
        </w:rPr>
        <w:t xml:space="preserve">taff </w:t>
      </w:r>
      <w:r w:rsidR="00F6335E">
        <w:rPr>
          <w:rFonts w:cs="Times New Roman"/>
          <w:szCs w:val="24"/>
        </w:rPr>
        <w:t xml:space="preserve">members </w:t>
      </w:r>
      <w:r w:rsidR="00FD4212" w:rsidRPr="00963228">
        <w:rPr>
          <w:rFonts w:cs="Times New Roman"/>
          <w:szCs w:val="24"/>
        </w:rPr>
        <w:t>involved in grant administration are accountable for complying with the CGRGs, and other policies and legislation that interact with grants administration.</w:t>
      </w:r>
    </w:p>
    <w:p w14:paraId="5F50E754" w14:textId="584CDCA2" w:rsidR="006B5169" w:rsidRPr="000A40E8" w:rsidRDefault="006B5169" w:rsidP="000A40E8">
      <w:pPr>
        <w:pStyle w:val="Heading2"/>
      </w:pPr>
      <w:bookmarkStart w:id="61" w:name="_Ref425181838"/>
      <w:bookmarkStart w:id="62" w:name="_Toc427755004"/>
      <w:bookmarkStart w:id="63" w:name="_Toc427755260"/>
      <w:bookmarkStart w:id="64" w:name="_Toc427755334"/>
      <w:r w:rsidRPr="000A40E8">
        <w:t>Roles and Responsibilities</w:t>
      </w:r>
      <w:bookmarkEnd w:id="61"/>
      <w:bookmarkEnd w:id="62"/>
      <w:bookmarkEnd w:id="63"/>
      <w:bookmarkEnd w:id="64"/>
    </w:p>
    <w:p w14:paraId="3DC775A8" w14:textId="2C1E5FCF" w:rsidR="00757E31" w:rsidRPr="00345509" w:rsidRDefault="00757E31" w:rsidP="00927802">
      <w:pPr>
        <w:rPr>
          <w:lang w:val="en-US"/>
        </w:rPr>
      </w:pPr>
      <w:r w:rsidRPr="00345509">
        <w:rPr>
          <w:lang w:val="en-US"/>
        </w:rPr>
        <w:t xml:space="preserve">The </w:t>
      </w:r>
      <w:hyperlink w:anchor="_Grant_Activity_Process" w:history="1">
        <w:r w:rsidRPr="006B60D6">
          <w:rPr>
            <w:rStyle w:val="Hyperlink"/>
            <w:rFonts w:cstheme="minorBidi"/>
            <w:i/>
            <w:lang w:val="en-US"/>
          </w:rPr>
          <w:t xml:space="preserve">Grant </w:t>
        </w:r>
        <w:r w:rsidR="00A25AF5" w:rsidRPr="006B60D6">
          <w:rPr>
            <w:rStyle w:val="Hyperlink"/>
            <w:rFonts w:cstheme="minorBidi"/>
            <w:i/>
            <w:lang w:val="en-US"/>
          </w:rPr>
          <w:t>Activity</w:t>
        </w:r>
        <w:r w:rsidRPr="006B60D6">
          <w:rPr>
            <w:rStyle w:val="Hyperlink"/>
            <w:rFonts w:cstheme="minorBidi"/>
            <w:i/>
            <w:lang w:val="en-US"/>
          </w:rPr>
          <w:t xml:space="preserve"> Process Flowchart</w:t>
        </w:r>
      </w:hyperlink>
      <w:r w:rsidRPr="00345509">
        <w:rPr>
          <w:lang w:val="en-US"/>
        </w:rPr>
        <w:t xml:space="preserve"> outlines the general roles and </w:t>
      </w:r>
      <w:r w:rsidR="006B60D6">
        <w:rPr>
          <w:lang w:val="en-US"/>
        </w:rPr>
        <w:t>responsibilities of each party.</w:t>
      </w:r>
    </w:p>
    <w:p w14:paraId="283DA5F3" w14:textId="77777777" w:rsidR="00757E31" w:rsidRPr="000A40E8" w:rsidRDefault="00757E31" w:rsidP="000A40E8">
      <w:pPr>
        <w:pStyle w:val="H3nonumbers"/>
      </w:pPr>
      <w:bookmarkStart w:id="65" w:name="_Toc427755005"/>
      <w:bookmarkStart w:id="66" w:name="_Toc427755261"/>
      <w:bookmarkStart w:id="67" w:name="_Toc427755335"/>
      <w:r w:rsidRPr="000A40E8">
        <w:t>Department of Health</w:t>
      </w:r>
      <w:bookmarkEnd w:id="65"/>
      <w:bookmarkEnd w:id="66"/>
      <w:bookmarkEnd w:id="67"/>
      <w:r w:rsidRPr="000A40E8">
        <w:t xml:space="preserve"> </w:t>
      </w:r>
    </w:p>
    <w:p w14:paraId="6014138C" w14:textId="123D692B" w:rsidR="00757E31" w:rsidRPr="009662DD" w:rsidRDefault="00757E31" w:rsidP="00927802">
      <w:r w:rsidRPr="009662DD">
        <w:t xml:space="preserve">The Department manages the </w:t>
      </w:r>
      <w:r w:rsidR="00A25AF5">
        <w:t>Activity</w:t>
      </w:r>
      <w:r w:rsidR="00345509" w:rsidRPr="009662DD">
        <w:t>.</w:t>
      </w:r>
      <w:r w:rsidRPr="009662DD">
        <w:t xml:space="preserve">  It is responsible for the development and dissemination of all documentation regarding funding under the </w:t>
      </w:r>
      <w:r w:rsidR="00A25AF5">
        <w:t>Activity</w:t>
      </w:r>
      <w:r w:rsidRPr="009662DD">
        <w:t xml:space="preserve"> and for ensuring that documentation is in accordance with the </w:t>
      </w:r>
      <w:r w:rsidR="00345509" w:rsidRPr="009662DD">
        <w:t>objectives.</w:t>
      </w:r>
      <w:r w:rsidRPr="009662DD">
        <w:t xml:space="preserve"> </w:t>
      </w:r>
      <w:r w:rsidR="00345509" w:rsidRPr="009662DD">
        <w:t xml:space="preserve">It is </w:t>
      </w:r>
      <w:r w:rsidRPr="009662DD">
        <w:t xml:space="preserve">also responsible for notifying applicants of the outcome of any funding process, responding to queries in relation to the funding process, and for resolving any uncertainties that may arise in relation to funding requirements. </w:t>
      </w:r>
    </w:p>
    <w:p w14:paraId="6D121869" w14:textId="4BF40813" w:rsidR="00757E31" w:rsidRPr="009662DD" w:rsidRDefault="00757E31" w:rsidP="00927802">
      <w:r w:rsidRPr="009662DD">
        <w:t xml:space="preserve">The Department will be responsible for decisions regarding the internal administrative, assessment recommendations and </w:t>
      </w:r>
      <w:r w:rsidR="00A25AF5">
        <w:t>Activity</w:t>
      </w:r>
      <w:r w:rsidRPr="009662DD">
        <w:t xml:space="preserve"> management arrangements</w:t>
      </w:r>
      <w:r w:rsidR="009662DD" w:rsidRPr="009662DD">
        <w:t>. These include, if applicable</w:t>
      </w:r>
      <w:r w:rsidRPr="009662DD">
        <w:t>:</w:t>
      </w:r>
    </w:p>
    <w:p w14:paraId="1B7CB8D4" w14:textId="77777777" w:rsidR="00757E31" w:rsidRPr="009662DD" w:rsidRDefault="00757E31" w:rsidP="009C5BF1">
      <w:pPr>
        <w:pStyle w:val="ListParagraph"/>
        <w:numPr>
          <w:ilvl w:val="0"/>
          <w:numId w:val="11"/>
        </w:numPr>
      </w:pPr>
      <w:r w:rsidRPr="009662DD">
        <w:t xml:space="preserve">assessing the applications;  </w:t>
      </w:r>
    </w:p>
    <w:p w14:paraId="1ACB5D75" w14:textId="77777777" w:rsidR="00757E31" w:rsidRPr="009662DD" w:rsidRDefault="00757E31" w:rsidP="009C5BF1">
      <w:pPr>
        <w:pStyle w:val="ListParagraph"/>
        <w:numPr>
          <w:ilvl w:val="0"/>
          <w:numId w:val="11"/>
        </w:numPr>
      </w:pPr>
      <w:r w:rsidRPr="009662DD">
        <w:t>developing funding agreements or any alternative contractual arrangement;</w:t>
      </w:r>
    </w:p>
    <w:p w14:paraId="06CD0D13" w14:textId="77777777" w:rsidR="00757E31" w:rsidRPr="009662DD" w:rsidRDefault="00757E31" w:rsidP="009C5BF1">
      <w:pPr>
        <w:pStyle w:val="ListParagraph"/>
        <w:numPr>
          <w:ilvl w:val="0"/>
          <w:numId w:val="11"/>
        </w:numPr>
      </w:pPr>
      <w:r w:rsidRPr="009662DD">
        <w:t>monitoring the performance of projects to ensure the conditions of the funding agreement or other contractual arrangement are met;</w:t>
      </w:r>
    </w:p>
    <w:p w14:paraId="037B54E4" w14:textId="77777777" w:rsidR="00757E31" w:rsidRPr="009662DD" w:rsidRDefault="00757E31" w:rsidP="009C5BF1">
      <w:pPr>
        <w:pStyle w:val="ListParagraph"/>
        <w:numPr>
          <w:ilvl w:val="0"/>
          <w:numId w:val="11"/>
        </w:numPr>
      </w:pPr>
      <w:r w:rsidRPr="009662DD">
        <w:t>assessing performance and financial reports and undertaking follow up activity as necessary;</w:t>
      </w:r>
    </w:p>
    <w:p w14:paraId="2D747124" w14:textId="77777777" w:rsidR="00757E31" w:rsidRPr="009662DD" w:rsidRDefault="00757E31" w:rsidP="009C5BF1">
      <w:pPr>
        <w:pStyle w:val="ListParagraph"/>
        <w:numPr>
          <w:ilvl w:val="0"/>
          <w:numId w:val="11"/>
        </w:numPr>
      </w:pPr>
      <w:r w:rsidRPr="009662DD">
        <w:t xml:space="preserve">making payments as specified in the funding agreement or contractual arrangement; and </w:t>
      </w:r>
    </w:p>
    <w:p w14:paraId="67254266" w14:textId="60341F60" w:rsidR="00757E31" w:rsidRPr="009662DD" w:rsidRDefault="00757E31" w:rsidP="009C5BF1">
      <w:pPr>
        <w:pStyle w:val="ListParagraph"/>
        <w:numPr>
          <w:ilvl w:val="0"/>
          <w:numId w:val="11"/>
        </w:numPr>
        <w:spacing w:after="240"/>
        <w:ind w:left="714" w:hanging="357"/>
        <w:contextualSpacing w:val="0"/>
      </w:pPr>
      <w:r w:rsidRPr="009662DD">
        <w:t>providing feedback to funded organisations during the funding period and following the conclusion of activities.</w:t>
      </w:r>
    </w:p>
    <w:p w14:paraId="61901F45" w14:textId="77777777" w:rsidR="004B1818" w:rsidRPr="000A40E8" w:rsidRDefault="004B1818" w:rsidP="000A40E8">
      <w:pPr>
        <w:pStyle w:val="H3nonumbers"/>
      </w:pPr>
      <w:bookmarkStart w:id="68" w:name="_Toc427755006"/>
      <w:bookmarkStart w:id="69" w:name="_Toc427755262"/>
      <w:bookmarkStart w:id="70" w:name="_Toc427755336"/>
      <w:r w:rsidRPr="000A40E8">
        <w:t>Approver</w:t>
      </w:r>
      <w:bookmarkEnd w:id="68"/>
      <w:bookmarkEnd w:id="69"/>
      <w:bookmarkEnd w:id="70"/>
    </w:p>
    <w:p w14:paraId="710C8570" w14:textId="5FB67448" w:rsidR="004B1818" w:rsidRPr="009662DD" w:rsidRDefault="004B1818" w:rsidP="00927802">
      <w:pPr>
        <w:rPr>
          <w:b/>
          <w:i/>
        </w:rPr>
      </w:pPr>
      <w:r w:rsidRPr="009662DD">
        <w:t xml:space="preserve">The Approver </w:t>
      </w:r>
      <w:r w:rsidR="009662DD" w:rsidRPr="009662DD">
        <w:t>will consider whether the proposals make an efficient, effective, ethical and economical use of Australian</w:t>
      </w:r>
      <w:r w:rsidR="001C3C14">
        <w:t xml:space="preserve"> Government</w:t>
      </w:r>
      <w:r w:rsidR="009662DD" w:rsidRPr="009662DD">
        <w:t xml:space="preserve"> resources, as required by </w:t>
      </w:r>
      <w:r w:rsidRPr="009662DD">
        <w:rPr>
          <w:lang w:val="en-US"/>
        </w:rPr>
        <w:t>Commonwealth legislation, and whether any specific requirements will need to be imposed as a condition of funding.</w:t>
      </w:r>
    </w:p>
    <w:p w14:paraId="18A2A073" w14:textId="461A1D42" w:rsidR="009662DD" w:rsidRDefault="009662DD" w:rsidP="00927802">
      <w:r>
        <w:t xml:space="preserve">The final decision about the approval of funding will be made by the </w:t>
      </w:r>
      <w:r w:rsidR="00464015">
        <w:t>M</w:t>
      </w:r>
      <w:r>
        <w:t xml:space="preserve">inister or </w:t>
      </w:r>
      <w:r w:rsidR="00464015">
        <w:t>A</w:t>
      </w:r>
      <w:r>
        <w:t xml:space="preserve">gency </w:t>
      </w:r>
      <w:r w:rsidR="00464015">
        <w:t>C</w:t>
      </w:r>
      <w:r>
        <w:t xml:space="preserve">hief Executive (including a </w:t>
      </w:r>
      <w:r w:rsidR="00464015">
        <w:t>C</w:t>
      </w:r>
      <w:r>
        <w:t>hief Executive’s delegate). F</w:t>
      </w:r>
      <w:r w:rsidR="004B1818" w:rsidRPr="00A07250">
        <w:t>unding approval is at the discretion of the</w:t>
      </w:r>
      <w:r w:rsidR="004B1818">
        <w:t xml:space="preserve"> A</w:t>
      </w:r>
      <w:r w:rsidR="004B1818" w:rsidRPr="00A07250">
        <w:t>pprover.</w:t>
      </w:r>
    </w:p>
    <w:p w14:paraId="082ACAE6" w14:textId="68F6338A" w:rsidR="004B1818" w:rsidRPr="00F715F0" w:rsidRDefault="004B1818" w:rsidP="00927802">
      <w:r w:rsidRPr="009662DD">
        <w:t xml:space="preserve">The </w:t>
      </w:r>
      <w:r w:rsidR="009662DD">
        <w:t xml:space="preserve">Approver for the </w:t>
      </w:r>
      <w:r w:rsidR="00A25AF5">
        <w:t>Activity</w:t>
      </w:r>
      <w:r w:rsidR="009662DD" w:rsidRPr="009662DD">
        <w:t xml:space="preserve"> is</w:t>
      </w:r>
      <w:r w:rsidR="00927802">
        <w:t xml:space="preserve"> </w:t>
      </w:r>
      <w:r w:rsidR="00DC6980">
        <w:t>the Minister for Health or her delegate</w:t>
      </w:r>
      <w:r w:rsidR="009662DD">
        <w:t>.</w:t>
      </w:r>
    </w:p>
    <w:p w14:paraId="6CB67E0B" w14:textId="77777777" w:rsidR="00757E31" w:rsidRPr="000A40E8" w:rsidRDefault="00757E31" w:rsidP="000A40E8">
      <w:pPr>
        <w:pStyle w:val="H3nonumbers"/>
      </w:pPr>
      <w:bookmarkStart w:id="71" w:name="_Toc427755007"/>
      <w:bookmarkStart w:id="72" w:name="_Toc427755263"/>
      <w:bookmarkStart w:id="73" w:name="_Toc427755337"/>
      <w:r w:rsidRPr="000A40E8">
        <w:lastRenderedPageBreak/>
        <w:t>Funding Recipients</w:t>
      </w:r>
      <w:bookmarkEnd w:id="71"/>
      <w:bookmarkEnd w:id="72"/>
      <w:bookmarkEnd w:id="73"/>
    </w:p>
    <w:p w14:paraId="300E5772" w14:textId="1B78E905" w:rsidR="009662DD" w:rsidRPr="009662DD" w:rsidRDefault="009662DD" w:rsidP="00927802">
      <w:r w:rsidRPr="009662DD">
        <w:t xml:space="preserve">Organisations </w:t>
      </w:r>
      <w:r w:rsidR="00757E31" w:rsidRPr="009662DD">
        <w:t xml:space="preserve">receiving funding </w:t>
      </w:r>
      <w:r w:rsidR="009D6E0D">
        <w:t>(can be a consortium</w:t>
      </w:r>
      <w:r w:rsidR="00A75FDA" w:rsidRPr="009662DD">
        <w:t xml:space="preserve"> lead organisation),</w:t>
      </w:r>
      <w:r w:rsidR="003E54E6">
        <w:t xml:space="preserve"> </w:t>
      </w:r>
      <w:r w:rsidR="00757E31" w:rsidRPr="009662DD">
        <w:t xml:space="preserve">are responsible for the efficient and effective delivery of activities in accordance with the obligations contained in any funding agreement or contractual arrangement entered into under the </w:t>
      </w:r>
      <w:r w:rsidR="00A25AF5">
        <w:t>Activity</w:t>
      </w:r>
      <w:r w:rsidRPr="009662DD">
        <w:t>.</w:t>
      </w:r>
      <w:r w:rsidR="009135A2">
        <w:t xml:space="preserve"> This includes working with the NBPU in the development of work plans, and performance and monitoring measures.</w:t>
      </w:r>
    </w:p>
    <w:p w14:paraId="1DEB53F2" w14:textId="77777777" w:rsidR="00757E31" w:rsidRPr="009662DD" w:rsidRDefault="00757E31" w:rsidP="00927802">
      <w:r w:rsidRPr="009662DD">
        <w:t>Organisations are also responsible for:</w:t>
      </w:r>
    </w:p>
    <w:p w14:paraId="6C12C087" w14:textId="5B4400C8" w:rsidR="00757E31" w:rsidRPr="009662DD" w:rsidRDefault="0080626B" w:rsidP="009C5BF1">
      <w:pPr>
        <w:pStyle w:val="ListParagraph"/>
        <w:numPr>
          <w:ilvl w:val="0"/>
          <w:numId w:val="12"/>
        </w:numPr>
      </w:pPr>
      <w:r w:rsidRPr="009662DD">
        <w:t>ensuring that the terms and conditions of the funding agreement are met and that the project is managed in a cost effective and efficient manner;</w:t>
      </w:r>
    </w:p>
    <w:p w14:paraId="2670DDE0" w14:textId="7F52A512" w:rsidR="00757E31" w:rsidRPr="009662DD" w:rsidRDefault="00757E31" w:rsidP="009C5BF1">
      <w:pPr>
        <w:pStyle w:val="ListParagraph"/>
        <w:numPr>
          <w:ilvl w:val="0"/>
          <w:numId w:val="12"/>
        </w:numPr>
      </w:pPr>
      <w:r w:rsidRPr="009662DD">
        <w:t>ensuring the</w:t>
      </w:r>
      <w:r w:rsidR="0010440A">
        <w:t>ir</w:t>
      </w:r>
      <w:r w:rsidRPr="009662DD">
        <w:t xml:space="preserve"> activit</w:t>
      </w:r>
      <w:r w:rsidR="0010440A">
        <w:t>ies</w:t>
      </w:r>
      <w:r w:rsidRPr="009662DD">
        <w:t xml:space="preserve"> achieves </w:t>
      </w:r>
      <w:r w:rsidR="009F2C3F" w:rsidRPr="009662DD">
        <w:t xml:space="preserve">value </w:t>
      </w:r>
      <w:r w:rsidR="00EF32C1">
        <w:t>for</w:t>
      </w:r>
      <w:r w:rsidRPr="009662DD">
        <w:t xml:space="preserve"> money; </w:t>
      </w:r>
    </w:p>
    <w:p w14:paraId="52FCA454" w14:textId="77777777" w:rsidR="00794A7F" w:rsidRPr="009662DD" w:rsidRDefault="00794A7F" w:rsidP="009C5BF1">
      <w:pPr>
        <w:pStyle w:val="ListParagraph"/>
        <w:numPr>
          <w:ilvl w:val="0"/>
          <w:numId w:val="12"/>
        </w:numPr>
      </w:pPr>
      <w:r w:rsidRPr="009662DD">
        <w:t>employing and managing project staff;</w:t>
      </w:r>
    </w:p>
    <w:p w14:paraId="41390F12" w14:textId="77777777" w:rsidR="00757E31" w:rsidRPr="009662DD" w:rsidRDefault="00757E31" w:rsidP="009C5BF1">
      <w:pPr>
        <w:pStyle w:val="ListParagraph"/>
        <w:numPr>
          <w:ilvl w:val="0"/>
          <w:numId w:val="12"/>
        </w:numPr>
      </w:pPr>
      <w:r w:rsidRPr="009662DD">
        <w:t xml:space="preserve">maintaining contact with the Department and advising of any emerging issues that may impact on the success of the activity; </w:t>
      </w:r>
    </w:p>
    <w:p w14:paraId="4503F63D" w14:textId="77777777" w:rsidR="00757E31" w:rsidRDefault="00757E31" w:rsidP="009C5BF1">
      <w:pPr>
        <w:pStyle w:val="ListParagraph"/>
        <w:numPr>
          <w:ilvl w:val="0"/>
          <w:numId w:val="12"/>
        </w:numPr>
      </w:pPr>
      <w:r w:rsidRPr="009662DD">
        <w:t>identifying, documenting and managing risks and putting in place appropriate mitigation strategies;</w:t>
      </w:r>
    </w:p>
    <w:p w14:paraId="6E28C0E8" w14:textId="0D3E785E" w:rsidR="00A01597" w:rsidRPr="009662DD" w:rsidRDefault="00A01597" w:rsidP="009C5BF1">
      <w:pPr>
        <w:pStyle w:val="ListParagraph"/>
        <w:numPr>
          <w:ilvl w:val="0"/>
          <w:numId w:val="12"/>
        </w:numPr>
      </w:pPr>
      <w:r>
        <w:t>liaise with, and take advice from, the National Best Practice Unit on implementing activities and measuring progress;</w:t>
      </w:r>
    </w:p>
    <w:p w14:paraId="440A4DB0" w14:textId="77777777" w:rsidR="00757E31" w:rsidRPr="009662DD" w:rsidRDefault="00794A7F" w:rsidP="009C5BF1">
      <w:pPr>
        <w:pStyle w:val="ListParagraph"/>
        <w:numPr>
          <w:ilvl w:val="0"/>
          <w:numId w:val="12"/>
        </w:numPr>
      </w:pPr>
      <w:r w:rsidRPr="009662DD">
        <w:t>ensure outcomes and output reporting in accordance with the funding agreement</w:t>
      </w:r>
      <w:r w:rsidR="00757E31" w:rsidRPr="009662DD">
        <w:t xml:space="preserve">; and </w:t>
      </w:r>
    </w:p>
    <w:p w14:paraId="5A53365F" w14:textId="2093ADDC" w:rsidR="00757E31" w:rsidRDefault="00757E31" w:rsidP="009C5BF1">
      <w:pPr>
        <w:pStyle w:val="ListParagraph"/>
        <w:numPr>
          <w:ilvl w:val="0"/>
          <w:numId w:val="12"/>
        </w:numPr>
        <w:spacing w:after="240"/>
        <w:ind w:left="714" w:hanging="357"/>
        <w:contextualSpacing w:val="0"/>
      </w:pPr>
      <w:r w:rsidRPr="009662DD">
        <w:t xml:space="preserve">participating in </w:t>
      </w:r>
      <w:r w:rsidR="000E01EB">
        <w:t>A</w:t>
      </w:r>
      <w:r w:rsidRPr="009662DD">
        <w:t xml:space="preserve">ctivity evaluation as necessary. </w:t>
      </w:r>
    </w:p>
    <w:p w14:paraId="1941684F" w14:textId="5C819062" w:rsidR="00B01A6F" w:rsidRPr="009662DD" w:rsidRDefault="00B01A6F" w:rsidP="00927802">
      <w:r>
        <w:t xml:space="preserve">Organisations funded under the </w:t>
      </w:r>
      <w:r w:rsidR="00A25AF5">
        <w:t>Activity</w:t>
      </w:r>
      <w:r>
        <w:t xml:space="preserve"> </w:t>
      </w:r>
      <w:r w:rsidR="00BB0E38">
        <w:t>are likely to</w:t>
      </w:r>
      <w:r>
        <w:t xml:space="preserve"> be required to manage out-of-hours activities, </w:t>
      </w:r>
      <w:r w:rsidR="00BB0E38">
        <w:t>which could include</w:t>
      </w:r>
      <w:r>
        <w:t xml:space="preserve"> supporting staff to attend multiple day field trips, evening and weekend events.</w:t>
      </w:r>
    </w:p>
    <w:p w14:paraId="205130E0" w14:textId="307FAEF1" w:rsidR="006B5169" w:rsidRPr="000A40E8" w:rsidRDefault="006B5169" w:rsidP="000A40E8">
      <w:pPr>
        <w:pStyle w:val="Heading2"/>
      </w:pPr>
      <w:bookmarkStart w:id="74" w:name="_Toc427755008"/>
      <w:bookmarkStart w:id="75" w:name="_Toc427755264"/>
      <w:bookmarkStart w:id="76" w:name="_Toc427755338"/>
      <w:r w:rsidRPr="000A40E8">
        <w:t>Risk Management</w:t>
      </w:r>
      <w:bookmarkEnd w:id="74"/>
      <w:bookmarkEnd w:id="75"/>
      <w:bookmarkEnd w:id="76"/>
    </w:p>
    <w:p w14:paraId="65CCBB38" w14:textId="77777777" w:rsidR="004B1818" w:rsidRPr="009662DD" w:rsidRDefault="006B5169" w:rsidP="00927802">
      <w:r w:rsidRPr="009662DD">
        <w:t>The department is committed to a comprehensive and systematic approach to the effective management of potential opportunities and adverse effects. Any contractual arrangement may be managed according to its level of risk to the Commonwealth. As such, applicants and funding recipients may be subject to a risk management assessment prior to the negotiation of any contractual arrangement and periodically thereafter.</w:t>
      </w:r>
      <w:r w:rsidR="00B9330E" w:rsidRPr="009662DD">
        <w:t xml:space="preserve">  </w:t>
      </w:r>
    </w:p>
    <w:p w14:paraId="604F1D4D" w14:textId="77777777" w:rsidR="00F302E5" w:rsidRDefault="00F302E5" w:rsidP="00927802">
      <w:r>
        <w:t>There may be specific conditions attached to the funding approval required as a result of the assessment process or the risk rating of an organisation or imposed by the Approver. These will be identified in the offer of funding or during funding agreement negotiations.</w:t>
      </w:r>
    </w:p>
    <w:p w14:paraId="331AA6BF" w14:textId="4860FD77" w:rsidR="00757E31" w:rsidRPr="009662DD" w:rsidRDefault="00757E31" w:rsidP="00927802">
      <w:r w:rsidRPr="009662DD">
        <w:t xml:space="preserve">Consistent with the responsibilities described under Section </w:t>
      </w:r>
      <w:r w:rsidR="00412458">
        <w:fldChar w:fldCharType="begin"/>
      </w:r>
      <w:r w:rsidR="00412458">
        <w:instrText xml:space="preserve"> REF _Ref425181838 \r \h </w:instrText>
      </w:r>
      <w:r w:rsidR="00412458">
        <w:fldChar w:fldCharType="separate"/>
      </w:r>
      <w:r w:rsidR="007C6985">
        <w:t>1.7</w:t>
      </w:r>
      <w:r w:rsidR="00412458">
        <w:fldChar w:fldCharType="end"/>
      </w:r>
      <w:r w:rsidRPr="009662DD">
        <w:t xml:space="preserve">, funded services are responsible for managing risks to their own business activities and priorities. The Commonwealth manages risks to </w:t>
      </w:r>
      <w:r w:rsidR="00A25AF5">
        <w:t>Activity</w:t>
      </w:r>
      <w:r w:rsidR="009662DD">
        <w:t xml:space="preserve"> </w:t>
      </w:r>
      <w:r w:rsidRPr="009662DD">
        <w:t>funds and outcomes through its management of the grant.</w:t>
      </w:r>
    </w:p>
    <w:p w14:paraId="44E4ECC8" w14:textId="0C4E903E" w:rsidR="006B5169" w:rsidRPr="000A40E8" w:rsidRDefault="00A25AF5" w:rsidP="000A40E8">
      <w:pPr>
        <w:pStyle w:val="Heading2"/>
      </w:pPr>
      <w:bookmarkStart w:id="77" w:name="_Ref425181348"/>
      <w:bookmarkStart w:id="78" w:name="_Toc427755009"/>
      <w:bookmarkStart w:id="79" w:name="_Toc427755265"/>
      <w:bookmarkStart w:id="80" w:name="_Toc427755339"/>
      <w:r w:rsidRPr="000A40E8">
        <w:t>Activity</w:t>
      </w:r>
      <w:r w:rsidR="006B5169" w:rsidRPr="000A40E8">
        <w:t xml:space="preserve"> Timeframes</w:t>
      </w:r>
      <w:bookmarkEnd w:id="77"/>
      <w:bookmarkEnd w:id="78"/>
      <w:bookmarkEnd w:id="79"/>
      <w:bookmarkEnd w:id="80"/>
    </w:p>
    <w:p w14:paraId="1DE81C4F" w14:textId="25B77878" w:rsidR="007C6985" w:rsidRPr="00E07072" w:rsidRDefault="006B5169" w:rsidP="00E07072">
      <w:r w:rsidRPr="00E064DC">
        <w:t xml:space="preserve">The </w:t>
      </w:r>
      <w:r w:rsidR="00A25AF5">
        <w:t>Activity</w:t>
      </w:r>
      <w:r w:rsidRPr="00E064DC">
        <w:t xml:space="preserve"> Guidelines will be publically available </w:t>
      </w:r>
      <w:r w:rsidR="00E57F5F">
        <w:t>on the department’s website and will</w:t>
      </w:r>
      <w:r w:rsidRPr="00E064DC">
        <w:t xml:space="preserve"> form part of the </w:t>
      </w:r>
      <w:r w:rsidR="0034794B" w:rsidRPr="00E064DC">
        <w:t>a</w:t>
      </w:r>
      <w:r w:rsidRPr="00E064DC">
        <w:t xml:space="preserve">pproach to </w:t>
      </w:r>
      <w:r w:rsidR="0034794B" w:rsidRPr="00E064DC">
        <w:t>m</w:t>
      </w:r>
      <w:r w:rsidRPr="00E064DC">
        <w:t>arket documentation for any funding process</w:t>
      </w:r>
      <w:r w:rsidR="00E57F5F">
        <w:t>.</w:t>
      </w:r>
      <w:r w:rsidR="00B01A6F">
        <w:t xml:space="preserve"> Timelines for the grant</w:t>
      </w:r>
      <w:r w:rsidR="005D3DD5">
        <w:t xml:space="preserve"> round process are shown below.</w:t>
      </w:r>
      <w:r w:rsidR="007C6985">
        <w:rPr>
          <w:lang w:eastAsia="en-AU"/>
        </w:rPr>
        <w:br w:type="page"/>
      </w:r>
    </w:p>
    <w:p w14:paraId="0500287A" w14:textId="04FAA066" w:rsidR="00A222F2" w:rsidRPr="000A40E8" w:rsidRDefault="00104047" w:rsidP="000A40E8">
      <w:pPr>
        <w:rPr>
          <w:rStyle w:val="SubtleEmphasis"/>
        </w:rPr>
      </w:pPr>
      <w:r w:rsidRPr="000A40E8">
        <w:rPr>
          <w:rStyle w:val="SubtleEmphasis"/>
        </w:rPr>
        <w:lastRenderedPageBreak/>
        <w:t xml:space="preserve">Table 1: </w:t>
      </w:r>
      <w:r w:rsidR="00A222F2" w:rsidRPr="000A40E8">
        <w:rPr>
          <w:rStyle w:val="SubtleEmphasis"/>
        </w:rPr>
        <w:t>Grants timing principles</w:t>
      </w:r>
    </w:p>
    <w:tbl>
      <w:tblPr>
        <w:tblW w:w="6715" w:type="dxa"/>
        <w:jc w:val="center"/>
        <w:tblLook w:val="04A0" w:firstRow="1" w:lastRow="0" w:firstColumn="1" w:lastColumn="0" w:noHBand="0" w:noVBand="1"/>
        <w:tblDescription w:val="Table 1: Grants Timing Principles outlining the expected timing for funding rounds under the Tackling Indigenous Smoking Activity.  It contains 2 heading columns; column 1. Date/s and Column 2. Requirements."/>
      </w:tblPr>
      <w:tblGrid>
        <w:gridCol w:w="1945"/>
        <w:gridCol w:w="4770"/>
      </w:tblGrid>
      <w:tr w:rsidR="00884CFB" w:rsidRPr="006B5169" w14:paraId="2DBE1CCB" w14:textId="77777777" w:rsidTr="00A222F2">
        <w:trPr>
          <w:trHeight w:val="300"/>
          <w:tblHeader/>
          <w:jc w:val="center"/>
        </w:trPr>
        <w:tc>
          <w:tcPr>
            <w:tcW w:w="1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5A612FCB" w14:textId="77777777" w:rsidR="00884CFB" w:rsidRPr="006B5169" w:rsidRDefault="00884CFB" w:rsidP="002804F4">
            <w:pPr>
              <w:spacing w:after="0" w:line="240" w:lineRule="auto"/>
              <w:jc w:val="center"/>
              <w:rPr>
                <w:rFonts w:eastAsia="Times New Roman" w:cs="Calibri"/>
                <w:b/>
                <w:color w:val="000000"/>
                <w:szCs w:val="24"/>
                <w:lang w:eastAsia="en-AU"/>
              </w:rPr>
            </w:pPr>
            <w:r w:rsidRPr="006B5169">
              <w:rPr>
                <w:rFonts w:eastAsia="Times New Roman" w:cs="Calibri"/>
                <w:b/>
                <w:color w:val="000000"/>
                <w:szCs w:val="24"/>
                <w:lang w:eastAsia="en-AU"/>
              </w:rPr>
              <w:t>Date</w:t>
            </w:r>
          </w:p>
        </w:tc>
        <w:tc>
          <w:tcPr>
            <w:tcW w:w="4770"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5D735CDB" w14:textId="77777777" w:rsidR="00884CFB" w:rsidRPr="006B5169" w:rsidRDefault="00884CFB" w:rsidP="002804F4">
            <w:pPr>
              <w:spacing w:after="0" w:line="240" w:lineRule="auto"/>
              <w:jc w:val="center"/>
              <w:rPr>
                <w:rFonts w:eastAsia="Times New Roman" w:cs="Calibri"/>
                <w:b/>
                <w:color w:val="000000"/>
                <w:szCs w:val="24"/>
                <w:lang w:eastAsia="en-AU"/>
              </w:rPr>
            </w:pPr>
            <w:r w:rsidRPr="006B5169">
              <w:rPr>
                <w:rFonts w:eastAsia="Times New Roman" w:cs="Calibri"/>
                <w:b/>
                <w:color w:val="000000"/>
                <w:szCs w:val="24"/>
                <w:lang w:eastAsia="en-AU"/>
              </w:rPr>
              <w:t>Requirement</w:t>
            </w:r>
          </w:p>
        </w:tc>
      </w:tr>
      <w:tr w:rsidR="00884CFB" w:rsidRPr="005D13D2" w14:paraId="3BB3EF44" w14:textId="77777777" w:rsidTr="004A6928">
        <w:trPr>
          <w:trHeight w:val="300"/>
          <w:tblHeader/>
          <w:jc w:val="center"/>
        </w:trPr>
        <w:tc>
          <w:tcPr>
            <w:tcW w:w="1945" w:type="dxa"/>
            <w:tcBorders>
              <w:top w:val="nil"/>
              <w:left w:val="single" w:sz="4" w:space="0" w:color="auto"/>
              <w:bottom w:val="single" w:sz="4" w:space="0" w:color="auto"/>
              <w:right w:val="single" w:sz="4" w:space="0" w:color="auto"/>
            </w:tcBorders>
            <w:shd w:val="clear" w:color="auto" w:fill="auto"/>
            <w:vAlign w:val="bottom"/>
            <w:hideMark/>
          </w:tcPr>
          <w:p w14:paraId="71636C6A" w14:textId="77777777" w:rsidR="00884CFB" w:rsidRPr="001C3C14" w:rsidRDefault="00884CFB" w:rsidP="002804F4">
            <w:pPr>
              <w:spacing w:after="0" w:line="240" w:lineRule="auto"/>
              <w:jc w:val="right"/>
              <w:rPr>
                <w:rFonts w:eastAsia="Times New Roman" w:cs="Calibri"/>
                <w:szCs w:val="24"/>
                <w:lang w:eastAsia="en-AU"/>
              </w:rPr>
            </w:pPr>
            <w:r w:rsidRPr="001C3C14">
              <w:rPr>
                <w:rFonts w:eastAsia="Times New Roman" w:cs="Calibri"/>
                <w:szCs w:val="24"/>
                <w:lang w:eastAsia="en-AU"/>
              </w:rPr>
              <w:t>Aug - Sep</w:t>
            </w:r>
          </w:p>
        </w:tc>
        <w:tc>
          <w:tcPr>
            <w:tcW w:w="4770" w:type="dxa"/>
            <w:tcBorders>
              <w:top w:val="nil"/>
              <w:left w:val="nil"/>
              <w:bottom w:val="single" w:sz="4" w:space="0" w:color="auto"/>
              <w:right w:val="single" w:sz="4" w:space="0" w:color="auto"/>
            </w:tcBorders>
            <w:shd w:val="clear" w:color="auto" w:fill="auto"/>
            <w:vAlign w:val="bottom"/>
            <w:hideMark/>
          </w:tcPr>
          <w:p w14:paraId="0E430217" w14:textId="77777777" w:rsidR="00884CFB" w:rsidRPr="001C3C14" w:rsidRDefault="00884CFB" w:rsidP="002804F4">
            <w:pPr>
              <w:spacing w:after="0" w:line="240" w:lineRule="auto"/>
              <w:rPr>
                <w:rFonts w:eastAsia="Times New Roman" w:cs="Calibri"/>
                <w:szCs w:val="24"/>
                <w:lang w:eastAsia="en-AU"/>
              </w:rPr>
            </w:pPr>
            <w:r w:rsidRPr="001C3C14">
              <w:rPr>
                <w:rFonts w:eastAsia="Times New Roman" w:cs="Calibri"/>
                <w:szCs w:val="24"/>
                <w:lang w:eastAsia="en-AU"/>
              </w:rPr>
              <w:t>Invitation to apply is open for applicants</w:t>
            </w:r>
          </w:p>
        </w:tc>
      </w:tr>
      <w:tr w:rsidR="00884CFB" w:rsidRPr="005D13D2" w14:paraId="27868C88" w14:textId="77777777" w:rsidTr="004A6928">
        <w:trPr>
          <w:trHeight w:val="300"/>
          <w:tblHeader/>
          <w:jc w:val="center"/>
        </w:trPr>
        <w:tc>
          <w:tcPr>
            <w:tcW w:w="1945" w:type="dxa"/>
            <w:tcBorders>
              <w:top w:val="nil"/>
              <w:left w:val="single" w:sz="4" w:space="0" w:color="auto"/>
              <w:bottom w:val="single" w:sz="4" w:space="0" w:color="auto"/>
              <w:right w:val="single" w:sz="4" w:space="0" w:color="auto"/>
            </w:tcBorders>
            <w:shd w:val="clear" w:color="auto" w:fill="auto"/>
            <w:vAlign w:val="bottom"/>
            <w:hideMark/>
          </w:tcPr>
          <w:p w14:paraId="00EEE56A" w14:textId="77777777" w:rsidR="00884CFB" w:rsidRPr="001C3C14" w:rsidRDefault="00884CFB" w:rsidP="002804F4">
            <w:pPr>
              <w:spacing w:after="0" w:line="240" w:lineRule="auto"/>
              <w:jc w:val="right"/>
              <w:rPr>
                <w:rFonts w:eastAsia="Times New Roman" w:cs="Calibri"/>
                <w:szCs w:val="24"/>
                <w:lang w:eastAsia="en-AU"/>
              </w:rPr>
            </w:pPr>
            <w:r w:rsidRPr="001C3C14">
              <w:rPr>
                <w:rFonts w:eastAsia="Times New Roman" w:cs="Calibri"/>
                <w:szCs w:val="24"/>
                <w:lang w:eastAsia="en-AU"/>
              </w:rPr>
              <w:t>Six weeks after ITA opens</w:t>
            </w:r>
          </w:p>
        </w:tc>
        <w:tc>
          <w:tcPr>
            <w:tcW w:w="4770" w:type="dxa"/>
            <w:tcBorders>
              <w:top w:val="nil"/>
              <w:left w:val="nil"/>
              <w:bottom w:val="single" w:sz="4" w:space="0" w:color="auto"/>
              <w:right w:val="single" w:sz="4" w:space="0" w:color="auto"/>
            </w:tcBorders>
            <w:shd w:val="clear" w:color="auto" w:fill="auto"/>
            <w:vAlign w:val="bottom"/>
            <w:hideMark/>
          </w:tcPr>
          <w:p w14:paraId="67E3C196" w14:textId="77777777" w:rsidR="00884CFB" w:rsidRPr="001C3C14" w:rsidRDefault="00884CFB" w:rsidP="002804F4">
            <w:pPr>
              <w:spacing w:after="0" w:line="240" w:lineRule="auto"/>
              <w:rPr>
                <w:rFonts w:eastAsia="Times New Roman" w:cs="Calibri"/>
                <w:szCs w:val="24"/>
                <w:lang w:eastAsia="en-AU"/>
              </w:rPr>
            </w:pPr>
            <w:r w:rsidRPr="001C3C14">
              <w:rPr>
                <w:rFonts w:eastAsia="Times New Roman" w:cs="Calibri"/>
                <w:szCs w:val="24"/>
                <w:lang w:eastAsia="en-AU"/>
              </w:rPr>
              <w:t>Applications close</w:t>
            </w:r>
          </w:p>
        </w:tc>
      </w:tr>
      <w:tr w:rsidR="00884CFB" w:rsidRPr="005D13D2" w14:paraId="1EB1DD37" w14:textId="77777777" w:rsidTr="004A6928">
        <w:trPr>
          <w:trHeight w:val="600"/>
          <w:tblHeader/>
          <w:jc w:val="center"/>
        </w:trPr>
        <w:tc>
          <w:tcPr>
            <w:tcW w:w="1945" w:type="dxa"/>
            <w:tcBorders>
              <w:top w:val="nil"/>
              <w:left w:val="single" w:sz="4" w:space="0" w:color="auto"/>
              <w:bottom w:val="single" w:sz="4" w:space="0" w:color="auto"/>
              <w:right w:val="single" w:sz="4" w:space="0" w:color="auto"/>
            </w:tcBorders>
            <w:shd w:val="clear" w:color="auto" w:fill="auto"/>
            <w:vAlign w:val="bottom"/>
            <w:hideMark/>
          </w:tcPr>
          <w:p w14:paraId="6FCA1811" w14:textId="645FD805" w:rsidR="00884CFB" w:rsidRPr="001C3C14" w:rsidRDefault="006B7E8F" w:rsidP="002804F4">
            <w:pPr>
              <w:spacing w:after="0" w:line="240" w:lineRule="auto"/>
              <w:jc w:val="right"/>
              <w:rPr>
                <w:rFonts w:eastAsia="Times New Roman" w:cs="Calibri"/>
                <w:szCs w:val="24"/>
                <w:lang w:eastAsia="en-AU"/>
              </w:rPr>
            </w:pPr>
            <w:r w:rsidRPr="001C3C14">
              <w:rPr>
                <w:rFonts w:eastAsia="Times New Roman" w:cs="Calibri"/>
                <w:szCs w:val="24"/>
                <w:lang w:eastAsia="en-AU"/>
              </w:rPr>
              <w:t>Four</w:t>
            </w:r>
            <w:r w:rsidR="00884CFB" w:rsidRPr="001C3C14">
              <w:rPr>
                <w:rFonts w:eastAsia="Times New Roman" w:cs="Calibri"/>
                <w:szCs w:val="24"/>
                <w:lang w:eastAsia="en-AU"/>
              </w:rPr>
              <w:t xml:space="preserve"> weeks after applications close </w:t>
            </w:r>
          </w:p>
        </w:tc>
        <w:tc>
          <w:tcPr>
            <w:tcW w:w="4770" w:type="dxa"/>
            <w:tcBorders>
              <w:top w:val="nil"/>
              <w:left w:val="nil"/>
              <w:bottom w:val="single" w:sz="4" w:space="0" w:color="auto"/>
              <w:right w:val="single" w:sz="4" w:space="0" w:color="auto"/>
            </w:tcBorders>
            <w:shd w:val="clear" w:color="auto" w:fill="auto"/>
            <w:vAlign w:val="bottom"/>
            <w:hideMark/>
          </w:tcPr>
          <w:p w14:paraId="370A3C23" w14:textId="77777777" w:rsidR="00884CFB" w:rsidRPr="001C3C14" w:rsidRDefault="00884CFB" w:rsidP="002804F4">
            <w:pPr>
              <w:spacing w:after="0" w:line="240" w:lineRule="auto"/>
              <w:rPr>
                <w:rFonts w:eastAsia="Times New Roman" w:cs="Calibri"/>
                <w:szCs w:val="24"/>
                <w:lang w:eastAsia="en-AU"/>
              </w:rPr>
            </w:pPr>
            <w:r w:rsidRPr="001C3C14">
              <w:rPr>
                <w:rFonts w:eastAsia="Calibri" w:cs="Calibri"/>
                <w:szCs w:val="24"/>
                <w:lang w:eastAsia="en-AU"/>
              </w:rPr>
              <w:t>Assessment of applications</w:t>
            </w:r>
          </w:p>
        </w:tc>
      </w:tr>
      <w:tr w:rsidR="00884CFB" w:rsidRPr="006B5169" w14:paraId="3008EE81" w14:textId="77777777" w:rsidTr="004A6928">
        <w:trPr>
          <w:trHeight w:val="600"/>
          <w:tblHeader/>
          <w:jc w:val="center"/>
        </w:trPr>
        <w:tc>
          <w:tcPr>
            <w:tcW w:w="1945" w:type="dxa"/>
            <w:tcBorders>
              <w:top w:val="nil"/>
              <w:left w:val="single" w:sz="4" w:space="0" w:color="auto"/>
              <w:bottom w:val="single" w:sz="4" w:space="0" w:color="auto"/>
              <w:right w:val="single" w:sz="4" w:space="0" w:color="auto"/>
            </w:tcBorders>
            <w:shd w:val="clear" w:color="auto" w:fill="auto"/>
            <w:vAlign w:val="bottom"/>
            <w:hideMark/>
          </w:tcPr>
          <w:p w14:paraId="288039EF" w14:textId="77777777" w:rsidR="00884CFB" w:rsidRPr="001C3C14" w:rsidRDefault="00884CFB" w:rsidP="002804F4">
            <w:pPr>
              <w:spacing w:after="0" w:line="240" w:lineRule="auto"/>
              <w:jc w:val="right"/>
              <w:rPr>
                <w:rFonts w:eastAsia="Times New Roman" w:cs="Calibri"/>
                <w:szCs w:val="24"/>
                <w:lang w:eastAsia="en-AU"/>
              </w:rPr>
            </w:pPr>
            <w:r w:rsidRPr="001C3C14">
              <w:rPr>
                <w:rFonts w:eastAsia="Times New Roman" w:cs="Calibri"/>
                <w:szCs w:val="24"/>
                <w:lang w:eastAsia="en-AU"/>
              </w:rPr>
              <w:t>Approximately six weeks after ITA closes</w:t>
            </w:r>
          </w:p>
        </w:tc>
        <w:tc>
          <w:tcPr>
            <w:tcW w:w="4770" w:type="dxa"/>
            <w:tcBorders>
              <w:top w:val="nil"/>
              <w:left w:val="nil"/>
              <w:bottom w:val="single" w:sz="4" w:space="0" w:color="auto"/>
              <w:right w:val="single" w:sz="4" w:space="0" w:color="auto"/>
            </w:tcBorders>
            <w:shd w:val="clear" w:color="auto" w:fill="auto"/>
            <w:vAlign w:val="bottom"/>
            <w:hideMark/>
          </w:tcPr>
          <w:p w14:paraId="5A3B4D14" w14:textId="77777777" w:rsidR="00884CFB" w:rsidRPr="001C3C14" w:rsidRDefault="00884CFB" w:rsidP="002804F4">
            <w:pPr>
              <w:spacing w:after="0" w:line="240" w:lineRule="auto"/>
              <w:rPr>
                <w:rFonts w:eastAsia="Times New Roman" w:cs="Calibri"/>
                <w:szCs w:val="24"/>
                <w:lang w:eastAsia="en-AU"/>
              </w:rPr>
            </w:pPr>
            <w:r w:rsidRPr="001C3C14">
              <w:rPr>
                <w:rFonts w:eastAsia="Times New Roman" w:cs="Calibri"/>
                <w:szCs w:val="24"/>
                <w:lang w:eastAsia="en-AU"/>
              </w:rPr>
              <w:t xml:space="preserve">Execution of funding agreements and unsuccessful applicants notified </w:t>
            </w:r>
          </w:p>
        </w:tc>
      </w:tr>
    </w:tbl>
    <w:p w14:paraId="721A0450" w14:textId="5C28DCD7" w:rsidR="006B5169" w:rsidRPr="006B5169" w:rsidRDefault="00B01A6F" w:rsidP="00C65498">
      <w:pPr>
        <w:spacing w:before="240"/>
        <w:rPr>
          <w:rFonts w:eastAsia="Times New Roman" w:cs="Calibri"/>
          <w:color w:val="FFFFFF"/>
          <w:szCs w:val="24"/>
          <w:highlight w:val="darkMagenta"/>
        </w:rPr>
      </w:pPr>
      <w:r>
        <w:t>The procurement process to establish an NBPU for Tackling Indigenous Smoking will occur in the second half of 2015. It is anticipated that the NBPU w</w:t>
      </w:r>
      <w:r w:rsidR="00F1605D">
        <w:t>ill be operational by late 2015</w:t>
      </w:r>
      <w:r w:rsidR="0010440A">
        <w:t xml:space="preserve"> </w:t>
      </w:r>
      <w:r w:rsidR="00F1605D">
        <w:t>–</w:t>
      </w:r>
      <w:r w:rsidR="0010440A">
        <w:t xml:space="preserve"> </w:t>
      </w:r>
      <w:r>
        <w:t xml:space="preserve">early 2016 in order to support the implementation of the new TIS grant </w:t>
      </w:r>
      <w:r w:rsidR="00A25AF5">
        <w:t>Activity</w:t>
      </w:r>
      <w:r>
        <w:t>.</w:t>
      </w:r>
    </w:p>
    <w:p w14:paraId="6B245E9B" w14:textId="2FA4E161" w:rsidR="006B5169" w:rsidRPr="000A40E8" w:rsidRDefault="006B5169" w:rsidP="000A40E8">
      <w:pPr>
        <w:pStyle w:val="Heading1"/>
      </w:pPr>
      <w:bookmarkStart w:id="81" w:name="_Toc427755010"/>
      <w:bookmarkStart w:id="82" w:name="_Toc427755266"/>
      <w:bookmarkStart w:id="83" w:name="_Toc427755340"/>
      <w:r w:rsidRPr="000A40E8">
        <w:t>Eligibility</w:t>
      </w:r>
      <w:bookmarkEnd w:id="81"/>
      <w:bookmarkEnd w:id="82"/>
      <w:bookmarkEnd w:id="83"/>
    </w:p>
    <w:p w14:paraId="6D4E4FB9" w14:textId="64A28351" w:rsidR="006B5169" w:rsidRPr="000A40E8" w:rsidRDefault="006B5169" w:rsidP="000A40E8">
      <w:pPr>
        <w:pStyle w:val="Heading2"/>
      </w:pPr>
      <w:bookmarkStart w:id="84" w:name="_Toc427755011"/>
      <w:bookmarkStart w:id="85" w:name="_Toc427755267"/>
      <w:bookmarkStart w:id="86" w:name="_Toc427755341"/>
      <w:r w:rsidRPr="000A40E8">
        <w:t>What entities are eligible to apply for funding?</w:t>
      </w:r>
      <w:bookmarkEnd w:id="84"/>
      <w:bookmarkEnd w:id="85"/>
      <w:bookmarkEnd w:id="86"/>
    </w:p>
    <w:p w14:paraId="7055704E" w14:textId="69C03565" w:rsidR="006B5169" w:rsidRPr="00E57F5F" w:rsidRDefault="002F59CA" w:rsidP="00927802">
      <w:r>
        <w:t xml:space="preserve">Unless otherwise </w:t>
      </w:r>
      <w:r w:rsidR="00BF7212">
        <w:t>specified</w:t>
      </w:r>
      <w:r>
        <w:t xml:space="preserve"> in the </w:t>
      </w:r>
      <w:r w:rsidR="00BF7212">
        <w:t>funding round summary</w:t>
      </w:r>
      <w:r>
        <w:t>, t</w:t>
      </w:r>
      <w:r w:rsidR="006B5169" w:rsidRPr="00E57F5F">
        <w:t xml:space="preserve">he following types of entities </w:t>
      </w:r>
      <w:r>
        <w:t>are</w:t>
      </w:r>
      <w:r w:rsidR="006B5169" w:rsidRPr="00E57F5F">
        <w:t xml:space="preserve"> eligible to apply for funding</w:t>
      </w:r>
      <w:r w:rsidR="00BF7212">
        <w:t>:</w:t>
      </w:r>
    </w:p>
    <w:p w14:paraId="18C2432B" w14:textId="77777777" w:rsidR="006B5169" w:rsidRPr="00E57F5F" w:rsidRDefault="006B5169" w:rsidP="009C5BF1">
      <w:pPr>
        <w:pStyle w:val="ListParagraph"/>
        <w:numPr>
          <w:ilvl w:val="0"/>
          <w:numId w:val="13"/>
        </w:numPr>
        <w:rPr>
          <w:noProof/>
        </w:rPr>
      </w:pPr>
      <w:r w:rsidRPr="00E57F5F">
        <w:t xml:space="preserve">Incorporated association </w:t>
      </w:r>
      <w:r w:rsidRPr="00E57F5F">
        <w:rPr>
          <w:lang w:eastAsia="en-AU"/>
        </w:rPr>
        <w:t>incorporated under Australian State/Territory legislation</w:t>
      </w:r>
    </w:p>
    <w:p w14:paraId="6F979293" w14:textId="77777777" w:rsidR="006B5169" w:rsidRPr="00E57F5F" w:rsidRDefault="006B5169" w:rsidP="009C5BF1">
      <w:pPr>
        <w:pStyle w:val="ListParagraph"/>
        <w:numPr>
          <w:ilvl w:val="0"/>
          <w:numId w:val="13"/>
        </w:numPr>
        <w:rPr>
          <w:noProof/>
        </w:rPr>
      </w:pPr>
      <w:r w:rsidRPr="00E57F5F">
        <w:t xml:space="preserve">Incorporated cooperative </w:t>
      </w:r>
      <w:r w:rsidRPr="00E57F5F">
        <w:rPr>
          <w:lang w:eastAsia="en-AU"/>
        </w:rPr>
        <w:t>incorporated under Australian State/Territory legislation</w:t>
      </w:r>
    </w:p>
    <w:p w14:paraId="24DEF5F5" w14:textId="77777777" w:rsidR="006B5169" w:rsidRPr="00E57F5F" w:rsidRDefault="006B5169" w:rsidP="009C5BF1">
      <w:pPr>
        <w:pStyle w:val="ListParagraph"/>
        <w:numPr>
          <w:ilvl w:val="0"/>
          <w:numId w:val="13"/>
        </w:numPr>
        <w:rPr>
          <w:noProof/>
        </w:rPr>
      </w:pPr>
      <w:r w:rsidRPr="00E57F5F">
        <w:t xml:space="preserve">Aboriginal corporation </w:t>
      </w:r>
      <w:r w:rsidRPr="00E57F5F">
        <w:rPr>
          <w:lang w:eastAsia="en-AU"/>
        </w:rPr>
        <w:t>registered under the Corporations (Aboriginal and Torres Strait Islander Act 2006)</w:t>
      </w:r>
    </w:p>
    <w:p w14:paraId="188E88DB" w14:textId="77777777" w:rsidR="006B5169" w:rsidRPr="00E57F5F" w:rsidRDefault="006B5169" w:rsidP="009C5BF1">
      <w:pPr>
        <w:pStyle w:val="ListParagraph"/>
        <w:numPr>
          <w:ilvl w:val="0"/>
          <w:numId w:val="13"/>
        </w:numPr>
        <w:rPr>
          <w:noProof/>
        </w:rPr>
      </w:pPr>
      <w:r w:rsidRPr="00927802">
        <w:rPr>
          <w:bCs/>
        </w:rPr>
        <w:t>Organisation established through specific Commonwealth or State/Territory legislation</w:t>
      </w:r>
    </w:p>
    <w:p w14:paraId="2F24ECA9" w14:textId="77777777" w:rsidR="006B5169" w:rsidRPr="00E57F5F" w:rsidRDefault="006B5169" w:rsidP="009C5BF1">
      <w:pPr>
        <w:pStyle w:val="ListParagraph"/>
        <w:numPr>
          <w:ilvl w:val="0"/>
          <w:numId w:val="13"/>
        </w:numPr>
      </w:pPr>
      <w:r w:rsidRPr="00E57F5F">
        <w:t>Company incorporated under Corporations Act 2001 (Commonwealth of Australia)</w:t>
      </w:r>
    </w:p>
    <w:p w14:paraId="3697E497" w14:textId="77777777" w:rsidR="006B5169" w:rsidRPr="00E57F5F" w:rsidRDefault="006B5169" w:rsidP="009C5BF1">
      <w:pPr>
        <w:pStyle w:val="ListParagraph"/>
        <w:numPr>
          <w:ilvl w:val="0"/>
          <w:numId w:val="13"/>
        </w:numPr>
        <w:rPr>
          <w:noProof/>
        </w:rPr>
      </w:pPr>
      <w:r w:rsidRPr="00E57F5F">
        <w:t>Partnerships</w:t>
      </w:r>
    </w:p>
    <w:p w14:paraId="7C293C7C" w14:textId="77777777" w:rsidR="006B5169" w:rsidRPr="00E57F5F" w:rsidRDefault="006B5169" w:rsidP="009C5BF1">
      <w:pPr>
        <w:pStyle w:val="ListParagraph"/>
        <w:numPr>
          <w:ilvl w:val="0"/>
          <w:numId w:val="13"/>
        </w:numPr>
      </w:pPr>
      <w:r w:rsidRPr="00E57F5F">
        <w:t>Trustee on behalf of a trust</w:t>
      </w:r>
    </w:p>
    <w:p w14:paraId="550253C3" w14:textId="77777777" w:rsidR="006B5169" w:rsidRPr="00E57F5F" w:rsidRDefault="006B5169" w:rsidP="009C5BF1">
      <w:pPr>
        <w:pStyle w:val="ListParagraph"/>
        <w:numPr>
          <w:ilvl w:val="0"/>
          <w:numId w:val="13"/>
        </w:numPr>
        <w:rPr>
          <w:noProof/>
        </w:rPr>
      </w:pPr>
      <w:r w:rsidRPr="00E57F5F">
        <w:t>An Australian Local government body</w:t>
      </w:r>
    </w:p>
    <w:p w14:paraId="55543D46" w14:textId="77777777" w:rsidR="006B5169" w:rsidRDefault="006B5169" w:rsidP="009C5BF1">
      <w:pPr>
        <w:pStyle w:val="ListParagraph"/>
        <w:numPr>
          <w:ilvl w:val="0"/>
          <w:numId w:val="13"/>
        </w:numPr>
        <w:spacing w:after="240"/>
        <w:ind w:left="714" w:hanging="357"/>
        <w:contextualSpacing w:val="0"/>
        <w:rPr>
          <w:noProof/>
        </w:rPr>
      </w:pPr>
      <w:r w:rsidRPr="00E57F5F">
        <w:t xml:space="preserve">An Australian State/Territory government </w:t>
      </w:r>
    </w:p>
    <w:p w14:paraId="1BBF93AD" w14:textId="4FF7C41B" w:rsidR="00E57F5F" w:rsidRPr="00E57F5F" w:rsidRDefault="002F59CA" w:rsidP="00927802">
      <w:pPr>
        <w:rPr>
          <w:noProof/>
        </w:rPr>
      </w:pPr>
      <w:r>
        <w:rPr>
          <w:noProof/>
        </w:rPr>
        <w:t>Some grants may only be available to selected applicants as dictated by changing policy needs.</w:t>
      </w:r>
    </w:p>
    <w:p w14:paraId="1F91273F" w14:textId="5D0ADF73" w:rsidR="00771522" w:rsidRPr="000A40E8" w:rsidRDefault="00E86450" w:rsidP="000A40E8">
      <w:pPr>
        <w:pStyle w:val="Heading2"/>
      </w:pPr>
      <w:r w:rsidRPr="000A40E8">
        <w:t xml:space="preserve"> </w:t>
      </w:r>
      <w:bookmarkStart w:id="87" w:name="_Toc427755012"/>
      <w:bookmarkStart w:id="88" w:name="_Toc427755268"/>
      <w:bookmarkStart w:id="89" w:name="_Toc427755342"/>
      <w:r w:rsidR="00771522" w:rsidRPr="000A40E8">
        <w:t>Consortia</w:t>
      </w:r>
      <w:bookmarkEnd w:id="87"/>
      <w:bookmarkEnd w:id="88"/>
      <w:bookmarkEnd w:id="89"/>
    </w:p>
    <w:p w14:paraId="1E9B55BC" w14:textId="7F28B5FD" w:rsidR="00771522" w:rsidRDefault="00771522" w:rsidP="00927802">
      <w:pPr>
        <w:rPr>
          <w:b/>
          <w:i/>
          <w:sz w:val="28"/>
          <w:szCs w:val="28"/>
        </w:rPr>
      </w:pPr>
      <w:r w:rsidRPr="00771522">
        <w:t>The department encourages organisation</w:t>
      </w:r>
      <w:r>
        <w:t>s</w:t>
      </w:r>
      <w:r w:rsidRPr="00771522">
        <w:t xml:space="preserve"> to form collaborations, consortia or partn</w:t>
      </w:r>
      <w:r w:rsidR="00C145BF">
        <w:t xml:space="preserve">erships to deliver activities. </w:t>
      </w:r>
      <w:r w:rsidRPr="00771522">
        <w:t>If more than one organisation will be involved in the application, one organisation</w:t>
      </w:r>
      <w:r>
        <w:t xml:space="preserve"> must be identified as the lead organisation and an authorised representative of the lead organisation must sign the application form. The department will enter into a contractual arrangement with a single legal entity only.</w:t>
      </w:r>
    </w:p>
    <w:p w14:paraId="4834C977" w14:textId="115631CA" w:rsidR="006B5169" w:rsidRPr="000A40E8" w:rsidRDefault="006B5169" w:rsidP="000A40E8">
      <w:pPr>
        <w:pStyle w:val="Heading2"/>
      </w:pPr>
      <w:bookmarkStart w:id="90" w:name="_Toc427755013"/>
      <w:bookmarkStart w:id="91" w:name="_Toc427755269"/>
      <w:bookmarkStart w:id="92" w:name="_Toc427755343"/>
      <w:r w:rsidRPr="000A40E8">
        <w:t xml:space="preserve">What </w:t>
      </w:r>
      <w:r w:rsidR="00412458" w:rsidRPr="000A40E8">
        <w:t>activities and items are</w:t>
      </w:r>
      <w:r w:rsidRPr="000A40E8">
        <w:t xml:space="preserve"> eligible for funding?</w:t>
      </w:r>
      <w:bookmarkEnd w:id="90"/>
      <w:bookmarkEnd w:id="91"/>
      <w:bookmarkEnd w:id="92"/>
    </w:p>
    <w:p w14:paraId="2C21AE9A" w14:textId="4BE8A21C" w:rsidR="00177906" w:rsidRDefault="00177906" w:rsidP="00927802">
      <w:r w:rsidRPr="00E57F5F">
        <w:t xml:space="preserve">Activities and services to be funded must be consistent with the aim, scope, objectives and outcomes </w:t>
      </w:r>
      <w:r w:rsidR="002D2B9F">
        <w:t>of</w:t>
      </w:r>
      <w:r w:rsidRPr="00E57F5F">
        <w:t xml:space="preserve"> the </w:t>
      </w:r>
      <w:r w:rsidR="00A25AF5">
        <w:t>Activity</w:t>
      </w:r>
      <w:r w:rsidRPr="00E57F5F">
        <w:t xml:space="preserve">. </w:t>
      </w:r>
    </w:p>
    <w:p w14:paraId="1F9606FE" w14:textId="7F065215" w:rsidR="00177906" w:rsidRPr="00AF3090" w:rsidRDefault="00177906" w:rsidP="00927802">
      <w:r>
        <w:t xml:space="preserve">Funded </w:t>
      </w:r>
      <w:r w:rsidRPr="00537B52">
        <w:t>organisations</w:t>
      </w:r>
      <w:r>
        <w:t xml:space="preserve"> will be expected to </w:t>
      </w:r>
      <w:r w:rsidR="00C00B01">
        <w:t>deliver</w:t>
      </w:r>
      <w:r>
        <w:t xml:space="preserve"> a multi-level approach to tobacco control, which combines a range of activities to meet the needs of different population groups within a</w:t>
      </w:r>
      <w:r w:rsidRPr="00AF3090">
        <w:t xml:space="preserve"> </w:t>
      </w:r>
      <w:r>
        <w:t>region</w:t>
      </w:r>
      <w:r w:rsidRPr="00A175CE">
        <w:t xml:space="preserve"> </w:t>
      </w:r>
      <w:r w:rsidRPr="00AF3090">
        <w:t xml:space="preserve">to </w:t>
      </w:r>
      <w:r w:rsidRPr="00AF3090">
        <w:lastRenderedPageBreak/>
        <w:t xml:space="preserve">achieve the </w:t>
      </w:r>
      <w:r w:rsidR="00A25AF5">
        <w:t>Activity</w:t>
      </w:r>
      <w:r w:rsidRPr="00A175CE">
        <w:t xml:space="preserve"> </w:t>
      </w:r>
      <w:r w:rsidRPr="00AF3090">
        <w:t>outcomes</w:t>
      </w:r>
      <w:r>
        <w:t xml:space="preserve">. Activities that will be </w:t>
      </w:r>
      <w:r w:rsidRPr="00AF3090">
        <w:t xml:space="preserve">funded under the </w:t>
      </w:r>
      <w:r w:rsidR="00A25AF5">
        <w:t>Activity</w:t>
      </w:r>
      <w:r>
        <w:t xml:space="preserve"> </w:t>
      </w:r>
      <w:r w:rsidRPr="00AF3090">
        <w:t>may include (but are not limited to):</w:t>
      </w:r>
    </w:p>
    <w:p w14:paraId="5996F126" w14:textId="77777777" w:rsidR="00177906" w:rsidRPr="00AF3090" w:rsidRDefault="00177906" w:rsidP="009C5BF1">
      <w:pPr>
        <w:pStyle w:val="ListParagraph"/>
        <w:numPr>
          <w:ilvl w:val="0"/>
          <w:numId w:val="14"/>
        </w:numPr>
      </w:pPr>
      <w:r w:rsidRPr="00AF3090">
        <w:t>Development/tailoring</w:t>
      </w:r>
      <w:r>
        <w:t xml:space="preserve"> and delivery</w:t>
      </w:r>
      <w:r w:rsidRPr="00AF3090">
        <w:t xml:space="preserve"> of locally relevant </w:t>
      </w:r>
      <w:r>
        <w:t xml:space="preserve">anti-smoking, </w:t>
      </w:r>
      <w:r w:rsidRPr="00AF3090">
        <w:t>health education, and social marketing strategies</w:t>
      </w:r>
      <w:r>
        <w:t>, campaigns and events</w:t>
      </w:r>
      <w:r w:rsidRPr="00AF3090">
        <w:t>.</w:t>
      </w:r>
    </w:p>
    <w:p w14:paraId="0EAE2576" w14:textId="77777777" w:rsidR="00177906" w:rsidRDefault="00177906" w:rsidP="009C5BF1">
      <w:pPr>
        <w:pStyle w:val="ListParagraph"/>
        <w:numPr>
          <w:ilvl w:val="0"/>
          <w:numId w:val="14"/>
        </w:numPr>
      </w:pPr>
      <w:r w:rsidRPr="00AF3090">
        <w:t>Providing information and resources about smoking c</w:t>
      </w:r>
      <w:r>
        <w:t>essation and delivering brief interventions at events/ workplaces/ gatherings.</w:t>
      </w:r>
    </w:p>
    <w:p w14:paraId="49DFCD80" w14:textId="26F9BF53" w:rsidR="00177906" w:rsidRDefault="00177906" w:rsidP="009C5BF1">
      <w:pPr>
        <w:pStyle w:val="ListParagraph"/>
        <w:numPr>
          <w:ilvl w:val="0"/>
          <w:numId w:val="14"/>
        </w:numPr>
      </w:pPr>
      <w:r>
        <w:t>Develop</w:t>
      </w:r>
      <w:r w:rsidR="002D2B9F">
        <w:t>ing and delivering</w:t>
      </w:r>
      <w:r>
        <w:t xml:space="preserve"> </w:t>
      </w:r>
      <w:r w:rsidRPr="00AF3090">
        <w:t>locally relevant</w:t>
      </w:r>
      <w:r>
        <w:t xml:space="preserve"> quit support groups.</w:t>
      </w:r>
    </w:p>
    <w:p w14:paraId="29DB72BB" w14:textId="562DA306" w:rsidR="00177906" w:rsidRPr="00AF3090" w:rsidRDefault="002D2B9F" w:rsidP="009C5BF1">
      <w:pPr>
        <w:pStyle w:val="ListParagraph"/>
        <w:numPr>
          <w:ilvl w:val="0"/>
          <w:numId w:val="14"/>
        </w:numPr>
      </w:pPr>
      <w:r>
        <w:t>Advocating and providing support to</w:t>
      </w:r>
      <w:r w:rsidR="00177906">
        <w:t xml:space="preserve"> </w:t>
      </w:r>
      <w:r w:rsidR="00363AC2">
        <w:t xml:space="preserve">other </w:t>
      </w:r>
      <w:r w:rsidR="00177906">
        <w:t>organisations to develop and implement smoke-free workplace policies and smoke-free community areas.</w:t>
      </w:r>
    </w:p>
    <w:p w14:paraId="62CD317E" w14:textId="2697AFC4" w:rsidR="00177906" w:rsidRPr="00AF3090" w:rsidRDefault="002D2B9F" w:rsidP="009C5BF1">
      <w:pPr>
        <w:pStyle w:val="ListParagraph"/>
        <w:numPr>
          <w:ilvl w:val="0"/>
          <w:numId w:val="14"/>
        </w:numPr>
      </w:pPr>
      <w:r>
        <w:t>Developing and promoting</w:t>
      </w:r>
      <w:r w:rsidR="006D1636">
        <w:t xml:space="preserve"> role models and recognising</w:t>
      </w:r>
      <w:r w:rsidR="00177906" w:rsidRPr="00AF3090">
        <w:t xml:space="preserve"> champions/advocates for not smoking and quitting. </w:t>
      </w:r>
    </w:p>
    <w:p w14:paraId="74F0AC80" w14:textId="2FD40F26" w:rsidR="00177906" w:rsidRPr="00AF3090" w:rsidRDefault="00177906" w:rsidP="009C5BF1">
      <w:pPr>
        <w:pStyle w:val="ListParagraph"/>
        <w:numPr>
          <w:ilvl w:val="0"/>
          <w:numId w:val="14"/>
        </w:numPr>
      </w:pPr>
      <w:r w:rsidRPr="00AF3090">
        <w:t xml:space="preserve">Facilitating access </w:t>
      </w:r>
      <w:r w:rsidR="00DF4CE7">
        <w:t xml:space="preserve">and referral </w:t>
      </w:r>
      <w:r w:rsidRPr="00AF3090">
        <w:t>to health services.</w:t>
      </w:r>
    </w:p>
    <w:p w14:paraId="5016A2C2" w14:textId="06B58302" w:rsidR="00177906" w:rsidRPr="00AF3090" w:rsidRDefault="00177906" w:rsidP="009C5BF1">
      <w:pPr>
        <w:pStyle w:val="ListParagraph"/>
        <w:numPr>
          <w:ilvl w:val="0"/>
          <w:numId w:val="14"/>
        </w:numPr>
      </w:pPr>
      <w:r w:rsidRPr="00AF3090">
        <w:t>Facilitating access</w:t>
      </w:r>
      <w:r w:rsidR="00DF4CE7">
        <w:t xml:space="preserve"> and referral</w:t>
      </w:r>
      <w:r w:rsidRPr="00AF3090">
        <w:t xml:space="preserve"> to Quitline services.</w:t>
      </w:r>
    </w:p>
    <w:p w14:paraId="0F6EDAD9" w14:textId="77777777" w:rsidR="00177906" w:rsidRDefault="00177906" w:rsidP="009C5BF1">
      <w:pPr>
        <w:pStyle w:val="ListParagraph"/>
        <w:numPr>
          <w:ilvl w:val="0"/>
          <w:numId w:val="14"/>
        </w:numPr>
      </w:pPr>
      <w:r w:rsidRPr="00AF3090">
        <w:t>Facilitating access to</w:t>
      </w:r>
      <w:r>
        <w:t>,</w:t>
      </w:r>
      <w:r w:rsidRPr="00AF3090">
        <w:t xml:space="preserve"> </w:t>
      </w:r>
      <w:r>
        <w:t>and pathways through, clinical</w:t>
      </w:r>
      <w:r w:rsidRPr="00AF3090">
        <w:t xml:space="preserve"> </w:t>
      </w:r>
      <w:r>
        <w:t xml:space="preserve">and non-clinical services </w:t>
      </w:r>
      <w:r w:rsidRPr="00AF3090">
        <w:t>for behavioural and pharmacological therapies, including counselling a</w:t>
      </w:r>
      <w:r>
        <w:t>nd nicotine replacement therapy.</w:t>
      </w:r>
    </w:p>
    <w:p w14:paraId="2ACE7FAA" w14:textId="5444293F" w:rsidR="00177906" w:rsidRDefault="00177906" w:rsidP="009C5BF1">
      <w:pPr>
        <w:pStyle w:val="ListParagraph"/>
        <w:numPr>
          <w:ilvl w:val="0"/>
          <w:numId w:val="14"/>
        </w:numPr>
      </w:pPr>
      <w:r>
        <w:t xml:space="preserve">Building </w:t>
      </w:r>
      <w:r w:rsidRPr="00082D5C">
        <w:t xml:space="preserve">knowledge, skills and understanding of the health impacts of smoking and pathways to quitting among </w:t>
      </w:r>
      <w:r w:rsidR="00363AC2">
        <w:t xml:space="preserve">community leaders, </w:t>
      </w:r>
      <w:r w:rsidR="00363AC2" w:rsidRPr="00082D5C">
        <w:t>Aboriginal Health Workers</w:t>
      </w:r>
      <w:r w:rsidR="00363AC2">
        <w:t>,</w:t>
      </w:r>
      <w:r w:rsidR="00363AC2" w:rsidRPr="00082D5C">
        <w:t xml:space="preserve"> </w:t>
      </w:r>
      <w:r w:rsidRPr="00082D5C">
        <w:t xml:space="preserve">doctors, </w:t>
      </w:r>
      <w:r w:rsidR="00363AC2" w:rsidRPr="00082D5C">
        <w:t>nurses and other health professionals</w:t>
      </w:r>
      <w:r w:rsidR="00363AC2">
        <w:t>,</w:t>
      </w:r>
      <w:r w:rsidRPr="00082D5C">
        <w:t xml:space="preserve"> </w:t>
      </w:r>
      <w:r w:rsidR="00363AC2" w:rsidRPr="00082D5C">
        <w:t>teachers,</w:t>
      </w:r>
      <w:r w:rsidR="00363AC2">
        <w:t xml:space="preserve"> </w:t>
      </w:r>
      <w:r w:rsidRPr="00082D5C">
        <w:t>community, sport and recr</w:t>
      </w:r>
      <w:r w:rsidR="00EE39A6">
        <w:t>eation, youth and A</w:t>
      </w:r>
      <w:r w:rsidR="00A70188">
        <w:t xml:space="preserve">lcohol and </w:t>
      </w:r>
      <w:r w:rsidR="00EE39A6">
        <w:t>O</w:t>
      </w:r>
      <w:r w:rsidR="00A70188">
        <w:t xml:space="preserve">ther </w:t>
      </w:r>
      <w:r w:rsidR="00EE39A6">
        <w:t>D</w:t>
      </w:r>
      <w:r w:rsidR="00A70188">
        <w:t>rug</w:t>
      </w:r>
      <w:r w:rsidR="00EE39A6">
        <w:t xml:space="preserve"> workers,</w:t>
      </w:r>
      <w:r w:rsidRPr="00082D5C">
        <w:t xml:space="preserve"> and A</w:t>
      </w:r>
      <w:r w:rsidR="00A70188">
        <w:t xml:space="preserve">boriginal </w:t>
      </w:r>
      <w:r w:rsidRPr="00082D5C">
        <w:t>M</w:t>
      </w:r>
      <w:r w:rsidR="00A70188">
        <w:t xml:space="preserve">edical </w:t>
      </w:r>
      <w:r w:rsidRPr="00082D5C">
        <w:t>S</w:t>
      </w:r>
      <w:r w:rsidR="00A70188">
        <w:t>ervice</w:t>
      </w:r>
      <w:r w:rsidRPr="00082D5C">
        <w:t xml:space="preserve"> staff, CEOs and Board members</w:t>
      </w:r>
      <w:r w:rsidR="00EE39A6">
        <w:t>.</w:t>
      </w:r>
    </w:p>
    <w:p w14:paraId="4F046583" w14:textId="77777777" w:rsidR="00177906" w:rsidRDefault="00177906" w:rsidP="009C5BF1">
      <w:pPr>
        <w:pStyle w:val="ListParagraph"/>
        <w:numPr>
          <w:ilvl w:val="0"/>
          <w:numId w:val="14"/>
        </w:numPr>
        <w:spacing w:after="240"/>
        <w:ind w:left="714" w:hanging="357"/>
        <w:contextualSpacing w:val="0"/>
      </w:pPr>
      <w:r>
        <w:t>Building partnerships with local services and government organisations to build tobacco control networks for the region.</w:t>
      </w:r>
    </w:p>
    <w:p w14:paraId="12FCE8DA" w14:textId="1C520352" w:rsidR="0021240E" w:rsidRPr="000A40E8" w:rsidRDefault="0021240E" w:rsidP="000A40E8">
      <w:pPr>
        <w:pStyle w:val="Heading2"/>
      </w:pPr>
      <w:bookmarkStart w:id="93" w:name="_Toc427755014"/>
      <w:bookmarkStart w:id="94" w:name="_Toc427755270"/>
      <w:bookmarkStart w:id="95" w:name="_Toc427755344"/>
      <w:r w:rsidRPr="000A40E8">
        <w:t xml:space="preserve">What </w:t>
      </w:r>
      <w:r w:rsidR="00412458" w:rsidRPr="000A40E8">
        <w:t>activities and items are</w:t>
      </w:r>
      <w:r w:rsidRPr="000A40E8">
        <w:t xml:space="preserve"> not eligible for funding?</w:t>
      </w:r>
      <w:bookmarkEnd w:id="93"/>
      <w:bookmarkEnd w:id="94"/>
      <w:bookmarkEnd w:id="95"/>
    </w:p>
    <w:p w14:paraId="6E812561" w14:textId="0DA79D49" w:rsidR="0021240E" w:rsidRDefault="0021240E" w:rsidP="009C5BF1">
      <w:pPr>
        <w:pStyle w:val="ListParagraph"/>
        <w:numPr>
          <w:ilvl w:val="0"/>
          <w:numId w:val="15"/>
        </w:numPr>
      </w:pPr>
      <w:r>
        <w:t>capital works, such as the purchase of any land, the purchase or construction of a completely new premises, the demolition (whether or not followed by the replacement) of the majority of an existing premises;</w:t>
      </w:r>
    </w:p>
    <w:p w14:paraId="6B83E143" w14:textId="77777777" w:rsidR="0021240E" w:rsidRDefault="0021240E" w:rsidP="009C5BF1">
      <w:pPr>
        <w:pStyle w:val="ListParagraph"/>
        <w:numPr>
          <w:ilvl w:val="0"/>
          <w:numId w:val="15"/>
        </w:numPr>
      </w:pPr>
      <w:r>
        <w:t>retrospective items/activities;</w:t>
      </w:r>
    </w:p>
    <w:p w14:paraId="3D65BE40" w14:textId="77777777" w:rsidR="0021240E" w:rsidRDefault="0021240E" w:rsidP="009C5BF1">
      <w:pPr>
        <w:pStyle w:val="ListParagraph"/>
        <w:numPr>
          <w:ilvl w:val="0"/>
          <w:numId w:val="15"/>
        </w:numPr>
      </w:pPr>
      <w:r>
        <w:t>activities undertaken by political organisations;</w:t>
      </w:r>
    </w:p>
    <w:p w14:paraId="03408149" w14:textId="77777777" w:rsidR="00F72C7E" w:rsidRDefault="0021240E" w:rsidP="009C5BF1">
      <w:pPr>
        <w:pStyle w:val="ListParagraph"/>
        <w:numPr>
          <w:ilvl w:val="0"/>
          <w:numId w:val="15"/>
        </w:numPr>
      </w:pPr>
      <w:r>
        <w:t>activities which subsidise commercial activities;</w:t>
      </w:r>
    </w:p>
    <w:p w14:paraId="5CAC6D70" w14:textId="77777777" w:rsidR="0021240E" w:rsidRDefault="00F72C7E" w:rsidP="009C5BF1">
      <w:pPr>
        <w:pStyle w:val="ListParagraph"/>
        <w:numPr>
          <w:ilvl w:val="0"/>
          <w:numId w:val="15"/>
        </w:numPr>
      </w:pPr>
      <w:r>
        <w:t>c</w:t>
      </w:r>
      <w:r w:rsidR="0021240E">
        <w:t>linical trials</w:t>
      </w:r>
      <w:r>
        <w:t>;</w:t>
      </w:r>
    </w:p>
    <w:p w14:paraId="3FF939A1" w14:textId="3BBEBECE" w:rsidR="003548A4" w:rsidRPr="00F72C7E" w:rsidRDefault="003548A4" w:rsidP="009C5BF1">
      <w:pPr>
        <w:pStyle w:val="ListParagraph"/>
        <w:numPr>
          <w:ilvl w:val="0"/>
          <w:numId w:val="15"/>
        </w:numPr>
      </w:pPr>
      <w:r w:rsidRPr="00F72C7E">
        <w:t>purchase of pharmaceuticals;</w:t>
      </w:r>
      <w:r w:rsidR="00492ABE">
        <w:t xml:space="preserve"> </w:t>
      </w:r>
      <w:r w:rsidRPr="00F72C7E">
        <w:t>and</w:t>
      </w:r>
    </w:p>
    <w:p w14:paraId="5724ABF4" w14:textId="77777777" w:rsidR="003548A4" w:rsidRDefault="003548A4" w:rsidP="009C5BF1">
      <w:pPr>
        <w:pStyle w:val="ListParagraph"/>
        <w:numPr>
          <w:ilvl w:val="0"/>
          <w:numId w:val="15"/>
        </w:numPr>
        <w:spacing w:after="240"/>
        <w:ind w:left="714" w:hanging="357"/>
        <w:contextualSpacing w:val="0"/>
      </w:pPr>
      <w:r w:rsidRPr="00F72C7E">
        <w:t>projects and activities that duplicate existing resources or initiatives.</w:t>
      </w:r>
    </w:p>
    <w:p w14:paraId="685E9CBF" w14:textId="10D87382" w:rsidR="006B5169" w:rsidRPr="000A40E8" w:rsidRDefault="006B5169" w:rsidP="000A40E8">
      <w:pPr>
        <w:pStyle w:val="Heading2"/>
      </w:pPr>
      <w:bookmarkStart w:id="96" w:name="_Toc427755015"/>
      <w:bookmarkStart w:id="97" w:name="_Toc427755271"/>
      <w:bookmarkStart w:id="98" w:name="_Toc427755345"/>
      <w:r w:rsidRPr="000A40E8">
        <w:t>Additional requirements</w:t>
      </w:r>
      <w:bookmarkEnd w:id="96"/>
      <w:bookmarkEnd w:id="97"/>
      <w:bookmarkEnd w:id="98"/>
      <w:r w:rsidRPr="000A40E8">
        <w:t xml:space="preserve"> </w:t>
      </w:r>
    </w:p>
    <w:p w14:paraId="10B02F1F" w14:textId="6B8DE3DD" w:rsidR="00AC6F90" w:rsidRPr="000A40E8" w:rsidRDefault="005D6CEC" w:rsidP="000A40E8">
      <w:pPr>
        <w:pStyle w:val="H3nonumbers"/>
      </w:pPr>
      <w:bookmarkStart w:id="99" w:name="_Toc427755016"/>
      <w:bookmarkStart w:id="100" w:name="_Toc427755272"/>
      <w:bookmarkStart w:id="101" w:name="_Toc427755346"/>
      <w:r w:rsidRPr="000A40E8">
        <w:t>I</w:t>
      </w:r>
      <w:r w:rsidR="00AC6F90" w:rsidRPr="000A40E8">
        <w:t xml:space="preserve">f the </w:t>
      </w:r>
      <w:r w:rsidR="00A25AF5" w:rsidRPr="000A40E8">
        <w:t>Activity</w:t>
      </w:r>
      <w:r w:rsidR="00AC6F90" w:rsidRPr="000A40E8">
        <w:t xml:space="preserve"> is oversubscribed</w:t>
      </w:r>
      <w:bookmarkEnd w:id="99"/>
      <w:bookmarkEnd w:id="100"/>
      <w:bookmarkEnd w:id="101"/>
    </w:p>
    <w:p w14:paraId="520C62AC" w14:textId="55EF2708" w:rsidR="00AB1B3C" w:rsidRPr="00AB1B3C" w:rsidRDefault="00AB1B3C" w:rsidP="00DF7FAC">
      <w:pPr>
        <w:rPr>
          <w:rFonts w:eastAsia="Times New Roman" w:cs="Times New Roman"/>
          <w:szCs w:val="24"/>
          <w:lang w:val="en-US" w:eastAsia="zh-CN" w:bidi="th-TH"/>
        </w:rPr>
      </w:pPr>
      <w:r>
        <w:rPr>
          <w:lang w:eastAsia="zh-CN" w:bidi="th-TH"/>
        </w:rPr>
        <w:t>Applications will be ranked on a merit-based process against the assessment criteria</w:t>
      </w:r>
      <w:r w:rsidR="00A70188">
        <w:rPr>
          <w:lang w:eastAsia="zh-CN" w:bidi="th-TH"/>
        </w:rPr>
        <w:t xml:space="preserve"> and value with relevant money considerations</w:t>
      </w:r>
      <w:r>
        <w:rPr>
          <w:lang w:eastAsia="zh-CN" w:bidi="th-TH"/>
        </w:rPr>
        <w:t>, with funding allocated by order of merit.</w:t>
      </w:r>
      <w:r w:rsidR="000163DD">
        <w:rPr>
          <w:lang w:eastAsia="zh-CN" w:bidi="th-TH"/>
        </w:rPr>
        <w:t xml:space="preserve"> </w:t>
      </w:r>
    </w:p>
    <w:p w14:paraId="60DAA07F" w14:textId="1EEDCD93" w:rsidR="00AB1B3C" w:rsidRPr="00835AEF" w:rsidRDefault="00AB1B3C" w:rsidP="00835AEF">
      <w:pPr>
        <w:pStyle w:val="H3nonumbers"/>
      </w:pPr>
      <w:bookmarkStart w:id="102" w:name="_Toc427755017"/>
      <w:bookmarkStart w:id="103" w:name="_Toc427755273"/>
      <w:bookmarkStart w:id="104" w:name="_Toc427755347"/>
      <w:r w:rsidRPr="00835AEF">
        <w:t xml:space="preserve">If the </w:t>
      </w:r>
      <w:r w:rsidR="00A25AF5" w:rsidRPr="00835AEF">
        <w:t>Activity</w:t>
      </w:r>
      <w:r w:rsidRPr="00835AEF">
        <w:t xml:space="preserve"> is undersubscribed</w:t>
      </w:r>
      <w:bookmarkEnd w:id="102"/>
      <w:bookmarkEnd w:id="103"/>
      <w:bookmarkEnd w:id="104"/>
    </w:p>
    <w:p w14:paraId="3E4C15C2" w14:textId="03D4429F" w:rsidR="00AB1B3C" w:rsidRPr="00AB1B3C" w:rsidRDefault="00AB1B3C" w:rsidP="00DF7FAC">
      <w:r w:rsidRPr="00AB1B3C">
        <w:t xml:space="preserve">Subsequent funding rounds may occur to address any gaps in </w:t>
      </w:r>
      <w:r w:rsidR="00A25AF5">
        <w:t>Activity</w:t>
      </w:r>
      <w:r w:rsidRPr="00AB1B3C">
        <w:t xml:space="preserve"> delivery. For example gaps could be geographical and/or population coverage.</w:t>
      </w:r>
    </w:p>
    <w:p w14:paraId="07EB835B" w14:textId="714E3F1F" w:rsidR="00120211" w:rsidRDefault="00AB1B3C" w:rsidP="00DF7FAC">
      <w:pPr>
        <w:rPr>
          <w:rFonts w:eastAsia="Calibri"/>
          <w:bCs/>
          <w:lang w:val="en-US"/>
        </w:rPr>
      </w:pPr>
      <w:r w:rsidRPr="00AB1B3C">
        <w:rPr>
          <w:rFonts w:eastAsia="Calibri"/>
          <w:bCs/>
          <w:lang w:val="en-US"/>
        </w:rPr>
        <w:t xml:space="preserve">From time to time, the Australian Government may direct additional or supplementary funding to services under the </w:t>
      </w:r>
      <w:r w:rsidR="00A25AF5">
        <w:rPr>
          <w:rFonts w:eastAsia="Calibri"/>
          <w:bCs/>
          <w:lang w:val="en-US"/>
        </w:rPr>
        <w:t>Activity</w:t>
      </w:r>
      <w:r w:rsidRPr="00AB1B3C">
        <w:rPr>
          <w:rFonts w:eastAsia="Calibri"/>
          <w:bCs/>
          <w:lang w:val="en-US"/>
        </w:rPr>
        <w:t>. For example providing targeted services to areas where evidence shows that there is a demonstrated need.</w:t>
      </w:r>
    </w:p>
    <w:p w14:paraId="711ADF4C" w14:textId="07CF0E53" w:rsidR="006B5169" w:rsidRPr="00835AEF" w:rsidRDefault="006B5169" w:rsidP="00835AEF">
      <w:pPr>
        <w:pStyle w:val="Heading1"/>
      </w:pPr>
      <w:bookmarkStart w:id="105" w:name="_Toc427755018"/>
      <w:bookmarkStart w:id="106" w:name="_Toc427755274"/>
      <w:bookmarkStart w:id="107" w:name="_Toc427755348"/>
      <w:r w:rsidRPr="00835AEF">
        <w:lastRenderedPageBreak/>
        <w:t>Probity</w:t>
      </w:r>
      <w:bookmarkEnd w:id="105"/>
      <w:bookmarkEnd w:id="106"/>
      <w:bookmarkEnd w:id="107"/>
    </w:p>
    <w:p w14:paraId="2EF54B04" w14:textId="024599E7" w:rsidR="006B5169" w:rsidRPr="00F72C7E" w:rsidRDefault="006B5169" w:rsidP="00DF7FAC">
      <w:r w:rsidRPr="00F72C7E">
        <w:t xml:space="preserve">The Australian Government is committed to ensuring that the process for providing funding under the Grant </w:t>
      </w:r>
      <w:r w:rsidR="00A25AF5">
        <w:t>Activity</w:t>
      </w:r>
      <w:r w:rsidRPr="00F72C7E">
        <w:t xml:space="preserve"> is transparent and in accordance with published Guidelines.  </w:t>
      </w:r>
    </w:p>
    <w:p w14:paraId="134B9B38" w14:textId="7E6D2277" w:rsidR="006B5169" w:rsidRPr="00DF7FAC" w:rsidRDefault="006B5169" w:rsidP="00DF7FAC">
      <w:pPr>
        <w:ind w:left="851" w:hanging="851"/>
        <w:rPr>
          <w:rStyle w:val="Emphasis"/>
        </w:rPr>
      </w:pPr>
      <w:r w:rsidRPr="00DF7FAC">
        <w:rPr>
          <w:rStyle w:val="Emphasis"/>
        </w:rPr>
        <w:t>Note:</w:t>
      </w:r>
      <w:r w:rsidRPr="00DF7FAC">
        <w:rPr>
          <w:rStyle w:val="Emphasis"/>
        </w:rPr>
        <w:tab/>
        <w:t xml:space="preserve">Guidelines may be varied from time-to-time by the Australian Government as the needs of the </w:t>
      </w:r>
      <w:r w:rsidR="00412458">
        <w:rPr>
          <w:rStyle w:val="Emphasis"/>
        </w:rPr>
        <w:t xml:space="preserve">TIS </w:t>
      </w:r>
      <w:r w:rsidR="0010440A" w:rsidRPr="00DF7FAC">
        <w:rPr>
          <w:rStyle w:val="Emphasis"/>
        </w:rPr>
        <w:t xml:space="preserve">Activity </w:t>
      </w:r>
      <w:r w:rsidRPr="00DF7FAC">
        <w:rPr>
          <w:rStyle w:val="Emphasis"/>
        </w:rPr>
        <w:t>dictate. Amended Guidelines will be published on the department’s website.</w:t>
      </w:r>
    </w:p>
    <w:p w14:paraId="568E60C0" w14:textId="3846341B" w:rsidR="00EA74C8" w:rsidRPr="00492ABE" w:rsidRDefault="00EA74C8" w:rsidP="00DF7FAC">
      <w:r>
        <w:t>These TIS-specific guidelines will remain in effect until superseded by the Indigenous Australians’ Healt</w:t>
      </w:r>
      <w:r w:rsidR="00767F04">
        <w:t xml:space="preserve">h Programme (IAHP) guidelines. </w:t>
      </w:r>
    </w:p>
    <w:p w14:paraId="2F228270" w14:textId="0D2C6F59" w:rsidR="006B5169" w:rsidRPr="00835AEF" w:rsidRDefault="006B5169" w:rsidP="00835AEF">
      <w:pPr>
        <w:pStyle w:val="Heading2"/>
      </w:pPr>
      <w:bookmarkStart w:id="108" w:name="_Toc427755019"/>
      <w:bookmarkStart w:id="109" w:name="_Toc427755275"/>
      <w:bookmarkStart w:id="110" w:name="_Toc427755349"/>
      <w:r w:rsidRPr="00835AEF">
        <w:t>Conflict of interest</w:t>
      </w:r>
      <w:bookmarkEnd w:id="108"/>
      <w:bookmarkEnd w:id="109"/>
      <w:bookmarkEnd w:id="110"/>
    </w:p>
    <w:p w14:paraId="59F2D09D" w14:textId="77777777" w:rsidR="006B5169" w:rsidRPr="00F72C7E" w:rsidRDefault="006B5169" w:rsidP="00DF7FAC">
      <w:r w:rsidRPr="00F72C7E">
        <w:t>A conflict of interest may exist if departmental staff, any member of an advisory panel or expert committee, and/or the applicant or any of its personnel:</w:t>
      </w:r>
    </w:p>
    <w:p w14:paraId="5339ED47" w14:textId="77777777" w:rsidR="006B5169" w:rsidRPr="00F72C7E" w:rsidRDefault="006B5169" w:rsidP="009C5BF1">
      <w:pPr>
        <w:pStyle w:val="ListParagraph"/>
        <w:numPr>
          <w:ilvl w:val="0"/>
          <w:numId w:val="16"/>
        </w:numPr>
      </w:pPr>
      <w:r w:rsidRPr="00F72C7E">
        <w:t>Has a relationship (whether professional, commercial or personal) with a party who is able to influence the application assessment process, such as a departmental officer;</w:t>
      </w:r>
    </w:p>
    <w:p w14:paraId="70509940" w14:textId="77777777" w:rsidR="006B5169" w:rsidRPr="00F72C7E" w:rsidRDefault="006B5169" w:rsidP="009C5BF1">
      <w:pPr>
        <w:pStyle w:val="ListParagraph"/>
        <w:numPr>
          <w:ilvl w:val="0"/>
          <w:numId w:val="16"/>
        </w:numPr>
      </w:pPr>
      <w:r w:rsidRPr="00F72C7E">
        <w:t>Has a relationship with, or interest in, an organisation, which is likely to interfere with or restrict the applicants in carrying out the proposed activities fairly and independently; or</w:t>
      </w:r>
    </w:p>
    <w:p w14:paraId="5F1431FF" w14:textId="3BD030DB" w:rsidR="006B5169" w:rsidRPr="00F72C7E" w:rsidRDefault="006B5169" w:rsidP="009C5BF1">
      <w:pPr>
        <w:pStyle w:val="ListParagraph"/>
        <w:numPr>
          <w:ilvl w:val="0"/>
          <w:numId w:val="16"/>
        </w:numPr>
        <w:spacing w:after="240"/>
        <w:ind w:left="714" w:hanging="357"/>
        <w:contextualSpacing w:val="0"/>
      </w:pPr>
      <w:r w:rsidRPr="00F72C7E">
        <w:t xml:space="preserve">Has a relationship with, or interest in, an organisation from which they will receive personal gain as a result of the granting of funding under the </w:t>
      </w:r>
      <w:r w:rsidR="00A25AF5">
        <w:t>Activity</w:t>
      </w:r>
      <w:r w:rsidR="00F72C7E" w:rsidRPr="00F72C7E">
        <w:t>.</w:t>
      </w:r>
    </w:p>
    <w:p w14:paraId="24CEE652" w14:textId="77777777" w:rsidR="006B5169" w:rsidRPr="00F72C7E" w:rsidRDefault="006B5169" w:rsidP="00DF7FAC">
      <w:r w:rsidRPr="00F72C7E">
        <w:t>Each party will be required to declare as part of their application, existing conflicts of interest or that to the best of their knowledge there is no conflict of interest, including in relation to the examples above, that would impact on or prevent the applicant from proceeding with the project or any funding agreement it may enter into with the Australian Government.</w:t>
      </w:r>
    </w:p>
    <w:p w14:paraId="73F9D6E8" w14:textId="03958940" w:rsidR="007716A2" w:rsidRPr="002669F5" w:rsidRDefault="006B5169" w:rsidP="00DF7FAC">
      <w:r w:rsidRPr="00F72C7E">
        <w:t xml:space="preserve">Where a party subsequently identifies that an actual, apparent, or potential conflict of interest exists or might arise in relation to this application for funding, external parties must inform the department in writing immediately. Departmental staff or members of any advisory panel or expert committee must advise the chair of the assessment panel. Conflicts of interest will be handled in compliance with </w:t>
      </w:r>
      <w:hyperlink r:id="rId20" w:history="1">
        <w:r w:rsidR="007716A2" w:rsidRPr="002804F4">
          <w:rPr>
            <w:rStyle w:val="Hyperlink"/>
            <w:szCs w:val="24"/>
          </w:rPr>
          <w:t>Australian Public Service Commission policies and procedures</w:t>
        </w:r>
      </w:hyperlink>
      <w:r w:rsidR="002804F4">
        <w:rPr>
          <w:color w:val="000000"/>
        </w:rPr>
        <w:t>.</w:t>
      </w:r>
    </w:p>
    <w:p w14:paraId="52B67AD7" w14:textId="43964563" w:rsidR="006B5169" w:rsidRPr="00835AEF" w:rsidRDefault="00AC6F90" w:rsidP="00835AEF">
      <w:pPr>
        <w:pStyle w:val="Heading2"/>
      </w:pPr>
      <w:bookmarkStart w:id="111" w:name="_Toc427755020"/>
      <w:bookmarkStart w:id="112" w:name="_Toc427755276"/>
      <w:bookmarkStart w:id="113" w:name="_Toc427755350"/>
      <w:r w:rsidRPr="00835AEF">
        <w:t xml:space="preserve">Privacy - </w:t>
      </w:r>
      <w:r w:rsidR="006B5169" w:rsidRPr="00835AEF">
        <w:t>Confidentiality and Protection of Personal Information</w:t>
      </w:r>
      <w:bookmarkEnd w:id="111"/>
      <w:bookmarkEnd w:id="112"/>
      <w:bookmarkEnd w:id="113"/>
    </w:p>
    <w:p w14:paraId="3D936DFC" w14:textId="77777777" w:rsidR="006B5169" w:rsidRPr="00F72C7E" w:rsidRDefault="006B5169" w:rsidP="00DF7FAC">
      <w:r w:rsidRPr="00F72C7E">
        <w:t>Each applicant will be required to declare as part of their application, their ability to comply with the following Legislation/Clauses it may enter into with the Australian Government.</w:t>
      </w:r>
    </w:p>
    <w:p w14:paraId="5BEF3B41" w14:textId="77777777" w:rsidR="006B5169" w:rsidRPr="00F72C7E" w:rsidRDefault="006B5169" w:rsidP="00DF7FAC">
      <w:r w:rsidRPr="00F72C7E">
        <w:t>The Protection of Personal Information Clause requires the funding recipient to:</w:t>
      </w:r>
    </w:p>
    <w:p w14:paraId="03C11D3C" w14:textId="77777777" w:rsidR="006B5169" w:rsidRPr="00F72C7E" w:rsidRDefault="006B5169" w:rsidP="009C5BF1">
      <w:pPr>
        <w:pStyle w:val="ListParagraph"/>
        <w:numPr>
          <w:ilvl w:val="0"/>
          <w:numId w:val="17"/>
        </w:numPr>
      </w:pPr>
      <w:r w:rsidRPr="00F72C7E">
        <w:t xml:space="preserve">comply with the </w:t>
      </w:r>
      <w:r w:rsidRPr="00DF7FAC">
        <w:rPr>
          <w:i/>
        </w:rPr>
        <w:t>Privacy Act (1988) (‘</w:t>
      </w:r>
      <w:r w:rsidRPr="00F72C7E">
        <w:t>the Privacy Act’</w:t>
      </w:r>
      <w:r w:rsidRPr="00DF7FAC">
        <w:rPr>
          <w:i/>
        </w:rPr>
        <w:t xml:space="preserve">), </w:t>
      </w:r>
      <w:r w:rsidRPr="00F72C7E">
        <w:t>including the 13 Australian Privacy Principles (APPs) which are contained in Schedule 1 of the Privacy Act;</w:t>
      </w:r>
    </w:p>
    <w:p w14:paraId="228B3A80" w14:textId="77777777" w:rsidR="006B5169" w:rsidRPr="00DF7FAC" w:rsidRDefault="006B5169" w:rsidP="009C5BF1">
      <w:pPr>
        <w:pStyle w:val="ListParagraph"/>
        <w:numPr>
          <w:ilvl w:val="0"/>
          <w:numId w:val="17"/>
        </w:numPr>
        <w:spacing w:after="240"/>
        <w:ind w:left="714" w:hanging="357"/>
        <w:contextualSpacing w:val="0"/>
        <w:rPr>
          <w:u w:val="single"/>
        </w:rPr>
      </w:pPr>
      <w:r w:rsidRPr="00F72C7E">
        <w:t>impose the same privacy obligations on any subcontractors it engages to assist with the activity.</w:t>
      </w:r>
    </w:p>
    <w:p w14:paraId="62383981" w14:textId="77777777" w:rsidR="006B5169" w:rsidRPr="00F72C7E" w:rsidRDefault="006B5169" w:rsidP="00DF7FAC">
      <w:r w:rsidRPr="00F72C7E">
        <w:t xml:space="preserve">The Confidentiality Clause imposes obligations on the funding recipient with respect to special categories of information collected, created or held under the funding agreement.  The funding </w:t>
      </w:r>
      <w:r w:rsidRPr="00F72C7E">
        <w:lastRenderedPageBreak/>
        <w:t>recipient is required to seek the department’s consent in writing before disclosing confidential information.</w:t>
      </w:r>
    </w:p>
    <w:p w14:paraId="2202FF94" w14:textId="22EA2D52" w:rsidR="00120211" w:rsidRDefault="006B5169" w:rsidP="00DF7FAC">
      <w:r w:rsidRPr="00F72C7E">
        <w:t>Further information can be found in the terms &amp; conditions of the funding agreement.</w:t>
      </w:r>
    </w:p>
    <w:p w14:paraId="681391F3" w14:textId="36E3D463" w:rsidR="006B5169" w:rsidRPr="00835AEF" w:rsidRDefault="006B5169" w:rsidP="00835AEF">
      <w:pPr>
        <w:pStyle w:val="Heading1"/>
      </w:pPr>
      <w:bookmarkStart w:id="114" w:name="_Toc427755021"/>
      <w:bookmarkStart w:id="115" w:name="_Toc427755277"/>
      <w:bookmarkStart w:id="116" w:name="_Toc427755351"/>
      <w:r w:rsidRPr="00835AEF">
        <w:t>Type of Application Process</w:t>
      </w:r>
      <w:bookmarkEnd w:id="114"/>
      <w:bookmarkEnd w:id="115"/>
      <w:bookmarkEnd w:id="116"/>
    </w:p>
    <w:p w14:paraId="690493F1" w14:textId="6C92BF77" w:rsidR="00202866" w:rsidRDefault="00202866" w:rsidP="00DF7FAC">
      <w:pPr>
        <w:rPr>
          <w:rFonts w:eastAsia="Times New Roman" w:cs="Times New Roman"/>
          <w:szCs w:val="24"/>
        </w:rPr>
      </w:pPr>
      <w:r w:rsidRPr="005D3DD5">
        <w:t xml:space="preserve">Eligible organisations are able to apply for funding through a targeted grant round. All proposals for funding will be assessed against the </w:t>
      </w:r>
      <w:r w:rsidR="002804F4" w:rsidRPr="005D3DD5">
        <w:t xml:space="preserve">selection </w:t>
      </w:r>
      <w:r w:rsidRPr="005D3DD5">
        <w:t xml:space="preserve">criteria outlined in section </w:t>
      </w:r>
      <w:r w:rsidR="005D3DD5" w:rsidRPr="005D3DD5">
        <w:fldChar w:fldCharType="begin"/>
      </w:r>
      <w:r w:rsidR="005D3DD5" w:rsidRPr="005D3DD5">
        <w:instrText xml:space="preserve"> REF _Ref425181324 \r \h </w:instrText>
      </w:r>
      <w:r w:rsidR="005D3DD5">
        <w:instrText xml:space="preserve"> \* MERGEFORMAT </w:instrText>
      </w:r>
      <w:r w:rsidR="005D3DD5" w:rsidRPr="005D3DD5">
        <w:fldChar w:fldCharType="separate"/>
      </w:r>
      <w:r w:rsidR="007C6985">
        <w:t>6.2</w:t>
      </w:r>
      <w:r w:rsidR="005D3DD5" w:rsidRPr="005D3DD5">
        <w:fldChar w:fldCharType="end"/>
      </w:r>
      <w:r w:rsidRPr="005D3DD5">
        <w:t xml:space="preserve"> of these Guidelines.</w:t>
      </w:r>
      <w:r w:rsidRPr="005D3DD5">
        <w:rPr>
          <w:rFonts w:eastAsia="Times New Roman" w:cs="Times New Roman"/>
          <w:szCs w:val="24"/>
        </w:rPr>
        <w:t xml:space="preserve"> Section </w:t>
      </w:r>
      <w:r w:rsidR="005D3DD5" w:rsidRPr="005D3DD5">
        <w:rPr>
          <w:rFonts w:eastAsia="Times New Roman" w:cs="Times New Roman"/>
          <w:szCs w:val="24"/>
        </w:rPr>
        <w:fldChar w:fldCharType="begin"/>
      </w:r>
      <w:r w:rsidR="005D3DD5" w:rsidRPr="005D3DD5">
        <w:rPr>
          <w:rFonts w:eastAsia="Times New Roman" w:cs="Times New Roman"/>
          <w:szCs w:val="24"/>
        </w:rPr>
        <w:instrText xml:space="preserve"> REF _Ref425181348 \r \h </w:instrText>
      </w:r>
      <w:r w:rsidR="005D3DD5">
        <w:rPr>
          <w:rFonts w:eastAsia="Times New Roman" w:cs="Times New Roman"/>
          <w:szCs w:val="24"/>
        </w:rPr>
        <w:instrText xml:space="preserve"> \* MERGEFORMAT </w:instrText>
      </w:r>
      <w:r w:rsidR="005D3DD5" w:rsidRPr="005D3DD5">
        <w:rPr>
          <w:rFonts w:eastAsia="Times New Roman" w:cs="Times New Roman"/>
          <w:szCs w:val="24"/>
        </w:rPr>
      </w:r>
      <w:r w:rsidR="005D3DD5" w:rsidRPr="005D3DD5">
        <w:rPr>
          <w:rFonts w:eastAsia="Times New Roman" w:cs="Times New Roman"/>
          <w:szCs w:val="24"/>
        </w:rPr>
        <w:fldChar w:fldCharType="separate"/>
      </w:r>
      <w:r w:rsidR="007C6985">
        <w:rPr>
          <w:rFonts w:eastAsia="Times New Roman" w:cs="Times New Roman"/>
          <w:szCs w:val="24"/>
        </w:rPr>
        <w:t>1.9</w:t>
      </w:r>
      <w:r w:rsidR="005D3DD5" w:rsidRPr="005D3DD5">
        <w:rPr>
          <w:rFonts w:eastAsia="Times New Roman" w:cs="Times New Roman"/>
          <w:szCs w:val="24"/>
        </w:rPr>
        <w:fldChar w:fldCharType="end"/>
      </w:r>
      <w:r w:rsidRPr="005D3DD5">
        <w:rPr>
          <w:rFonts w:eastAsia="Times New Roman" w:cs="Times New Roman"/>
          <w:szCs w:val="24"/>
        </w:rPr>
        <w:t xml:space="preserve"> Activity Timeframes outlines the expected timelines for grant rounds under this programme</w:t>
      </w:r>
      <w:r w:rsidR="007C6985">
        <w:rPr>
          <w:rFonts w:eastAsia="Times New Roman" w:cs="Times New Roman"/>
          <w:szCs w:val="24"/>
        </w:rPr>
        <w:t>.</w:t>
      </w:r>
    </w:p>
    <w:p w14:paraId="2C821A0A" w14:textId="77777777" w:rsidR="009C72CA" w:rsidRDefault="00202866" w:rsidP="00DF7FAC">
      <w:pPr>
        <w:rPr>
          <w:rFonts w:eastAsia="Times New Roman" w:cs="Times New Roman"/>
          <w:szCs w:val="24"/>
          <w:lang w:val="en-US" w:eastAsia="zh-CN" w:bidi="th-TH"/>
        </w:rPr>
      </w:pPr>
      <w:r w:rsidRPr="00AB1B3C">
        <w:rPr>
          <w:rFonts w:eastAsia="Times New Roman" w:cs="Times New Roman"/>
          <w:szCs w:val="24"/>
          <w:lang w:val="en-US" w:eastAsia="zh-CN" w:bidi="th-TH"/>
        </w:rPr>
        <w:t>The fundi</w:t>
      </w:r>
      <w:r>
        <w:rPr>
          <w:rFonts w:eastAsia="Times New Roman" w:cs="Times New Roman"/>
          <w:szCs w:val="24"/>
          <w:lang w:val="en-US" w:eastAsia="zh-CN" w:bidi="th-TH"/>
        </w:rPr>
        <w:t>ng round will be finalised when</w:t>
      </w:r>
      <w:r w:rsidR="009C72CA">
        <w:rPr>
          <w:rFonts w:eastAsia="Times New Roman" w:cs="Times New Roman"/>
          <w:szCs w:val="24"/>
          <w:lang w:val="en-US" w:eastAsia="zh-CN" w:bidi="th-TH"/>
        </w:rPr>
        <w:t xml:space="preserve"> either:</w:t>
      </w:r>
    </w:p>
    <w:p w14:paraId="6B0E4E0D" w14:textId="53D38B4E" w:rsidR="009C72CA" w:rsidRPr="00A222F2" w:rsidRDefault="00202866" w:rsidP="009C5BF1">
      <w:pPr>
        <w:pStyle w:val="ListParagraph"/>
        <w:numPr>
          <w:ilvl w:val="0"/>
          <w:numId w:val="5"/>
        </w:numPr>
        <w:spacing w:before="240"/>
        <w:rPr>
          <w:lang w:eastAsia="zh-CN" w:bidi="th-TH"/>
        </w:rPr>
      </w:pPr>
      <w:r w:rsidRPr="00A222F2">
        <w:rPr>
          <w:lang w:eastAsia="zh-CN" w:bidi="th-TH"/>
        </w:rPr>
        <w:t>all available funding is allocat</w:t>
      </w:r>
      <w:r w:rsidR="009C72CA" w:rsidRPr="00A222F2">
        <w:rPr>
          <w:lang w:eastAsia="zh-CN" w:bidi="th-TH"/>
        </w:rPr>
        <w:t>ed to successful applicants; or</w:t>
      </w:r>
    </w:p>
    <w:p w14:paraId="46DF93BC" w14:textId="0186734F" w:rsidR="00202866" w:rsidRPr="00A222F2" w:rsidRDefault="00202866" w:rsidP="009C5BF1">
      <w:pPr>
        <w:pStyle w:val="ListParagraph"/>
        <w:numPr>
          <w:ilvl w:val="0"/>
          <w:numId w:val="5"/>
        </w:numPr>
        <w:spacing w:after="240"/>
        <w:ind w:left="714" w:hanging="357"/>
        <w:contextualSpacing w:val="0"/>
        <w:rPr>
          <w:lang w:eastAsia="zh-CN" w:bidi="th-TH"/>
        </w:rPr>
      </w:pPr>
      <w:r w:rsidRPr="00A222F2">
        <w:rPr>
          <w:lang w:eastAsia="zh-CN" w:bidi="th-TH"/>
        </w:rPr>
        <w:t>the list of suitable applicants is exhausted, in which case a subsequent open round may be held to allocate remaining funds.</w:t>
      </w:r>
    </w:p>
    <w:p w14:paraId="6DC8BE47" w14:textId="77777777" w:rsidR="001732E7" w:rsidRPr="00D17F56" w:rsidRDefault="001732E7" w:rsidP="00DF7FAC">
      <w:r w:rsidRPr="00D17F56">
        <w:t>The bulk of the grant funding will be available through:</w:t>
      </w:r>
    </w:p>
    <w:p w14:paraId="4938AE91" w14:textId="1208A1FC" w:rsidR="006B5169" w:rsidRPr="00835AEF" w:rsidRDefault="006B5169" w:rsidP="00835AEF">
      <w:pPr>
        <w:pStyle w:val="H2nonumbers"/>
      </w:pPr>
      <w:bookmarkStart w:id="117" w:name="_Toc427755022"/>
      <w:bookmarkStart w:id="118" w:name="_Toc427755278"/>
      <w:bookmarkStart w:id="119" w:name="_Toc427755352"/>
      <w:r w:rsidRPr="00835AEF">
        <w:t>Targeted</w:t>
      </w:r>
      <w:r w:rsidR="00A53FD3" w:rsidRPr="00835AEF">
        <w:t xml:space="preserve"> or restricted funding</w:t>
      </w:r>
      <w:r w:rsidR="002804F4" w:rsidRPr="00835AEF">
        <w:t xml:space="preserve"> rounds</w:t>
      </w:r>
      <w:bookmarkEnd w:id="117"/>
      <w:bookmarkEnd w:id="118"/>
      <w:bookmarkEnd w:id="119"/>
    </w:p>
    <w:p w14:paraId="1E8DC56C" w14:textId="77777777" w:rsidR="0034794B" w:rsidRPr="00CD4351" w:rsidRDefault="0034794B" w:rsidP="00DF7FAC">
      <w:r w:rsidRPr="00A81E15">
        <w:t xml:space="preserve">Funding through targeted </w:t>
      </w:r>
      <w:r w:rsidR="00A53FD3">
        <w:t xml:space="preserve">or restricted </w:t>
      </w:r>
      <w:r w:rsidRPr="00A81E15">
        <w:t>competitive funding rounds will open and close on nominated dates</w:t>
      </w:r>
      <w:r w:rsidRPr="00CD4351">
        <w:t xml:space="preserve">. These grant rounds will be open to a small number of potential funding recipients based on the specialised requirements of the </w:t>
      </w:r>
      <w:r w:rsidR="00A53FD3">
        <w:t>granting activity</w:t>
      </w:r>
      <w:r w:rsidRPr="00CD4351">
        <w:t xml:space="preserve"> or project under consideration. </w:t>
      </w:r>
    </w:p>
    <w:p w14:paraId="0B997250" w14:textId="77777777" w:rsidR="005D3DD5" w:rsidRDefault="00621BAF" w:rsidP="00DF7FAC">
      <w:pPr>
        <w:rPr>
          <w:lang w:val="en-US" w:eastAsia="zh-CN" w:bidi="th-TH"/>
        </w:rPr>
      </w:pPr>
      <w:r w:rsidRPr="00AB1B3C">
        <w:rPr>
          <w:lang w:val="en-US" w:eastAsia="zh-CN" w:bidi="th-TH"/>
        </w:rPr>
        <w:t>The fundi</w:t>
      </w:r>
      <w:r>
        <w:rPr>
          <w:lang w:val="en-US" w:eastAsia="zh-CN" w:bidi="th-TH"/>
        </w:rPr>
        <w:t>ng round will be finalised when</w:t>
      </w:r>
      <w:r w:rsidR="005D3DD5">
        <w:rPr>
          <w:lang w:val="en-US" w:eastAsia="zh-CN" w:bidi="th-TH"/>
        </w:rPr>
        <w:t xml:space="preserve"> either:</w:t>
      </w:r>
    </w:p>
    <w:p w14:paraId="69FF9C84" w14:textId="195C6E44" w:rsidR="005D3DD5" w:rsidRPr="005D3DD5" w:rsidRDefault="00621BAF" w:rsidP="009C5BF1">
      <w:pPr>
        <w:pStyle w:val="ListParagraph"/>
        <w:numPr>
          <w:ilvl w:val="0"/>
          <w:numId w:val="22"/>
        </w:numPr>
        <w:rPr>
          <w:lang w:eastAsia="zh-CN" w:bidi="th-TH"/>
        </w:rPr>
      </w:pPr>
      <w:r w:rsidRPr="005D3DD5">
        <w:rPr>
          <w:lang w:eastAsia="zh-CN" w:bidi="th-TH"/>
        </w:rPr>
        <w:t>all available funding is allocat</w:t>
      </w:r>
      <w:r w:rsidR="005D3DD5" w:rsidRPr="005D3DD5">
        <w:rPr>
          <w:lang w:eastAsia="zh-CN" w:bidi="th-TH"/>
        </w:rPr>
        <w:t>ed to successful applicants; or</w:t>
      </w:r>
    </w:p>
    <w:p w14:paraId="5DBBAE39" w14:textId="0B518EE4" w:rsidR="00621BAF" w:rsidRPr="005D3DD5" w:rsidRDefault="00621BAF" w:rsidP="009C5BF1">
      <w:pPr>
        <w:pStyle w:val="ListParagraph"/>
        <w:numPr>
          <w:ilvl w:val="0"/>
          <w:numId w:val="22"/>
        </w:numPr>
        <w:spacing w:after="240"/>
        <w:ind w:left="714" w:hanging="357"/>
        <w:contextualSpacing w:val="0"/>
        <w:rPr>
          <w:lang w:eastAsia="zh-CN" w:bidi="th-TH"/>
        </w:rPr>
      </w:pPr>
      <w:r w:rsidRPr="005D3DD5">
        <w:rPr>
          <w:lang w:eastAsia="zh-CN" w:bidi="th-TH"/>
        </w:rPr>
        <w:t xml:space="preserve">the list of suitable applicants is exhausted, in which case a subsequent open </w:t>
      </w:r>
      <w:r w:rsidR="002804F4" w:rsidRPr="005D3DD5">
        <w:rPr>
          <w:lang w:eastAsia="zh-CN" w:bidi="th-TH"/>
        </w:rPr>
        <w:t xml:space="preserve">competitive </w:t>
      </w:r>
      <w:r w:rsidRPr="005D3DD5">
        <w:rPr>
          <w:lang w:eastAsia="zh-CN" w:bidi="th-TH"/>
        </w:rPr>
        <w:t>round may be held to allocate remaining funds.</w:t>
      </w:r>
    </w:p>
    <w:p w14:paraId="6FB00263" w14:textId="77777777" w:rsidR="009D6E0D" w:rsidRPr="006B5169" w:rsidRDefault="009D6E0D" w:rsidP="00835AEF">
      <w:pPr>
        <w:pStyle w:val="H2nonumbers"/>
        <w:rPr>
          <w:lang w:eastAsia="en-AU"/>
        </w:rPr>
      </w:pPr>
      <w:bookmarkStart w:id="120" w:name="_Toc427755023"/>
      <w:bookmarkStart w:id="121" w:name="_Toc427755279"/>
      <w:bookmarkStart w:id="122" w:name="_Toc427755353"/>
      <w:r w:rsidRPr="006B5169">
        <w:rPr>
          <w:lang w:eastAsia="en-AU"/>
        </w:rPr>
        <w:t>Procurement</w:t>
      </w:r>
      <w:bookmarkEnd w:id="120"/>
      <w:bookmarkEnd w:id="121"/>
      <w:bookmarkEnd w:id="122"/>
    </w:p>
    <w:p w14:paraId="4E588B5F" w14:textId="23956DCC" w:rsidR="009D6E0D" w:rsidRDefault="009D6E0D" w:rsidP="00DF7FAC">
      <w:r w:rsidRPr="006B5169">
        <w:t xml:space="preserve">Funds may also be used for the procurement of work directly related to the purpose of the </w:t>
      </w:r>
      <w:r w:rsidR="00A25AF5">
        <w:t>Activity</w:t>
      </w:r>
      <w:r w:rsidRPr="00A53FD3">
        <w:t>.</w:t>
      </w:r>
      <w:r w:rsidRPr="006B5169">
        <w:t xml:space="preserve">  Such procurements will be undertaken in accordance with the requirements of the Commonwealth Procurement Rules and will be for purposes that are consistent with the objectives and priorities of the</w:t>
      </w:r>
      <w:r w:rsidRPr="00A63178">
        <w:t xml:space="preserve"> </w:t>
      </w:r>
      <w:r w:rsidR="00A25AF5">
        <w:t>Activity</w:t>
      </w:r>
      <w:r w:rsidRPr="00A53FD3">
        <w:t>.</w:t>
      </w:r>
      <w:r>
        <w:t xml:space="preserve"> </w:t>
      </w:r>
      <w:r w:rsidRPr="00FA0FC9">
        <w:t xml:space="preserve">The Department will establish the National Best Practice Unit through a procurement process using </w:t>
      </w:r>
      <w:r w:rsidR="00A25AF5">
        <w:t>Activity</w:t>
      </w:r>
      <w:r w:rsidRPr="00FA0FC9">
        <w:t xml:space="preserve"> funds.</w:t>
      </w:r>
    </w:p>
    <w:p w14:paraId="6B2AB729" w14:textId="1226D610" w:rsidR="00884CFB" w:rsidRPr="00D17F56" w:rsidRDefault="00884CFB" w:rsidP="00DF7FAC">
      <w:r w:rsidRPr="00D17F56">
        <w:t xml:space="preserve">Other opportunities for grant funding </w:t>
      </w:r>
      <w:r w:rsidR="002804F4">
        <w:t>may</w:t>
      </w:r>
      <w:r w:rsidR="002804F4" w:rsidRPr="00D17F56">
        <w:t xml:space="preserve"> </w:t>
      </w:r>
      <w:r w:rsidRPr="00D17F56">
        <w:t>be available through:</w:t>
      </w:r>
    </w:p>
    <w:p w14:paraId="012D015C" w14:textId="6F68B1CE" w:rsidR="009D6E0D" w:rsidRDefault="009D6E0D" w:rsidP="00835AEF">
      <w:pPr>
        <w:pStyle w:val="H2nonumbers"/>
      </w:pPr>
      <w:bookmarkStart w:id="123" w:name="_Toc427755024"/>
      <w:bookmarkStart w:id="124" w:name="_Toc427755280"/>
      <w:bookmarkStart w:id="125" w:name="_Toc427755354"/>
      <w:r>
        <w:t xml:space="preserve">Open </w:t>
      </w:r>
      <w:r w:rsidR="002804F4">
        <w:t xml:space="preserve">competitive </w:t>
      </w:r>
      <w:r>
        <w:t>funding</w:t>
      </w:r>
      <w:r w:rsidR="002804F4">
        <w:t xml:space="preserve"> rounds</w:t>
      </w:r>
      <w:bookmarkEnd w:id="123"/>
      <w:bookmarkEnd w:id="124"/>
      <w:bookmarkEnd w:id="125"/>
    </w:p>
    <w:p w14:paraId="3699C764" w14:textId="76EEDF6A" w:rsidR="009D6E0D" w:rsidRPr="00B65B0D" w:rsidRDefault="00B65B0D" w:rsidP="00DF7FAC">
      <w:r w:rsidRPr="00972F72">
        <w:t xml:space="preserve">Allocation of any remaining funds, as well as future years’ funding, </w:t>
      </w:r>
      <w:r>
        <w:t>may</w:t>
      </w:r>
      <w:r w:rsidRPr="00972F72">
        <w:t xml:space="preserve"> be through open, competitive</w:t>
      </w:r>
      <w:r w:rsidR="009135A2">
        <w:t xml:space="preserve"> </w:t>
      </w:r>
      <w:r w:rsidR="002804F4">
        <w:t>funding rounds</w:t>
      </w:r>
      <w:r w:rsidRPr="00972F72">
        <w:t xml:space="preserve">, </w:t>
      </w:r>
      <w:r w:rsidR="00621BAF">
        <w:t xml:space="preserve">for a range of purposes such as </w:t>
      </w:r>
      <w:r w:rsidRPr="00972F72">
        <w:t>targeting high-need areas and priorities identified through consultation with the Indigenous Health Partnership Forums.</w:t>
      </w:r>
    </w:p>
    <w:p w14:paraId="44831E2C" w14:textId="365733E4" w:rsidR="006B5169" w:rsidRPr="00835AEF" w:rsidRDefault="003B7BC6" w:rsidP="00835AEF">
      <w:pPr>
        <w:pStyle w:val="Heading1"/>
      </w:pPr>
      <w:bookmarkStart w:id="126" w:name="_Toc427755025"/>
      <w:bookmarkStart w:id="127" w:name="_Toc427755281"/>
      <w:bookmarkStart w:id="128" w:name="_Toc427755355"/>
      <w:r w:rsidRPr="00835AEF">
        <w:t>Application Process</w:t>
      </w:r>
      <w:bookmarkEnd w:id="126"/>
      <w:bookmarkEnd w:id="127"/>
      <w:bookmarkEnd w:id="128"/>
    </w:p>
    <w:p w14:paraId="5D403AC0" w14:textId="77777777" w:rsidR="006B5169" w:rsidRPr="00835AEF" w:rsidRDefault="006B5169" w:rsidP="00835AEF">
      <w:pPr>
        <w:pStyle w:val="Heading2"/>
      </w:pPr>
      <w:bookmarkStart w:id="129" w:name="_Toc427755026"/>
      <w:bookmarkStart w:id="130" w:name="_Toc427755282"/>
      <w:bookmarkStart w:id="131" w:name="_Toc427755356"/>
      <w:r w:rsidRPr="00835AEF">
        <w:lastRenderedPageBreak/>
        <w:t>Obtaining an application pack</w:t>
      </w:r>
      <w:bookmarkEnd w:id="129"/>
      <w:bookmarkEnd w:id="130"/>
      <w:bookmarkEnd w:id="131"/>
    </w:p>
    <w:p w14:paraId="041AB7D0" w14:textId="6B290630" w:rsidR="00120211" w:rsidRDefault="006B5169" w:rsidP="00DF7FAC">
      <w:r w:rsidRPr="006B5169">
        <w:t>The Approach to Market</w:t>
      </w:r>
      <w:r w:rsidR="009135A2">
        <w:t xml:space="preserve"> (ATM)</w:t>
      </w:r>
      <w:r w:rsidRPr="006B5169">
        <w:t xml:space="preserve"> documentation </w:t>
      </w:r>
      <w:r w:rsidR="00D85328">
        <w:t>will be supplied directly to the applicants</w:t>
      </w:r>
      <w:r w:rsidR="002804F4">
        <w:t xml:space="preserve"> for targeted funding rounds</w:t>
      </w:r>
      <w:r w:rsidR="00D85328">
        <w:t xml:space="preserve"> or made publicly available on the department’s </w:t>
      </w:r>
      <w:hyperlink r:id="rId21" w:history="1">
        <w:r w:rsidR="00D85328" w:rsidRPr="002804F4">
          <w:rPr>
            <w:rStyle w:val="Hyperlink"/>
            <w:rFonts w:eastAsia="Times New Roman"/>
            <w:szCs w:val="24"/>
          </w:rPr>
          <w:t>Tenders and Grants website</w:t>
        </w:r>
      </w:hyperlink>
      <w:r w:rsidR="00D85328">
        <w:t xml:space="preserve"> </w:t>
      </w:r>
      <w:r w:rsidR="002804F4">
        <w:t>for open funding rounds.</w:t>
      </w:r>
    </w:p>
    <w:p w14:paraId="7763CC5B" w14:textId="76076487" w:rsidR="006B5169" w:rsidRPr="00835AEF" w:rsidRDefault="006B5169" w:rsidP="00835AEF">
      <w:pPr>
        <w:pStyle w:val="Heading2"/>
      </w:pPr>
      <w:bookmarkStart w:id="132" w:name="_Toc427755027"/>
      <w:bookmarkStart w:id="133" w:name="_Toc427755283"/>
      <w:bookmarkStart w:id="134" w:name="_Toc427755357"/>
      <w:r w:rsidRPr="00835AEF">
        <w:t>Application requirements</w:t>
      </w:r>
      <w:bookmarkEnd w:id="132"/>
      <w:bookmarkEnd w:id="133"/>
      <w:bookmarkEnd w:id="134"/>
    </w:p>
    <w:p w14:paraId="4AA3AC61" w14:textId="77777777" w:rsidR="006B5169" w:rsidRPr="006B5169" w:rsidRDefault="006B5169" w:rsidP="00DF7FAC">
      <w:r w:rsidRPr="006B5169">
        <w:t>Applications should be submitted to the department by the date specified in the approach to market documentation and should meet all the requirements outlined below.</w:t>
      </w:r>
    </w:p>
    <w:p w14:paraId="0418DFAE" w14:textId="77777777" w:rsidR="005B66C3" w:rsidRDefault="006B5169" w:rsidP="00DF7FAC">
      <w:r w:rsidRPr="006B5169">
        <w:t>Applications should address all of the relevant criteria to be considered for funding. These criteria are outlined in the approach to market documentation. It is important to complete each section of the application form and use the checklist to make sure each requirement has been considered.</w:t>
      </w:r>
    </w:p>
    <w:p w14:paraId="4949D2E7" w14:textId="7786F630" w:rsidR="006B5169" w:rsidRPr="00835AEF" w:rsidRDefault="006B5169" w:rsidP="00835AEF">
      <w:pPr>
        <w:pStyle w:val="Heading2"/>
      </w:pPr>
      <w:bookmarkStart w:id="135" w:name="_Toc427755028"/>
      <w:bookmarkStart w:id="136" w:name="_Toc427755284"/>
      <w:bookmarkStart w:id="137" w:name="_Toc427755358"/>
      <w:r w:rsidRPr="00835AEF">
        <w:t>How to submit an application</w:t>
      </w:r>
      <w:bookmarkEnd w:id="135"/>
      <w:bookmarkEnd w:id="136"/>
      <w:bookmarkEnd w:id="137"/>
    </w:p>
    <w:p w14:paraId="302CC6B4" w14:textId="77777777" w:rsidR="006B5169" w:rsidRPr="006B5169" w:rsidRDefault="007C6F61" w:rsidP="00DF7FAC">
      <w:r>
        <w:t xml:space="preserve">Applications </w:t>
      </w:r>
      <w:r w:rsidR="00381B45">
        <w:t xml:space="preserve">must address the eligibility and assessment criteria specified in these guidelines. </w:t>
      </w:r>
      <w:r w:rsidR="006B5169" w:rsidRPr="006B5169">
        <w:t xml:space="preserve">Applications must be submitted </w:t>
      </w:r>
      <w:r w:rsidR="00381B45">
        <w:t xml:space="preserve">in the format </w:t>
      </w:r>
      <w:r w:rsidR="006B5169" w:rsidRPr="006B5169">
        <w:t xml:space="preserve">specified in the Approach to Market documentation. </w:t>
      </w:r>
    </w:p>
    <w:p w14:paraId="40CFB89D" w14:textId="0B812CDC" w:rsidR="006B5169" w:rsidRPr="006B5169" w:rsidRDefault="003B7BC6" w:rsidP="00835AEF">
      <w:pPr>
        <w:pStyle w:val="Heading1"/>
      </w:pPr>
      <w:bookmarkStart w:id="138" w:name="_Toc427755029"/>
      <w:bookmarkStart w:id="139" w:name="_Toc427755285"/>
      <w:bookmarkStart w:id="140" w:name="_Toc427755359"/>
      <w:r>
        <w:t>Selection Process</w:t>
      </w:r>
      <w:bookmarkEnd w:id="138"/>
      <w:bookmarkEnd w:id="139"/>
      <w:bookmarkEnd w:id="140"/>
    </w:p>
    <w:p w14:paraId="62FF41C5" w14:textId="42207D1A" w:rsidR="006B5169" w:rsidRPr="00835AEF" w:rsidRDefault="006B5169" w:rsidP="00835AEF">
      <w:pPr>
        <w:pStyle w:val="Heading2"/>
      </w:pPr>
      <w:bookmarkStart w:id="141" w:name="_Toc427755030"/>
      <w:bookmarkStart w:id="142" w:name="_Toc427755286"/>
      <w:bookmarkStart w:id="143" w:name="_Toc427755360"/>
      <w:r w:rsidRPr="00835AEF">
        <w:t>Assessment process</w:t>
      </w:r>
      <w:bookmarkEnd w:id="141"/>
      <w:bookmarkEnd w:id="142"/>
      <w:bookmarkEnd w:id="143"/>
    </w:p>
    <w:p w14:paraId="7354CD2B" w14:textId="24A53290" w:rsidR="00CA0631" w:rsidRDefault="00CA0631" w:rsidP="00DF7FAC">
      <w:r>
        <w:t xml:space="preserve">The department has established a division that is focused on managing and administering grants. A specialised assessment section has been formed with staff that has a high level of training and expertise in the assessment process. A </w:t>
      </w:r>
      <w:r w:rsidR="00031D9E">
        <w:t>p</w:t>
      </w:r>
      <w:r>
        <w:t>anel will be convened by th</w:t>
      </w:r>
      <w:r w:rsidR="007C6F61">
        <w:t>e</w:t>
      </w:r>
      <w:r>
        <w:t xml:space="preserve"> grant assessment section with a staff member from the relevant policy section, including any relevant technical experts to assist in the assessment process.</w:t>
      </w:r>
      <w:r w:rsidR="002669F5">
        <w:t xml:space="preserve"> </w:t>
      </w:r>
      <w:r>
        <w:t xml:space="preserve">Applications will be assessed against the </w:t>
      </w:r>
      <w:r w:rsidR="007C6F61">
        <w:t xml:space="preserve">eligibility and </w:t>
      </w:r>
      <w:r>
        <w:t xml:space="preserve">selection criteria to select shortlisted applicants and </w:t>
      </w:r>
      <w:r w:rsidR="007C6F61">
        <w:t xml:space="preserve">to </w:t>
      </w:r>
      <w:r>
        <w:t>create a merit list.</w:t>
      </w:r>
      <w:r w:rsidR="002669F5">
        <w:t xml:space="preserve"> </w:t>
      </w:r>
      <w:r>
        <w:t>Any non-APS members or independent advi</w:t>
      </w:r>
      <w:r w:rsidR="002669F5">
        <w:t>sers invited to provide ‘expert’</w:t>
      </w:r>
      <w:r>
        <w:t xml:space="preserve"> advice to the Assessment Committee will be treated as agency staff as per Part 1, section 2.8 of the CGRGs.</w:t>
      </w:r>
    </w:p>
    <w:p w14:paraId="174FF252" w14:textId="1FDF5740" w:rsidR="006B5169" w:rsidRPr="006B5169" w:rsidRDefault="006B5169" w:rsidP="00DF7FAC">
      <w:pPr>
        <w:rPr>
          <w:rFonts w:eastAsia="Times New Roman"/>
        </w:rPr>
      </w:pPr>
      <w:r w:rsidRPr="006B5169">
        <w:rPr>
          <w:rFonts w:eastAsia="Times New Roman"/>
        </w:rPr>
        <w:t>The selection process is undertaken in two stages.</w:t>
      </w:r>
    </w:p>
    <w:p w14:paraId="710FE577" w14:textId="61AA08BF" w:rsidR="006B5169" w:rsidRPr="00835AEF" w:rsidRDefault="006B5169" w:rsidP="00835AEF">
      <w:pPr>
        <w:pStyle w:val="H3nonumbers"/>
      </w:pPr>
      <w:bookmarkStart w:id="144" w:name="_Toc427755031"/>
      <w:bookmarkStart w:id="145" w:name="_Toc427755287"/>
      <w:bookmarkStart w:id="146" w:name="_Toc427755361"/>
      <w:r w:rsidRPr="00835AEF">
        <w:t xml:space="preserve">Stage 1 </w:t>
      </w:r>
      <w:r w:rsidR="002804F4" w:rsidRPr="00835AEF">
        <w:t xml:space="preserve">– </w:t>
      </w:r>
      <w:r w:rsidRPr="00835AEF">
        <w:t>Eligibility Criteria</w:t>
      </w:r>
      <w:bookmarkEnd w:id="144"/>
      <w:bookmarkEnd w:id="145"/>
      <w:bookmarkEnd w:id="146"/>
    </w:p>
    <w:p w14:paraId="09E2F07C" w14:textId="77777777" w:rsidR="006B5169" w:rsidRPr="006B5169" w:rsidRDefault="006B5169" w:rsidP="00DF7FAC">
      <w:r w:rsidRPr="006B5169">
        <w:t>Each applicant must satisfy all Eligibility Criteria</w:t>
      </w:r>
      <w:r w:rsidR="00381B45">
        <w:t xml:space="preserve"> </w:t>
      </w:r>
      <w:r w:rsidRPr="006B5169">
        <w:t xml:space="preserve">in order to be considered for further assessment. This will be determined by the Assessment Committee. </w:t>
      </w:r>
    </w:p>
    <w:p w14:paraId="62306809" w14:textId="3169B382" w:rsidR="006B5169" w:rsidRPr="00835AEF" w:rsidRDefault="006B5169" w:rsidP="00835AEF">
      <w:pPr>
        <w:pStyle w:val="H3nonumbers"/>
      </w:pPr>
      <w:bookmarkStart w:id="147" w:name="_Toc427755032"/>
      <w:bookmarkStart w:id="148" w:name="_Toc427755288"/>
      <w:bookmarkStart w:id="149" w:name="_Toc427755362"/>
      <w:r w:rsidRPr="00835AEF">
        <w:t xml:space="preserve">Stage 2 – </w:t>
      </w:r>
      <w:r w:rsidR="00200629" w:rsidRPr="00835AEF">
        <w:t>Selection</w:t>
      </w:r>
      <w:r w:rsidRPr="00835AEF">
        <w:t xml:space="preserve"> Criteria</w:t>
      </w:r>
      <w:bookmarkEnd w:id="147"/>
      <w:bookmarkEnd w:id="148"/>
      <w:bookmarkEnd w:id="149"/>
    </w:p>
    <w:p w14:paraId="76141ACD" w14:textId="531E6199" w:rsidR="006B5169" w:rsidRDefault="006B5169" w:rsidP="00DF7FAC">
      <w:r w:rsidRPr="006B5169">
        <w:t xml:space="preserve">Only applications that satisfy all Eligibility Criteria (if any) will proceed to Stage 2. Applications will then be assessed </w:t>
      </w:r>
      <w:r w:rsidR="002804F4">
        <w:t xml:space="preserve">against the selection criteria </w:t>
      </w:r>
      <w:r w:rsidRPr="006B5169">
        <w:t xml:space="preserve">to ensure </w:t>
      </w:r>
      <w:r w:rsidR="009F2C3F">
        <w:t>value with relevant</w:t>
      </w:r>
      <w:r w:rsidRPr="006B5169">
        <w:t xml:space="preserve"> money is achieved in line with the aims and objectives of the </w:t>
      </w:r>
      <w:r w:rsidR="00A25AF5">
        <w:t>Activity</w:t>
      </w:r>
      <w:r w:rsidRPr="006B5169">
        <w:t>.</w:t>
      </w:r>
    </w:p>
    <w:p w14:paraId="7C551C23" w14:textId="02C2A4CB" w:rsidR="006B5169" w:rsidRPr="00835AEF" w:rsidRDefault="00200629" w:rsidP="00835AEF">
      <w:pPr>
        <w:pStyle w:val="Heading2"/>
      </w:pPr>
      <w:bookmarkStart w:id="150" w:name="_Ref425181324"/>
      <w:bookmarkStart w:id="151" w:name="_Toc427755033"/>
      <w:bookmarkStart w:id="152" w:name="_Toc427755289"/>
      <w:bookmarkStart w:id="153" w:name="_Toc427755363"/>
      <w:r w:rsidRPr="00835AEF">
        <w:t xml:space="preserve">Selection </w:t>
      </w:r>
      <w:r w:rsidR="006B5169" w:rsidRPr="00835AEF">
        <w:t>Criteria</w:t>
      </w:r>
      <w:bookmarkEnd w:id="150"/>
      <w:bookmarkEnd w:id="151"/>
      <w:bookmarkEnd w:id="152"/>
      <w:bookmarkEnd w:id="153"/>
    </w:p>
    <w:p w14:paraId="682559AE" w14:textId="489A7677" w:rsidR="00D85328" w:rsidRPr="0018425D" w:rsidRDefault="008221AB" w:rsidP="00DF7FAC">
      <w:r w:rsidRPr="00A63178">
        <w:rPr>
          <w:lang w:eastAsia="zh-CN" w:bidi="th-TH"/>
        </w:rPr>
        <w:t>Applications for funding under</w:t>
      </w:r>
      <w:r w:rsidR="00F43895" w:rsidRPr="00A63178">
        <w:rPr>
          <w:lang w:eastAsia="zh-CN" w:bidi="th-TH"/>
        </w:rPr>
        <w:t xml:space="preserve"> the</w:t>
      </w:r>
      <w:r w:rsidRPr="00A63178">
        <w:rPr>
          <w:lang w:eastAsia="zh-CN" w:bidi="th-TH"/>
        </w:rPr>
        <w:t xml:space="preserve"> </w:t>
      </w:r>
      <w:r w:rsidR="00A25AF5">
        <w:rPr>
          <w:lang w:eastAsia="zh-CN" w:bidi="th-TH"/>
        </w:rPr>
        <w:t>Activity</w:t>
      </w:r>
      <w:r w:rsidRPr="00A63178">
        <w:rPr>
          <w:lang w:eastAsia="zh-CN" w:bidi="th-TH"/>
        </w:rPr>
        <w:t xml:space="preserve"> will be assessed against the </w:t>
      </w:r>
      <w:r w:rsidR="002C2E9B" w:rsidRPr="00A63178">
        <w:rPr>
          <w:lang w:eastAsia="zh-CN" w:bidi="th-TH"/>
        </w:rPr>
        <w:t xml:space="preserve">criteria </w:t>
      </w:r>
      <w:r w:rsidRPr="00A63178">
        <w:rPr>
          <w:lang w:eastAsia="zh-CN" w:bidi="th-TH"/>
        </w:rPr>
        <w:t xml:space="preserve">outlined in the </w:t>
      </w:r>
      <w:r w:rsidR="0018425D">
        <w:rPr>
          <w:lang w:eastAsia="zh-CN" w:bidi="th-TH"/>
        </w:rPr>
        <w:t>Application Form</w:t>
      </w:r>
      <w:r w:rsidR="00DF7FAC">
        <w:rPr>
          <w:lang w:eastAsia="zh-CN" w:bidi="th-TH"/>
        </w:rPr>
        <w:t>.</w:t>
      </w:r>
    </w:p>
    <w:p w14:paraId="7BEE68DC" w14:textId="0E00A868" w:rsidR="00450EAA" w:rsidRPr="00381B45" w:rsidRDefault="00450EAA" w:rsidP="00DF7FAC">
      <w:pPr>
        <w:rPr>
          <w:rFonts w:eastAsia="Calibri"/>
          <w:bCs/>
        </w:rPr>
      </w:pPr>
      <w:r w:rsidRPr="00381B45">
        <w:rPr>
          <w:szCs w:val="20"/>
        </w:rPr>
        <w:lastRenderedPageBreak/>
        <w:t xml:space="preserve">All </w:t>
      </w:r>
      <w:r w:rsidR="00200629">
        <w:rPr>
          <w:szCs w:val="20"/>
        </w:rPr>
        <w:t>selection</w:t>
      </w:r>
      <w:r w:rsidRPr="00381B45">
        <w:rPr>
          <w:szCs w:val="20"/>
        </w:rPr>
        <w:t xml:space="preserve"> criteria will be appraised against the </w:t>
      </w:r>
      <w:r w:rsidR="00A25AF5">
        <w:rPr>
          <w:szCs w:val="20"/>
        </w:rPr>
        <w:t>Activity</w:t>
      </w:r>
      <w:r w:rsidRPr="00381B45">
        <w:rPr>
          <w:szCs w:val="20"/>
        </w:rPr>
        <w:t xml:space="preserve"> objectives and its policy priority(ies). The </w:t>
      </w:r>
      <w:r w:rsidR="00200629">
        <w:rPr>
          <w:szCs w:val="20"/>
        </w:rPr>
        <w:t>selection</w:t>
      </w:r>
      <w:r w:rsidRPr="00381B45">
        <w:rPr>
          <w:szCs w:val="20"/>
        </w:rPr>
        <w:t xml:space="preserve"> cr</w:t>
      </w:r>
      <w:r w:rsidR="006B60D6">
        <w:rPr>
          <w:szCs w:val="20"/>
        </w:rPr>
        <w:t>iteria identify</w:t>
      </w:r>
      <w:r w:rsidRPr="00381B45">
        <w:rPr>
          <w:szCs w:val="20"/>
        </w:rPr>
        <w:t xml:space="preserve"> those applicants with the capability to best meet the focus of this Invitation to Apply and the relevant </w:t>
      </w:r>
      <w:r w:rsidR="00A63178">
        <w:rPr>
          <w:szCs w:val="20"/>
        </w:rPr>
        <w:t>objectives</w:t>
      </w:r>
      <w:r w:rsidRPr="00381B45">
        <w:rPr>
          <w:szCs w:val="20"/>
        </w:rPr>
        <w:t xml:space="preserve"> of the </w:t>
      </w:r>
      <w:r w:rsidR="00A25AF5">
        <w:rPr>
          <w:szCs w:val="20"/>
        </w:rPr>
        <w:t>Activity</w:t>
      </w:r>
      <w:r w:rsidR="00381B45" w:rsidRPr="00381B45">
        <w:rPr>
          <w:szCs w:val="20"/>
        </w:rPr>
        <w:t>.</w:t>
      </w:r>
      <w:r w:rsidRPr="00381B45">
        <w:rPr>
          <w:szCs w:val="20"/>
        </w:rPr>
        <w:t xml:space="preserve"> </w:t>
      </w:r>
      <w:r w:rsidRPr="00381B45">
        <w:rPr>
          <w:rFonts w:eastAsia="Calibri"/>
          <w:bCs/>
        </w:rPr>
        <w:t xml:space="preserve">The assessment against the criteria will be used to identify those applicants with the capacity to best meet the priorities of the </w:t>
      </w:r>
      <w:r w:rsidR="00A25AF5">
        <w:rPr>
          <w:rFonts w:eastAsia="Calibri"/>
          <w:bCs/>
        </w:rPr>
        <w:t>Activity</w:t>
      </w:r>
      <w:r w:rsidRPr="00381B45">
        <w:rPr>
          <w:rFonts w:eastAsia="Calibri"/>
          <w:bCs/>
        </w:rPr>
        <w:t>.</w:t>
      </w:r>
      <w:r w:rsidRPr="00381B45" w:rsidDel="003055CC">
        <w:rPr>
          <w:rFonts w:eastAsia="Calibri"/>
          <w:bCs/>
        </w:rPr>
        <w:t xml:space="preserve"> </w:t>
      </w:r>
    </w:p>
    <w:p w14:paraId="0439BB68" w14:textId="17DA7DAB" w:rsidR="00120211" w:rsidRDefault="00450EAA" w:rsidP="00DF7FAC">
      <w:r w:rsidRPr="008221AB">
        <w:t>To assist with the appraisal of an application, clarifying information may be requested by the department. Applicants will be notified by email or post where this is required.</w:t>
      </w:r>
    </w:p>
    <w:p w14:paraId="4F931F18" w14:textId="1D0602C0" w:rsidR="002804F4" w:rsidRPr="00835AEF" w:rsidRDefault="002804F4" w:rsidP="00835AEF">
      <w:pPr>
        <w:pStyle w:val="H3nonumbers"/>
      </w:pPr>
      <w:bookmarkStart w:id="154" w:name="_Toc427755034"/>
      <w:bookmarkStart w:id="155" w:name="_Toc427755290"/>
      <w:bookmarkStart w:id="156" w:name="_Toc427755364"/>
      <w:r w:rsidRPr="00835AEF">
        <w:t>Value with Relevant Money</w:t>
      </w:r>
      <w:bookmarkEnd w:id="154"/>
      <w:bookmarkEnd w:id="155"/>
      <w:bookmarkEnd w:id="156"/>
    </w:p>
    <w:p w14:paraId="48AC89D9" w14:textId="77777777" w:rsidR="005369BC" w:rsidRPr="005369BC" w:rsidRDefault="005369BC" w:rsidP="00DF7FAC">
      <w:r w:rsidRPr="005369BC">
        <w:t>All funds provided under the Programme for grants and procurement activities are considered relevant money.  The Australian Government is required to make proper use of public resources, including achieving value with relevant money.  The department considers the following factors in assessing whether a grant will achieve value with relevant money:</w:t>
      </w:r>
    </w:p>
    <w:p w14:paraId="1E312E9D" w14:textId="610FF348" w:rsidR="005369BC" w:rsidRPr="00FB2EBA" w:rsidRDefault="005369BC" w:rsidP="009C5BF1">
      <w:pPr>
        <w:pStyle w:val="ListParagraph"/>
        <w:numPr>
          <w:ilvl w:val="0"/>
          <w:numId w:val="18"/>
        </w:numPr>
      </w:pPr>
      <w:r w:rsidRPr="005369BC">
        <w:t>how well the application aligns with the outcomes and objectives of the Programme and the Australian Government’s current health priorities;</w:t>
      </w:r>
    </w:p>
    <w:p w14:paraId="5FD5FC46" w14:textId="3DE97A35" w:rsidR="005369BC" w:rsidRPr="005369BC" w:rsidRDefault="005369BC" w:rsidP="009C5BF1">
      <w:pPr>
        <w:pStyle w:val="ListParagraph"/>
        <w:numPr>
          <w:ilvl w:val="0"/>
          <w:numId w:val="18"/>
        </w:numPr>
      </w:pPr>
      <w:r w:rsidRPr="005369BC">
        <w:t>whether the requested grant will achieve something worthwhile that would not occur without the grant;</w:t>
      </w:r>
    </w:p>
    <w:p w14:paraId="2F3BEEF5" w14:textId="083CFDBE" w:rsidR="005369BC" w:rsidRPr="005369BC" w:rsidRDefault="005369BC" w:rsidP="009C5BF1">
      <w:pPr>
        <w:pStyle w:val="ListParagraph"/>
        <w:numPr>
          <w:ilvl w:val="0"/>
          <w:numId w:val="18"/>
        </w:numPr>
      </w:pPr>
      <w:r w:rsidRPr="005369BC">
        <w:t>the applicant’s relevant skills and prior experience delivering similar activities;</w:t>
      </w:r>
    </w:p>
    <w:p w14:paraId="294B0B91" w14:textId="54E17CD9" w:rsidR="005369BC" w:rsidRPr="005369BC" w:rsidRDefault="005369BC" w:rsidP="009C5BF1">
      <w:pPr>
        <w:pStyle w:val="ListParagraph"/>
        <w:numPr>
          <w:ilvl w:val="0"/>
          <w:numId w:val="18"/>
        </w:numPr>
      </w:pPr>
      <w:r w:rsidRPr="005369BC">
        <w:t>the applicant’s past performance in delivering grant activities funded by the Commonwealth;</w:t>
      </w:r>
    </w:p>
    <w:p w14:paraId="3F0775FE" w14:textId="58099BB5" w:rsidR="005369BC" w:rsidRPr="005369BC" w:rsidRDefault="005369BC" w:rsidP="009C5BF1">
      <w:pPr>
        <w:pStyle w:val="ListParagraph"/>
        <w:numPr>
          <w:ilvl w:val="0"/>
          <w:numId w:val="18"/>
        </w:numPr>
      </w:pPr>
      <w:r w:rsidRPr="005369BC">
        <w:t>referee reports;</w:t>
      </w:r>
    </w:p>
    <w:p w14:paraId="1C467395" w14:textId="4530EE87" w:rsidR="005369BC" w:rsidRPr="005369BC" w:rsidRDefault="005369BC" w:rsidP="009C5BF1">
      <w:pPr>
        <w:pStyle w:val="ListParagraph"/>
        <w:numPr>
          <w:ilvl w:val="0"/>
          <w:numId w:val="18"/>
        </w:numPr>
      </w:pPr>
      <w:r w:rsidRPr="005369BC">
        <w:t>the systems and procedures that the applicant has in place for effectively managing grant funds and achieving objectives;</w:t>
      </w:r>
    </w:p>
    <w:p w14:paraId="55CCDA98" w14:textId="62C4E35C" w:rsidR="005369BC" w:rsidRPr="005369BC" w:rsidRDefault="005369BC" w:rsidP="009C5BF1">
      <w:pPr>
        <w:pStyle w:val="ListParagraph"/>
        <w:numPr>
          <w:ilvl w:val="0"/>
          <w:numId w:val="18"/>
        </w:numPr>
      </w:pPr>
      <w:r w:rsidRPr="005369BC">
        <w:t>the applicant’s approach to risk management;</w:t>
      </w:r>
    </w:p>
    <w:p w14:paraId="2EEACD4A" w14:textId="283E5A17" w:rsidR="005369BC" w:rsidRPr="005369BC" w:rsidRDefault="005369BC" w:rsidP="009C5BF1">
      <w:pPr>
        <w:pStyle w:val="ListParagraph"/>
        <w:numPr>
          <w:ilvl w:val="0"/>
          <w:numId w:val="18"/>
        </w:numPr>
      </w:pPr>
      <w:r w:rsidRPr="005369BC">
        <w:t>the quantum of funds requested to d</w:t>
      </w:r>
      <w:r>
        <w:t>eliver the grant activities;</w:t>
      </w:r>
    </w:p>
    <w:p w14:paraId="5A1CC6DD" w14:textId="6800BD35" w:rsidR="002804F4" w:rsidRDefault="005369BC" w:rsidP="009C5BF1">
      <w:pPr>
        <w:pStyle w:val="ListParagraph"/>
        <w:numPr>
          <w:ilvl w:val="0"/>
          <w:numId w:val="18"/>
        </w:numPr>
      </w:pPr>
      <w:r w:rsidRPr="005369BC">
        <w:t>the allocation of grant funds indicated in any indicative budget that forms part of the funding application</w:t>
      </w:r>
      <w:r>
        <w:t>; and</w:t>
      </w:r>
    </w:p>
    <w:p w14:paraId="201F3353" w14:textId="2710F7DF" w:rsidR="005369BC" w:rsidRDefault="005369BC" w:rsidP="009C5BF1">
      <w:pPr>
        <w:pStyle w:val="ListParagraph"/>
        <w:numPr>
          <w:ilvl w:val="0"/>
          <w:numId w:val="18"/>
        </w:numPr>
        <w:spacing w:after="240"/>
        <w:ind w:left="714" w:hanging="357"/>
        <w:contextualSpacing w:val="0"/>
      </w:pPr>
      <w:r>
        <w:t>the geographic and population coverage of the activity.</w:t>
      </w:r>
    </w:p>
    <w:p w14:paraId="51599F0F" w14:textId="1AA1FF22" w:rsidR="0079504A" w:rsidRPr="005369BC" w:rsidRDefault="00627547" w:rsidP="00DF7FAC">
      <w:r>
        <w:t>F</w:t>
      </w:r>
      <w:r w:rsidR="0079504A">
        <w:t>unding agreements will be negotiated to avoid duplication or overlaps in coverage.</w:t>
      </w:r>
    </w:p>
    <w:p w14:paraId="35D74572" w14:textId="7DB491F0" w:rsidR="006B5169" w:rsidRPr="006B5169" w:rsidRDefault="000021CA" w:rsidP="00835AEF">
      <w:pPr>
        <w:pStyle w:val="Heading1"/>
      </w:pPr>
      <w:bookmarkStart w:id="157" w:name="_Toc427755035"/>
      <w:bookmarkStart w:id="158" w:name="_Toc427755291"/>
      <w:bookmarkStart w:id="159" w:name="_Toc427755365"/>
      <w:r w:rsidRPr="006B5169">
        <w:t>Decision</w:t>
      </w:r>
      <w:r>
        <w:t xml:space="preserve"> Making</w:t>
      </w:r>
      <w:bookmarkEnd w:id="157"/>
      <w:bookmarkEnd w:id="158"/>
      <w:bookmarkEnd w:id="159"/>
    </w:p>
    <w:p w14:paraId="1E8FF6E4" w14:textId="2DA0ABA1" w:rsidR="006B5169" w:rsidRPr="006B5169" w:rsidRDefault="006B5169" w:rsidP="00835AEF">
      <w:pPr>
        <w:pStyle w:val="Heading2"/>
      </w:pPr>
      <w:bookmarkStart w:id="160" w:name="_Toc427755036"/>
      <w:bookmarkStart w:id="161" w:name="_Toc427755292"/>
      <w:bookmarkStart w:id="162" w:name="_Toc427755366"/>
      <w:r w:rsidRPr="006B5169">
        <w:t>Approval of funding</w:t>
      </w:r>
      <w:bookmarkEnd w:id="160"/>
      <w:bookmarkEnd w:id="161"/>
      <w:bookmarkEnd w:id="162"/>
    </w:p>
    <w:p w14:paraId="13FF3F74" w14:textId="77777777" w:rsidR="006B5169" w:rsidRPr="00381B45" w:rsidRDefault="006B5169" w:rsidP="00DF7FAC">
      <w:r w:rsidRPr="00381B45">
        <w:t xml:space="preserve">Following an assessment of the applications by the assessment </w:t>
      </w:r>
      <w:r w:rsidR="007C6F61">
        <w:t>panel</w:t>
      </w:r>
      <w:r w:rsidRPr="00381B45">
        <w:t xml:space="preserve">, advice will be provided by the </w:t>
      </w:r>
      <w:r w:rsidR="007C6F61">
        <w:t>panel</w:t>
      </w:r>
      <w:r w:rsidRPr="00381B45">
        <w:t xml:space="preserve"> chair to the funding </w:t>
      </w:r>
      <w:r w:rsidR="007C6F61">
        <w:t>A</w:t>
      </w:r>
      <w:r w:rsidRPr="00381B45">
        <w:t>pprover on the merits of the application/s.</w:t>
      </w:r>
    </w:p>
    <w:p w14:paraId="42320894" w14:textId="77777777" w:rsidR="006B5169" w:rsidRPr="00381B45" w:rsidRDefault="006B5169" w:rsidP="00DF7FAC">
      <w:r w:rsidRPr="00381B45">
        <w:t xml:space="preserve">The </w:t>
      </w:r>
      <w:r w:rsidR="007C6F61">
        <w:t>A</w:t>
      </w:r>
      <w:r w:rsidRPr="00381B45">
        <w:t>pprover will consider whether the proposal will make an efficient, effective, ethical and economical use of Commonwealth resources, as required by Commonwealth Legislation, and whether any specific requirements will need to be imposed as a condition of funding.</w:t>
      </w:r>
    </w:p>
    <w:p w14:paraId="147FDB87" w14:textId="77777777" w:rsidR="006B5169" w:rsidRDefault="006B5169" w:rsidP="00DF7FAC">
      <w:r w:rsidRPr="00381B45">
        <w:t xml:space="preserve">Funding approval is at the discretion of the </w:t>
      </w:r>
      <w:r w:rsidR="00381B45">
        <w:t>A</w:t>
      </w:r>
      <w:r w:rsidRPr="00381B45">
        <w:t>pprover.</w:t>
      </w:r>
    </w:p>
    <w:p w14:paraId="3C1B41E0" w14:textId="76420370" w:rsidR="006B5169" w:rsidRPr="006B5169" w:rsidRDefault="006B5169" w:rsidP="00835AEF">
      <w:pPr>
        <w:pStyle w:val="Heading2"/>
      </w:pPr>
      <w:bookmarkStart w:id="163" w:name="_Toc427755037"/>
      <w:bookmarkStart w:id="164" w:name="_Toc427755293"/>
      <w:bookmarkStart w:id="165" w:name="_Toc427755367"/>
      <w:r w:rsidRPr="006B5169">
        <w:t>Advice to Applicants</w:t>
      </w:r>
      <w:bookmarkEnd w:id="163"/>
      <w:bookmarkEnd w:id="164"/>
      <w:bookmarkEnd w:id="165"/>
    </w:p>
    <w:p w14:paraId="7CBB0B48" w14:textId="7EE22927" w:rsidR="006B5169" w:rsidRPr="0099263D" w:rsidRDefault="0099263D" w:rsidP="00DF7FAC">
      <w:r w:rsidRPr="0099263D">
        <w:t xml:space="preserve">Funding recipients </w:t>
      </w:r>
      <w:r w:rsidR="006B5169" w:rsidRPr="0099263D">
        <w:t xml:space="preserve">will be advised </w:t>
      </w:r>
      <w:r w:rsidRPr="0099263D">
        <w:t>in writing.</w:t>
      </w:r>
      <w:r w:rsidR="00200629">
        <w:t xml:space="preserve"> </w:t>
      </w:r>
      <w:r w:rsidR="006B5169" w:rsidRPr="0099263D">
        <w:t>Letters to successful applicants will contain details of any specific condi</w:t>
      </w:r>
      <w:r w:rsidR="00200629">
        <w:t xml:space="preserve">tions attached to the funding. </w:t>
      </w:r>
      <w:r w:rsidR="006B5169" w:rsidRPr="0099263D">
        <w:t>Funding approvals will also be listed on the department’s website.</w:t>
      </w:r>
    </w:p>
    <w:p w14:paraId="3DEC66A6" w14:textId="1936A7D4" w:rsidR="006A7ACC" w:rsidRPr="006B5169" w:rsidRDefault="00661E50" w:rsidP="00DF7FAC">
      <w:r>
        <w:lastRenderedPageBreak/>
        <w:t>In the interests of timely notifications, t</w:t>
      </w:r>
      <w:r w:rsidR="006B5169" w:rsidRPr="00555A67">
        <w:t xml:space="preserve">he department will notify applicants </w:t>
      </w:r>
      <w:r>
        <w:t xml:space="preserve">not shortlisted and therefore not progressing, </w:t>
      </w:r>
      <w:r w:rsidR="006B5169" w:rsidRPr="00555A67">
        <w:t xml:space="preserve">at the time that applications are shortlisted. </w:t>
      </w:r>
      <w:r w:rsidR="006A7ACC" w:rsidRPr="006B5169">
        <w:t xml:space="preserve">The department will notify all </w:t>
      </w:r>
      <w:r w:rsidR="006A7ACC">
        <w:t xml:space="preserve">shortlisted but </w:t>
      </w:r>
      <w:r w:rsidR="006A7ACC" w:rsidRPr="006B5169">
        <w:t xml:space="preserve">unsuccessful applicants, in writing, after execution of agreement/s. </w:t>
      </w:r>
    </w:p>
    <w:p w14:paraId="44D014DC" w14:textId="664351FF" w:rsidR="006B5169" w:rsidRPr="006B5169" w:rsidRDefault="006B5169" w:rsidP="00835AEF">
      <w:pPr>
        <w:pStyle w:val="Heading2"/>
      </w:pPr>
      <w:bookmarkStart w:id="166" w:name="_Toc427755038"/>
      <w:bookmarkStart w:id="167" w:name="_Toc427755294"/>
      <w:bookmarkStart w:id="168" w:name="_Toc427755368"/>
      <w:r w:rsidRPr="006B5169">
        <w:t>Complaint handling</w:t>
      </w:r>
      <w:bookmarkEnd w:id="166"/>
      <w:bookmarkEnd w:id="167"/>
      <w:bookmarkEnd w:id="168"/>
      <w:r w:rsidRPr="006B5169">
        <w:t xml:space="preserve"> </w:t>
      </w:r>
    </w:p>
    <w:p w14:paraId="7DBD0C9E" w14:textId="41F9BA80" w:rsidR="006B5169" w:rsidRPr="0099263D" w:rsidRDefault="0099263D" w:rsidP="00DF7FAC">
      <w:r w:rsidRPr="0099263D">
        <w:t>T</w:t>
      </w:r>
      <w:r w:rsidR="006B5169" w:rsidRPr="0099263D">
        <w:t xml:space="preserve">he department’s </w:t>
      </w:r>
      <w:hyperlink r:id="rId22" w:history="1">
        <w:r w:rsidR="006B5169" w:rsidRPr="005369BC">
          <w:rPr>
            <w:rStyle w:val="Hyperlink"/>
            <w:rFonts w:eastAsia="Times New Roman"/>
            <w:szCs w:val="24"/>
          </w:rPr>
          <w:t>Procurement and Funding Complaints Handling Policy</w:t>
        </w:r>
      </w:hyperlink>
      <w:r w:rsidR="006B5169" w:rsidRPr="0099263D">
        <w:t xml:space="preserve"> applies to complaints that arise in relation to a procurement or funding process. It covers events that occur between the time the request documentation is released publicly and the date of contract execution, regardless of when the actual complaint is made. </w:t>
      </w:r>
    </w:p>
    <w:p w14:paraId="5899FB4A" w14:textId="793808B9" w:rsidR="006B5169" w:rsidRPr="0099263D" w:rsidRDefault="006B5169" w:rsidP="00DF7FAC">
      <w:r w:rsidRPr="0099263D">
        <w:t>The department requires that all complaints relating to a procurement or funding proc</w:t>
      </w:r>
      <w:r w:rsidR="006A7ACC">
        <w:t xml:space="preserve">ess must be lodged in writing. </w:t>
      </w:r>
      <w:r w:rsidRPr="0099263D">
        <w:t xml:space="preserve">Further details of the policy are available on the </w:t>
      </w:r>
      <w:hyperlink r:id="rId23" w:history="1">
        <w:r w:rsidRPr="0099263D">
          <w:t xml:space="preserve">department’s </w:t>
        </w:r>
        <w:r w:rsidR="005D3DD5">
          <w:t>web</w:t>
        </w:r>
        <w:r w:rsidRPr="0099263D">
          <w:t>site</w:t>
        </w:r>
      </w:hyperlink>
      <w:r w:rsidRPr="0099263D">
        <w:t>.</w:t>
      </w:r>
    </w:p>
    <w:p w14:paraId="264A2352" w14:textId="6ED2FF8F" w:rsidR="006B5169" w:rsidRPr="006B5169" w:rsidRDefault="007D0149" w:rsidP="00835AEF">
      <w:pPr>
        <w:pStyle w:val="Heading1"/>
      </w:pPr>
      <w:bookmarkStart w:id="169" w:name="_Toc427755039"/>
      <w:bookmarkStart w:id="170" w:name="_Toc427755295"/>
      <w:bookmarkStart w:id="171" w:name="_Toc427755369"/>
      <w:r>
        <w:t>Governance and Accountability</w:t>
      </w:r>
      <w:bookmarkEnd w:id="169"/>
      <w:bookmarkEnd w:id="170"/>
      <w:bookmarkEnd w:id="171"/>
    </w:p>
    <w:p w14:paraId="0539C7AD" w14:textId="3D652803" w:rsidR="006B5169" w:rsidRPr="006B5169" w:rsidRDefault="006B5169" w:rsidP="00835AEF">
      <w:pPr>
        <w:pStyle w:val="Heading2"/>
      </w:pPr>
      <w:bookmarkStart w:id="172" w:name="_Toc427755040"/>
      <w:bookmarkStart w:id="173" w:name="_Toc427755296"/>
      <w:bookmarkStart w:id="174" w:name="_Toc427755370"/>
      <w:r w:rsidRPr="006B5169">
        <w:t>Contracting arrangements</w:t>
      </w:r>
      <w:bookmarkEnd w:id="172"/>
      <w:bookmarkEnd w:id="173"/>
      <w:bookmarkEnd w:id="174"/>
      <w:r w:rsidRPr="006B5169">
        <w:t xml:space="preserve"> </w:t>
      </w:r>
    </w:p>
    <w:p w14:paraId="791215F8" w14:textId="38BAC77D" w:rsidR="00F302E5" w:rsidRDefault="00F302E5" w:rsidP="00DF7FAC">
      <w:r>
        <w:t>Successful applicants will be required to enter into a Funding Agreement with the Commonwealth (represented by the Department).</w:t>
      </w:r>
    </w:p>
    <w:p w14:paraId="45E1D02B" w14:textId="77777777" w:rsidR="00F302E5" w:rsidRDefault="00F302E5" w:rsidP="00DF7FAC">
      <w:r>
        <w:t>The department may use either:</w:t>
      </w:r>
    </w:p>
    <w:p w14:paraId="02FBCBE1" w14:textId="77777777" w:rsidR="00F302E5" w:rsidRDefault="00F302E5" w:rsidP="009C5BF1">
      <w:pPr>
        <w:pStyle w:val="ListParagraph"/>
        <w:numPr>
          <w:ilvl w:val="0"/>
          <w:numId w:val="19"/>
        </w:numPr>
      </w:pPr>
      <w:r>
        <w:t xml:space="preserve">the </w:t>
      </w:r>
      <w:hyperlink r:id="rId24" w:history="1">
        <w:r w:rsidRPr="00B71645">
          <w:rPr>
            <w:rStyle w:val="Hyperlink"/>
          </w:rPr>
          <w:t>Department of Health Standard Funding Agreement</w:t>
        </w:r>
      </w:hyperlink>
      <w:r>
        <w:t>; or</w:t>
      </w:r>
    </w:p>
    <w:p w14:paraId="14ADE4E2" w14:textId="1CBD6F34" w:rsidR="0099263D" w:rsidRDefault="00F302E5" w:rsidP="009C5BF1">
      <w:pPr>
        <w:pStyle w:val="ListParagraph"/>
        <w:numPr>
          <w:ilvl w:val="0"/>
          <w:numId w:val="19"/>
        </w:numPr>
        <w:spacing w:after="240"/>
        <w:ind w:left="714" w:hanging="357"/>
        <w:contextualSpacing w:val="0"/>
      </w:pPr>
      <w:r>
        <w:t>the Head Agreement for Multi-Project Funding.</w:t>
      </w:r>
    </w:p>
    <w:p w14:paraId="6E326BF2" w14:textId="58026AA5" w:rsidR="008221AB" w:rsidRPr="00DF7FAC" w:rsidRDefault="008221AB" w:rsidP="00DF7FAC">
      <w:pPr>
        <w:rPr>
          <w:rStyle w:val="Strong"/>
        </w:rPr>
      </w:pPr>
      <w:r w:rsidRPr="00DF7FAC">
        <w:rPr>
          <w:rStyle w:val="Strong"/>
        </w:rPr>
        <w:t>Organisations should not make financial commitments in expectation of receiving funding until a funding agreement has been executed.</w:t>
      </w:r>
    </w:p>
    <w:p w14:paraId="1F640572" w14:textId="4378041F" w:rsidR="006B5169" w:rsidRPr="0099263D" w:rsidRDefault="006B5169" w:rsidP="00DF7FAC">
      <w:r w:rsidRPr="0099263D">
        <w:t xml:space="preserve">The department will negotiate with successful applicants with the aim of having funding agreements signed </w:t>
      </w:r>
      <w:r w:rsidR="00F302E5">
        <w:t>shortly after a decision by the Approver</w:t>
      </w:r>
      <w:r w:rsidRPr="0099263D">
        <w:t xml:space="preserve">. </w:t>
      </w:r>
    </w:p>
    <w:p w14:paraId="5B31BADB" w14:textId="077AA883" w:rsidR="006B5169" w:rsidRPr="0099263D" w:rsidRDefault="006B5169" w:rsidP="00DF7FAC">
      <w:r w:rsidRPr="0099263D">
        <w:t xml:space="preserve">Funded organisations must carry out each activity in accordance with the agreement, which will include meeting milestones and other timeframes specified in the schedule for that activity.  </w:t>
      </w:r>
      <w:r w:rsidR="008221AB" w:rsidRPr="0099263D">
        <w:t xml:space="preserve">They will also outline the record keeping, reporting and acquittal requirements that will apply to successful applicants.  </w:t>
      </w:r>
      <w:r w:rsidR="0010440A">
        <w:t>The organisation’s a</w:t>
      </w:r>
      <w:r w:rsidRPr="0099263D">
        <w:t xml:space="preserve">ctivities must be carried out diligently, efficiently, effectively and in good faith to a high standard to achieve the aims of the activity and to meet the </w:t>
      </w:r>
      <w:r w:rsidR="00A25AF5">
        <w:t>Activity</w:t>
      </w:r>
      <w:r w:rsidRPr="0099263D">
        <w:t>’s objectives.</w:t>
      </w:r>
      <w:r w:rsidR="009135A2">
        <w:t xml:space="preserve"> The </w:t>
      </w:r>
      <w:r w:rsidR="00A25AF5">
        <w:t>Activity</w:t>
      </w:r>
      <w:r w:rsidR="009135A2">
        <w:t xml:space="preserve"> is targeted at all Aboriginal and Torres Strait Islander people within the service/regional area specified within the funding agreement. </w:t>
      </w:r>
    </w:p>
    <w:p w14:paraId="1DDA5899" w14:textId="508E5F6B" w:rsidR="006B5169" w:rsidRPr="006B5169" w:rsidRDefault="006B5169" w:rsidP="00835AEF">
      <w:pPr>
        <w:pStyle w:val="Heading2"/>
      </w:pPr>
      <w:bookmarkStart w:id="175" w:name="_Toc427755041"/>
      <w:bookmarkStart w:id="176" w:name="_Toc427755297"/>
      <w:bookmarkStart w:id="177" w:name="_Toc427755371"/>
      <w:r w:rsidRPr="006B5169">
        <w:t>Specific conditions</w:t>
      </w:r>
      <w:bookmarkEnd w:id="175"/>
      <w:bookmarkEnd w:id="176"/>
      <w:bookmarkEnd w:id="177"/>
      <w:r w:rsidRPr="006B5169">
        <w:t xml:space="preserve"> </w:t>
      </w:r>
    </w:p>
    <w:p w14:paraId="5C85B4C8" w14:textId="77777777" w:rsidR="006B5169" w:rsidRPr="006B5169" w:rsidRDefault="007C6F61" w:rsidP="00DF7FAC">
      <w:r>
        <w:t>S</w:t>
      </w:r>
      <w:r w:rsidR="006B5169" w:rsidRPr="006B5169">
        <w:t xml:space="preserve">pecific conditions </w:t>
      </w:r>
      <w:r>
        <w:t xml:space="preserve">may be </w:t>
      </w:r>
      <w:r w:rsidR="006B5169" w:rsidRPr="006B5169">
        <w:t xml:space="preserve">attached to the funding approval as a result of the assessment process </w:t>
      </w:r>
      <w:r w:rsidR="0030083A">
        <w:t xml:space="preserve">or the risk rating of an organisation </w:t>
      </w:r>
      <w:r w:rsidR="006B5169" w:rsidRPr="006B5169">
        <w:t xml:space="preserve">or imposed by the </w:t>
      </w:r>
      <w:r>
        <w:t>A</w:t>
      </w:r>
      <w:r w:rsidR="006B5169" w:rsidRPr="006B5169">
        <w:t>pprover.  These will be identified in the offer of funding or during funding agreement negotiations.</w:t>
      </w:r>
    </w:p>
    <w:p w14:paraId="10753646" w14:textId="30B4EDE1" w:rsidR="006B5169" w:rsidRPr="006B5169" w:rsidRDefault="006B5169" w:rsidP="00835AEF">
      <w:pPr>
        <w:pStyle w:val="Heading2"/>
      </w:pPr>
      <w:bookmarkStart w:id="178" w:name="_Toc427755042"/>
      <w:bookmarkStart w:id="179" w:name="_Toc427755298"/>
      <w:bookmarkStart w:id="180" w:name="_Toc427755372"/>
      <w:r w:rsidRPr="006B5169">
        <w:t>Payment arrangements</w:t>
      </w:r>
      <w:bookmarkEnd w:id="178"/>
      <w:bookmarkEnd w:id="179"/>
      <w:bookmarkEnd w:id="180"/>
      <w:r w:rsidRPr="006B5169">
        <w:t xml:space="preserve"> </w:t>
      </w:r>
    </w:p>
    <w:p w14:paraId="7BAFD831" w14:textId="77777777" w:rsidR="006B5169" w:rsidRPr="006B5169" w:rsidRDefault="006B5169" w:rsidP="00DF7FAC">
      <w:r w:rsidRPr="006B5169">
        <w:t>Payments will be made in accordance with the funding agreement.</w:t>
      </w:r>
    </w:p>
    <w:p w14:paraId="2405DBEB" w14:textId="77777777" w:rsidR="006B5169" w:rsidRPr="006B5169" w:rsidRDefault="006B5169" w:rsidP="00DF7FAC">
      <w:r w:rsidRPr="006B5169">
        <w:t xml:space="preserve">The default invoice process for the department is Recipient Created Tax Invoices (RCTI). </w:t>
      </w:r>
    </w:p>
    <w:p w14:paraId="0FD293A0" w14:textId="7AC5C928" w:rsidR="006B5169" w:rsidRPr="006B5169" w:rsidRDefault="006B5169" w:rsidP="00835AEF">
      <w:pPr>
        <w:pStyle w:val="Heading2"/>
      </w:pPr>
      <w:bookmarkStart w:id="181" w:name="_Toc427755043"/>
      <w:bookmarkStart w:id="182" w:name="_Toc427755299"/>
      <w:bookmarkStart w:id="183" w:name="_Toc427755373"/>
      <w:r w:rsidRPr="006B5169">
        <w:lastRenderedPageBreak/>
        <w:t>Reportin</w:t>
      </w:r>
      <w:r w:rsidRPr="009C72CA">
        <w:t>g</w:t>
      </w:r>
      <w:r w:rsidRPr="006B5169">
        <w:t xml:space="preserve"> requirements</w:t>
      </w:r>
      <w:bookmarkEnd w:id="181"/>
      <w:bookmarkEnd w:id="182"/>
      <w:bookmarkEnd w:id="183"/>
    </w:p>
    <w:p w14:paraId="3D1D60D5" w14:textId="77777777" w:rsidR="009C72CA" w:rsidRDefault="009C72CA" w:rsidP="00DF7FAC">
      <w:r>
        <w:t xml:space="preserve">Grant recipients must provide the department </w:t>
      </w:r>
      <w:r w:rsidRPr="00A551DF">
        <w:t>with an Activity Plan as the first deliverable</w:t>
      </w:r>
      <w:r>
        <w:t xml:space="preserve"> and the reports for an activity containing the information, and at the times and in the manner specified in the grant agreement</w:t>
      </w:r>
      <w:r w:rsidRPr="00A551DF">
        <w:t xml:space="preserve"> and as set out in the Activity Plan</w:t>
      </w:r>
      <w:r>
        <w:t>. Specific reporting requirements will form part of each funded organisation’s agreement with the department. The default reporting requirements for the Activity include:</w:t>
      </w:r>
    </w:p>
    <w:p w14:paraId="2B18A811" w14:textId="77777777" w:rsidR="009C72CA" w:rsidRDefault="009C72CA" w:rsidP="009C5BF1">
      <w:pPr>
        <w:pStyle w:val="ListParagraph"/>
        <w:numPr>
          <w:ilvl w:val="0"/>
          <w:numId w:val="20"/>
        </w:numPr>
      </w:pPr>
      <w:r>
        <w:t>six monthly performance reporting against the Activity Plan;</w:t>
      </w:r>
    </w:p>
    <w:p w14:paraId="6BF46219" w14:textId="77777777" w:rsidR="009C72CA" w:rsidRDefault="009C72CA" w:rsidP="009C5BF1">
      <w:pPr>
        <w:pStyle w:val="ListParagraph"/>
        <w:numPr>
          <w:ilvl w:val="0"/>
          <w:numId w:val="20"/>
        </w:numPr>
      </w:pPr>
      <w:r>
        <w:t xml:space="preserve">annual income and expenditure reports; and </w:t>
      </w:r>
    </w:p>
    <w:p w14:paraId="196455B1" w14:textId="77777777" w:rsidR="009C72CA" w:rsidRDefault="009C72CA" w:rsidP="009C5BF1">
      <w:pPr>
        <w:pStyle w:val="ListParagraph"/>
        <w:numPr>
          <w:ilvl w:val="0"/>
          <w:numId w:val="20"/>
        </w:numPr>
        <w:spacing w:after="240"/>
        <w:ind w:left="714" w:hanging="357"/>
        <w:contextualSpacing w:val="0"/>
      </w:pPr>
      <w:r>
        <w:t>a final report.</w:t>
      </w:r>
    </w:p>
    <w:p w14:paraId="38CF914F" w14:textId="77777777" w:rsidR="009C72CA" w:rsidRDefault="009C72CA" w:rsidP="00DF7FAC">
      <w:r>
        <w:t>Reporting requirements may vary depending on the department’s risk assessment of each grant agreement. Risk assessments may be reviewed by the department at any time during the life of the grant agreement and reporting requirements may be adjusted accordingly.</w:t>
      </w:r>
    </w:p>
    <w:p w14:paraId="489A06B7" w14:textId="4B11B319" w:rsidR="006B5169" w:rsidRPr="006B5169" w:rsidRDefault="006B5169" w:rsidP="00835AEF">
      <w:pPr>
        <w:pStyle w:val="Heading2"/>
      </w:pPr>
      <w:bookmarkStart w:id="184" w:name="_Toc427755044"/>
      <w:bookmarkStart w:id="185" w:name="_Toc427755300"/>
      <w:bookmarkStart w:id="186" w:name="_Toc427755374"/>
      <w:r w:rsidRPr="006B5169">
        <w:t>Monitoring</w:t>
      </w:r>
      <w:bookmarkEnd w:id="184"/>
      <w:bookmarkEnd w:id="185"/>
      <w:bookmarkEnd w:id="186"/>
      <w:r w:rsidRPr="006B5169">
        <w:t xml:space="preserve"> </w:t>
      </w:r>
    </w:p>
    <w:p w14:paraId="58007392" w14:textId="1D30CBBD" w:rsidR="006B5169" w:rsidRPr="0099263D" w:rsidRDefault="006B5169" w:rsidP="00DF7FAC">
      <w:r w:rsidRPr="0099263D">
        <w:t>The funding recipient will be required to actively manage the delivery of the activit</w:t>
      </w:r>
      <w:r w:rsidR="00C8055A">
        <w:t>ies required</w:t>
      </w:r>
      <w:r w:rsidRPr="0099263D">
        <w:t xml:space="preserve"> under the </w:t>
      </w:r>
      <w:r w:rsidR="00C8055A">
        <w:t>funding agreement</w:t>
      </w:r>
      <w:r w:rsidR="00D21943">
        <w:t xml:space="preserve">. </w:t>
      </w:r>
      <w:r w:rsidRPr="0099263D">
        <w:t xml:space="preserve">The department will monitor progress in accordance with the funding agreement.  </w:t>
      </w:r>
    </w:p>
    <w:p w14:paraId="245E80C2" w14:textId="6D1771B4" w:rsidR="006B5169" w:rsidRPr="006B5169" w:rsidRDefault="006B5169" w:rsidP="00835AEF">
      <w:pPr>
        <w:pStyle w:val="Heading2"/>
      </w:pPr>
      <w:bookmarkStart w:id="187" w:name="_Toc427755045"/>
      <w:bookmarkStart w:id="188" w:name="_Toc427755301"/>
      <w:bookmarkStart w:id="189" w:name="_Toc427755375"/>
      <w:r w:rsidRPr="006B5169">
        <w:t>Evaluation</w:t>
      </w:r>
      <w:bookmarkEnd w:id="187"/>
      <w:bookmarkEnd w:id="188"/>
      <w:bookmarkEnd w:id="189"/>
      <w:r w:rsidRPr="006B5169">
        <w:t xml:space="preserve"> </w:t>
      </w:r>
    </w:p>
    <w:p w14:paraId="587E4859" w14:textId="079F690F" w:rsidR="006B5169" w:rsidRPr="0099263D" w:rsidRDefault="006B5169" w:rsidP="00DF7FAC">
      <w:r w:rsidRPr="0099263D">
        <w:t xml:space="preserve">An evaluation by the department will determine how the funded activity contributed to the objectives of the </w:t>
      </w:r>
      <w:r w:rsidR="00A25AF5">
        <w:t>Activity</w:t>
      </w:r>
      <w:r w:rsidR="00D21943">
        <w:t xml:space="preserve">. </w:t>
      </w:r>
      <w:r w:rsidRPr="0099263D">
        <w:t>Funding recipients will be required to provide information to assist in this evaluation for a period of time, as stipulated in the funding agreement, after funding has been provided.</w:t>
      </w:r>
      <w:r w:rsidR="00BD363C">
        <w:t xml:space="preserve"> The information required will be dependent on the Evaluation and Monitoring Framework being developed for the new Activity</w:t>
      </w:r>
      <w:r w:rsidR="00474321">
        <w:t>. Performance indicators for the reporting on grants will be developed from this Framework in consultation with stakeholders and assistance from the National Best Practice Unit, which will also assist recipients on data collection issues. The overall Activity evaluation will also use this Framework as the basis for seeking any useful additional quantitative and qualitative information. The burden of reporting will be taken into account and where possible existing indicator reporting will be used.</w:t>
      </w:r>
    </w:p>
    <w:p w14:paraId="7FAA6F2C" w14:textId="54B0CDB5" w:rsidR="006B5169" w:rsidRPr="006B5169" w:rsidRDefault="006B5169" w:rsidP="00835AEF">
      <w:pPr>
        <w:pStyle w:val="Heading2"/>
      </w:pPr>
      <w:bookmarkStart w:id="190" w:name="_Toc427755046"/>
      <w:bookmarkStart w:id="191" w:name="_Toc427755302"/>
      <w:bookmarkStart w:id="192" w:name="_Toc427755376"/>
      <w:r w:rsidRPr="006B5169">
        <w:t>Branding</w:t>
      </w:r>
      <w:bookmarkEnd w:id="190"/>
      <w:bookmarkEnd w:id="191"/>
      <w:bookmarkEnd w:id="192"/>
    </w:p>
    <w:p w14:paraId="1980FF65" w14:textId="77777777" w:rsidR="00E8230D" w:rsidRDefault="00D21943" w:rsidP="00DF7FAC">
      <w:pPr>
        <w:rPr>
          <w:rFonts w:eastAsia="Times New Roman" w:cs="Times New Roman"/>
          <w:szCs w:val="24"/>
        </w:rPr>
      </w:pPr>
      <w:r>
        <w:rPr>
          <w:rFonts w:eastAsia="Times New Roman" w:cs="Times New Roman"/>
          <w:szCs w:val="24"/>
        </w:rPr>
        <w:t>Any p</w:t>
      </w:r>
      <w:r w:rsidR="006B5169" w:rsidRPr="006B5169">
        <w:rPr>
          <w:rFonts w:eastAsia="Times New Roman" w:cs="Times New Roman"/>
          <w:szCs w:val="24"/>
        </w:rPr>
        <w:t>ublication</w:t>
      </w:r>
      <w:r>
        <w:rPr>
          <w:rFonts w:eastAsia="Times New Roman" w:cs="Times New Roman"/>
          <w:szCs w:val="24"/>
        </w:rPr>
        <w:t>s</w:t>
      </w:r>
      <w:r w:rsidR="006B5169" w:rsidRPr="006B5169">
        <w:rPr>
          <w:rFonts w:eastAsia="Times New Roman" w:cs="Times New Roman"/>
          <w:szCs w:val="24"/>
        </w:rPr>
        <w:t xml:space="preserve"> should acknow</w:t>
      </w:r>
      <w:r w:rsidR="00E8230D">
        <w:rPr>
          <w:rFonts w:eastAsia="Times New Roman" w:cs="Times New Roman"/>
          <w:szCs w:val="24"/>
        </w:rPr>
        <w:t>ledge the department as follows:</w:t>
      </w:r>
    </w:p>
    <w:p w14:paraId="4877D9F4" w14:textId="4BE9A9E9" w:rsidR="006B5169" w:rsidRPr="00E86450" w:rsidRDefault="006B5169" w:rsidP="00DF7FAC">
      <w:pPr>
        <w:rPr>
          <w:rStyle w:val="Strong"/>
        </w:rPr>
      </w:pPr>
      <w:r w:rsidRPr="0099263D">
        <w:rPr>
          <w:rFonts w:eastAsia="Times New Roman" w:cs="Times New Roman"/>
          <w:szCs w:val="24"/>
        </w:rPr>
        <w:t>“</w:t>
      </w:r>
      <w:r w:rsidR="0099263D" w:rsidRPr="00E86450">
        <w:rPr>
          <w:rStyle w:val="Strong"/>
        </w:rPr>
        <w:t xml:space="preserve">Tackling Indigenous Smoking </w:t>
      </w:r>
      <w:r w:rsidR="00A25AF5" w:rsidRPr="00E86450">
        <w:rPr>
          <w:rStyle w:val="Strong"/>
        </w:rPr>
        <w:t>Activity</w:t>
      </w:r>
      <w:r w:rsidRPr="00E86450">
        <w:rPr>
          <w:rStyle w:val="Strong"/>
        </w:rPr>
        <w:t xml:space="preserve"> – an Aus</w:t>
      </w:r>
      <w:r w:rsidR="00E8230D">
        <w:rPr>
          <w:rStyle w:val="Strong"/>
        </w:rPr>
        <w:t>tralian Government Initiative”.</w:t>
      </w:r>
    </w:p>
    <w:p w14:paraId="38F13FEE" w14:textId="06FF6128" w:rsidR="006B5169" w:rsidRPr="006B5169" w:rsidRDefault="006B5169" w:rsidP="00835AEF">
      <w:pPr>
        <w:pStyle w:val="Heading1"/>
      </w:pPr>
      <w:bookmarkStart w:id="193" w:name="_Toc427755047"/>
      <w:bookmarkStart w:id="194" w:name="_Toc427755303"/>
      <w:bookmarkStart w:id="195" w:name="_Toc427755377"/>
      <w:r w:rsidRPr="006B5169">
        <w:t>Glossary of Terms</w:t>
      </w:r>
      <w:bookmarkEnd w:id="193"/>
      <w:bookmarkEnd w:id="194"/>
      <w:bookmarkEnd w:id="195"/>
    </w:p>
    <w:tbl>
      <w:tblPr>
        <w:tblStyle w:val="TableGrid"/>
        <w:tblW w:w="9869" w:type="dxa"/>
        <w:jc w:val="center"/>
        <w:tblLook w:val="04A0" w:firstRow="1" w:lastRow="0" w:firstColumn="1" w:lastColumn="0" w:noHBand="0" w:noVBand="1"/>
        <w:tblDescription w:val="Glossary of Terms table contains 3 column headings; column 1. Term/s and column 2. Definition/s"/>
      </w:tblPr>
      <w:tblGrid>
        <w:gridCol w:w="3035"/>
        <w:gridCol w:w="6834"/>
      </w:tblGrid>
      <w:tr w:rsidR="002D4D16" w:rsidRPr="00E8230D" w14:paraId="0A78AB56" w14:textId="77777777" w:rsidTr="00E8230D">
        <w:trPr>
          <w:tblHeader/>
          <w:jc w:val="center"/>
        </w:trPr>
        <w:tc>
          <w:tcPr>
            <w:tcW w:w="3035" w:type="dxa"/>
            <w:shd w:val="clear" w:color="auto" w:fill="F2F2F2" w:themeFill="background1" w:themeFillShade="F2"/>
          </w:tcPr>
          <w:p w14:paraId="0088AECC" w14:textId="77777777" w:rsidR="002D4D16" w:rsidRPr="00E8230D" w:rsidRDefault="002D4D16" w:rsidP="00E8230D">
            <w:pPr>
              <w:rPr>
                <w:rStyle w:val="Strong"/>
                <w:sz w:val="24"/>
              </w:rPr>
            </w:pPr>
            <w:r w:rsidRPr="00E8230D">
              <w:rPr>
                <w:rStyle w:val="Strong"/>
                <w:sz w:val="24"/>
              </w:rPr>
              <w:t>Term</w:t>
            </w:r>
          </w:p>
        </w:tc>
        <w:tc>
          <w:tcPr>
            <w:tcW w:w="6834" w:type="dxa"/>
            <w:shd w:val="clear" w:color="auto" w:fill="F2F2F2" w:themeFill="background1" w:themeFillShade="F2"/>
          </w:tcPr>
          <w:p w14:paraId="16A67239" w14:textId="77777777" w:rsidR="002D4D16" w:rsidRPr="00E8230D" w:rsidRDefault="002D4D16" w:rsidP="00E8230D">
            <w:pPr>
              <w:rPr>
                <w:rStyle w:val="Strong"/>
                <w:sz w:val="24"/>
              </w:rPr>
            </w:pPr>
            <w:r w:rsidRPr="00E8230D">
              <w:rPr>
                <w:rStyle w:val="Strong"/>
                <w:sz w:val="24"/>
              </w:rPr>
              <w:t>Definition</w:t>
            </w:r>
          </w:p>
        </w:tc>
      </w:tr>
      <w:tr w:rsidR="002D4D16" w14:paraId="31107C80" w14:textId="77777777" w:rsidTr="00E8230D">
        <w:trPr>
          <w:jc w:val="center"/>
        </w:trPr>
        <w:tc>
          <w:tcPr>
            <w:tcW w:w="3035" w:type="dxa"/>
          </w:tcPr>
          <w:p w14:paraId="2212E856" w14:textId="575B449F" w:rsidR="002D4D16" w:rsidRPr="00E8230D" w:rsidRDefault="00835AEF" w:rsidP="00E8230D">
            <w:pPr>
              <w:rPr>
                <w:sz w:val="24"/>
                <w:lang w:eastAsia="en-AU"/>
              </w:rPr>
            </w:pPr>
            <w:r>
              <w:rPr>
                <w:sz w:val="24"/>
                <w:lang w:eastAsia="en-AU"/>
              </w:rPr>
              <w:t>Outcomes-based</w:t>
            </w:r>
          </w:p>
        </w:tc>
        <w:tc>
          <w:tcPr>
            <w:tcW w:w="6834" w:type="dxa"/>
          </w:tcPr>
          <w:p w14:paraId="4A67E34A" w14:textId="77777777" w:rsidR="002D4D16" w:rsidRPr="00E8230D" w:rsidRDefault="002D4D16" w:rsidP="009C5BF1">
            <w:pPr>
              <w:pStyle w:val="ListParagraph"/>
              <w:numPr>
                <w:ilvl w:val="0"/>
                <w:numId w:val="21"/>
              </w:numPr>
              <w:ind w:left="375"/>
              <w:rPr>
                <w:sz w:val="24"/>
                <w:szCs w:val="20"/>
              </w:rPr>
            </w:pPr>
            <w:r w:rsidRPr="00E8230D">
              <w:rPr>
                <w:sz w:val="24"/>
                <w:szCs w:val="20"/>
              </w:rPr>
              <w:t>Expected outcomes are defined while the means of achieving outcomes can vary, which allows for tailoring activities to local needs.</w:t>
            </w:r>
          </w:p>
          <w:p w14:paraId="0E8762A1" w14:textId="6B0393A9" w:rsidR="002D4D16" w:rsidRPr="00E8230D" w:rsidRDefault="002D4D16" w:rsidP="009C5BF1">
            <w:pPr>
              <w:pStyle w:val="ListParagraph"/>
              <w:numPr>
                <w:ilvl w:val="0"/>
                <w:numId w:val="21"/>
              </w:numPr>
              <w:ind w:left="375"/>
              <w:rPr>
                <w:sz w:val="24"/>
                <w:szCs w:val="20"/>
              </w:rPr>
            </w:pPr>
            <w:r w:rsidRPr="00E8230D">
              <w:rPr>
                <w:sz w:val="24"/>
                <w:szCs w:val="20"/>
              </w:rPr>
              <w:t xml:space="preserve">Outcome measures will show how much progress is being made towards achieving the </w:t>
            </w:r>
            <w:r w:rsidR="00A25AF5" w:rsidRPr="00E8230D">
              <w:rPr>
                <w:sz w:val="24"/>
                <w:szCs w:val="20"/>
              </w:rPr>
              <w:t>Activity</w:t>
            </w:r>
            <w:r w:rsidRPr="00E8230D">
              <w:rPr>
                <w:sz w:val="24"/>
                <w:szCs w:val="20"/>
              </w:rPr>
              <w:t xml:space="preserve"> objectives.</w:t>
            </w:r>
          </w:p>
          <w:p w14:paraId="6B0B718F" w14:textId="4928E19D" w:rsidR="002D4D16" w:rsidRPr="00835AEF" w:rsidRDefault="002D4D16" w:rsidP="00835AEF">
            <w:pPr>
              <w:pStyle w:val="ListParagraph"/>
              <w:numPr>
                <w:ilvl w:val="0"/>
                <w:numId w:val="21"/>
              </w:numPr>
              <w:ind w:left="375"/>
              <w:rPr>
                <w:sz w:val="24"/>
                <w:szCs w:val="20"/>
                <w:lang w:eastAsia="en-AU"/>
              </w:rPr>
            </w:pPr>
            <w:r w:rsidRPr="00E8230D">
              <w:rPr>
                <w:sz w:val="24"/>
                <w:szCs w:val="20"/>
              </w:rPr>
              <w:t xml:space="preserve">Outcome measures are short term (increased awareness of </w:t>
            </w:r>
            <w:r w:rsidRPr="00E8230D">
              <w:rPr>
                <w:sz w:val="24"/>
                <w:szCs w:val="20"/>
              </w:rPr>
              <w:lastRenderedPageBreak/>
              <w:t>smoking-related harm) and long term (decrease in number of current smokers)</w:t>
            </w:r>
            <w:r w:rsidR="007C6985">
              <w:rPr>
                <w:sz w:val="24"/>
                <w:szCs w:val="20"/>
              </w:rPr>
              <w:t>.</w:t>
            </w:r>
          </w:p>
        </w:tc>
      </w:tr>
      <w:tr w:rsidR="002D4D16" w14:paraId="0E4C4953" w14:textId="77777777" w:rsidTr="00E8230D">
        <w:trPr>
          <w:jc w:val="center"/>
        </w:trPr>
        <w:tc>
          <w:tcPr>
            <w:tcW w:w="3035" w:type="dxa"/>
          </w:tcPr>
          <w:p w14:paraId="6CC05B65" w14:textId="636459CE" w:rsidR="002D4D16" w:rsidRPr="00E8230D" w:rsidRDefault="00835AEF" w:rsidP="00E8230D">
            <w:pPr>
              <w:rPr>
                <w:sz w:val="24"/>
                <w:lang w:eastAsia="en-AU"/>
              </w:rPr>
            </w:pPr>
            <w:r>
              <w:rPr>
                <w:sz w:val="24"/>
                <w:lang w:eastAsia="en-AU"/>
              </w:rPr>
              <w:lastRenderedPageBreak/>
              <w:t>Place-based</w:t>
            </w:r>
          </w:p>
        </w:tc>
        <w:tc>
          <w:tcPr>
            <w:tcW w:w="6834" w:type="dxa"/>
          </w:tcPr>
          <w:p w14:paraId="2A7F28E7" w14:textId="77777777" w:rsidR="002D4D16" w:rsidRPr="00E8230D" w:rsidRDefault="002D4D16" w:rsidP="009C5BF1">
            <w:pPr>
              <w:pStyle w:val="ListParagraph"/>
              <w:numPr>
                <w:ilvl w:val="0"/>
                <w:numId w:val="21"/>
              </w:numPr>
              <w:ind w:left="375"/>
              <w:rPr>
                <w:sz w:val="24"/>
                <w:szCs w:val="20"/>
              </w:rPr>
            </w:pPr>
            <w:r w:rsidRPr="00E8230D">
              <w:rPr>
                <w:sz w:val="24"/>
                <w:szCs w:val="20"/>
              </w:rPr>
              <w:t>Local planning, ownership of solutions by the community.</w:t>
            </w:r>
          </w:p>
          <w:p w14:paraId="6B50FF74" w14:textId="77777777" w:rsidR="002D4D16" w:rsidRPr="00E8230D" w:rsidRDefault="002D4D16" w:rsidP="009C5BF1">
            <w:pPr>
              <w:pStyle w:val="ListParagraph"/>
              <w:numPr>
                <w:ilvl w:val="0"/>
                <w:numId w:val="21"/>
              </w:numPr>
              <w:ind w:left="375"/>
              <w:rPr>
                <w:sz w:val="24"/>
                <w:szCs w:val="20"/>
              </w:rPr>
            </w:pPr>
            <w:r w:rsidRPr="00E8230D">
              <w:rPr>
                <w:sz w:val="24"/>
                <w:szCs w:val="20"/>
              </w:rPr>
              <w:t>Tailoring activities to local needs expressed as local outcomes sought.</w:t>
            </w:r>
          </w:p>
          <w:p w14:paraId="47E3EEC8" w14:textId="5FF3EA83" w:rsidR="002D4D16" w:rsidRPr="00835AEF" w:rsidRDefault="002D4D16" w:rsidP="00835AEF">
            <w:pPr>
              <w:pStyle w:val="ListParagraph"/>
              <w:numPr>
                <w:ilvl w:val="0"/>
                <w:numId w:val="21"/>
              </w:numPr>
              <w:ind w:left="375"/>
              <w:rPr>
                <w:sz w:val="24"/>
                <w:szCs w:val="20"/>
              </w:rPr>
            </w:pPr>
            <w:r w:rsidRPr="00E8230D">
              <w:rPr>
                <w:sz w:val="24"/>
                <w:szCs w:val="20"/>
              </w:rPr>
              <w:t>Encourage integration with other relevant services and holistic support for individuals.</w:t>
            </w:r>
          </w:p>
        </w:tc>
      </w:tr>
    </w:tbl>
    <w:p w14:paraId="40EF368D" w14:textId="77777777" w:rsidR="00A53FD3" w:rsidRDefault="00A53FD3"/>
    <w:sectPr w:rsidR="00A53FD3" w:rsidSect="008A4019">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C286B" w14:textId="77777777" w:rsidR="00E65E5F" w:rsidRDefault="00E65E5F">
      <w:pPr>
        <w:spacing w:after="0" w:line="240" w:lineRule="auto"/>
      </w:pPr>
      <w:r>
        <w:separator/>
      </w:r>
    </w:p>
  </w:endnote>
  <w:endnote w:type="continuationSeparator" w:id="0">
    <w:p w14:paraId="4F5E49F4" w14:textId="77777777" w:rsidR="00E65E5F" w:rsidRDefault="00E65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4C885" w14:textId="77777777" w:rsidR="00621548" w:rsidRDefault="006215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B54EF" w14:textId="70DACDAE" w:rsidR="00E65E5F" w:rsidRPr="00DF7C53" w:rsidRDefault="00E65E5F">
    <w:pPr>
      <w:pStyle w:val="Footer"/>
      <w:jc w:val="right"/>
      <w:rPr>
        <w:sz w:val="18"/>
        <w:szCs w:val="18"/>
      </w:rPr>
    </w:pPr>
    <w:r w:rsidRPr="00DF7C53">
      <w:rPr>
        <w:sz w:val="18"/>
        <w:szCs w:val="18"/>
      </w:rPr>
      <w:t xml:space="preserve">Page | </w:t>
    </w:r>
    <w:r w:rsidRPr="00DF7C53">
      <w:rPr>
        <w:sz w:val="18"/>
        <w:szCs w:val="18"/>
      </w:rPr>
      <w:fldChar w:fldCharType="begin"/>
    </w:r>
    <w:r w:rsidRPr="00DF7C53">
      <w:rPr>
        <w:sz w:val="18"/>
        <w:szCs w:val="18"/>
      </w:rPr>
      <w:instrText xml:space="preserve"> PAGE   \* MERGEFORMAT </w:instrText>
    </w:r>
    <w:r w:rsidRPr="00DF7C53">
      <w:rPr>
        <w:sz w:val="18"/>
        <w:szCs w:val="18"/>
      </w:rPr>
      <w:fldChar w:fldCharType="separate"/>
    </w:r>
    <w:r w:rsidR="00AF30B2">
      <w:rPr>
        <w:noProof/>
        <w:sz w:val="18"/>
        <w:szCs w:val="18"/>
      </w:rPr>
      <w:t>21</w:t>
    </w:r>
    <w:r w:rsidRPr="00DF7C53">
      <w:rPr>
        <w:sz w:val="18"/>
        <w:szCs w:val="18"/>
      </w:rPr>
      <w:fldChar w:fldCharType="end"/>
    </w:r>
    <w:r w:rsidRPr="00DF7C53">
      <w:rPr>
        <w:sz w:val="18"/>
        <w:szCs w:val="18"/>
      </w:rPr>
      <w:t xml:space="preserve"> </w:t>
    </w:r>
  </w:p>
  <w:p w14:paraId="4286460B" w14:textId="77777777" w:rsidR="00E65E5F" w:rsidRDefault="00E65E5F" w:rsidP="008A4019">
    <w:pPr>
      <w:pStyle w:val="Footer"/>
      <w:rPr>
        <w:sz w:val="16"/>
        <w:szCs w:val="16"/>
      </w:rPr>
    </w:pPr>
    <w:r>
      <w:rPr>
        <w:sz w:val="16"/>
        <w:szCs w:val="16"/>
      </w:rPr>
      <w:t>Department of Health Tackling Indigenous Smoking -</w:t>
    </w:r>
    <w:r w:rsidRPr="00FC4333">
      <w:rPr>
        <w:sz w:val="16"/>
        <w:szCs w:val="16"/>
      </w:rPr>
      <w:t xml:space="preserve"> </w:t>
    </w:r>
    <w:r>
      <w:rPr>
        <w:sz w:val="16"/>
        <w:szCs w:val="16"/>
      </w:rPr>
      <w:t xml:space="preserve">Grant </w:t>
    </w:r>
    <w:r w:rsidRPr="00FC4333">
      <w:rPr>
        <w:sz w:val="16"/>
        <w:szCs w:val="16"/>
      </w:rPr>
      <w:t>Guidelines</w:t>
    </w:r>
    <w:r>
      <w:rPr>
        <w:sz w:val="16"/>
        <w:szCs w:val="16"/>
      </w:rPr>
      <w:t xml:space="preserve"> </w:t>
    </w:r>
  </w:p>
  <w:p w14:paraId="3439D928" w14:textId="591900E9" w:rsidR="00E65E5F" w:rsidRPr="00FC4333" w:rsidRDefault="00835AEF" w:rsidP="008A4019">
    <w:pPr>
      <w:pStyle w:val="Footer"/>
      <w:rPr>
        <w:sz w:val="16"/>
        <w:szCs w:val="16"/>
      </w:rPr>
    </w:pPr>
    <w:r>
      <w:rPr>
        <w:sz w:val="16"/>
        <w:szCs w:val="16"/>
      </w:rPr>
      <w:t>Version date 17/08</w:t>
    </w:r>
    <w:r w:rsidR="00E65E5F">
      <w:rPr>
        <w:sz w:val="16"/>
        <w:szCs w:val="16"/>
      </w:rPr>
      <w:t>/2015.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BC5A3" w14:textId="77777777" w:rsidR="00621548" w:rsidRDefault="00621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A47BC" w14:textId="77777777" w:rsidR="00E65E5F" w:rsidRDefault="00E65E5F">
      <w:pPr>
        <w:spacing w:after="0" w:line="240" w:lineRule="auto"/>
      </w:pPr>
      <w:r>
        <w:separator/>
      </w:r>
    </w:p>
  </w:footnote>
  <w:footnote w:type="continuationSeparator" w:id="0">
    <w:p w14:paraId="0BF53C8F" w14:textId="77777777" w:rsidR="00E65E5F" w:rsidRDefault="00E65E5F">
      <w:pPr>
        <w:spacing w:after="0" w:line="240" w:lineRule="auto"/>
      </w:pPr>
      <w:r>
        <w:continuationSeparator/>
      </w:r>
    </w:p>
  </w:footnote>
  <w:footnote w:id="1">
    <w:p w14:paraId="1E3998D2" w14:textId="77777777" w:rsidR="00E65E5F" w:rsidRPr="0010445B" w:rsidRDefault="00E65E5F" w:rsidP="00985FD3">
      <w:pPr>
        <w:pStyle w:val="FootnoteText"/>
        <w:rPr>
          <w:lang w:val="en-AU"/>
        </w:rPr>
      </w:pPr>
      <w:r>
        <w:rPr>
          <w:rStyle w:val="FootnoteReference"/>
        </w:rPr>
        <w:footnoteRef/>
      </w:r>
      <w:r>
        <w:t xml:space="preserve"> </w:t>
      </w:r>
      <w:r>
        <w:rPr>
          <w:lang w:val="en-AU"/>
        </w:rPr>
        <w:t>Australian Health Ministers’ Advisory Council, 2015, Aboriginal and Torres Strait Islander Health Performance Framework 2014 Report, AHMAC, Canberra.</w:t>
      </w:r>
    </w:p>
  </w:footnote>
  <w:footnote w:id="2">
    <w:p w14:paraId="22A86291" w14:textId="77777777" w:rsidR="00E65E5F" w:rsidRDefault="00E65E5F" w:rsidP="00985FD3">
      <w:pPr>
        <w:pStyle w:val="FootnoteText"/>
      </w:pPr>
      <w:r>
        <w:rPr>
          <w:rStyle w:val="FootnoteReference"/>
        </w:rPr>
        <w:footnoteRef/>
      </w:r>
      <w:r>
        <w:t xml:space="preserve"> Hill, DJ &amp; Dixon, H. Achieving Behavioural changes in Individuals and Populations. </w:t>
      </w:r>
      <w:r w:rsidRPr="0068071A">
        <w:rPr>
          <w:i/>
        </w:rPr>
        <w:t>Cancer Control</w:t>
      </w:r>
      <w:r>
        <w:t xml:space="preserve"> (2010) Eds: Elwood, JM &amp; Sutcliffe, SB Oxford University Press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0AEB7" w14:textId="77777777" w:rsidR="00621548" w:rsidRDefault="006215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830B7" w14:textId="77777777" w:rsidR="00621548" w:rsidRDefault="006215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A8864" w14:textId="273EF424" w:rsidR="00E65E5F" w:rsidRDefault="00E65E5F" w:rsidP="00970319">
    <w:pPr>
      <w:pStyle w:val="Header"/>
      <w:jc w:val="center"/>
    </w:pPr>
    <w:r w:rsidRPr="006B5169">
      <w:rPr>
        <w:noProof/>
        <w:lang w:val="en-AU" w:eastAsia="en-AU"/>
      </w:rPr>
      <w:drawing>
        <wp:inline distT="0" distB="0" distL="0" distR="0" wp14:anchorId="3528D6DB" wp14:editId="1C9FF035">
          <wp:extent cx="1777042" cy="1178582"/>
          <wp:effectExtent l="0" t="0" r="0" b="2540"/>
          <wp:docPr id="2" name="Picture 2" descr="Australian Government, 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_stacked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6630" cy="117830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639B4"/>
    <w:multiLevelType w:val="hybridMultilevel"/>
    <w:tmpl w:val="EBCA3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6853B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B8340D"/>
    <w:multiLevelType w:val="hybridMultilevel"/>
    <w:tmpl w:val="4906E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002126"/>
    <w:multiLevelType w:val="multilevel"/>
    <w:tmpl w:val="194CC966"/>
    <w:lvl w:ilvl="0">
      <w:start w:val="1"/>
      <w:numFmt w:val="bullet"/>
      <w:pStyle w:val="PFBulletMargin"/>
      <w:lvlText w:val=""/>
      <w:lvlJc w:val="left"/>
      <w:pPr>
        <w:tabs>
          <w:tab w:val="num" w:pos="924"/>
        </w:tabs>
        <w:ind w:left="924" w:hanging="924"/>
      </w:pPr>
      <w:rPr>
        <w:rFonts w:ascii="Symbol" w:hAnsi="Symbol" w:hint="default"/>
        <w:b w:val="0"/>
        <w:i w:val="0"/>
        <w:color w:val="auto"/>
        <w:sz w:val="16"/>
      </w:rPr>
    </w:lvl>
    <w:lvl w:ilvl="1">
      <w:start w:val="1"/>
      <w:numFmt w:val="bullet"/>
      <w:pStyle w:val="PFBulletLevel1"/>
      <w:lvlText w:val=""/>
      <w:lvlJc w:val="left"/>
      <w:pPr>
        <w:tabs>
          <w:tab w:val="num" w:pos="1848"/>
        </w:tabs>
        <w:ind w:left="1848" w:hanging="924"/>
      </w:pPr>
      <w:rPr>
        <w:rFonts w:ascii="Symbol" w:hAnsi="Symbol" w:hint="default"/>
        <w:b w:val="0"/>
        <w:i w:val="0"/>
        <w:color w:val="auto"/>
        <w:sz w:val="16"/>
      </w:rPr>
    </w:lvl>
    <w:lvl w:ilvl="2">
      <w:start w:val="1"/>
      <w:numFmt w:val="bullet"/>
      <w:pStyle w:val="PFBulletLevel2"/>
      <w:lvlText w:val=""/>
      <w:lvlJc w:val="left"/>
      <w:pPr>
        <w:tabs>
          <w:tab w:val="num" w:pos="2773"/>
        </w:tabs>
        <w:ind w:left="2773" w:hanging="925"/>
      </w:pPr>
      <w:rPr>
        <w:rFonts w:ascii="Symbol" w:hAnsi="Symbol" w:hint="default"/>
        <w:b w:val="0"/>
        <w:i w:val="0"/>
        <w:color w:val="auto"/>
        <w:sz w:val="16"/>
      </w:rPr>
    </w:lvl>
    <w:lvl w:ilvl="3">
      <w:start w:val="1"/>
      <w:numFmt w:val="bullet"/>
      <w:pStyle w:val="PFBulletLevel3"/>
      <w:lvlText w:val=""/>
      <w:lvlJc w:val="left"/>
      <w:pPr>
        <w:tabs>
          <w:tab w:val="num" w:pos="3697"/>
        </w:tabs>
        <w:ind w:left="3697" w:hanging="924"/>
      </w:pPr>
      <w:rPr>
        <w:rFonts w:ascii="Symbol" w:hAnsi="Symbol" w:hint="default"/>
        <w:b w:val="0"/>
        <w:i w:val="0"/>
        <w:color w:val="auto"/>
        <w:sz w:val="16"/>
      </w:rPr>
    </w:lvl>
    <w:lvl w:ilvl="4">
      <w:start w:val="1"/>
      <w:numFmt w:val="none"/>
      <w:suff w:val="nothing"/>
      <w:lvlText w:val=""/>
      <w:lvlJc w:val="left"/>
      <w:pPr>
        <w:ind w:left="2268" w:firstLine="0"/>
      </w:pPr>
      <w:rPr>
        <w:rFonts w:hint="default"/>
      </w:rPr>
    </w:lvl>
    <w:lvl w:ilvl="5">
      <w:start w:val="1"/>
      <w:numFmt w:val="none"/>
      <w:suff w:val="nothing"/>
      <w:lvlText w:val=""/>
      <w:lvlJc w:val="left"/>
      <w:pPr>
        <w:ind w:left="2268" w:firstLine="0"/>
      </w:pPr>
      <w:rPr>
        <w:rFonts w:hint="default"/>
      </w:rPr>
    </w:lvl>
    <w:lvl w:ilvl="6">
      <w:start w:val="1"/>
      <w:numFmt w:val="none"/>
      <w:lvlText w:val="%7."/>
      <w:lvlJc w:val="left"/>
      <w:pPr>
        <w:tabs>
          <w:tab w:val="num" w:pos="4788"/>
        </w:tabs>
        <w:ind w:left="4788" w:hanging="360"/>
      </w:pPr>
      <w:rPr>
        <w:rFonts w:hint="default"/>
      </w:rPr>
    </w:lvl>
    <w:lvl w:ilvl="7">
      <w:start w:val="1"/>
      <w:numFmt w:val="lowerLetter"/>
      <w:lvlText w:val="%8."/>
      <w:lvlJc w:val="left"/>
      <w:pPr>
        <w:tabs>
          <w:tab w:val="num" w:pos="5148"/>
        </w:tabs>
        <w:ind w:left="5148" w:hanging="360"/>
      </w:pPr>
      <w:rPr>
        <w:rFonts w:hint="default"/>
      </w:rPr>
    </w:lvl>
    <w:lvl w:ilvl="8">
      <w:start w:val="1"/>
      <w:numFmt w:val="lowerRoman"/>
      <w:lvlText w:val="%9."/>
      <w:lvlJc w:val="left"/>
      <w:pPr>
        <w:tabs>
          <w:tab w:val="num" w:pos="5508"/>
        </w:tabs>
        <w:ind w:left="5508" w:hanging="360"/>
      </w:pPr>
      <w:rPr>
        <w:rFonts w:hint="default"/>
      </w:rPr>
    </w:lvl>
  </w:abstractNum>
  <w:abstractNum w:abstractNumId="4" w15:restartNumberingAfterBreak="0">
    <w:nsid w:val="21447586"/>
    <w:multiLevelType w:val="hybridMultilevel"/>
    <w:tmpl w:val="DB829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E57CBF"/>
    <w:multiLevelType w:val="hybridMultilevel"/>
    <w:tmpl w:val="CFBCDB4C"/>
    <w:lvl w:ilvl="0" w:tplc="903003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784210C"/>
    <w:multiLevelType w:val="hybridMultilevel"/>
    <w:tmpl w:val="DFEAC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AE46DB"/>
    <w:multiLevelType w:val="hybridMultilevel"/>
    <w:tmpl w:val="E696B81A"/>
    <w:lvl w:ilvl="0" w:tplc="903003C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8F4B23"/>
    <w:multiLevelType w:val="hybridMultilevel"/>
    <w:tmpl w:val="95BA9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392444"/>
    <w:multiLevelType w:val="hybridMultilevel"/>
    <w:tmpl w:val="F3A823C4"/>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4A841B9"/>
    <w:multiLevelType w:val="hybridMultilevel"/>
    <w:tmpl w:val="136466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D404DC"/>
    <w:multiLevelType w:val="hybridMultilevel"/>
    <w:tmpl w:val="4C84D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E42FC4"/>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96102CA"/>
    <w:multiLevelType w:val="hybridMultilevel"/>
    <w:tmpl w:val="38383A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232C1C"/>
    <w:multiLevelType w:val="hybridMultilevel"/>
    <w:tmpl w:val="CD34D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3844A6"/>
    <w:multiLevelType w:val="hybridMultilevel"/>
    <w:tmpl w:val="8F8A26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BF9487C"/>
    <w:multiLevelType w:val="hybridMultilevel"/>
    <w:tmpl w:val="153C2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663BC4"/>
    <w:multiLevelType w:val="hybridMultilevel"/>
    <w:tmpl w:val="373C6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4267B6"/>
    <w:multiLevelType w:val="hybridMultilevel"/>
    <w:tmpl w:val="1F426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EC6DFD"/>
    <w:multiLevelType w:val="hybridMultilevel"/>
    <w:tmpl w:val="A3C2C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831F4F"/>
    <w:multiLevelType w:val="hybridMultilevel"/>
    <w:tmpl w:val="A20057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6040595"/>
    <w:multiLevelType w:val="hybridMultilevel"/>
    <w:tmpl w:val="94889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BE15DE"/>
    <w:multiLevelType w:val="hybridMultilevel"/>
    <w:tmpl w:val="3FFE6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D3371F9"/>
    <w:multiLevelType w:val="multilevel"/>
    <w:tmpl w:val="204209A6"/>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5"/>
  </w:num>
  <w:num w:numId="3">
    <w:abstractNumId w:val="5"/>
  </w:num>
  <w:num w:numId="4">
    <w:abstractNumId w:val="20"/>
  </w:num>
  <w:num w:numId="5">
    <w:abstractNumId w:val="10"/>
  </w:num>
  <w:num w:numId="6">
    <w:abstractNumId w:val="23"/>
  </w:num>
  <w:num w:numId="7">
    <w:abstractNumId w:val="16"/>
  </w:num>
  <w:num w:numId="8">
    <w:abstractNumId w:val="9"/>
  </w:num>
  <w:num w:numId="9">
    <w:abstractNumId w:val="17"/>
  </w:num>
  <w:num w:numId="10">
    <w:abstractNumId w:val="0"/>
  </w:num>
  <w:num w:numId="11">
    <w:abstractNumId w:val="2"/>
  </w:num>
  <w:num w:numId="12">
    <w:abstractNumId w:val="14"/>
  </w:num>
  <w:num w:numId="13">
    <w:abstractNumId w:val="6"/>
  </w:num>
  <w:num w:numId="14">
    <w:abstractNumId w:val="4"/>
  </w:num>
  <w:num w:numId="15">
    <w:abstractNumId w:val="18"/>
  </w:num>
  <w:num w:numId="16">
    <w:abstractNumId w:val="21"/>
  </w:num>
  <w:num w:numId="17">
    <w:abstractNumId w:val="8"/>
  </w:num>
  <w:num w:numId="18">
    <w:abstractNumId w:val="22"/>
  </w:num>
  <w:num w:numId="19">
    <w:abstractNumId w:val="19"/>
  </w:num>
  <w:num w:numId="20">
    <w:abstractNumId w:val="11"/>
  </w:num>
  <w:num w:numId="21">
    <w:abstractNumId w:val="7"/>
  </w:num>
  <w:num w:numId="22">
    <w:abstractNumId w:val="13"/>
  </w:num>
  <w:num w:numId="23">
    <w:abstractNumId w:val="1"/>
  </w:num>
  <w:num w:numId="24">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169"/>
    <w:rsid w:val="000021CA"/>
    <w:rsid w:val="00003CB0"/>
    <w:rsid w:val="00007024"/>
    <w:rsid w:val="000070D0"/>
    <w:rsid w:val="00014248"/>
    <w:rsid w:val="000163DD"/>
    <w:rsid w:val="000216F7"/>
    <w:rsid w:val="000218A1"/>
    <w:rsid w:val="00031D9E"/>
    <w:rsid w:val="00067D76"/>
    <w:rsid w:val="00074B78"/>
    <w:rsid w:val="00074E39"/>
    <w:rsid w:val="00075E49"/>
    <w:rsid w:val="000844E2"/>
    <w:rsid w:val="000934C7"/>
    <w:rsid w:val="00097261"/>
    <w:rsid w:val="00097D7C"/>
    <w:rsid w:val="000A23B6"/>
    <w:rsid w:val="000A291B"/>
    <w:rsid w:val="000A314F"/>
    <w:rsid w:val="000A40E8"/>
    <w:rsid w:val="000C154C"/>
    <w:rsid w:val="000C61F5"/>
    <w:rsid w:val="000D50B3"/>
    <w:rsid w:val="000D6FAF"/>
    <w:rsid w:val="000E01EB"/>
    <w:rsid w:val="000E2DEA"/>
    <w:rsid w:val="00104047"/>
    <w:rsid w:val="0010440A"/>
    <w:rsid w:val="00113042"/>
    <w:rsid w:val="00116AB7"/>
    <w:rsid w:val="00120211"/>
    <w:rsid w:val="00120F8E"/>
    <w:rsid w:val="001451C2"/>
    <w:rsid w:val="00146AB5"/>
    <w:rsid w:val="00154CBE"/>
    <w:rsid w:val="00167F3C"/>
    <w:rsid w:val="00170954"/>
    <w:rsid w:val="001732E7"/>
    <w:rsid w:val="00175C76"/>
    <w:rsid w:val="00177644"/>
    <w:rsid w:val="00177906"/>
    <w:rsid w:val="0018425D"/>
    <w:rsid w:val="001A63EA"/>
    <w:rsid w:val="001B0745"/>
    <w:rsid w:val="001B40B7"/>
    <w:rsid w:val="001C3C14"/>
    <w:rsid w:val="001D3116"/>
    <w:rsid w:val="001D40E3"/>
    <w:rsid w:val="001E58C9"/>
    <w:rsid w:val="00200629"/>
    <w:rsid w:val="00202866"/>
    <w:rsid w:val="00205319"/>
    <w:rsid w:val="0021240E"/>
    <w:rsid w:val="0021704B"/>
    <w:rsid w:val="00235EDB"/>
    <w:rsid w:val="00247DE4"/>
    <w:rsid w:val="00250B9E"/>
    <w:rsid w:val="00263DB0"/>
    <w:rsid w:val="002669F5"/>
    <w:rsid w:val="002773E7"/>
    <w:rsid w:val="002804F4"/>
    <w:rsid w:val="00297FE1"/>
    <w:rsid w:val="002A4E7B"/>
    <w:rsid w:val="002A6B02"/>
    <w:rsid w:val="002C2E9B"/>
    <w:rsid w:val="002D2B9F"/>
    <w:rsid w:val="002D4D16"/>
    <w:rsid w:val="002D567F"/>
    <w:rsid w:val="002E4DBB"/>
    <w:rsid w:val="002F59CA"/>
    <w:rsid w:val="0030083A"/>
    <w:rsid w:val="00302295"/>
    <w:rsid w:val="00313308"/>
    <w:rsid w:val="00314174"/>
    <w:rsid w:val="00320F83"/>
    <w:rsid w:val="0032675A"/>
    <w:rsid w:val="0033715C"/>
    <w:rsid w:val="003374E3"/>
    <w:rsid w:val="00345509"/>
    <w:rsid w:val="0034794B"/>
    <w:rsid w:val="00350574"/>
    <w:rsid w:val="003548A4"/>
    <w:rsid w:val="00357066"/>
    <w:rsid w:val="00363AC2"/>
    <w:rsid w:val="00363BAB"/>
    <w:rsid w:val="0036558A"/>
    <w:rsid w:val="00366A0B"/>
    <w:rsid w:val="003705C4"/>
    <w:rsid w:val="00381B45"/>
    <w:rsid w:val="003A6AFB"/>
    <w:rsid w:val="003B7BC6"/>
    <w:rsid w:val="003C7CBA"/>
    <w:rsid w:val="003D0F08"/>
    <w:rsid w:val="003E54E6"/>
    <w:rsid w:val="003F2C00"/>
    <w:rsid w:val="00405A28"/>
    <w:rsid w:val="00411466"/>
    <w:rsid w:val="00412458"/>
    <w:rsid w:val="00420D2D"/>
    <w:rsid w:val="0042250E"/>
    <w:rsid w:val="004265F0"/>
    <w:rsid w:val="0043310A"/>
    <w:rsid w:val="00450EAA"/>
    <w:rsid w:val="00457961"/>
    <w:rsid w:val="00464015"/>
    <w:rsid w:val="00474321"/>
    <w:rsid w:val="004765B6"/>
    <w:rsid w:val="00480E9B"/>
    <w:rsid w:val="00492ABE"/>
    <w:rsid w:val="004A6928"/>
    <w:rsid w:val="004B1818"/>
    <w:rsid w:val="004B30D0"/>
    <w:rsid w:val="004B6C8B"/>
    <w:rsid w:val="004D5462"/>
    <w:rsid w:val="004E34CA"/>
    <w:rsid w:val="004F3DCD"/>
    <w:rsid w:val="0050689A"/>
    <w:rsid w:val="00520796"/>
    <w:rsid w:val="00520A01"/>
    <w:rsid w:val="00526B21"/>
    <w:rsid w:val="005369BC"/>
    <w:rsid w:val="00544BCC"/>
    <w:rsid w:val="00555A67"/>
    <w:rsid w:val="00557B73"/>
    <w:rsid w:val="00562C23"/>
    <w:rsid w:val="00585EE2"/>
    <w:rsid w:val="005B0645"/>
    <w:rsid w:val="005B66C3"/>
    <w:rsid w:val="005C1F45"/>
    <w:rsid w:val="005D08C5"/>
    <w:rsid w:val="005D3DD5"/>
    <w:rsid w:val="005D6CEC"/>
    <w:rsid w:val="005E051E"/>
    <w:rsid w:val="005E296B"/>
    <w:rsid w:val="005F1217"/>
    <w:rsid w:val="005F17C3"/>
    <w:rsid w:val="005F1D9C"/>
    <w:rsid w:val="005F7675"/>
    <w:rsid w:val="006005A8"/>
    <w:rsid w:val="006177E6"/>
    <w:rsid w:val="00621548"/>
    <w:rsid w:val="00621BAF"/>
    <w:rsid w:val="00627547"/>
    <w:rsid w:val="006516C7"/>
    <w:rsid w:val="006532B9"/>
    <w:rsid w:val="00661E50"/>
    <w:rsid w:val="0066508E"/>
    <w:rsid w:val="00675A53"/>
    <w:rsid w:val="006761F5"/>
    <w:rsid w:val="00677F88"/>
    <w:rsid w:val="00682C61"/>
    <w:rsid w:val="006832CC"/>
    <w:rsid w:val="00683762"/>
    <w:rsid w:val="0068389F"/>
    <w:rsid w:val="006915D5"/>
    <w:rsid w:val="0069182F"/>
    <w:rsid w:val="00692568"/>
    <w:rsid w:val="006A5A9D"/>
    <w:rsid w:val="006A7ACC"/>
    <w:rsid w:val="006B5169"/>
    <w:rsid w:val="006B60D6"/>
    <w:rsid w:val="006B6F80"/>
    <w:rsid w:val="006B7E8F"/>
    <w:rsid w:val="006B7F5B"/>
    <w:rsid w:val="006C1027"/>
    <w:rsid w:val="006C753D"/>
    <w:rsid w:val="006D1636"/>
    <w:rsid w:val="006E1B54"/>
    <w:rsid w:val="007015E5"/>
    <w:rsid w:val="0071070B"/>
    <w:rsid w:val="00714D85"/>
    <w:rsid w:val="007228F3"/>
    <w:rsid w:val="00724A22"/>
    <w:rsid w:val="00726973"/>
    <w:rsid w:val="0073089C"/>
    <w:rsid w:val="00731433"/>
    <w:rsid w:val="00737B2D"/>
    <w:rsid w:val="00757E31"/>
    <w:rsid w:val="0076218B"/>
    <w:rsid w:val="00767F04"/>
    <w:rsid w:val="007701A5"/>
    <w:rsid w:val="00771522"/>
    <w:rsid w:val="007716A2"/>
    <w:rsid w:val="0078054E"/>
    <w:rsid w:val="00790F62"/>
    <w:rsid w:val="00794A7F"/>
    <w:rsid w:val="0079504A"/>
    <w:rsid w:val="007B4515"/>
    <w:rsid w:val="007B7C13"/>
    <w:rsid w:val="007C3288"/>
    <w:rsid w:val="007C3E38"/>
    <w:rsid w:val="007C6985"/>
    <w:rsid w:val="007C6F61"/>
    <w:rsid w:val="007D0149"/>
    <w:rsid w:val="007E079B"/>
    <w:rsid w:val="007F0DAB"/>
    <w:rsid w:val="007F4E20"/>
    <w:rsid w:val="00803A90"/>
    <w:rsid w:val="00804C4C"/>
    <w:rsid w:val="0080626B"/>
    <w:rsid w:val="008207B0"/>
    <w:rsid w:val="008221AB"/>
    <w:rsid w:val="008336E4"/>
    <w:rsid w:val="00835AEF"/>
    <w:rsid w:val="00845CFC"/>
    <w:rsid w:val="00850A7D"/>
    <w:rsid w:val="00852E37"/>
    <w:rsid w:val="00857348"/>
    <w:rsid w:val="008618CC"/>
    <w:rsid w:val="0086297A"/>
    <w:rsid w:val="008634EF"/>
    <w:rsid w:val="00884ABA"/>
    <w:rsid w:val="00884CFB"/>
    <w:rsid w:val="00897E92"/>
    <w:rsid w:val="008A2B4D"/>
    <w:rsid w:val="008A4019"/>
    <w:rsid w:val="008C071D"/>
    <w:rsid w:val="008F10FB"/>
    <w:rsid w:val="009135A2"/>
    <w:rsid w:val="00913A45"/>
    <w:rsid w:val="00921541"/>
    <w:rsid w:val="00922410"/>
    <w:rsid w:val="00926ABB"/>
    <w:rsid w:val="00927802"/>
    <w:rsid w:val="00931E69"/>
    <w:rsid w:val="009426FF"/>
    <w:rsid w:val="00942824"/>
    <w:rsid w:val="009511DD"/>
    <w:rsid w:val="00955988"/>
    <w:rsid w:val="00963228"/>
    <w:rsid w:val="009639AD"/>
    <w:rsid w:val="009662DD"/>
    <w:rsid w:val="00970319"/>
    <w:rsid w:val="00985FD3"/>
    <w:rsid w:val="0099263D"/>
    <w:rsid w:val="009963D5"/>
    <w:rsid w:val="009B45F6"/>
    <w:rsid w:val="009C115C"/>
    <w:rsid w:val="009C4081"/>
    <w:rsid w:val="009C534E"/>
    <w:rsid w:val="009C5BF1"/>
    <w:rsid w:val="009C72CA"/>
    <w:rsid w:val="009D2BA9"/>
    <w:rsid w:val="009D6E0D"/>
    <w:rsid w:val="009D6FB7"/>
    <w:rsid w:val="009F10AB"/>
    <w:rsid w:val="009F22AA"/>
    <w:rsid w:val="009F2C3F"/>
    <w:rsid w:val="00A01597"/>
    <w:rsid w:val="00A0513F"/>
    <w:rsid w:val="00A222F2"/>
    <w:rsid w:val="00A25AF5"/>
    <w:rsid w:val="00A26408"/>
    <w:rsid w:val="00A32654"/>
    <w:rsid w:val="00A40915"/>
    <w:rsid w:val="00A42B8C"/>
    <w:rsid w:val="00A47C8E"/>
    <w:rsid w:val="00A51445"/>
    <w:rsid w:val="00A5252A"/>
    <w:rsid w:val="00A52676"/>
    <w:rsid w:val="00A53FD3"/>
    <w:rsid w:val="00A5784D"/>
    <w:rsid w:val="00A57E54"/>
    <w:rsid w:val="00A63178"/>
    <w:rsid w:val="00A70188"/>
    <w:rsid w:val="00A716E0"/>
    <w:rsid w:val="00A73212"/>
    <w:rsid w:val="00A73767"/>
    <w:rsid w:val="00A73C6E"/>
    <w:rsid w:val="00A75FDA"/>
    <w:rsid w:val="00A77253"/>
    <w:rsid w:val="00A83459"/>
    <w:rsid w:val="00AB1B3C"/>
    <w:rsid w:val="00AB22CF"/>
    <w:rsid w:val="00AC6F90"/>
    <w:rsid w:val="00AD06DA"/>
    <w:rsid w:val="00AF2353"/>
    <w:rsid w:val="00AF2A00"/>
    <w:rsid w:val="00AF30B2"/>
    <w:rsid w:val="00B01A6F"/>
    <w:rsid w:val="00B05B63"/>
    <w:rsid w:val="00B23B12"/>
    <w:rsid w:val="00B31BBC"/>
    <w:rsid w:val="00B34DF2"/>
    <w:rsid w:val="00B34EEA"/>
    <w:rsid w:val="00B360AB"/>
    <w:rsid w:val="00B37ACA"/>
    <w:rsid w:val="00B44F5C"/>
    <w:rsid w:val="00B45613"/>
    <w:rsid w:val="00B549D0"/>
    <w:rsid w:val="00B65855"/>
    <w:rsid w:val="00B65B0D"/>
    <w:rsid w:val="00B65C5C"/>
    <w:rsid w:val="00B85858"/>
    <w:rsid w:val="00B9330E"/>
    <w:rsid w:val="00BA3EE3"/>
    <w:rsid w:val="00BB0E38"/>
    <w:rsid w:val="00BB7823"/>
    <w:rsid w:val="00BC50C5"/>
    <w:rsid w:val="00BC684E"/>
    <w:rsid w:val="00BD363C"/>
    <w:rsid w:val="00BE2A54"/>
    <w:rsid w:val="00BE4DAE"/>
    <w:rsid w:val="00BF6725"/>
    <w:rsid w:val="00BF6C1A"/>
    <w:rsid w:val="00BF7212"/>
    <w:rsid w:val="00C00B01"/>
    <w:rsid w:val="00C0204F"/>
    <w:rsid w:val="00C12CC3"/>
    <w:rsid w:val="00C145BF"/>
    <w:rsid w:val="00C24BF7"/>
    <w:rsid w:val="00C25C16"/>
    <w:rsid w:val="00C25DE2"/>
    <w:rsid w:val="00C35073"/>
    <w:rsid w:val="00C367FE"/>
    <w:rsid w:val="00C36AF0"/>
    <w:rsid w:val="00C41BB7"/>
    <w:rsid w:val="00C55082"/>
    <w:rsid w:val="00C65498"/>
    <w:rsid w:val="00C8055A"/>
    <w:rsid w:val="00C93804"/>
    <w:rsid w:val="00CA0631"/>
    <w:rsid w:val="00CA3607"/>
    <w:rsid w:val="00CA717B"/>
    <w:rsid w:val="00CB7066"/>
    <w:rsid w:val="00CC3D40"/>
    <w:rsid w:val="00CD0E60"/>
    <w:rsid w:val="00CD5EFB"/>
    <w:rsid w:val="00CE5120"/>
    <w:rsid w:val="00CF2DBD"/>
    <w:rsid w:val="00D13183"/>
    <w:rsid w:val="00D14469"/>
    <w:rsid w:val="00D17F56"/>
    <w:rsid w:val="00D21943"/>
    <w:rsid w:val="00D25E8F"/>
    <w:rsid w:val="00D37D23"/>
    <w:rsid w:val="00D42CD9"/>
    <w:rsid w:val="00D533FE"/>
    <w:rsid w:val="00D72BA3"/>
    <w:rsid w:val="00D8141B"/>
    <w:rsid w:val="00D85328"/>
    <w:rsid w:val="00D917AE"/>
    <w:rsid w:val="00D93FF8"/>
    <w:rsid w:val="00D977FD"/>
    <w:rsid w:val="00DB13FD"/>
    <w:rsid w:val="00DC6980"/>
    <w:rsid w:val="00DD1D1D"/>
    <w:rsid w:val="00DD62AE"/>
    <w:rsid w:val="00DF3853"/>
    <w:rsid w:val="00DF4CE7"/>
    <w:rsid w:val="00DF58F6"/>
    <w:rsid w:val="00DF7FAC"/>
    <w:rsid w:val="00E03109"/>
    <w:rsid w:val="00E064DC"/>
    <w:rsid w:val="00E07072"/>
    <w:rsid w:val="00E12DCD"/>
    <w:rsid w:val="00E2313E"/>
    <w:rsid w:val="00E237BB"/>
    <w:rsid w:val="00E25480"/>
    <w:rsid w:val="00E540E6"/>
    <w:rsid w:val="00E57F5F"/>
    <w:rsid w:val="00E618F5"/>
    <w:rsid w:val="00E65E5F"/>
    <w:rsid w:val="00E70726"/>
    <w:rsid w:val="00E76DF0"/>
    <w:rsid w:val="00E8230D"/>
    <w:rsid w:val="00E86450"/>
    <w:rsid w:val="00E95114"/>
    <w:rsid w:val="00E956E0"/>
    <w:rsid w:val="00EA56BD"/>
    <w:rsid w:val="00EA74C8"/>
    <w:rsid w:val="00EB2A27"/>
    <w:rsid w:val="00EB3D22"/>
    <w:rsid w:val="00EC067C"/>
    <w:rsid w:val="00EC5EBE"/>
    <w:rsid w:val="00EE27E0"/>
    <w:rsid w:val="00EE39A6"/>
    <w:rsid w:val="00EF32C1"/>
    <w:rsid w:val="00EF723E"/>
    <w:rsid w:val="00F0107E"/>
    <w:rsid w:val="00F0177A"/>
    <w:rsid w:val="00F04BB2"/>
    <w:rsid w:val="00F1605D"/>
    <w:rsid w:val="00F27601"/>
    <w:rsid w:val="00F302E5"/>
    <w:rsid w:val="00F332B0"/>
    <w:rsid w:val="00F43895"/>
    <w:rsid w:val="00F43A50"/>
    <w:rsid w:val="00F5404C"/>
    <w:rsid w:val="00F57909"/>
    <w:rsid w:val="00F6335E"/>
    <w:rsid w:val="00F715F0"/>
    <w:rsid w:val="00F72BA8"/>
    <w:rsid w:val="00F72C7E"/>
    <w:rsid w:val="00F75C6F"/>
    <w:rsid w:val="00F801EA"/>
    <w:rsid w:val="00F87D58"/>
    <w:rsid w:val="00FA0FC9"/>
    <w:rsid w:val="00FB2EBA"/>
    <w:rsid w:val="00FD4212"/>
    <w:rsid w:val="00FE7A3D"/>
    <w:rsid w:val="00FF102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72F4B2F"/>
  <w15:docId w15:val="{72FE79D9-6FBA-4298-ACD9-E9C6BBC09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9CA"/>
    <w:pPr>
      <w:spacing w:after="240"/>
    </w:pPr>
  </w:style>
  <w:style w:type="paragraph" w:styleId="Heading1">
    <w:name w:val="heading 1"/>
    <w:next w:val="Normal"/>
    <w:link w:val="Heading1Char"/>
    <w:autoRedefine/>
    <w:qFormat/>
    <w:rsid w:val="002A4E7B"/>
    <w:pPr>
      <w:numPr>
        <w:numId w:val="24"/>
      </w:numPr>
      <w:outlineLvl w:val="0"/>
    </w:pPr>
    <w:rPr>
      <w:rFonts w:eastAsia="Times New Roman" w:cs="Times New Roman"/>
      <w:b/>
      <w:i/>
      <w:sz w:val="32"/>
      <w:szCs w:val="32"/>
      <w:lang w:val="en-US"/>
    </w:rPr>
  </w:style>
  <w:style w:type="paragraph" w:styleId="Heading2">
    <w:name w:val="heading 2"/>
    <w:basedOn w:val="Heading3"/>
    <w:next w:val="Normal"/>
    <w:link w:val="Heading2Char"/>
    <w:autoRedefine/>
    <w:qFormat/>
    <w:rsid w:val="000A40E8"/>
    <w:pPr>
      <w:numPr>
        <w:ilvl w:val="1"/>
      </w:numPr>
      <w:outlineLvl w:val="1"/>
    </w:pPr>
    <w:rPr>
      <w:i w:val="0"/>
    </w:rPr>
  </w:style>
  <w:style w:type="paragraph" w:styleId="Heading3">
    <w:name w:val="heading 3"/>
    <w:next w:val="Normal"/>
    <w:link w:val="Heading3Char"/>
    <w:autoRedefine/>
    <w:qFormat/>
    <w:rsid w:val="00297FE1"/>
    <w:pPr>
      <w:keepNext/>
      <w:numPr>
        <w:ilvl w:val="2"/>
        <w:numId w:val="24"/>
      </w:numPr>
      <w:spacing w:before="240" w:after="120"/>
      <w:outlineLvl w:val="2"/>
    </w:pPr>
    <w:rPr>
      <w:rFonts w:eastAsia="Times New Roman" w:cs="Times New Roman"/>
      <w:b/>
      <w:i/>
      <w:szCs w:val="32"/>
      <w:lang w:val="en-US"/>
    </w:rPr>
  </w:style>
  <w:style w:type="paragraph" w:styleId="Heading4">
    <w:name w:val="heading 4"/>
    <w:basedOn w:val="Heading3"/>
    <w:next w:val="Normal"/>
    <w:link w:val="Heading4Char"/>
    <w:autoRedefine/>
    <w:qFormat/>
    <w:rsid w:val="00927802"/>
    <w:pPr>
      <w:numPr>
        <w:ilvl w:val="3"/>
      </w:numPr>
      <w:outlineLvl w:val="3"/>
    </w:pPr>
    <w:rPr>
      <w:b w:val="0"/>
      <w:i w:val="0"/>
      <w:sz w:val="28"/>
      <w:szCs w:val="28"/>
    </w:rPr>
  </w:style>
  <w:style w:type="paragraph" w:styleId="Heading5">
    <w:name w:val="heading 5"/>
    <w:next w:val="Normal"/>
    <w:link w:val="Heading5Char"/>
    <w:autoRedefine/>
    <w:qFormat/>
    <w:rsid w:val="000A40E8"/>
    <w:pPr>
      <w:keepNext/>
      <w:numPr>
        <w:ilvl w:val="4"/>
        <w:numId w:val="24"/>
      </w:numPr>
      <w:spacing w:before="240" w:after="120"/>
      <w:outlineLvl w:val="4"/>
    </w:pPr>
    <w:rPr>
      <w:i/>
      <w:u w:val="single"/>
    </w:rPr>
  </w:style>
  <w:style w:type="paragraph" w:styleId="Heading6">
    <w:name w:val="heading 6"/>
    <w:next w:val="Normal"/>
    <w:link w:val="Heading6Char"/>
    <w:qFormat/>
    <w:rsid w:val="00927802"/>
    <w:pPr>
      <w:keepNext/>
      <w:numPr>
        <w:ilvl w:val="5"/>
        <w:numId w:val="24"/>
      </w:numPr>
      <w:spacing w:before="240" w:after="120"/>
      <w:outlineLvl w:val="5"/>
    </w:pPr>
    <w:rPr>
      <w:rFonts w:cs="Times New Roman"/>
      <w:b/>
      <w:i/>
      <w:szCs w:val="24"/>
    </w:rPr>
  </w:style>
  <w:style w:type="paragraph" w:styleId="Heading7">
    <w:name w:val="heading 7"/>
    <w:basedOn w:val="Normal"/>
    <w:next w:val="Normal"/>
    <w:link w:val="Heading7Char"/>
    <w:uiPriority w:val="9"/>
    <w:unhideWhenUsed/>
    <w:qFormat/>
    <w:rsid w:val="005D3DD5"/>
    <w:pPr>
      <w:keepNext/>
      <w:widowControl w:val="0"/>
      <w:numPr>
        <w:ilvl w:val="6"/>
        <w:numId w:val="24"/>
      </w:numPr>
      <w:spacing w:after="0"/>
      <w:outlineLvl w:val="6"/>
    </w:pPr>
    <w:rPr>
      <w:rFonts w:cs="Times New Roman"/>
      <w:i/>
      <w:szCs w:val="24"/>
      <w:u w:val="single"/>
    </w:rPr>
  </w:style>
  <w:style w:type="paragraph" w:styleId="Heading8">
    <w:name w:val="heading 8"/>
    <w:basedOn w:val="Normal"/>
    <w:next w:val="Normal"/>
    <w:link w:val="Heading8Char"/>
    <w:uiPriority w:val="9"/>
    <w:semiHidden/>
    <w:unhideWhenUsed/>
    <w:qFormat/>
    <w:rsid w:val="000A40E8"/>
    <w:pPr>
      <w:keepNext/>
      <w:keepLines/>
      <w:numPr>
        <w:ilvl w:val="7"/>
        <w:numId w:val="2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A40E8"/>
    <w:pPr>
      <w:keepNext/>
      <w:keepLines/>
      <w:numPr>
        <w:ilvl w:val="8"/>
        <w:numId w:val="2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4E7B"/>
    <w:rPr>
      <w:rFonts w:eastAsia="Times New Roman" w:cs="Times New Roman"/>
      <w:b/>
      <w:i/>
      <w:sz w:val="32"/>
      <w:szCs w:val="32"/>
      <w:lang w:val="en-US"/>
    </w:rPr>
  </w:style>
  <w:style w:type="character" w:customStyle="1" w:styleId="Heading2Char">
    <w:name w:val="Heading 2 Char"/>
    <w:basedOn w:val="DefaultParagraphFont"/>
    <w:link w:val="Heading2"/>
    <w:rsid w:val="000A40E8"/>
    <w:rPr>
      <w:rFonts w:eastAsia="Times New Roman" w:cs="Times New Roman"/>
      <w:b/>
      <w:szCs w:val="32"/>
      <w:lang w:val="en-US"/>
    </w:rPr>
  </w:style>
  <w:style w:type="character" w:customStyle="1" w:styleId="Heading3Char">
    <w:name w:val="Heading 3 Char"/>
    <w:basedOn w:val="DefaultParagraphFont"/>
    <w:link w:val="Heading3"/>
    <w:rsid w:val="00297FE1"/>
    <w:rPr>
      <w:rFonts w:eastAsia="Times New Roman" w:cs="Times New Roman"/>
      <w:b/>
      <w:i/>
      <w:szCs w:val="32"/>
      <w:lang w:val="en-US"/>
    </w:rPr>
  </w:style>
  <w:style w:type="character" w:customStyle="1" w:styleId="Heading4Char">
    <w:name w:val="Heading 4 Char"/>
    <w:basedOn w:val="DefaultParagraphFont"/>
    <w:link w:val="Heading4"/>
    <w:rsid w:val="002A4E7B"/>
    <w:rPr>
      <w:rFonts w:eastAsia="Times New Roman" w:cs="Times New Roman"/>
      <w:sz w:val="28"/>
      <w:szCs w:val="28"/>
      <w:lang w:val="en-US"/>
    </w:rPr>
  </w:style>
  <w:style w:type="character" w:customStyle="1" w:styleId="Heading5Char">
    <w:name w:val="Heading 5 Char"/>
    <w:basedOn w:val="DefaultParagraphFont"/>
    <w:link w:val="Heading5"/>
    <w:rsid w:val="000A40E8"/>
    <w:rPr>
      <w:i/>
      <w:u w:val="single"/>
    </w:rPr>
  </w:style>
  <w:style w:type="character" w:customStyle="1" w:styleId="Heading6Char">
    <w:name w:val="Heading 6 Char"/>
    <w:basedOn w:val="DefaultParagraphFont"/>
    <w:link w:val="Heading6"/>
    <w:rsid w:val="00927802"/>
    <w:rPr>
      <w:rFonts w:cs="Times New Roman"/>
      <w:b/>
      <w:i/>
      <w:szCs w:val="24"/>
    </w:rPr>
  </w:style>
  <w:style w:type="numbering" w:customStyle="1" w:styleId="NoList1">
    <w:name w:val="No List1"/>
    <w:next w:val="NoList"/>
    <w:uiPriority w:val="99"/>
    <w:semiHidden/>
    <w:unhideWhenUsed/>
    <w:rsid w:val="006B5169"/>
  </w:style>
  <w:style w:type="paragraph" w:styleId="BalloonText">
    <w:name w:val="Balloon Text"/>
    <w:basedOn w:val="Normal"/>
    <w:link w:val="BalloonTextChar"/>
    <w:semiHidden/>
    <w:rsid w:val="006B5169"/>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6B5169"/>
    <w:rPr>
      <w:rFonts w:ascii="Tahoma" w:eastAsia="Times New Roman" w:hAnsi="Tahoma" w:cs="Tahoma"/>
      <w:sz w:val="16"/>
      <w:szCs w:val="16"/>
      <w:lang w:val="en-US"/>
    </w:rPr>
  </w:style>
  <w:style w:type="paragraph" w:styleId="ListParagraph">
    <w:name w:val="List Paragraph"/>
    <w:basedOn w:val="Normal"/>
    <w:link w:val="ListParagraphChar"/>
    <w:uiPriority w:val="34"/>
    <w:qFormat/>
    <w:rsid w:val="006B5169"/>
    <w:pPr>
      <w:spacing w:after="0" w:line="240" w:lineRule="auto"/>
      <w:ind w:left="720"/>
      <w:contextualSpacing/>
    </w:pPr>
    <w:rPr>
      <w:rFonts w:eastAsia="Times New Roman" w:cs="Times New Roman"/>
      <w:szCs w:val="24"/>
      <w:lang w:val="en-US"/>
    </w:rPr>
  </w:style>
  <w:style w:type="table" w:styleId="TableGrid">
    <w:name w:val="Table Grid"/>
    <w:basedOn w:val="TableNormal"/>
    <w:rsid w:val="006B5169"/>
    <w:pPr>
      <w:spacing w:after="0" w:line="240" w:lineRule="auto"/>
    </w:pPr>
    <w:rPr>
      <w:rFonts w:eastAsia="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6B5169"/>
    <w:pPr>
      <w:tabs>
        <w:tab w:val="center" w:pos="4513"/>
        <w:tab w:val="right" w:pos="9026"/>
      </w:tabs>
      <w:spacing w:after="0" w:line="240" w:lineRule="auto"/>
    </w:pPr>
    <w:rPr>
      <w:rFonts w:eastAsia="Times New Roman" w:cs="Times New Roman"/>
      <w:szCs w:val="24"/>
      <w:lang w:val="en-US"/>
    </w:rPr>
  </w:style>
  <w:style w:type="character" w:customStyle="1" w:styleId="HeaderChar">
    <w:name w:val="Header Char"/>
    <w:basedOn w:val="DefaultParagraphFont"/>
    <w:link w:val="Header"/>
    <w:uiPriority w:val="99"/>
    <w:rsid w:val="006B5169"/>
    <w:rPr>
      <w:rFonts w:eastAsia="Times New Roman" w:cs="Times New Roman"/>
      <w:szCs w:val="24"/>
      <w:lang w:val="en-US"/>
    </w:rPr>
  </w:style>
  <w:style w:type="paragraph" w:styleId="Footer">
    <w:name w:val="footer"/>
    <w:basedOn w:val="Normal"/>
    <w:link w:val="FooterChar"/>
    <w:rsid w:val="006B5169"/>
    <w:pPr>
      <w:tabs>
        <w:tab w:val="center" w:pos="4513"/>
        <w:tab w:val="right" w:pos="9026"/>
      </w:tabs>
      <w:spacing w:after="0" w:line="240" w:lineRule="auto"/>
    </w:pPr>
    <w:rPr>
      <w:rFonts w:eastAsia="Times New Roman" w:cs="Times New Roman"/>
      <w:szCs w:val="24"/>
      <w:lang w:val="en-US"/>
    </w:rPr>
  </w:style>
  <w:style w:type="character" w:customStyle="1" w:styleId="FooterChar">
    <w:name w:val="Footer Char"/>
    <w:basedOn w:val="DefaultParagraphFont"/>
    <w:link w:val="Footer"/>
    <w:rsid w:val="006B5169"/>
    <w:rPr>
      <w:rFonts w:eastAsia="Times New Roman" w:cs="Times New Roman"/>
      <w:szCs w:val="24"/>
      <w:lang w:val="en-US"/>
    </w:rPr>
  </w:style>
  <w:style w:type="paragraph" w:styleId="FootnoteText">
    <w:name w:val="footnote text"/>
    <w:basedOn w:val="Normal"/>
    <w:link w:val="FootnoteTextChar"/>
    <w:uiPriority w:val="99"/>
    <w:rsid w:val="006B5169"/>
    <w:pPr>
      <w:spacing w:after="0" w:line="240" w:lineRule="auto"/>
    </w:pPr>
    <w:rPr>
      <w:rFonts w:eastAsia="Times New Roman" w:cs="Times New Roman"/>
      <w:sz w:val="20"/>
      <w:szCs w:val="20"/>
      <w:lang w:val="en-US"/>
    </w:rPr>
  </w:style>
  <w:style w:type="character" w:customStyle="1" w:styleId="FootnoteTextChar">
    <w:name w:val="Footnote Text Char"/>
    <w:basedOn w:val="DefaultParagraphFont"/>
    <w:link w:val="FootnoteText"/>
    <w:uiPriority w:val="99"/>
    <w:rsid w:val="006B5169"/>
    <w:rPr>
      <w:rFonts w:eastAsia="Times New Roman" w:cs="Times New Roman"/>
      <w:sz w:val="20"/>
      <w:szCs w:val="20"/>
      <w:lang w:val="en-US"/>
    </w:rPr>
  </w:style>
  <w:style w:type="character" w:styleId="FootnoteReference">
    <w:name w:val="footnote reference"/>
    <w:uiPriority w:val="99"/>
    <w:rsid w:val="006B5169"/>
    <w:rPr>
      <w:rFonts w:cs="Times New Roman"/>
      <w:vertAlign w:val="superscript"/>
    </w:rPr>
  </w:style>
  <w:style w:type="character" w:styleId="CommentReference">
    <w:name w:val="annotation reference"/>
    <w:rsid w:val="006B5169"/>
    <w:rPr>
      <w:rFonts w:cs="Times New Roman"/>
      <w:sz w:val="16"/>
      <w:szCs w:val="16"/>
    </w:rPr>
  </w:style>
  <w:style w:type="paragraph" w:styleId="CommentText">
    <w:name w:val="annotation text"/>
    <w:basedOn w:val="Normal"/>
    <w:link w:val="CommentTextChar"/>
    <w:rsid w:val="006B5169"/>
    <w:pPr>
      <w:spacing w:after="0" w:line="240" w:lineRule="auto"/>
    </w:pPr>
    <w:rPr>
      <w:rFonts w:eastAsia="Times New Roman" w:cs="Times New Roman"/>
      <w:sz w:val="20"/>
      <w:szCs w:val="20"/>
      <w:lang w:val="en-US"/>
    </w:rPr>
  </w:style>
  <w:style w:type="character" w:customStyle="1" w:styleId="CommentTextChar">
    <w:name w:val="Comment Text Char"/>
    <w:basedOn w:val="DefaultParagraphFont"/>
    <w:link w:val="CommentText"/>
    <w:rsid w:val="006B5169"/>
    <w:rPr>
      <w:rFonts w:eastAsia="Times New Roman" w:cs="Times New Roman"/>
      <w:sz w:val="20"/>
      <w:szCs w:val="20"/>
      <w:lang w:val="en-US"/>
    </w:rPr>
  </w:style>
  <w:style w:type="paragraph" w:styleId="CommentSubject">
    <w:name w:val="annotation subject"/>
    <w:basedOn w:val="CommentText"/>
    <w:next w:val="CommentText"/>
    <w:link w:val="CommentSubjectChar"/>
    <w:semiHidden/>
    <w:rsid w:val="006B5169"/>
    <w:rPr>
      <w:b/>
      <w:bCs/>
    </w:rPr>
  </w:style>
  <w:style w:type="character" w:customStyle="1" w:styleId="CommentSubjectChar">
    <w:name w:val="Comment Subject Char"/>
    <w:basedOn w:val="CommentTextChar"/>
    <w:link w:val="CommentSubject"/>
    <w:semiHidden/>
    <w:rsid w:val="006B5169"/>
    <w:rPr>
      <w:rFonts w:eastAsia="Times New Roman" w:cs="Times New Roman"/>
      <w:b/>
      <w:bCs/>
      <w:sz w:val="20"/>
      <w:szCs w:val="20"/>
      <w:lang w:val="en-US"/>
    </w:rPr>
  </w:style>
  <w:style w:type="character" w:styleId="Hyperlink">
    <w:name w:val="Hyperlink"/>
    <w:uiPriority w:val="99"/>
    <w:rsid w:val="006B5169"/>
    <w:rPr>
      <w:rFonts w:cs="Times New Roman"/>
      <w:color w:val="0000FF"/>
      <w:u w:val="single"/>
    </w:rPr>
  </w:style>
  <w:style w:type="character" w:styleId="FollowedHyperlink">
    <w:name w:val="FollowedHyperlink"/>
    <w:rsid w:val="006B5169"/>
    <w:rPr>
      <w:color w:val="800080"/>
      <w:u w:val="single"/>
    </w:rPr>
  </w:style>
  <w:style w:type="paragraph" w:customStyle="1" w:styleId="CharCharChar">
    <w:name w:val="Char Char Char"/>
    <w:basedOn w:val="Normal"/>
    <w:rsid w:val="006B5169"/>
    <w:pPr>
      <w:spacing w:after="0" w:line="240" w:lineRule="auto"/>
    </w:pPr>
    <w:rPr>
      <w:rFonts w:ascii="Arial" w:eastAsia="Times New Roman" w:hAnsi="Arial" w:cs="Arial"/>
      <w:szCs w:val="24"/>
      <w:lang w:val="en-US"/>
    </w:rPr>
  </w:style>
  <w:style w:type="character" w:customStyle="1" w:styleId="A9">
    <w:name w:val="A9"/>
    <w:uiPriority w:val="99"/>
    <w:rsid w:val="006B5169"/>
    <w:rPr>
      <w:rFonts w:cs="Minion Pro"/>
      <w:color w:val="000000"/>
      <w:sz w:val="13"/>
      <w:szCs w:val="13"/>
    </w:rPr>
  </w:style>
  <w:style w:type="paragraph" w:styleId="TOCHeading">
    <w:name w:val="TOC Heading"/>
    <w:basedOn w:val="Heading1"/>
    <w:next w:val="Normal"/>
    <w:uiPriority w:val="39"/>
    <w:unhideWhenUsed/>
    <w:qFormat/>
    <w:rsid w:val="006B5169"/>
    <w:pPr>
      <w:keepLines/>
      <w:spacing w:before="480" w:after="0"/>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rsid w:val="006B5169"/>
    <w:pPr>
      <w:spacing w:after="0" w:line="240" w:lineRule="auto"/>
    </w:pPr>
    <w:rPr>
      <w:rFonts w:eastAsia="Times New Roman" w:cs="Times New Roman"/>
      <w:szCs w:val="24"/>
      <w:lang w:val="en-US"/>
    </w:rPr>
  </w:style>
  <w:style w:type="paragraph" w:styleId="TOC3">
    <w:name w:val="toc 3"/>
    <w:basedOn w:val="Normal"/>
    <w:next w:val="Normal"/>
    <w:autoRedefine/>
    <w:uiPriority w:val="39"/>
    <w:rsid w:val="006B5169"/>
    <w:pPr>
      <w:spacing w:after="0" w:line="240" w:lineRule="auto"/>
      <w:ind w:left="440"/>
    </w:pPr>
    <w:rPr>
      <w:rFonts w:eastAsia="Times New Roman" w:cs="Times New Roman"/>
      <w:szCs w:val="24"/>
      <w:lang w:val="en-US"/>
    </w:rPr>
  </w:style>
  <w:style w:type="paragraph" w:styleId="TOC2">
    <w:name w:val="toc 2"/>
    <w:basedOn w:val="Normal"/>
    <w:next w:val="Normal"/>
    <w:autoRedefine/>
    <w:uiPriority w:val="39"/>
    <w:rsid w:val="006B5169"/>
    <w:pPr>
      <w:spacing w:after="0" w:line="240" w:lineRule="auto"/>
      <w:ind w:left="220"/>
    </w:pPr>
    <w:rPr>
      <w:rFonts w:eastAsia="Times New Roman" w:cs="Times New Roman"/>
      <w:szCs w:val="24"/>
      <w:lang w:val="en-US"/>
    </w:rPr>
  </w:style>
  <w:style w:type="paragraph" w:customStyle="1" w:styleId="PFBulletMargin">
    <w:name w:val="PF Bullet Margin"/>
    <w:basedOn w:val="Normal"/>
    <w:rsid w:val="006B5169"/>
    <w:pPr>
      <w:numPr>
        <w:numId w:val="1"/>
      </w:numPr>
      <w:tabs>
        <w:tab w:val="left" w:pos="1848"/>
        <w:tab w:val="left" w:pos="2773"/>
        <w:tab w:val="left" w:pos="3697"/>
        <w:tab w:val="left" w:pos="4621"/>
        <w:tab w:val="left" w:pos="5545"/>
        <w:tab w:val="left" w:pos="6469"/>
        <w:tab w:val="left" w:pos="7394"/>
        <w:tab w:val="left" w:pos="8318"/>
        <w:tab w:val="right" w:pos="8930"/>
      </w:tabs>
      <w:spacing w:before="120" w:after="120" w:line="240" w:lineRule="auto"/>
    </w:pPr>
    <w:rPr>
      <w:rFonts w:ascii="Arial" w:eastAsia="Times New Roman" w:hAnsi="Arial" w:cs="Times New Roman"/>
      <w:color w:val="000000"/>
      <w:sz w:val="21"/>
      <w:szCs w:val="20"/>
      <w:lang w:val="en-US"/>
    </w:rPr>
  </w:style>
  <w:style w:type="paragraph" w:customStyle="1" w:styleId="PFBulletLevel1">
    <w:name w:val="PF Bullet Level 1"/>
    <w:basedOn w:val="Normal"/>
    <w:rsid w:val="006B5169"/>
    <w:pPr>
      <w:numPr>
        <w:ilvl w:val="1"/>
        <w:numId w:val="1"/>
      </w:numPr>
      <w:tabs>
        <w:tab w:val="left" w:pos="2773"/>
        <w:tab w:val="left" w:pos="3697"/>
        <w:tab w:val="left" w:pos="4621"/>
        <w:tab w:val="left" w:pos="5545"/>
        <w:tab w:val="left" w:pos="6469"/>
        <w:tab w:val="left" w:pos="7394"/>
        <w:tab w:val="left" w:pos="8318"/>
        <w:tab w:val="right" w:pos="8930"/>
      </w:tabs>
      <w:spacing w:before="120" w:after="120" w:line="240" w:lineRule="auto"/>
    </w:pPr>
    <w:rPr>
      <w:rFonts w:ascii="Arial" w:eastAsia="Times New Roman" w:hAnsi="Arial" w:cs="Times New Roman"/>
      <w:color w:val="000000"/>
      <w:sz w:val="21"/>
      <w:szCs w:val="20"/>
      <w:lang w:val="en-US"/>
    </w:rPr>
  </w:style>
  <w:style w:type="paragraph" w:customStyle="1" w:styleId="PFBulletLevel2">
    <w:name w:val="PF Bullet Level 2"/>
    <w:basedOn w:val="Normal"/>
    <w:rsid w:val="006B5169"/>
    <w:pPr>
      <w:numPr>
        <w:ilvl w:val="2"/>
        <w:numId w:val="1"/>
      </w:numPr>
      <w:tabs>
        <w:tab w:val="left" w:pos="1848"/>
        <w:tab w:val="left" w:pos="3697"/>
        <w:tab w:val="left" w:pos="4621"/>
        <w:tab w:val="left" w:pos="5545"/>
        <w:tab w:val="left" w:pos="6469"/>
        <w:tab w:val="left" w:pos="7394"/>
        <w:tab w:val="left" w:pos="8318"/>
        <w:tab w:val="right" w:pos="8930"/>
      </w:tabs>
      <w:spacing w:before="120" w:after="120" w:line="240" w:lineRule="auto"/>
    </w:pPr>
    <w:rPr>
      <w:rFonts w:ascii="Arial" w:eastAsia="Times New Roman" w:hAnsi="Arial" w:cs="Times New Roman"/>
      <w:color w:val="000000"/>
      <w:sz w:val="21"/>
      <w:szCs w:val="20"/>
      <w:lang w:val="en-US"/>
    </w:rPr>
  </w:style>
  <w:style w:type="paragraph" w:customStyle="1" w:styleId="PFBulletLevel3">
    <w:name w:val="PF Bullet Level 3"/>
    <w:basedOn w:val="Normal"/>
    <w:rsid w:val="006B5169"/>
    <w:pPr>
      <w:numPr>
        <w:ilvl w:val="3"/>
        <w:numId w:val="1"/>
      </w:numPr>
      <w:tabs>
        <w:tab w:val="left" w:pos="1848"/>
        <w:tab w:val="left" w:pos="2773"/>
        <w:tab w:val="left" w:pos="4621"/>
        <w:tab w:val="left" w:pos="5545"/>
        <w:tab w:val="left" w:pos="6469"/>
        <w:tab w:val="left" w:pos="7394"/>
        <w:tab w:val="left" w:pos="8318"/>
        <w:tab w:val="right" w:pos="8930"/>
      </w:tabs>
      <w:spacing w:before="120" w:after="120" w:line="240" w:lineRule="auto"/>
    </w:pPr>
    <w:rPr>
      <w:rFonts w:ascii="Arial" w:eastAsia="Times New Roman" w:hAnsi="Arial" w:cs="Times New Roman"/>
      <w:color w:val="000000"/>
      <w:sz w:val="21"/>
      <w:szCs w:val="20"/>
      <w:lang w:val="en-US"/>
    </w:rPr>
  </w:style>
  <w:style w:type="paragraph" w:customStyle="1" w:styleId="NormalText">
    <w:name w:val="Normal Text"/>
    <w:basedOn w:val="Normal"/>
    <w:link w:val="NormalTextChar"/>
    <w:qFormat/>
    <w:rsid w:val="00116AB7"/>
    <w:pPr>
      <w:spacing w:after="120" w:line="240" w:lineRule="auto"/>
    </w:pPr>
    <w:rPr>
      <w:rFonts w:ascii="Book Antiqua" w:eastAsia="Times New Roman" w:hAnsi="Book Antiqua" w:cs="Times New Roman"/>
      <w:sz w:val="20"/>
      <w:szCs w:val="20"/>
      <w:lang w:eastAsia="en-AU"/>
    </w:rPr>
  </w:style>
  <w:style w:type="character" w:customStyle="1" w:styleId="NormalTextChar">
    <w:name w:val="Normal Text Char"/>
    <w:link w:val="NormalText"/>
    <w:rsid w:val="00116AB7"/>
    <w:rPr>
      <w:rFonts w:ascii="Book Antiqua" w:eastAsia="Times New Roman" w:hAnsi="Book Antiqua" w:cs="Times New Roman"/>
      <w:sz w:val="20"/>
      <w:szCs w:val="20"/>
      <w:lang w:eastAsia="en-AU"/>
    </w:rPr>
  </w:style>
  <w:style w:type="character" w:customStyle="1" w:styleId="ListParagraphChar">
    <w:name w:val="List Paragraph Char"/>
    <w:link w:val="ListParagraph"/>
    <w:uiPriority w:val="34"/>
    <w:rsid w:val="00985FD3"/>
    <w:rPr>
      <w:rFonts w:eastAsia="Times New Roman" w:cs="Times New Roman"/>
      <w:szCs w:val="24"/>
      <w:lang w:val="en-US"/>
    </w:rPr>
  </w:style>
  <w:style w:type="character" w:styleId="Strong">
    <w:name w:val="Strong"/>
    <w:basedOn w:val="DefaultParagraphFont"/>
    <w:uiPriority w:val="22"/>
    <w:qFormat/>
    <w:rsid w:val="00480E9B"/>
    <w:rPr>
      <w:b/>
      <w:bCs/>
      <w:i w:val="0"/>
    </w:rPr>
  </w:style>
  <w:style w:type="character" w:customStyle="1" w:styleId="Heading7Char">
    <w:name w:val="Heading 7 Char"/>
    <w:basedOn w:val="DefaultParagraphFont"/>
    <w:link w:val="Heading7"/>
    <w:uiPriority w:val="9"/>
    <w:rsid w:val="005D3DD5"/>
    <w:rPr>
      <w:rFonts w:cs="Times New Roman"/>
      <w:i/>
      <w:szCs w:val="24"/>
      <w:u w:val="single"/>
    </w:rPr>
  </w:style>
  <w:style w:type="paragraph" w:styleId="TOC4">
    <w:name w:val="toc 4"/>
    <w:basedOn w:val="Normal"/>
    <w:next w:val="Normal"/>
    <w:autoRedefine/>
    <w:uiPriority w:val="39"/>
    <w:unhideWhenUsed/>
    <w:rsid w:val="00104047"/>
    <w:pPr>
      <w:spacing w:after="100"/>
      <w:ind w:left="720"/>
    </w:pPr>
  </w:style>
  <w:style w:type="paragraph" w:styleId="TOC5">
    <w:name w:val="toc 5"/>
    <w:basedOn w:val="Normal"/>
    <w:next w:val="Normal"/>
    <w:autoRedefine/>
    <w:uiPriority w:val="39"/>
    <w:unhideWhenUsed/>
    <w:rsid w:val="00104047"/>
    <w:pPr>
      <w:spacing w:after="100"/>
      <w:ind w:left="960"/>
    </w:pPr>
  </w:style>
  <w:style w:type="character" w:styleId="Emphasis">
    <w:name w:val="Emphasis"/>
    <w:basedOn w:val="DefaultParagraphFont"/>
    <w:uiPriority w:val="20"/>
    <w:qFormat/>
    <w:rsid w:val="00DF7FAC"/>
    <w:rPr>
      <w:i/>
      <w:iCs/>
    </w:rPr>
  </w:style>
  <w:style w:type="paragraph" w:styleId="Title">
    <w:name w:val="Title"/>
    <w:next w:val="Normal"/>
    <w:link w:val="TitleChar"/>
    <w:autoRedefine/>
    <w:uiPriority w:val="10"/>
    <w:qFormat/>
    <w:rsid w:val="00E07072"/>
    <w:pPr>
      <w:spacing w:before="840"/>
      <w:jc w:val="center"/>
    </w:pPr>
    <w:rPr>
      <w:rFonts w:eastAsia="Calibri" w:cs="Arial"/>
      <w:b/>
      <w:bCs/>
      <w:caps/>
      <w:kern w:val="32"/>
      <w:sz w:val="48"/>
      <w:szCs w:val="36"/>
    </w:rPr>
  </w:style>
  <w:style w:type="character" w:customStyle="1" w:styleId="TitleChar">
    <w:name w:val="Title Char"/>
    <w:basedOn w:val="DefaultParagraphFont"/>
    <w:link w:val="Title"/>
    <w:uiPriority w:val="10"/>
    <w:rsid w:val="00E07072"/>
    <w:rPr>
      <w:rFonts w:eastAsia="Calibri" w:cs="Arial"/>
      <w:b/>
      <w:bCs/>
      <w:caps/>
      <w:kern w:val="32"/>
      <w:sz w:val="48"/>
      <w:szCs w:val="36"/>
    </w:rPr>
  </w:style>
  <w:style w:type="paragraph" w:styleId="Subtitle">
    <w:name w:val="Subtitle"/>
    <w:next w:val="Normal"/>
    <w:link w:val="SubtitleChar"/>
    <w:autoRedefine/>
    <w:uiPriority w:val="11"/>
    <w:qFormat/>
    <w:rsid w:val="006005A8"/>
    <w:pPr>
      <w:jc w:val="center"/>
    </w:pPr>
    <w:rPr>
      <w:rFonts w:eastAsia="Calibri" w:cs="Arial"/>
      <w:b/>
      <w:bCs/>
      <w:i/>
      <w:iCs/>
      <w:sz w:val="40"/>
      <w:szCs w:val="28"/>
      <w:lang w:val="en-US"/>
    </w:rPr>
  </w:style>
  <w:style w:type="character" w:customStyle="1" w:styleId="SubtitleChar">
    <w:name w:val="Subtitle Char"/>
    <w:basedOn w:val="DefaultParagraphFont"/>
    <w:link w:val="Subtitle"/>
    <w:uiPriority w:val="11"/>
    <w:rsid w:val="006005A8"/>
    <w:rPr>
      <w:rFonts w:eastAsia="Calibri" w:cs="Arial"/>
      <w:b/>
      <w:bCs/>
      <w:i/>
      <w:iCs/>
      <w:sz w:val="40"/>
      <w:szCs w:val="28"/>
      <w:lang w:val="en-US"/>
    </w:rPr>
  </w:style>
  <w:style w:type="paragraph" w:customStyle="1" w:styleId="H3nonumbers">
    <w:name w:val="H3 no numbers"/>
    <w:basedOn w:val="Heading3"/>
    <w:next w:val="Normal"/>
    <w:autoRedefine/>
    <w:qFormat/>
    <w:rsid w:val="000A40E8"/>
    <w:pPr>
      <w:numPr>
        <w:ilvl w:val="0"/>
        <w:numId w:val="0"/>
      </w:numPr>
    </w:pPr>
    <w:rPr>
      <w:i w:val="0"/>
    </w:rPr>
  </w:style>
  <w:style w:type="paragraph" w:customStyle="1" w:styleId="H4nonumbers">
    <w:name w:val="H4 no numbers"/>
    <w:basedOn w:val="Heading4"/>
    <w:next w:val="Normal"/>
    <w:autoRedefine/>
    <w:qFormat/>
    <w:rsid w:val="00C41BB7"/>
    <w:pPr>
      <w:numPr>
        <w:ilvl w:val="0"/>
        <w:numId w:val="0"/>
      </w:numPr>
    </w:pPr>
    <w:rPr>
      <w:b/>
    </w:rPr>
  </w:style>
  <w:style w:type="character" w:customStyle="1" w:styleId="Heading8Char">
    <w:name w:val="Heading 8 Char"/>
    <w:basedOn w:val="DefaultParagraphFont"/>
    <w:link w:val="Heading8"/>
    <w:uiPriority w:val="9"/>
    <w:semiHidden/>
    <w:rsid w:val="000A40E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A40E8"/>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sid w:val="000A40E8"/>
    <w:rPr>
      <w:i/>
      <w:iCs/>
      <w:color w:val="808080" w:themeColor="text1" w:themeTint="7F"/>
    </w:rPr>
  </w:style>
  <w:style w:type="paragraph" w:customStyle="1" w:styleId="H2nonumbers">
    <w:name w:val="H2 no numbers"/>
    <w:basedOn w:val="Heading2"/>
    <w:autoRedefine/>
    <w:qFormat/>
    <w:rsid w:val="00835AEF"/>
    <w:pPr>
      <w:numPr>
        <w:ilvl w:val="0"/>
        <w:numId w:val="0"/>
      </w:numPr>
    </w:pPr>
  </w:style>
  <w:style w:type="paragraph" w:customStyle="1" w:styleId="H5nonumbers">
    <w:name w:val="H5 no numbers"/>
    <w:basedOn w:val="Heading5"/>
    <w:autoRedefine/>
    <w:qFormat/>
    <w:rsid w:val="00835AEF"/>
    <w:pPr>
      <w:numPr>
        <w:ilvl w:val="0"/>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tobaccoinaustralia.org.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health.gov.au/internet/main/publishing.nsf/Content/Listing+of+Tenders+and+Grants-1"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apsc.gov.au/publications-and-media/current-publications/aps-values-and-code-of-conduct-in-practice/conflict-of-intere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health.gov.au/internet/main/publishing.nsf/Content/gps-standard-funding-agreement"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health.gov.au/internet/main/publishing.nsf/Content/pfps-complaintsprocedures" TargetMode="External"/><Relationship Id="rId10" Type="http://schemas.openxmlformats.org/officeDocument/2006/relationships/endnotes" Target="endnotes.xml"/><Relationship Id="rId19" Type="http://schemas.openxmlformats.org/officeDocument/2006/relationships/hyperlink" Target="https://www.mja.com.au/journal/2015/202/10/suppl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health.gov.au/internet/main/publishing.nsf/Content/pfps-complaintsprocedur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12" ma:contentTypeDescription="Create a new document." ma:contentTypeScope="" ma:versionID="1d4ff37efb3388d6274b5fad02dc121c">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a10b7c6b2bdffd3aa1d9fd76c1e6f657" ns2:_="" ns3:_="">
    <xsd:import namespace="dcf7b372-aaaa-46d8-9da6-ade9aab953df"/>
    <xsd:import namespace="236487dd-ec90-4f99-8970-1318e5f297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D635A-4231-49F1-917D-1D4A9A703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9749CB-5B0F-46DA-AEFB-080719160583}">
  <ds:schemaRefs>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dcmitype/"/>
    <ds:schemaRef ds:uri="236487dd-ec90-4f99-8970-1318e5f29791"/>
    <ds:schemaRef ds:uri="dcf7b372-aaaa-46d8-9da6-ade9aab953d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739130A-7F13-48EF-9CBE-EB70F91F21D3}">
  <ds:schemaRefs>
    <ds:schemaRef ds:uri="http://schemas.microsoft.com/sharepoint/v3/contenttype/forms"/>
  </ds:schemaRefs>
</ds:datastoreItem>
</file>

<file path=customXml/itemProps4.xml><?xml version="1.0" encoding="utf-8"?>
<ds:datastoreItem xmlns:ds="http://schemas.openxmlformats.org/officeDocument/2006/customXml" ds:itemID="{D8B21DCB-C3A6-4D7D-B210-2972338B0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7355</Words>
  <Characters>41929</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Tackling Indigenous Smoking Activity, Grants guidelines</vt:lpstr>
    </vt:vector>
  </TitlesOfParts>
  <Company>Dept Health And Ageing</Company>
  <LinksUpToDate>false</LinksUpToDate>
  <CharactersWithSpaces>49186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Tackling Indigenous Smoking Activity, Grants guidelines</dc:title>
  <dc:subject>Tackling Indigenous Smoking</dc:subject>
  <dc:creator>Department of Health</dc:creator>
  <cp:keywords>Tackling Indigenous Smoking; grants; activity</cp:keywords>
  <cp:lastModifiedBy>MARTIN, Mel</cp:lastModifiedBy>
  <cp:revision>2</cp:revision>
  <cp:lastPrinted>2015-08-06T23:33:00Z</cp:lastPrinted>
  <dcterms:created xsi:type="dcterms:W3CDTF">2020-12-03T23:37:00Z</dcterms:created>
  <dcterms:modified xsi:type="dcterms:W3CDTF">2020-12-03T23:37:00Z</dcterms:modified>
  <cp:category>Tackling Indigenous Smoking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0x010100BA217076F0871349BCBE5A6EC7EEC4B3</vt:lpwstr>
  </property>
</Properties>
</file>