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63" w:rsidRDefault="002839E4" w:rsidP="004801B3">
      <w:pPr>
        <w:spacing w:after="120" w:line="240" w:lineRule="auto"/>
        <w:ind w:hanging="284"/>
        <w:rPr>
          <w:rFonts w:cstheme="minorHAnsi"/>
          <w:b/>
          <w:sz w:val="32"/>
          <w:szCs w:val="32"/>
        </w:rPr>
      </w:pPr>
      <w:r>
        <w:rPr>
          <w:noProof/>
          <w:lang w:eastAsia="en-AU"/>
        </w:rPr>
        <w:drawing>
          <wp:inline distT="0" distB="0" distL="0" distR="0" wp14:anchorId="5A487FA5" wp14:editId="2A55D08F">
            <wp:extent cx="2564448" cy="781050"/>
            <wp:effectExtent l="0" t="0" r="7620" b="0"/>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83615" cy="786888"/>
                    </a:xfrm>
                    <a:prstGeom prst="rect">
                      <a:avLst/>
                    </a:prstGeom>
                  </pic:spPr>
                </pic:pic>
              </a:graphicData>
            </a:graphic>
          </wp:inline>
        </w:drawing>
      </w:r>
    </w:p>
    <w:p w:rsidR="00504566" w:rsidRPr="00862D24" w:rsidRDefault="008264D9" w:rsidP="00862D24">
      <w:pPr>
        <w:pStyle w:val="Title"/>
      </w:pPr>
      <w:r w:rsidRPr="00862D24">
        <w:t xml:space="preserve">Indigenous Australians’ Health Programme </w:t>
      </w:r>
      <w:r w:rsidR="00BB2BBE" w:rsidRPr="00862D24">
        <w:t>Primary Health Care Funding Model Technical Factsheet</w:t>
      </w:r>
    </w:p>
    <w:p w:rsidR="00BB2BBE" w:rsidRPr="004D746E" w:rsidRDefault="00E23CB4" w:rsidP="00862D24">
      <w:pPr>
        <w:pStyle w:val="Title"/>
      </w:pPr>
      <w:r w:rsidRPr="00862D24">
        <w:t>Location</w:t>
      </w:r>
    </w:p>
    <w:p w:rsidR="000C1BEC" w:rsidRPr="00073FD0" w:rsidRDefault="00BB2BBE" w:rsidP="002C772D">
      <w:pPr>
        <w:pStyle w:val="VisionBox"/>
        <w:spacing w:before="0" w:after="0" w:line="240" w:lineRule="auto"/>
        <w:rPr>
          <w:rFonts w:cstheme="minorHAnsi"/>
          <w:b/>
          <w:color w:val="auto"/>
          <w:sz w:val="28"/>
          <w:szCs w:val="28"/>
        </w:rPr>
      </w:pPr>
      <w:r>
        <w:rPr>
          <w:rFonts w:cstheme="minorHAnsi"/>
          <w:b/>
          <w:color w:val="auto"/>
          <w:sz w:val="28"/>
          <w:szCs w:val="28"/>
        </w:rPr>
        <w:t>Purpose</w:t>
      </w:r>
    </w:p>
    <w:p w:rsidR="000D7DC8" w:rsidRPr="004C4A55" w:rsidRDefault="00BB2BBE" w:rsidP="004C4A55">
      <w:pPr>
        <w:pStyle w:val="VisionBox"/>
        <w:spacing w:before="0" w:line="240" w:lineRule="auto"/>
        <w:rPr>
          <w:rFonts w:cstheme="minorHAnsi"/>
          <w:color w:val="auto"/>
          <w:sz w:val="24"/>
        </w:rPr>
      </w:pPr>
      <w:r>
        <w:rPr>
          <w:rFonts w:cstheme="minorHAnsi"/>
          <w:color w:val="auto"/>
          <w:sz w:val="24"/>
        </w:rPr>
        <w:t xml:space="preserve">This Factsheet provides technical details on how </w:t>
      </w:r>
      <w:r w:rsidR="00E23CB4">
        <w:rPr>
          <w:rFonts w:cstheme="minorHAnsi"/>
          <w:color w:val="auto"/>
          <w:sz w:val="24"/>
        </w:rPr>
        <w:t xml:space="preserve">clinic location is used to estimate increased cost of service delivery in </w:t>
      </w:r>
      <w:r>
        <w:rPr>
          <w:rFonts w:cstheme="minorHAnsi"/>
          <w:color w:val="auto"/>
          <w:sz w:val="24"/>
        </w:rPr>
        <w:t xml:space="preserve">the </w:t>
      </w:r>
      <w:r w:rsidR="008264D9">
        <w:rPr>
          <w:rFonts w:cstheme="minorHAnsi"/>
          <w:color w:val="auto"/>
          <w:sz w:val="24"/>
        </w:rPr>
        <w:t xml:space="preserve">Indigenous Australians’ Health Programme (IAHP) Primary Health Care </w:t>
      </w:r>
      <w:r>
        <w:rPr>
          <w:rFonts w:cstheme="minorHAnsi"/>
          <w:color w:val="auto"/>
          <w:sz w:val="24"/>
        </w:rPr>
        <w:t xml:space="preserve">Funding Model. </w:t>
      </w:r>
    </w:p>
    <w:p w:rsidR="00BB5E73" w:rsidRPr="00862D24" w:rsidRDefault="00BB5E73" w:rsidP="00862D24">
      <w:pPr>
        <w:pStyle w:val="Heading2"/>
      </w:pPr>
      <w:r w:rsidRPr="00862D24">
        <w:t>Overview</w:t>
      </w:r>
    </w:p>
    <w:p w:rsidR="007546CF" w:rsidRDefault="003767F3" w:rsidP="00BB5E73">
      <w:r>
        <w:t>The cost</w:t>
      </w:r>
      <w:r w:rsidR="007546CF">
        <w:t xml:space="preserve"> of delivering health services </w:t>
      </w:r>
      <w:proofErr w:type="gramStart"/>
      <w:r>
        <w:t xml:space="preserve">is </w:t>
      </w:r>
      <w:r w:rsidR="007546CF">
        <w:t>affected</w:t>
      </w:r>
      <w:proofErr w:type="gramEnd"/>
      <w:r w:rsidR="007546CF">
        <w:t xml:space="preserve"> by the location of the health clinic. Th</w:t>
      </w:r>
      <w:r>
        <w:t>is</w:t>
      </w:r>
      <w:r w:rsidR="007546CF">
        <w:t xml:space="preserve"> include</w:t>
      </w:r>
      <w:r>
        <w:t xml:space="preserve">s </w:t>
      </w:r>
      <w:r w:rsidR="007546CF">
        <w:t xml:space="preserve">commercial rental, building and maintenance costs, staffing costs and consumables. </w:t>
      </w:r>
    </w:p>
    <w:p w:rsidR="000B27DD" w:rsidRDefault="003767F3" w:rsidP="000B27DD">
      <w:r>
        <w:t>To account for</w:t>
      </w:r>
      <w:r w:rsidR="007546CF">
        <w:t xml:space="preserve"> the effect of location on the cost of service delivery, each clinic of an Aboriginal Community Controlled Health Service (ACCHS) in the </w:t>
      </w:r>
      <w:r w:rsidR="008264D9">
        <w:t xml:space="preserve">IAHP Primary Health Care </w:t>
      </w:r>
      <w:r w:rsidR="007546CF">
        <w:t xml:space="preserve">Funding Model </w:t>
      </w:r>
      <w:r w:rsidR="008264D9">
        <w:t xml:space="preserve">(the Funding Model) </w:t>
      </w:r>
      <w:r w:rsidR="007546CF">
        <w:t xml:space="preserve">is assigned a multiplier based on the location in which services are delivered. </w:t>
      </w:r>
      <w:r w:rsidR="000B27DD">
        <w:t>For more information on model calculation and the effect of multipliers, see</w:t>
      </w:r>
      <w:r w:rsidR="008264D9">
        <w:t xml:space="preserve"> the</w:t>
      </w:r>
      <w:r w:rsidR="000B27DD">
        <w:t xml:space="preserve"> </w:t>
      </w:r>
      <w:r w:rsidR="000B27DD" w:rsidRPr="000B27DD">
        <w:rPr>
          <w:b/>
        </w:rPr>
        <w:t>Funding Model Technical Factsheet – Overview and calculation steps</w:t>
      </w:r>
      <w:r w:rsidR="000B27DD">
        <w:t xml:space="preserve">. </w:t>
      </w:r>
    </w:p>
    <w:p w:rsidR="000B27DD" w:rsidRDefault="00AA49DE" w:rsidP="000B27DD">
      <w:r>
        <w:t xml:space="preserve">Locations are assigned </w:t>
      </w:r>
      <w:r w:rsidR="000B27DD">
        <w:t xml:space="preserve">to </w:t>
      </w:r>
      <w:r>
        <w:t xml:space="preserve">one of five categories based on the Australian Bureau of Statistics’ (ABS) Australian Statistical Geography Standard (ASGS) Remoteness Areas. </w:t>
      </w:r>
    </w:p>
    <w:p w:rsidR="00BB5E73" w:rsidRPr="00862D24" w:rsidRDefault="00BB5E73" w:rsidP="00862D24">
      <w:pPr>
        <w:pStyle w:val="Heading2"/>
      </w:pPr>
      <w:r w:rsidRPr="00862D24">
        <w:t>Location categories</w:t>
      </w:r>
      <w:bookmarkStart w:id="0" w:name="_GoBack"/>
      <w:bookmarkEnd w:id="0"/>
    </w:p>
    <w:p w:rsidR="00AA49DE" w:rsidRPr="00115241" w:rsidRDefault="003767F3" w:rsidP="003F7428">
      <w:r>
        <w:t>T</w:t>
      </w:r>
      <w:r w:rsidR="00AA49DE">
        <w:t xml:space="preserve">he location categories used are the </w:t>
      </w:r>
      <w:r w:rsidR="00CB1B1B">
        <w:t xml:space="preserve">five </w:t>
      </w:r>
      <w:r w:rsidR="00AA49DE">
        <w:t>ABS ASGS Remoteness Areas created based on the 2016 Census of Population and Housing (catalogue number 1270.0.55.005).</w:t>
      </w:r>
      <w:r w:rsidR="00CB1B1B">
        <w:t xml:space="preserve"> </w:t>
      </w:r>
      <w:proofErr w:type="spellStart"/>
      <w:r w:rsidR="00CB1B1B">
        <w:t>The</w:t>
      </w:r>
      <w:proofErr w:type="spellEnd"/>
      <w:r w:rsidR="00CB1B1B">
        <w:t xml:space="preserve"> are Major Cities, Inner Regional areas, Outer Regional areas, Remote areas and Very Remote areas.</w:t>
      </w:r>
      <w:r w:rsidR="00AA49DE">
        <w:t xml:space="preserve"> The Remoteness Areas</w:t>
      </w:r>
      <w:r w:rsidR="000076D4">
        <w:t xml:space="preserve"> (</w:t>
      </w:r>
      <w:r w:rsidR="000076D4">
        <w:fldChar w:fldCharType="begin"/>
      </w:r>
      <w:r w:rsidR="000076D4">
        <w:instrText xml:space="preserve"> REF _Ref23167857 \h </w:instrText>
      </w:r>
      <w:r w:rsidR="000076D4">
        <w:fldChar w:fldCharType="separate"/>
      </w:r>
      <w:r w:rsidR="000076D4">
        <w:t xml:space="preserve">Figure </w:t>
      </w:r>
      <w:r w:rsidR="000076D4">
        <w:rPr>
          <w:noProof/>
        </w:rPr>
        <w:t>1</w:t>
      </w:r>
      <w:r w:rsidR="000076D4">
        <w:fldChar w:fldCharType="end"/>
      </w:r>
      <w:r w:rsidR="00CB1B1B">
        <w:t>, overleaf</w:t>
      </w:r>
      <w:r w:rsidR="000076D4">
        <w:t>)</w:t>
      </w:r>
      <w:r w:rsidR="00AA49DE">
        <w:t xml:space="preserve"> define relative access to services such as health, education and retail services. </w:t>
      </w:r>
    </w:p>
    <w:p w:rsidR="00AA49DE" w:rsidRDefault="00AA49DE" w:rsidP="00AA49DE">
      <w:pPr>
        <w:pStyle w:val="Caption"/>
        <w:keepNext/>
      </w:pPr>
      <w:bookmarkStart w:id="1" w:name="_Ref23167857"/>
      <w:r>
        <w:lastRenderedPageBreak/>
        <w:t xml:space="preserve">Figure </w:t>
      </w:r>
      <w:r w:rsidR="00862D24">
        <w:fldChar w:fldCharType="begin"/>
      </w:r>
      <w:r w:rsidR="00862D24">
        <w:instrText xml:space="preserve"> SEQ Figure \* ARABIC </w:instrText>
      </w:r>
      <w:r w:rsidR="00862D24">
        <w:fldChar w:fldCharType="separate"/>
      </w:r>
      <w:r>
        <w:rPr>
          <w:noProof/>
        </w:rPr>
        <w:t>1</w:t>
      </w:r>
      <w:r w:rsidR="00862D24">
        <w:rPr>
          <w:noProof/>
        </w:rPr>
        <w:fldChar w:fldCharType="end"/>
      </w:r>
      <w:bookmarkEnd w:id="1"/>
      <w:r>
        <w:t>. Map of the 2016 Remoteness Areas for Australia</w:t>
      </w:r>
    </w:p>
    <w:p w:rsidR="00BB5E73" w:rsidRDefault="00AA49DE" w:rsidP="00BB5E73">
      <w:r>
        <w:rPr>
          <w:noProof/>
          <w:lang w:eastAsia="en-AU"/>
        </w:rPr>
        <w:drawing>
          <wp:inline distT="0" distB="0" distL="0" distR="0" wp14:anchorId="47FDA3A6" wp14:editId="6D0F0C8C">
            <wp:extent cx="4304015" cy="2989691"/>
            <wp:effectExtent l="0" t="0" r="1905" b="1270"/>
            <wp:docPr id="1" name="Picture 1" descr="Map of the 2016 Remoteness Areas fo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49042" cy="3020968"/>
                    </a:xfrm>
                    <a:prstGeom prst="rect">
                      <a:avLst/>
                    </a:prstGeom>
                  </pic:spPr>
                </pic:pic>
              </a:graphicData>
            </a:graphic>
          </wp:inline>
        </w:drawing>
      </w:r>
      <w:r>
        <w:t xml:space="preserve">  </w:t>
      </w:r>
    </w:p>
    <w:p w:rsidR="000B27DD" w:rsidRDefault="003767F3" w:rsidP="000B27DD">
      <w:r>
        <w:t>To</w:t>
      </w:r>
      <w:r w:rsidR="000B27DD">
        <w:t xml:space="preserve"> account for the cost associated with location, multipliers </w:t>
      </w:r>
      <w:r>
        <w:t>are</w:t>
      </w:r>
      <w:r w:rsidR="000B27DD">
        <w:t xml:space="preserve"> allocated at the clinic level. </w:t>
      </w:r>
      <w:r w:rsidR="00BC21AD">
        <w:t>An ACCHS that operates from multiple locations receive</w:t>
      </w:r>
      <w:r>
        <w:t>s</w:t>
      </w:r>
      <w:r w:rsidR="00BC21AD">
        <w:t xml:space="preserve"> a different multiplier for each location category in which it delivers services. </w:t>
      </w:r>
      <w:r w:rsidR="008A50DD">
        <w:t xml:space="preserve">For this reason, ACCHS with clinics in multiple locations are asked to provide activity data (number of clients and Episodes of Care) for each clinic location. </w:t>
      </w:r>
    </w:p>
    <w:p w:rsidR="000B27DD" w:rsidRDefault="000B27DD" w:rsidP="000B27DD">
      <w:r>
        <w:fldChar w:fldCharType="begin"/>
      </w:r>
      <w:r>
        <w:instrText xml:space="preserve"> REF _Ref23167401 \h </w:instrText>
      </w:r>
      <w:r>
        <w:fldChar w:fldCharType="separate"/>
      </w:r>
      <w:r>
        <w:t xml:space="preserve">Table </w:t>
      </w:r>
      <w:r>
        <w:rPr>
          <w:noProof/>
        </w:rPr>
        <w:t>1</w:t>
      </w:r>
      <w:r>
        <w:fldChar w:fldCharType="end"/>
      </w:r>
      <w:r>
        <w:t xml:space="preserve"> shows the five categories and the proportion of clinic locations of ACCHS in the Funding Model that </w:t>
      </w:r>
      <w:proofErr w:type="gramStart"/>
      <w:r>
        <w:t>are classified</w:t>
      </w:r>
      <w:proofErr w:type="gramEnd"/>
      <w:r>
        <w:t xml:space="preserve"> in each. </w:t>
      </w:r>
    </w:p>
    <w:p w:rsidR="000B27DD" w:rsidRDefault="000B27DD" w:rsidP="000B27DD">
      <w:pPr>
        <w:pStyle w:val="Caption"/>
        <w:keepNext/>
      </w:pPr>
      <w:bookmarkStart w:id="2" w:name="_Ref23167401"/>
      <w:r>
        <w:t xml:space="preserve">Table </w:t>
      </w:r>
      <w:r w:rsidR="00862D24">
        <w:fldChar w:fldCharType="begin"/>
      </w:r>
      <w:r w:rsidR="00862D24">
        <w:instrText xml:space="preserve"> SEQ Table \* ARABIC </w:instrText>
      </w:r>
      <w:r w:rsidR="00862D24">
        <w:fldChar w:fldCharType="separate"/>
      </w:r>
      <w:r w:rsidR="00FA595B">
        <w:rPr>
          <w:noProof/>
        </w:rPr>
        <w:t>1</w:t>
      </w:r>
      <w:r w:rsidR="00862D24">
        <w:rPr>
          <w:noProof/>
        </w:rPr>
        <w:fldChar w:fldCharType="end"/>
      </w:r>
      <w:bookmarkEnd w:id="2"/>
      <w:r>
        <w:t>. Service locations by category</w:t>
      </w:r>
    </w:p>
    <w:tbl>
      <w:tblPr>
        <w:tblStyle w:val="ListTable1Light-Accent1"/>
        <w:tblW w:w="3940" w:type="dxa"/>
        <w:tblLook w:val="04A0" w:firstRow="1" w:lastRow="0" w:firstColumn="1" w:lastColumn="0" w:noHBand="0" w:noVBand="1"/>
        <w:tblDescription w:val="Service locations by category"/>
      </w:tblPr>
      <w:tblGrid>
        <w:gridCol w:w="2980"/>
        <w:gridCol w:w="960"/>
      </w:tblGrid>
      <w:tr w:rsidR="000B27DD" w:rsidRPr="00A67359" w:rsidTr="00D801D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80" w:type="dxa"/>
            <w:hideMark/>
          </w:tcPr>
          <w:p w:rsidR="000B27DD" w:rsidRPr="00A67359" w:rsidRDefault="000B27DD" w:rsidP="00BD05CC">
            <w:pPr>
              <w:rPr>
                <w:rFonts w:eastAsia="Times New Roman" w:cstheme="minorHAnsi"/>
                <w:color w:val="000000"/>
                <w:szCs w:val="22"/>
                <w:lang w:eastAsia="en-AU"/>
              </w:rPr>
            </w:pPr>
          </w:p>
        </w:tc>
        <w:tc>
          <w:tcPr>
            <w:tcW w:w="960" w:type="dxa"/>
            <w:hideMark/>
          </w:tcPr>
          <w:p w:rsidR="000B27DD" w:rsidRPr="00A67359" w:rsidRDefault="000B27DD" w:rsidP="00BD05C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A67359">
              <w:rPr>
                <w:rFonts w:eastAsia="Times New Roman" w:cstheme="minorHAnsi"/>
                <w:color w:val="000000"/>
                <w:szCs w:val="22"/>
                <w:lang w:eastAsia="en-AU"/>
              </w:rPr>
              <w:t>%</w:t>
            </w:r>
          </w:p>
        </w:tc>
      </w:tr>
      <w:tr w:rsidR="000B27DD" w:rsidRPr="00A67359" w:rsidTr="00BD05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80" w:type="dxa"/>
            <w:noWrap/>
            <w:hideMark/>
          </w:tcPr>
          <w:p w:rsidR="000B27DD" w:rsidRPr="00A67359" w:rsidRDefault="000B27DD" w:rsidP="00BD05CC">
            <w:pPr>
              <w:rPr>
                <w:rFonts w:eastAsia="Times New Roman" w:cstheme="minorHAnsi"/>
                <w:color w:val="000000"/>
                <w:szCs w:val="22"/>
                <w:lang w:eastAsia="en-AU"/>
              </w:rPr>
            </w:pPr>
            <w:r w:rsidRPr="00A67359">
              <w:rPr>
                <w:rFonts w:eastAsia="Times New Roman" w:cstheme="minorHAnsi"/>
                <w:color w:val="000000"/>
                <w:szCs w:val="22"/>
                <w:lang w:eastAsia="en-AU"/>
              </w:rPr>
              <w:t>Major Cities of Australia</w:t>
            </w:r>
          </w:p>
        </w:tc>
        <w:tc>
          <w:tcPr>
            <w:tcW w:w="960" w:type="dxa"/>
            <w:noWrap/>
            <w:hideMark/>
          </w:tcPr>
          <w:p w:rsidR="000B27DD" w:rsidRPr="00A67359" w:rsidRDefault="000B27DD" w:rsidP="00BD05C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A67359">
              <w:rPr>
                <w:rFonts w:eastAsia="Times New Roman" w:cstheme="minorHAnsi"/>
                <w:color w:val="000000"/>
                <w:szCs w:val="22"/>
                <w:lang w:eastAsia="en-AU"/>
              </w:rPr>
              <w:t>13%</w:t>
            </w:r>
          </w:p>
        </w:tc>
      </w:tr>
      <w:tr w:rsidR="000B27DD" w:rsidRPr="00A67359" w:rsidTr="00BD05CC">
        <w:trPr>
          <w:trHeight w:val="255"/>
        </w:trPr>
        <w:tc>
          <w:tcPr>
            <w:cnfStyle w:val="001000000000" w:firstRow="0" w:lastRow="0" w:firstColumn="1" w:lastColumn="0" w:oddVBand="0" w:evenVBand="0" w:oddHBand="0" w:evenHBand="0" w:firstRowFirstColumn="0" w:firstRowLastColumn="0" w:lastRowFirstColumn="0" w:lastRowLastColumn="0"/>
            <w:tcW w:w="2980" w:type="dxa"/>
            <w:noWrap/>
            <w:hideMark/>
          </w:tcPr>
          <w:p w:rsidR="000B27DD" w:rsidRPr="00A67359" w:rsidRDefault="000B27DD" w:rsidP="00BD05CC">
            <w:pPr>
              <w:rPr>
                <w:rFonts w:eastAsia="Times New Roman" w:cstheme="minorHAnsi"/>
                <w:color w:val="000000"/>
                <w:szCs w:val="22"/>
                <w:lang w:eastAsia="en-AU"/>
              </w:rPr>
            </w:pPr>
            <w:r w:rsidRPr="00A67359">
              <w:rPr>
                <w:rFonts w:eastAsia="Times New Roman" w:cstheme="minorHAnsi"/>
                <w:color w:val="000000"/>
                <w:szCs w:val="22"/>
                <w:lang w:eastAsia="en-AU"/>
              </w:rPr>
              <w:t>Inner Regional Australia</w:t>
            </w:r>
          </w:p>
        </w:tc>
        <w:tc>
          <w:tcPr>
            <w:tcW w:w="960" w:type="dxa"/>
            <w:noWrap/>
            <w:hideMark/>
          </w:tcPr>
          <w:p w:rsidR="000B27DD" w:rsidRPr="00A67359" w:rsidRDefault="000B27DD" w:rsidP="00BD05C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A67359">
              <w:rPr>
                <w:rFonts w:eastAsia="Times New Roman" w:cstheme="minorHAnsi"/>
                <w:color w:val="000000"/>
                <w:szCs w:val="22"/>
                <w:lang w:eastAsia="en-AU"/>
              </w:rPr>
              <w:t>20%</w:t>
            </w:r>
          </w:p>
        </w:tc>
      </w:tr>
      <w:tr w:rsidR="000B27DD" w:rsidRPr="00A67359" w:rsidTr="00BD05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80" w:type="dxa"/>
            <w:noWrap/>
            <w:hideMark/>
          </w:tcPr>
          <w:p w:rsidR="000B27DD" w:rsidRPr="00A67359" w:rsidRDefault="000B27DD" w:rsidP="00BD05CC">
            <w:pPr>
              <w:rPr>
                <w:rFonts w:eastAsia="Times New Roman" w:cstheme="minorHAnsi"/>
                <w:color w:val="000000"/>
                <w:szCs w:val="22"/>
                <w:lang w:eastAsia="en-AU"/>
              </w:rPr>
            </w:pPr>
            <w:r w:rsidRPr="00A67359">
              <w:rPr>
                <w:rFonts w:eastAsia="Times New Roman" w:cstheme="minorHAnsi"/>
                <w:color w:val="000000"/>
                <w:szCs w:val="22"/>
                <w:lang w:eastAsia="en-AU"/>
              </w:rPr>
              <w:t>Outer Regional Australia</w:t>
            </w:r>
          </w:p>
        </w:tc>
        <w:tc>
          <w:tcPr>
            <w:tcW w:w="960" w:type="dxa"/>
            <w:noWrap/>
            <w:hideMark/>
          </w:tcPr>
          <w:p w:rsidR="000B27DD" w:rsidRPr="00A67359" w:rsidRDefault="000B27DD" w:rsidP="00BD05C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A67359">
              <w:rPr>
                <w:rFonts w:eastAsia="Times New Roman" w:cstheme="minorHAnsi"/>
                <w:color w:val="000000"/>
                <w:szCs w:val="22"/>
                <w:lang w:eastAsia="en-AU"/>
              </w:rPr>
              <w:t>21%</w:t>
            </w:r>
          </w:p>
        </w:tc>
      </w:tr>
      <w:tr w:rsidR="000B27DD" w:rsidRPr="00A67359" w:rsidTr="00BD05CC">
        <w:trPr>
          <w:trHeight w:val="255"/>
        </w:trPr>
        <w:tc>
          <w:tcPr>
            <w:cnfStyle w:val="001000000000" w:firstRow="0" w:lastRow="0" w:firstColumn="1" w:lastColumn="0" w:oddVBand="0" w:evenVBand="0" w:oddHBand="0" w:evenHBand="0" w:firstRowFirstColumn="0" w:firstRowLastColumn="0" w:lastRowFirstColumn="0" w:lastRowLastColumn="0"/>
            <w:tcW w:w="2980" w:type="dxa"/>
            <w:noWrap/>
            <w:hideMark/>
          </w:tcPr>
          <w:p w:rsidR="000B27DD" w:rsidRPr="00A67359" w:rsidRDefault="000B27DD" w:rsidP="00BD05CC">
            <w:pPr>
              <w:rPr>
                <w:rFonts w:eastAsia="Times New Roman" w:cstheme="minorHAnsi"/>
                <w:color w:val="000000"/>
                <w:szCs w:val="22"/>
                <w:lang w:eastAsia="en-AU"/>
              </w:rPr>
            </w:pPr>
            <w:r w:rsidRPr="00A67359">
              <w:rPr>
                <w:rFonts w:eastAsia="Times New Roman" w:cstheme="minorHAnsi"/>
                <w:color w:val="000000"/>
                <w:szCs w:val="22"/>
                <w:lang w:eastAsia="en-AU"/>
              </w:rPr>
              <w:t>Remote Australia</w:t>
            </w:r>
          </w:p>
        </w:tc>
        <w:tc>
          <w:tcPr>
            <w:tcW w:w="960" w:type="dxa"/>
            <w:noWrap/>
            <w:hideMark/>
          </w:tcPr>
          <w:p w:rsidR="000B27DD" w:rsidRPr="00A67359" w:rsidRDefault="000B27DD" w:rsidP="00BD05C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eastAsia="en-AU"/>
              </w:rPr>
            </w:pPr>
            <w:r w:rsidRPr="00A67359">
              <w:rPr>
                <w:rFonts w:eastAsia="Times New Roman" w:cstheme="minorHAnsi"/>
                <w:color w:val="000000"/>
                <w:szCs w:val="22"/>
                <w:lang w:eastAsia="en-AU"/>
              </w:rPr>
              <w:t>10%</w:t>
            </w:r>
          </w:p>
        </w:tc>
      </w:tr>
      <w:tr w:rsidR="000B27DD" w:rsidRPr="00A67359" w:rsidTr="00BD05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80" w:type="dxa"/>
            <w:noWrap/>
            <w:hideMark/>
          </w:tcPr>
          <w:p w:rsidR="000B27DD" w:rsidRPr="00A67359" w:rsidRDefault="000B27DD" w:rsidP="00BD05CC">
            <w:pPr>
              <w:rPr>
                <w:rFonts w:eastAsia="Times New Roman" w:cstheme="minorHAnsi"/>
                <w:color w:val="000000"/>
                <w:szCs w:val="22"/>
                <w:lang w:eastAsia="en-AU"/>
              </w:rPr>
            </w:pPr>
            <w:r w:rsidRPr="00A67359">
              <w:rPr>
                <w:rFonts w:eastAsia="Times New Roman" w:cstheme="minorHAnsi"/>
                <w:color w:val="000000"/>
                <w:szCs w:val="22"/>
                <w:lang w:eastAsia="en-AU"/>
              </w:rPr>
              <w:t>Very Remote Australia</w:t>
            </w:r>
          </w:p>
        </w:tc>
        <w:tc>
          <w:tcPr>
            <w:tcW w:w="960" w:type="dxa"/>
            <w:noWrap/>
            <w:hideMark/>
          </w:tcPr>
          <w:p w:rsidR="000B27DD" w:rsidRPr="00A67359" w:rsidRDefault="000B27DD" w:rsidP="00BD05C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eastAsia="en-AU"/>
              </w:rPr>
            </w:pPr>
            <w:r w:rsidRPr="00A67359">
              <w:rPr>
                <w:rFonts w:eastAsia="Times New Roman" w:cstheme="minorHAnsi"/>
                <w:color w:val="000000"/>
                <w:szCs w:val="22"/>
                <w:lang w:eastAsia="en-AU"/>
              </w:rPr>
              <w:t>35%</w:t>
            </w:r>
          </w:p>
        </w:tc>
      </w:tr>
    </w:tbl>
    <w:p w:rsidR="006C5646" w:rsidRDefault="006C5646" w:rsidP="006C5646">
      <w:pPr>
        <w:pStyle w:val="Heading3"/>
      </w:pPr>
      <w:r>
        <w:t>Outreach services</w:t>
      </w:r>
    </w:p>
    <w:p w:rsidR="006C5646" w:rsidRPr="006C5646" w:rsidRDefault="006C5646" w:rsidP="006C5646">
      <w:r>
        <w:t>Outreach or mobile services are delivered across a range of areas, and may include locations in more than one location category. Where this occurs, outreach services are assigned the category where the majority of services are delivered</w:t>
      </w:r>
      <w:r w:rsidR="003F7428">
        <w:t xml:space="preserve"> (i.e. number of clients and Episodes of Care)</w:t>
      </w:r>
      <w:r>
        <w:t xml:space="preserve">. </w:t>
      </w:r>
    </w:p>
    <w:p w:rsidR="00BB5E73" w:rsidRDefault="00BB5E73" w:rsidP="00BB5E73">
      <w:pPr>
        <w:pStyle w:val="Heading2"/>
      </w:pPr>
      <w:r>
        <w:t>Elements of cost</w:t>
      </w:r>
    </w:p>
    <w:p w:rsidR="00BB5E73" w:rsidRDefault="008A50DD" w:rsidP="00BB5E73">
      <w:r>
        <w:t>Location multipliers are calculated to take into account four elements of cost. These elements were chosen in collaboration with stakeholders through the Funding Model Working Group to represent the main costs associated with distance from a major city. The elements are:</w:t>
      </w:r>
    </w:p>
    <w:p w:rsidR="008A50DD" w:rsidRDefault="008A50DD" w:rsidP="008A50DD">
      <w:pPr>
        <w:pStyle w:val="ListBullet"/>
      </w:pPr>
      <w:r>
        <w:t xml:space="preserve">Wages. </w:t>
      </w:r>
      <w:r w:rsidR="007935B4">
        <w:t xml:space="preserve">This element considers the wages of </w:t>
      </w:r>
      <w:r w:rsidR="00C429C5">
        <w:t xml:space="preserve">health and </w:t>
      </w:r>
      <w:r w:rsidR="007935B4">
        <w:t xml:space="preserve">medical staff. </w:t>
      </w:r>
    </w:p>
    <w:p w:rsidR="008A50DD" w:rsidRDefault="008A50DD" w:rsidP="008A50DD">
      <w:pPr>
        <w:pStyle w:val="ListBullet"/>
      </w:pPr>
      <w:r>
        <w:t>Building repairs and maintenance.</w:t>
      </w:r>
      <w:r w:rsidR="007935B4">
        <w:t xml:space="preserve"> Note that this element does not include the cost of major capital works, as these activities are not funded under the Primary Health Care component of the </w:t>
      </w:r>
      <w:r w:rsidR="00CB1B1B">
        <w:t>IAHP</w:t>
      </w:r>
      <w:r w:rsidR="007935B4">
        <w:t xml:space="preserve">. </w:t>
      </w:r>
    </w:p>
    <w:p w:rsidR="008A50DD" w:rsidRDefault="008A50DD" w:rsidP="008A50DD">
      <w:pPr>
        <w:pStyle w:val="ListBullet"/>
      </w:pPr>
      <w:r>
        <w:lastRenderedPageBreak/>
        <w:t xml:space="preserve">Consumables. </w:t>
      </w:r>
      <w:r w:rsidR="007935B4">
        <w:t xml:space="preserve">This element </w:t>
      </w:r>
      <w:r w:rsidR="005D640E">
        <w:t xml:space="preserve">considers the cost of medical and other consumables but does not consider medicines covered by the Pharmaceutical Benefits Scheme. </w:t>
      </w:r>
    </w:p>
    <w:p w:rsidR="008A50DD" w:rsidRDefault="008A50DD" w:rsidP="008A50DD">
      <w:pPr>
        <w:pStyle w:val="ListBullet"/>
      </w:pPr>
      <w:r>
        <w:t xml:space="preserve">Population dispersion. </w:t>
      </w:r>
      <w:r w:rsidR="005D640E">
        <w:t>This element</w:t>
      </w:r>
      <w:r w:rsidR="003337E6">
        <w:t xml:space="preserve"> is included</w:t>
      </w:r>
      <w:r w:rsidR="00BB77BF">
        <w:t xml:space="preserve"> to account for potential </w:t>
      </w:r>
      <w:proofErr w:type="spellStart"/>
      <w:r w:rsidR="00BB77BF">
        <w:t>under</w:t>
      </w:r>
      <w:r w:rsidR="003337E6">
        <w:t>utilisation</w:t>
      </w:r>
      <w:proofErr w:type="spellEnd"/>
      <w:r w:rsidR="003337E6">
        <w:t xml:space="preserve"> of </w:t>
      </w:r>
      <w:r w:rsidR="00BB77BF">
        <w:t>GPs</w:t>
      </w:r>
      <w:r w:rsidR="003337E6">
        <w:t xml:space="preserve"> in areas of low population. </w:t>
      </w:r>
    </w:p>
    <w:p w:rsidR="008A50DD" w:rsidRDefault="008A50DD" w:rsidP="008A50DD">
      <w:pPr>
        <w:pStyle w:val="ListBullet"/>
        <w:numPr>
          <w:ilvl w:val="0"/>
          <w:numId w:val="0"/>
        </w:numPr>
        <w:ind w:left="357" w:hanging="357"/>
      </w:pPr>
      <w:r>
        <w:t xml:space="preserve">Each of these elements is discussed in more detail below.  </w:t>
      </w:r>
    </w:p>
    <w:p w:rsidR="00BB5E73" w:rsidRDefault="00BB5E73" w:rsidP="00BB5E73">
      <w:pPr>
        <w:pStyle w:val="Heading3"/>
      </w:pPr>
      <w:r>
        <w:t xml:space="preserve">Wages </w:t>
      </w:r>
    </w:p>
    <w:p w:rsidR="0084413E" w:rsidRDefault="0084413E" w:rsidP="0084413E">
      <w:r>
        <w:t>Research into actual wage costs across a range of Australian locations was undertaken for the following medical and health professions:</w:t>
      </w:r>
    </w:p>
    <w:p w:rsidR="00F52A12" w:rsidRDefault="00F52A12" w:rsidP="00C429C5">
      <w:pPr>
        <w:pStyle w:val="ListBullet"/>
        <w:sectPr w:rsidR="00F52A12" w:rsidSect="003A5790">
          <w:headerReference w:type="default" r:id="rId13"/>
          <w:footerReference w:type="default" r:id="rId14"/>
          <w:pgSz w:w="11906" w:h="16838"/>
          <w:pgMar w:top="992" w:right="1418" w:bottom="284" w:left="1440" w:header="709" w:footer="680" w:gutter="0"/>
          <w:cols w:space="708"/>
          <w:docGrid w:linePitch="360"/>
        </w:sectPr>
      </w:pPr>
    </w:p>
    <w:p w:rsidR="00C429C5" w:rsidRDefault="00C429C5" w:rsidP="00C429C5">
      <w:pPr>
        <w:pStyle w:val="ListBullet"/>
      </w:pPr>
      <w:r>
        <w:t>Aboriginal and Torres Strait Islander Health Practitioner</w:t>
      </w:r>
    </w:p>
    <w:p w:rsidR="00C429C5" w:rsidRDefault="00C429C5" w:rsidP="00C429C5">
      <w:pPr>
        <w:pStyle w:val="ListBullet"/>
      </w:pPr>
      <w:r>
        <w:t>Aboriginal Health Worker</w:t>
      </w:r>
    </w:p>
    <w:p w:rsidR="00C429C5" w:rsidRDefault="00C429C5" w:rsidP="00C429C5">
      <w:pPr>
        <w:pStyle w:val="ListBullet"/>
      </w:pPr>
      <w:r>
        <w:t>Dental assistant</w:t>
      </w:r>
    </w:p>
    <w:p w:rsidR="00C429C5" w:rsidRDefault="00C429C5" w:rsidP="00C429C5">
      <w:pPr>
        <w:pStyle w:val="ListBullet"/>
      </w:pPr>
      <w:r>
        <w:t>Dentist</w:t>
      </w:r>
    </w:p>
    <w:p w:rsidR="00C429C5" w:rsidRDefault="00C429C5" w:rsidP="00C429C5">
      <w:pPr>
        <w:pStyle w:val="ListBullet"/>
      </w:pPr>
      <w:r>
        <w:t>Doctor (GP)</w:t>
      </w:r>
    </w:p>
    <w:p w:rsidR="00C429C5" w:rsidRDefault="00C429C5" w:rsidP="00C429C5">
      <w:pPr>
        <w:pStyle w:val="ListBullet"/>
      </w:pPr>
      <w:r>
        <w:t>Medical specialist</w:t>
      </w:r>
    </w:p>
    <w:p w:rsidR="00C429C5" w:rsidRDefault="00C429C5" w:rsidP="0084413E">
      <w:pPr>
        <w:pStyle w:val="ListBullet"/>
      </w:pPr>
      <w:r>
        <w:t xml:space="preserve">Mental Health Counsellor </w:t>
      </w:r>
    </w:p>
    <w:p w:rsidR="00C429C5" w:rsidRDefault="00C429C5" w:rsidP="00C429C5">
      <w:pPr>
        <w:pStyle w:val="ListBullet"/>
      </w:pPr>
      <w:r>
        <w:t>Nurse Practitioner</w:t>
      </w:r>
    </w:p>
    <w:p w:rsidR="0084413E" w:rsidRDefault="0084413E" w:rsidP="0084413E">
      <w:pPr>
        <w:pStyle w:val="ListBullet"/>
      </w:pPr>
      <w:r>
        <w:t>Radiographer</w:t>
      </w:r>
    </w:p>
    <w:p w:rsidR="00F52A12" w:rsidRDefault="00F52A12" w:rsidP="00C429C5">
      <w:pPr>
        <w:pStyle w:val="ListBullet"/>
        <w:numPr>
          <w:ilvl w:val="0"/>
          <w:numId w:val="0"/>
        </w:numPr>
        <w:sectPr w:rsidR="00F52A12" w:rsidSect="00F52A12">
          <w:type w:val="continuous"/>
          <w:pgSz w:w="11906" w:h="16838"/>
          <w:pgMar w:top="992" w:right="1418" w:bottom="284" w:left="1440" w:header="709" w:footer="680" w:gutter="0"/>
          <w:cols w:num="2" w:space="708"/>
          <w:docGrid w:linePitch="360"/>
        </w:sectPr>
      </w:pPr>
    </w:p>
    <w:p w:rsidR="0084413E" w:rsidRDefault="00C429C5" w:rsidP="00C429C5">
      <w:pPr>
        <w:pStyle w:val="ListBullet"/>
        <w:numPr>
          <w:ilvl w:val="0"/>
          <w:numId w:val="0"/>
        </w:numPr>
      </w:pPr>
      <w:r>
        <w:t xml:space="preserve">These professions were chosen to represent a range of health and medical professions at different salary points. It should be noted that the relevant information from this research is the difference in salary between locations and not the value of the salaries. </w:t>
      </w:r>
    </w:p>
    <w:p w:rsidR="00C429C5" w:rsidRDefault="00C429C5" w:rsidP="00C429C5">
      <w:pPr>
        <w:pStyle w:val="ListBullet"/>
        <w:numPr>
          <w:ilvl w:val="0"/>
          <w:numId w:val="0"/>
        </w:numPr>
      </w:pPr>
      <w:r>
        <w:t xml:space="preserve">The resulting wage factors </w:t>
      </w:r>
      <w:proofErr w:type="gramStart"/>
      <w:r>
        <w:t>are displayed</w:t>
      </w:r>
      <w:proofErr w:type="gramEnd"/>
      <w:r>
        <w:t xml:space="preserve"> in </w:t>
      </w:r>
      <w:r>
        <w:fldChar w:fldCharType="begin"/>
      </w:r>
      <w:r>
        <w:instrText xml:space="preserve"> REF _Ref23173316 \h </w:instrText>
      </w:r>
      <w:r>
        <w:fldChar w:fldCharType="separate"/>
      </w:r>
      <w:r>
        <w:t xml:space="preserve">Table </w:t>
      </w:r>
      <w:r>
        <w:rPr>
          <w:noProof/>
        </w:rPr>
        <w:t>2</w:t>
      </w:r>
      <w:r>
        <w:fldChar w:fldCharType="end"/>
      </w:r>
      <w:r>
        <w:t xml:space="preserve">. These factors indicate that a health or medical worker in a remote area typically attracts a wage 50% higher than for a comparable position in a major city. </w:t>
      </w:r>
    </w:p>
    <w:p w:rsidR="0084413E" w:rsidRDefault="0084413E" w:rsidP="0084413E">
      <w:pPr>
        <w:pStyle w:val="Caption"/>
        <w:keepNext/>
      </w:pPr>
      <w:bookmarkStart w:id="3" w:name="_Ref23173316"/>
      <w:r>
        <w:t xml:space="preserve">Table </w:t>
      </w:r>
      <w:r w:rsidR="00862D24">
        <w:fldChar w:fldCharType="begin"/>
      </w:r>
      <w:r w:rsidR="00862D24">
        <w:instrText xml:space="preserve"> SEQ Table \* ARABIC </w:instrText>
      </w:r>
      <w:r w:rsidR="00862D24">
        <w:fldChar w:fldCharType="separate"/>
      </w:r>
      <w:r w:rsidR="00FA595B">
        <w:rPr>
          <w:noProof/>
        </w:rPr>
        <w:t>2</w:t>
      </w:r>
      <w:r w:rsidR="00862D24">
        <w:rPr>
          <w:noProof/>
        </w:rPr>
        <w:fldChar w:fldCharType="end"/>
      </w:r>
      <w:bookmarkEnd w:id="3"/>
      <w:r>
        <w:t>. Wage factors by Remoteness Area</w:t>
      </w:r>
    </w:p>
    <w:tbl>
      <w:tblPr>
        <w:tblStyle w:val="ListTable1Light-Accent1"/>
        <w:tblW w:w="0" w:type="auto"/>
        <w:tblLook w:val="04A0" w:firstRow="1" w:lastRow="0" w:firstColumn="1" w:lastColumn="0" w:noHBand="0" w:noVBand="1"/>
        <w:tblDescription w:val="Wage factors by Remoteness Area"/>
      </w:tblPr>
      <w:tblGrid>
        <w:gridCol w:w="2694"/>
        <w:gridCol w:w="1417"/>
      </w:tblGrid>
      <w:tr w:rsidR="0084413E" w:rsidRPr="0084413E" w:rsidTr="00D801DF">
        <w:trPr>
          <w:cnfStyle w:val="100000000000" w:firstRow="1" w:lastRow="0" w:firstColumn="0" w:lastColumn="0" w:oddVBand="0" w:evenVBand="0" w:oddHBand="0" w:evenHBand="0" w:firstRowFirstColumn="0" w:firstRowLastColumn="0" w:lastRowFirstColumn="0" w:lastRowLastColumn="0"/>
          <w:trHeight w:val="385"/>
          <w:tblHeader/>
        </w:trPr>
        <w:tc>
          <w:tcPr>
            <w:cnfStyle w:val="001000000000" w:firstRow="0" w:lastRow="0" w:firstColumn="1" w:lastColumn="0" w:oddVBand="0" w:evenVBand="0" w:oddHBand="0" w:evenHBand="0" w:firstRowFirstColumn="0" w:firstRowLastColumn="0" w:lastRowFirstColumn="0" w:lastRowLastColumn="0"/>
            <w:tcW w:w="2694" w:type="dxa"/>
            <w:noWrap/>
            <w:hideMark/>
          </w:tcPr>
          <w:p w:rsidR="0084413E" w:rsidRPr="0084413E" w:rsidRDefault="0084413E" w:rsidP="0084413E">
            <w:r w:rsidRPr="0084413E">
              <w:t>Remoteness Area</w:t>
            </w:r>
          </w:p>
        </w:tc>
        <w:tc>
          <w:tcPr>
            <w:tcW w:w="1417" w:type="dxa"/>
            <w:hideMark/>
          </w:tcPr>
          <w:p w:rsidR="0084413E" w:rsidRPr="0084413E" w:rsidRDefault="0084413E" w:rsidP="0084413E">
            <w:pPr>
              <w:jc w:val="center"/>
              <w:cnfStyle w:val="100000000000" w:firstRow="1" w:lastRow="0" w:firstColumn="0" w:lastColumn="0" w:oddVBand="0" w:evenVBand="0" w:oddHBand="0" w:evenHBand="0" w:firstRowFirstColumn="0" w:firstRowLastColumn="0" w:lastRowFirstColumn="0" w:lastRowLastColumn="0"/>
            </w:pPr>
            <w:r w:rsidRPr="0084413E">
              <w:t>Wage Factor</w:t>
            </w:r>
          </w:p>
        </w:tc>
      </w:tr>
      <w:tr w:rsidR="0084413E" w:rsidRPr="0084413E" w:rsidTr="008441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dxa"/>
            <w:noWrap/>
            <w:hideMark/>
          </w:tcPr>
          <w:p w:rsidR="0084413E" w:rsidRPr="0084413E" w:rsidRDefault="0084413E" w:rsidP="0084413E">
            <w:r w:rsidRPr="0084413E">
              <w:t>Major Cities of Australia</w:t>
            </w:r>
          </w:p>
        </w:tc>
        <w:tc>
          <w:tcPr>
            <w:tcW w:w="1417" w:type="dxa"/>
            <w:hideMark/>
          </w:tcPr>
          <w:p w:rsidR="0084413E" w:rsidRPr="0084413E" w:rsidRDefault="0084413E" w:rsidP="0084413E">
            <w:pPr>
              <w:jc w:val="center"/>
              <w:cnfStyle w:val="000000100000" w:firstRow="0" w:lastRow="0" w:firstColumn="0" w:lastColumn="0" w:oddVBand="0" w:evenVBand="0" w:oddHBand="1" w:evenHBand="0" w:firstRowFirstColumn="0" w:firstRowLastColumn="0" w:lastRowFirstColumn="0" w:lastRowLastColumn="0"/>
            </w:pPr>
            <w:r w:rsidRPr="0084413E">
              <w:t>1.00</w:t>
            </w:r>
          </w:p>
        </w:tc>
      </w:tr>
      <w:tr w:rsidR="0084413E" w:rsidRPr="0084413E" w:rsidTr="0084413E">
        <w:trPr>
          <w:trHeight w:val="300"/>
        </w:trPr>
        <w:tc>
          <w:tcPr>
            <w:cnfStyle w:val="001000000000" w:firstRow="0" w:lastRow="0" w:firstColumn="1" w:lastColumn="0" w:oddVBand="0" w:evenVBand="0" w:oddHBand="0" w:evenHBand="0" w:firstRowFirstColumn="0" w:firstRowLastColumn="0" w:lastRowFirstColumn="0" w:lastRowLastColumn="0"/>
            <w:tcW w:w="2694" w:type="dxa"/>
            <w:noWrap/>
            <w:hideMark/>
          </w:tcPr>
          <w:p w:rsidR="0084413E" w:rsidRPr="0084413E" w:rsidRDefault="0084413E" w:rsidP="0084413E">
            <w:r w:rsidRPr="0084413E">
              <w:t>Inner Regional Australia</w:t>
            </w:r>
          </w:p>
        </w:tc>
        <w:tc>
          <w:tcPr>
            <w:tcW w:w="1417" w:type="dxa"/>
            <w:hideMark/>
          </w:tcPr>
          <w:p w:rsidR="0084413E" w:rsidRPr="0084413E" w:rsidRDefault="0084413E" w:rsidP="0084413E">
            <w:pPr>
              <w:jc w:val="center"/>
              <w:cnfStyle w:val="000000000000" w:firstRow="0" w:lastRow="0" w:firstColumn="0" w:lastColumn="0" w:oddVBand="0" w:evenVBand="0" w:oddHBand="0" w:evenHBand="0" w:firstRowFirstColumn="0" w:firstRowLastColumn="0" w:lastRowFirstColumn="0" w:lastRowLastColumn="0"/>
            </w:pPr>
            <w:r w:rsidRPr="0084413E">
              <w:t>1.08</w:t>
            </w:r>
          </w:p>
        </w:tc>
      </w:tr>
      <w:tr w:rsidR="0084413E" w:rsidRPr="0084413E" w:rsidTr="008441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dxa"/>
            <w:noWrap/>
            <w:hideMark/>
          </w:tcPr>
          <w:p w:rsidR="0084413E" w:rsidRPr="0084413E" w:rsidRDefault="0084413E" w:rsidP="0084413E">
            <w:r w:rsidRPr="0084413E">
              <w:t>Outer Regional Australia</w:t>
            </w:r>
          </w:p>
        </w:tc>
        <w:tc>
          <w:tcPr>
            <w:tcW w:w="1417" w:type="dxa"/>
            <w:hideMark/>
          </w:tcPr>
          <w:p w:rsidR="0084413E" w:rsidRPr="0084413E" w:rsidRDefault="0084413E" w:rsidP="0084413E">
            <w:pPr>
              <w:jc w:val="center"/>
              <w:cnfStyle w:val="000000100000" w:firstRow="0" w:lastRow="0" w:firstColumn="0" w:lastColumn="0" w:oddVBand="0" w:evenVBand="0" w:oddHBand="1" w:evenHBand="0" w:firstRowFirstColumn="0" w:firstRowLastColumn="0" w:lastRowFirstColumn="0" w:lastRowLastColumn="0"/>
            </w:pPr>
            <w:r w:rsidRPr="0084413E">
              <w:t>1.25</w:t>
            </w:r>
          </w:p>
        </w:tc>
      </w:tr>
      <w:tr w:rsidR="0084413E" w:rsidRPr="0084413E" w:rsidTr="0084413E">
        <w:trPr>
          <w:trHeight w:val="300"/>
        </w:trPr>
        <w:tc>
          <w:tcPr>
            <w:cnfStyle w:val="001000000000" w:firstRow="0" w:lastRow="0" w:firstColumn="1" w:lastColumn="0" w:oddVBand="0" w:evenVBand="0" w:oddHBand="0" w:evenHBand="0" w:firstRowFirstColumn="0" w:firstRowLastColumn="0" w:lastRowFirstColumn="0" w:lastRowLastColumn="0"/>
            <w:tcW w:w="2694" w:type="dxa"/>
            <w:noWrap/>
            <w:hideMark/>
          </w:tcPr>
          <w:p w:rsidR="0084413E" w:rsidRPr="0084413E" w:rsidRDefault="0084413E" w:rsidP="0084413E">
            <w:r w:rsidRPr="0084413E">
              <w:t>Remote Australia</w:t>
            </w:r>
          </w:p>
        </w:tc>
        <w:tc>
          <w:tcPr>
            <w:tcW w:w="1417" w:type="dxa"/>
            <w:hideMark/>
          </w:tcPr>
          <w:p w:rsidR="0084413E" w:rsidRPr="0084413E" w:rsidRDefault="0084413E" w:rsidP="0084413E">
            <w:pPr>
              <w:jc w:val="center"/>
              <w:cnfStyle w:val="000000000000" w:firstRow="0" w:lastRow="0" w:firstColumn="0" w:lastColumn="0" w:oddVBand="0" w:evenVBand="0" w:oddHBand="0" w:evenHBand="0" w:firstRowFirstColumn="0" w:firstRowLastColumn="0" w:lastRowFirstColumn="0" w:lastRowLastColumn="0"/>
            </w:pPr>
            <w:r w:rsidRPr="0084413E">
              <w:t>1.50</w:t>
            </w:r>
          </w:p>
        </w:tc>
      </w:tr>
      <w:tr w:rsidR="0084413E" w:rsidRPr="0084413E" w:rsidTr="008441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94" w:type="dxa"/>
            <w:noWrap/>
            <w:hideMark/>
          </w:tcPr>
          <w:p w:rsidR="0084413E" w:rsidRPr="0084413E" w:rsidRDefault="0084413E" w:rsidP="0084413E">
            <w:r w:rsidRPr="0084413E">
              <w:t>Very Remote Australia</w:t>
            </w:r>
          </w:p>
        </w:tc>
        <w:tc>
          <w:tcPr>
            <w:tcW w:w="1417" w:type="dxa"/>
            <w:hideMark/>
          </w:tcPr>
          <w:p w:rsidR="0084413E" w:rsidRPr="0084413E" w:rsidRDefault="0084413E" w:rsidP="0084413E">
            <w:pPr>
              <w:jc w:val="center"/>
              <w:cnfStyle w:val="000000100000" w:firstRow="0" w:lastRow="0" w:firstColumn="0" w:lastColumn="0" w:oddVBand="0" w:evenVBand="0" w:oddHBand="1" w:evenHBand="0" w:firstRowFirstColumn="0" w:firstRowLastColumn="0" w:lastRowFirstColumn="0" w:lastRowLastColumn="0"/>
            </w:pPr>
            <w:r w:rsidRPr="0084413E">
              <w:t>1.50</w:t>
            </w:r>
          </w:p>
        </w:tc>
      </w:tr>
    </w:tbl>
    <w:p w:rsidR="00C429C5" w:rsidRPr="0084413E" w:rsidRDefault="00F52A12" w:rsidP="0084413E">
      <w:r>
        <w:br/>
      </w:r>
      <w:r w:rsidR="00FD219F">
        <w:t xml:space="preserve">As wages typically account for a large proportion of total costs for a health service, wage factors account for 80% of the location factor.  </w:t>
      </w:r>
    </w:p>
    <w:p w:rsidR="00BB5E73" w:rsidRDefault="00BB5E73" w:rsidP="00BB5E73">
      <w:pPr>
        <w:pStyle w:val="Heading3"/>
      </w:pPr>
      <w:r>
        <w:t>Building repair</w:t>
      </w:r>
      <w:r w:rsidR="008A50DD">
        <w:t>s</w:t>
      </w:r>
      <w:r>
        <w:t xml:space="preserve"> and maintenance</w:t>
      </w:r>
    </w:p>
    <w:p w:rsidR="00D801DF" w:rsidRDefault="00D52766" w:rsidP="00FD219F">
      <w:r>
        <w:t xml:space="preserve">The cost of building repairs and maintenance were estimated based on the </w:t>
      </w:r>
      <w:proofErr w:type="spellStart"/>
      <w:r>
        <w:t>Rawlinsons</w:t>
      </w:r>
      <w:proofErr w:type="spellEnd"/>
      <w:r>
        <w:t xml:space="preserve"> Construction Cost Guide (2019) which provides regional indices for all States/Territories. A selection of locations in each State/Territory and Remoteness Area were compared to determine the average cost differential between Remoteness Areas. This resulted in the factors displayed in </w:t>
      </w:r>
      <w:r>
        <w:fldChar w:fldCharType="begin"/>
      </w:r>
      <w:r>
        <w:instrText xml:space="preserve"> REF _Ref23173927 \h </w:instrText>
      </w:r>
      <w:r>
        <w:fldChar w:fldCharType="separate"/>
      </w:r>
      <w:r>
        <w:t xml:space="preserve">Table </w:t>
      </w:r>
      <w:r>
        <w:rPr>
          <w:noProof/>
        </w:rPr>
        <w:t>3</w:t>
      </w:r>
      <w:r>
        <w:fldChar w:fldCharType="end"/>
      </w:r>
      <w:r>
        <w:t>. This shows that, on average, building repairs and maintenance is least expensive in inner regional areas and most expensive in very remote areas.</w:t>
      </w:r>
    </w:p>
    <w:p w:rsidR="00D801DF" w:rsidRDefault="00D801DF">
      <w:r>
        <w:br w:type="page"/>
      </w:r>
    </w:p>
    <w:p w:rsidR="00D52766" w:rsidRDefault="00D52766" w:rsidP="00D52766">
      <w:pPr>
        <w:pStyle w:val="Caption"/>
        <w:keepNext/>
      </w:pPr>
      <w:bookmarkStart w:id="4" w:name="_Ref23173927"/>
      <w:r>
        <w:lastRenderedPageBreak/>
        <w:t xml:space="preserve">Table </w:t>
      </w:r>
      <w:r w:rsidR="00862D24">
        <w:fldChar w:fldCharType="begin"/>
      </w:r>
      <w:r w:rsidR="00862D24">
        <w:instrText xml:space="preserve"> SEQ Table \* ARABIC </w:instrText>
      </w:r>
      <w:r w:rsidR="00862D24">
        <w:fldChar w:fldCharType="separate"/>
      </w:r>
      <w:r w:rsidR="00FA595B">
        <w:rPr>
          <w:noProof/>
        </w:rPr>
        <w:t>3</w:t>
      </w:r>
      <w:r w:rsidR="00862D24">
        <w:rPr>
          <w:noProof/>
        </w:rPr>
        <w:fldChar w:fldCharType="end"/>
      </w:r>
      <w:bookmarkEnd w:id="4"/>
      <w:r>
        <w:t>. Building repairs and maintenance factors by Remoteness Area</w:t>
      </w:r>
    </w:p>
    <w:tbl>
      <w:tblPr>
        <w:tblStyle w:val="ListTable1Light-Accent1"/>
        <w:tblW w:w="0" w:type="auto"/>
        <w:tblLook w:val="04A0" w:firstRow="1" w:lastRow="0" w:firstColumn="1" w:lastColumn="0" w:noHBand="0" w:noVBand="1"/>
        <w:tblDescription w:val="Building repairs and maintenance factors by Remoteness Area"/>
      </w:tblPr>
      <w:tblGrid>
        <w:gridCol w:w="2552"/>
        <w:gridCol w:w="2380"/>
      </w:tblGrid>
      <w:tr w:rsidR="00D52766" w:rsidRPr="00FD219F" w:rsidTr="00D801DF">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2552" w:type="dxa"/>
            <w:noWrap/>
            <w:hideMark/>
          </w:tcPr>
          <w:p w:rsidR="00D52766" w:rsidRPr="00FD219F" w:rsidRDefault="00D52766" w:rsidP="00FD219F">
            <w:r w:rsidRPr="00FD219F">
              <w:t>Remoteness Area</w:t>
            </w:r>
          </w:p>
        </w:tc>
        <w:tc>
          <w:tcPr>
            <w:tcW w:w="2380" w:type="dxa"/>
            <w:hideMark/>
          </w:tcPr>
          <w:p w:rsidR="00D52766" w:rsidRPr="00D52766" w:rsidRDefault="00D52766" w:rsidP="00D52766">
            <w:pPr>
              <w:jc w:val="center"/>
              <w:cnfStyle w:val="100000000000" w:firstRow="1" w:lastRow="0" w:firstColumn="0" w:lastColumn="0" w:oddVBand="0" w:evenVBand="0" w:oddHBand="0" w:evenHBand="0" w:firstRowFirstColumn="0" w:firstRowLastColumn="0" w:lastRowFirstColumn="0" w:lastRowLastColumn="0"/>
            </w:pPr>
            <w:r w:rsidRPr="00D52766">
              <w:rPr>
                <w:bCs w:val="0"/>
              </w:rPr>
              <w:t>Building repairs and maintenance factor</w:t>
            </w:r>
          </w:p>
        </w:tc>
      </w:tr>
      <w:tr w:rsidR="00D52766" w:rsidRPr="00FD219F" w:rsidTr="00D527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D52766" w:rsidRPr="00FD219F" w:rsidRDefault="00D52766" w:rsidP="00FD219F">
            <w:r w:rsidRPr="00FD219F">
              <w:t>Major Cities of Australia</w:t>
            </w:r>
          </w:p>
        </w:tc>
        <w:tc>
          <w:tcPr>
            <w:tcW w:w="2380" w:type="dxa"/>
            <w:hideMark/>
          </w:tcPr>
          <w:p w:rsidR="00D52766" w:rsidRPr="00FD219F" w:rsidRDefault="00D52766" w:rsidP="00D52766">
            <w:pPr>
              <w:jc w:val="center"/>
              <w:cnfStyle w:val="000000100000" w:firstRow="0" w:lastRow="0" w:firstColumn="0" w:lastColumn="0" w:oddVBand="0" w:evenVBand="0" w:oddHBand="1" w:evenHBand="0" w:firstRowFirstColumn="0" w:firstRowLastColumn="0" w:lastRowFirstColumn="0" w:lastRowLastColumn="0"/>
            </w:pPr>
            <w:r w:rsidRPr="00FD219F">
              <w:t>1.03</w:t>
            </w:r>
          </w:p>
        </w:tc>
      </w:tr>
      <w:tr w:rsidR="00D52766" w:rsidRPr="00FD219F" w:rsidTr="00D52766">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D52766" w:rsidRPr="00FD219F" w:rsidRDefault="00D52766" w:rsidP="00FD219F">
            <w:r w:rsidRPr="00FD219F">
              <w:t>Inner Regional Australia</w:t>
            </w:r>
          </w:p>
        </w:tc>
        <w:tc>
          <w:tcPr>
            <w:tcW w:w="2380" w:type="dxa"/>
            <w:hideMark/>
          </w:tcPr>
          <w:p w:rsidR="00D52766" w:rsidRPr="00FD219F" w:rsidRDefault="00D52766" w:rsidP="00D52766">
            <w:pPr>
              <w:jc w:val="center"/>
              <w:cnfStyle w:val="000000000000" w:firstRow="0" w:lastRow="0" w:firstColumn="0" w:lastColumn="0" w:oddVBand="0" w:evenVBand="0" w:oddHBand="0" w:evenHBand="0" w:firstRowFirstColumn="0" w:firstRowLastColumn="0" w:lastRowFirstColumn="0" w:lastRowLastColumn="0"/>
            </w:pPr>
            <w:r w:rsidRPr="00FD219F">
              <w:t>0.93</w:t>
            </w:r>
          </w:p>
        </w:tc>
      </w:tr>
      <w:tr w:rsidR="00D52766" w:rsidRPr="00FD219F" w:rsidTr="00D527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D52766" w:rsidRPr="00FD219F" w:rsidRDefault="00D52766" w:rsidP="00FD219F">
            <w:r w:rsidRPr="00FD219F">
              <w:t>Outer Regional Australia</w:t>
            </w:r>
          </w:p>
        </w:tc>
        <w:tc>
          <w:tcPr>
            <w:tcW w:w="2380" w:type="dxa"/>
            <w:hideMark/>
          </w:tcPr>
          <w:p w:rsidR="00D52766" w:rsidRPr="00FD219F" w:rsidRDefault="00D52766" w:rsidP="00D52766">
            <w:pPr>
              <w:jc w:val="center"/>
              <w:cnfStyle w:val="000000100000" w:firstRow="0" w:lastRow="0" w:firstColumn="0" w:lastColumn="0" w:oddVBand="0" w:evenVBand="0" w:oddHBand="1" w:evenHBand="0" w:firstRowFirstColumn="0" w:firstRowLastColumn="0" w:lastRowFirstColumn="0" w:lastRowLastColumn="0"/>
            </w:pPr>
            <w:r w:rsidRPr="00FD219F">
              <w:t>1.07</w:t>
            </w:r>
          </w:p>
        </w:tc>
      </w:tr>
      <w:tr w:rsidR="00D52766" w:rsidRPr="00FD219F" w:rsidTr="00D52766">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D52766" w:rsidRPr="00FD219F" w:rsidRDefault="00D52766" w:rsidP="00FD219F">
            <w:r w:rsidRPr="00FD219F">
              <w:t>Remote Australia</w:t>
            </w:r>
          </w:p>
        </w:tc>
        <w:tc>
          <w:tcPr>
            <w:tcW w:w="2380" w:type="dxa"/>
            <w:hideMark/>
          </w:tcPr>
          <w:p w:rsidR="00D52766" w:rsidRPr="00FD219F" w:rsidRDefault="00D52766" w:rsidP="00D52766">
            <w:pPr>
              <w:jc w:val="center"/>
              <w:cnfStyle w:val="000000000000" w:firstRow="0" w:lastRow="0" w:firstColumn="0" w:lastColumn="0" w:oddVBand="0" w:evenVBand="0" w:oddHBand="0" w:evenHBand="0" w:firstRowFirstColumn="0" w:firstRowLastColumn="0" w:lastRowFirstColumn="0" w:lastRowLastColumn="0"/>
            </w:pPr>
            <w:r w:rsidRPr="00FD219F">
              <w:t>1.16</w:t>
            </w:r>
          </w:p>
        </w:tc>
      </w:tr>
      <w:tr w:rsidR="00D52766" w:rsidRPr="00FD219F" w:rsidTr="00D5276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2" w:type="dxa"/>
            <w:noWrap/>
            <w:hideMark/>
          </w:tcPr>
          <w:p w:rsidR="00D52766" w:rsidRPr="00FD219F" w:rsidRDefault="00D52766" w:rsidP="00FD219F">
            <w:r w:rsidRPr="00FD219F">
              <w:t>Very Remote Australia</w:t>
            </w:r>
          </w:p>
        </w:tc>
        <w:tc>
          <w:tcPr>
            <w:tcW w:w="2380" w:type="dxa"/>
            <w:hideMark/>
          </w:tcPr>
          <w:p w:rsidR="00D52766" w:rsidRPr="00FD219F" w:rsidRDefault="00D52766" w:rsidP="00D52766">
            <w:pPr>
              <w:jc w:val="center"/>
              <w:cnfStyle w:val="000000100000" w:firstRow="0" w:lastRow="0" w:firstColumn="0" w:lastColumn="0" w:oddVBand="0" w:evenVBand="0" w:oddHBand="1" w:evenHBand="0" w:firstRowFirstColumn="0" w:firstRowLastColumn="0" w:lastRowFirstColumn="0" w:lastRowLastColumn="0"/>
            </w:pPr>
            <w:r w:rsidRPr="00FD219F">
              <w:t>1.26</w:t>
            </w:r>
          </w:p>
        </w:tc>
      </w:tr>
    </w:tbl>
    <w:p w:rsidR="00D52766" w:rsidRPr="00FD219F" w:rsidRDefault="00F52A12" w:rsidP="00FD219F">
      <w:r>
        <w:br/>
      </w:r>
      <w:r w:rsidR="00D52766">
        <w:t xml:space="preserve">Building repair and maintenance costs account for 10% of the location factor. </w:t>
      </w:r>
    </w:p>
    <w:p w:rsidR="00BB5E73" w:rsidRDefault="00BB5E73" w:rsidP="00BB5E73">
      <w:pPr>
        <w:pStyle w:val="Heading3"/>
      </w:pPr>
      <w:r>
        <w:t>Consumables</w:t>
      </w:r>
    </w:p>
    <w:p w:rsidR="00D52766" w:rsidRDefault="00D52766" w:rsidP="00D52766">
      <w:r>
        <w:t>The differential cost of medical and other consumables in various locations was estimated using the National Disability Insurance Scheme Price Guide (February 2019). This guide provides pricing for a wide range of health-related consumables</w:t>
      </w:r>
      <w:r w:rsidR="0067677B">
        <w:t xml:space="preserve"> including price variance between locations. </w:t>
      </w:r>
      <w:r>
        <w:t xml:space="preserve"> </w:t>
      </w:r>
    </w:p>
    <w:p w:rsidR="0067677B" w:rsidRDefault="0067677B" w:rsidP="0067677B">
      <w:pPr>
        <w:pStyle w:val="Caption"/>
        <w:keepNext/>
      </w:pPr>
      <w:r>
        <w:t xml:space="preserve">Table </w:t>
      </w:r>
      <w:r w:rsidR="00862D24">
        <w:fldChar w:fldCharType="begin"/>
      </w:r>
      <w:r w:rsidR="00862D24">
        <w:instrText xml:space="preserve"> SEQ Table \* ARABIC </w:instrText>
      </w:r>
      <w:r w:rsidR="00862D24">
        <w:fldChar w:fldCharType="separate"/>
      </w:r>
      <w:r w:rsidR="00FA595B">
        <w:rPr>
          <w:noProof/>
        </w:rPr>
        <w:t>4</w:t>
      </w:r>
      <w:r w:rsidR="00862D24">
        <w:rPr>
          <w:noProof/>
        </w:rPr>
        <w:fldChar w:fldCharType="end"/>
      </w:r>
      <w:r>
        <w:t>. Consumables factors by Remoteness Area</w:t>
      </w:r>
    </w:p>
    <w:tbl>
      <w:tblPr>
        <w:tblStyle w:val="ListTable1Light-Accent1"/>
        <w:tblW w:w="0" w:type="auto"/>
        <w:tblLook w:val="04A0" w:firstRow="1" w:lastRow="0" w:firstColumn="1" w:lastColumn="0" w:noHBand="0" w:noVBand="1"/>
        <w:tblDescription w:val="Consumables factors by Remoteness Area"/>
      </w:tblPr>
      <w:tblGrid>
        <w:gridCol w:w="2694"/>
        <w:gridCol w:w="2279"/>
      </w:tblGrid>
      <w:tr w:rsidR="0067677B" w:rsidRPr="00D52766" w:rsidTr="00D801DF">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2694" w:type="dxa"/>
            <w:noWrap/>
            <w:hideMark/>
          </w:tcPr>
          <w:p w:rsidR="0067677B" w:rsidRPr="00D52766" w:rsidRDefault="0067677B" w:rsidP="00D52766">
            <w:r w:rsidRPr="00D52766">
              <w:t>Remoteness Area</w:t>
            </w:r>
          </w:p>
        </w:tc>
        <w:tc>
          <w:tcPr>
            <w:tcW w:w="2279" w:type="dxa"/>
            <w:hideMark/>
          </w:tcPr>
          <w:p w:rsidR="0067677B" w:rsidRPr="00D52766" w:rsidRDefault="0067677B" w:rsidP="0067677B">
            <w:pPr>
              <w:jc w:val="center"/>
              <w:cnfStyle w:val="100000000000" w:firstRow="1" w:lastRow="0" w:firstColumn="0" w:lastColumn="0" w:oddVBand="0" w:evenVBand="0" w:oddHBand="0" w:evenHBand="0" w:firstRowFirstColumn="0" w:firstRowLastColumn="0" w:lastRowFirstColumn="0" w:lastRowLastColumn="0"/>
            </w:pPr>
            <w:r w:rsidRPr="00D52766">
              <w:t>Consumables</w:t>
            </w:r>
            <w:r>
              <w:t xml:space="preserve"> factor</w:t>
            </w:r>
          </w:p>
        </w:tc>
      </w:tr>
      <w:tr w:rsidR="0067677B" w:rsidRPr="00D52766" w:rsidTr="006767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dxa"/>
            <w:noWrap/>
            <w:hideMark/>
          </w:tcPr>
          <w:p w:rsidR="0067677B" w:rsidRPr="00D52766" w:rsidRDefault="0067677B" w:rsidP="00D52766">
            <w:r w:rsidRPr="00D52766">
              <w:t>Major Cities of Australia</w:t>
            </w:r>
          </w:p>
        </w:tc>
        <w:tc>
          <w:tcPr>
            <w:tcW w:w="2279" w:type="dxa"/>
            <w:hideMark/>
          </w:tcPr>
          <w:p w:rsidR="0067677B" w:rsidRPr="00D52766" w:rsidRDefault="0067677B" w:rsidP="0067677B">
            <w:pPr>
              <w:jc w:val="center"/>
              <w:cnfStyle w:val="000000100000" w:firstRow="0" w:lastRow="0" w:firstColumn="0" w:lastColumn="0" w:oddVBand="0" w:evenVBand="0" w:oddHBand="1" w:evenHBand="0" w:firstRowFirstColumn="0" w:firstRowLastColumn="0" w:lastRowFirstColumn="0" w:lastRowLastColumn="0"/>
            </w:pPr>
            <w:r w:rsidRPr="00D52766">
              <w:t>1.00</w:t>
            </w:r>
          </w:p>
        </w:tc>
      </w:tr>
      <w:tr w:rsidR="0067677B" w:rsidRPr="00D52766" w:rsidTr="0067677B">
        <w:trPr>
          <w:trHeight w:val="300"/>
        </w:trPr>
        <w:tc>
          <w:tcPr>
            <w:cnfStyle w:val="001000000000" w:firstRow="0" w:lastRow="0" w:firstColumn="1" w:lastColumn="0" w:oddVBand="0" w:evenVBand="0" w:oddHBand="0" w:evenHBand="0" w:firstRowFirstColumn="0" w:firstRowLastColumn="0" w:lastRowFirstColumn="0" w:lastRowLastColumn="0"/>
            <w:tcW w:w="2694" w:type="dxa"/>
            <w:noWrap/>
            <w:hideMark/>
          </w:tcPr>
          <w:p w:rsidR="0067677B" w:rsidRPr="00D52766" w:rsidRDefault="0067677B" w:rsidP="00D52766">
            <w:r w:rsidRPr="00D52766">
              <w:t>Inner Regional Australia</w:t>
            </w:r>
          </w:p>
        </w:tc>
        <w:tc>
          <w:tcPr>
            <w:tcW w:w="2279" w:type="dxa"/>
            <w:hideMark/>
          </w:tcPr>
          <w:p w:rsidR="0067677B" w:rsidRPr="00D52766" w:rsidRDefault="0067677B" w:rsidP="0067677B">
            <w:pPr>
              <w:jc w:val="center"/>
              <w:cnfStyle w:val="000000000000" w:firstRow="0" w:lastRow="0" w:firstColumn="0" w:lastColumn="0" w:oddVBand="0" w:evenVBand="0" w:oddHBand="0" w:evenHBand="0" w:firstRowFirstColumn="0" w:firstRowLastColumn="0" w:lastRowFirstColumn="0" w:lastRowLastColumn="0"/>
            </w:pPr>
            <w:r w:rsidRPr="00D52766">
              <w:t>1.00</w:t>
            </w:r>
          </w:p>
        </w:tc>
      </w:tr>
      <w:tr w:rsidR="0067677B" w:rsidRPr="00D52766" w:rsidTr="006767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dxa"/>
            <w:noWrap/>
            <w:hideMark/>
          </w:tcPr>
          <w:p w:rsidR="0067677B" w:rsidRPr="00D52766" w:rsidRDefault="0067677B" w:rsidP="00D52766">
            <w:r w:rsidRPr="00D52766">
              <w:t>Outer Regional Australia</w:t>
            </w:r>
          </w:p>
        </w:tc>
        <w:tc>
          <w:tcPr>
            <w:tcW w:w="2279" w:type="dxa"/>
            <w:hideMark/>
          </w:tcPr>
          <w:p w:rsidR="0067677B" w:rsidRPr="00D52766" w:rsidRDefault="0067677B" w:rsidP="0067677B">
            <w:pPr>
              <w:jc w:val="center"/>
              <w:cnfStyle w:val="000000100000" w:firstRow="0" w:lastRow="0" w:firstColumn="0" w:lastColumn="0" w:oddVBand="0" w:evenVBand="0" w:oddHBand="1" w:evenHBand="0" w:firstRowFirstColumn="0" w:firstRowLastColumn="0" w:lastRowFirstColumn="0" w:lastRowLastColumn="0"/>
            </w:pPr>
            <w:r w:rsidRPr="00D52766">
              <w:t>1.00</w:t>
            </w:r>
          </w:p>
        </w:tc>
      </w:tr>
      <w:tr w:rsidR="0067677B" w:rsidRPr="00D52766" w:rsidTr="0067677B">
        <w:trPr>
          <w:trHeight w:val="300"/>
        </w:trPr>
        <w:tc>
          <w:tcPr>
            <w:cnfStyle w:val="001000000000" w:firstRow="0" w:lastRow="0" w:firstColumn="1" w:lastColumn="0" w:oddVBand="0" w:evenVBand="0" w:oddHBand="0" w:evenHBand="0" w:firstRowFirstColumn="0" w:firstRowLastColumn="0" w:lastRowFirstColumn="0" w:lastRowLastColumn="0"/>
            <w:tcW w:w="2694" w:type="dxa"/>
            <w:noWrap/>
            <w:hideMark/>
          </w:tcPr>
          <w:p w:rsidR="0067677B" w:rsidRPr="00D52766" w:rsidRDefault="0067677B" w:rsidP="00D52766">
            <w:r w:rsidRPr="00D52766">
              <w:t>Remote Australia</w:t>
            </w:r>
          </w:p>
        </w:tc>
        <w:tc>
          <w:tcPr>
            <w:tcW w:w="2279" w:type="dxa"/>
            <w:hideMark/>
          </w:tcPr>
          <w:p w:rsidR="0067677B" w:rsidRPr="00D52766" w:rsidRDefault="0067677B" w:rsidP="0067677B">
            <w:pPr>
              <w:jc w:val="center"/>
              <w:cnfStyle w:val="000000000000" w:firstRow="0" w:lastRow="0" w:firstColumn="0" w:lastColumn="0" w:oddVBand="0" w:evenVBand="0" w:oddHBand="0" w:evenHBand="0" w:firstRowFirstColumn="0" w:firstRowLastColumn="0" w:lastRowFirstColumn="0" w:lastRowLastColumn="0"/>
            </w:pPr>
            <w:r w:rsidRPr="00D52766">
              <w:t>1.20</w:t>
            </w:r>
          </w:p>
        </w:tc>
      </w:tr>
      <w:tr w:rsidR="0067677B" w:rsidRPr="00D52766" w:rsidTr="0067677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694" w:type="dxa"/>
            <w:noWrap/>
            <w:hideMark/>
          </w:tcPr>
          <w:p w:rsidR="0067677B" w:rsidRPr="00D52766" w:rsidRDefault="0067677B" w:rsidP="00D52766">
            <w:r w:rsidRPr="00D52766">
              <w:t>Very Remote Australia</w:t>
            </w:r>
          </w:p>
        </w:tc>
        <w:tc>
          <w:tcPr>
            <w:tcW w:w="2279" w:type="dxa"/>
            <w:hideMark/>
          </w:tcPr>
          <w:p w:rsidR="0067677B" w:rsidRPr="00D52766" w:rsidRDefault="0067677B" w:rsidP="0067677B">
            <w:pPr>
              <w:jc w:val="center"/>
              <w:cnfStyle w:val="000000100000" w:firstRow="0" w:lastRow="0" w:firstColumn="0" w:lastColumn="0" w:oddVBand="0" w:evenVBand="0" w:oddHBand="1" w:evenHBand="0" w:firstRowFirstColumn="0" w:firstRowLastColumn="0" w:lastRowFirstColumn="0" w:lastRowLastColumn="0"/>
            </w:pPr>
            <w:r w:rsidRPr="00D52766">
              <w:t>1.25</w:t>
            </w:r>
          </w:p>
        </w:tc>
      </w:tr>
    </w:tbl>
    <w:p w:rsidR="00D52766" w:rsidRDefault="00D52766" w:rsidP="00D52766"/>
    <w:p w:rsidR="0067677B" w:rsidRPr="00D52766" w:rsidRDefault="0067677B" w:rsidP="00D52766">
      <w:r>
        <w:t xml:space="preserve">The cost of consumables accounts for 10% of the location factor. </w:t>
      </w:r>
    </w:p>
    <w:p w:rsidR="00BB5E73" w:rsidRDefault="00BB5E73" w:rsidP="00BB5E73">
      <w:pPr>
        <w:pStyle w:val="Heading3"/>
      </w:pPr>
      <w:r>
        <w:t>Population dispersion</w:t>
      </w:r>
    </w:p>
    <w:p w:rsidR="00BB5E73" w:rsidRDefault="00BB77BF" w:rsidP="00BB5E73">
      <w:r>
        <w:t xml:space="preserve">As noted by stakeholders during Funding Model Working Group meetings, GPs servicing smaller populations are more likely to face underutilisation. This was modelled using GP to patient ratios as published by the Australian Institute of Health and Welfare (AIHW). </w:t>
      </w:r>
      <w:r w:rsidR="00FA595B">
        <w:t xml:space="preserve">Assuming GPs in major cities are fully utilised, the underutilisation rate is calculated as the proportional difference in GP to population ratio for each Remoteness Area. </w:t>
      </w:r>
    </w:p>
    <w:p w:rsidR="00FA595B" w:rsidRDefault="00FA595B" w:rsidP="00FA595B">
      <w:pPr>
        <w:pStyle w:val="Caption"/>
        <w:keepNext/>
      </w:pPr>
      <w:r>
        <w:t xml:space="preserve">Table </w:t>
      </w:r>
      <w:r w:rsidR="00862D24">
        <w:fldChar w:fldCharType="begin"/>
      </w:r>
      <w:r w:rsidR="00862D24">
        <w:instrText xml:space="preserve"> SEQ Table \* ARABIC </w:instrText>
      </w:r>
      <w:r w:rsidR="00862D24">
        <w:fldChar w:fldCharType="separate"/>
      </w:r>
      <w:r>
        <w:rPr>
          <w:noProof/>
        </w:rPr>
        <w:t>5</w:t>
      </w:r>
      <w:r w:rsidR="00862D24">
        <w:rPr>
          <w:noProof/>
        </w:rPr>
        <w:fldChar w:fldCharType="end"/>
      </w:r>
      <w:r>
        <w:t>. GP numbers and underutilisation rate</w:t>
      </w:r>
    </w:p>
    <w:tbl>
      <w:tblPr>
        <w:tblStyle w:val="ListTable1Light-Accent1"/>
        <w:tblW w:w="6521" w:type="dxa"/>
        <w:tblLook w:val="04A0" w:firstRow="1" w:lastRow="0" w:firstColumn="1" w:lastColumn="0" w:noHBand="0" w:noVBand="1"/>
        <w:tblDescription w:val="GP numbers and underutilisation rate"/>
      </w:tblPr>
      <w:tblGrid>
        <w:gridCol w:w="2552"/>
        <w:gridCol w:w="1984"/>
        <w:gridCol w:w="1985"/>
      </w:tblGrid>
      <w:tr w:rsidR="00FA595B" w:rsidRPr="00FA595B" w:rsidTr="00D801DF">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2552" w:type="dxa"/>
            <w:noWrap/>
            <w:hideMark/>
          </w:tcPr>
          <w:p w:rsidR="00FA595B" w:rsidRPr="00FA595B" w:rsidRDefault="00FA595B" w:rsidP="00FA595B">
            <w:r w:rsidRPr="00FA595B">
              <w:t>Remoteness Area</w:t>
            </w:r>
          </w:p>
        </w:tc>
        <w:tc>
          <w:tcPr>
            <w:tcW w:w="1984" w:type="dxa"/>
            <w:hideMark/>
          </w:tcPr>
          <w:p w:rsidR="00FA595B" w:rsidRPr="00FA595B" w:rsidRDefault="00FA595B" w:rsidP="00FA595B">
            <w:pPr>
              <w:jc w:val="center"/>
              <w:cnfStyle w:val="100000000000" w:firstRow="1" w:lastRow="0" w:firstColumn="0" w:lastColumn="0" w:oddVBand="0" w:evenVBand="0" w:oddHBand="0" w:evenHBand="0" w:firstRowFirstColumn="0" w:firstRowLastColumn="0" w:lastRowFirstColumn="0" w:lastRowLastColumn="0"/>
            </w:pPr>
            <w:r>
              <w:t>1 GP per population</w:t>
            </w:r>
          </w:p>
        </w:tc>
        <w:tc>
          <w:tcPr>
            <w:tcW w:w="1985" w:type="dxa"/>
            <w:hideMark/>
          </w:tcPr>
          <w:p w:rsidR="00FA595B" w:rsidRPr="00FA595B" w:rsidRDefault="00FA595B" w:rsidP="00FA595B">
            <w:pPr>
              <w:jc w:val="center"/>
              <w:cnfStyle w:val="100000000000" w:firstRow="1" w:lastRow="0" w:firstColumn="0" w:lastColumn="0" w:oddVBand="0" w:evenVBand="0" w:oddHBand="0" w:evenHBand="0" w:firstRowFirstColumn="0" w:firstRowLastColumn="0" w:lastRowFirstColumn="0" w:lastRowLastColumn="0"/>
            </w:pPr>
            <w:r>
              <w:t>Underutilisation rate</w:t>
            </w:r>
          </w:p>
        </w:tc>
      </w:tr>
      <w:tr w:rsidR="00FA595B" w:rsidRPr="00FA595B" w:rsidTr="00FA59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FA595B" w:rsidRPr="00FA595B" w:rsidRDefault="00FA595B" w:rsidP="00FA595B">
            <w:r w:rsidRPr="00FA595B">
              <w:t>Major Cities of Australia</w:t>
            </w:r>
          </w:p>
        </w:tc>
        <w:tc>
          <w:tcPr>
            <w:tcW w:w="1984" w:type="dxa"/>
            <w:hideMark/>
          </w:tcPr>
          <w:p w:rsidR="00FA595B" w:rsidRPr="00FA595B" w:rsidRDefault="00FA595B" w:rsidP="00FA595B">
            <w:pPr>
              <w:jc w:val="center"/>
              <w:cnfStyle w:val="000000100000" w:firstRow="0" w:lastRow="0" w:firstColumn="0" w:lastColumn="0" w:oddVBand="0" w:evenVBand="0" w:oddHBand="1" w:evenHBand="0" w:firstRowFirstColumn="0" w:firstRowLastColumn="0" w:lastRowFirstColumn="0" w:lastRowLastColumn="0"/>
            </w:pPr>
            <w:r w:rsidRPr="00FA595B">
              <w:t>925.93</w:t>
            </w:r>
          </w:p>
        </w:tc>
        <w:tc>
          <w:tcPr>
            <w:tcW w:w="1985" w:type="dxa"/>
            <w:hideMark/>
          </w:tcPr>
          <w:p w:rsidR="00FA595B" w:rsidRPr="00FA595B" w:rsidRDefault="00FA595B" w:rsidP="00FA595B">
            <w:pPr>
              <w:jc w:val="center"/>
              <w:cnfStyle w:val="000000100000" w:firstRow="0" w:lastRow="0" w:firstColumn="0" w:lastColumn="0" w:oddVBand="0" w:evenVBand="0" w:oddHBand="1" w:evenHBand="0" w:firstRowFirstColumn="0" w:firstRowLastColumn="0" w:lastRowFirstColumn="0" w:lastRowLastColumn="0"/>
            </w:pPr>
            <w:r w:rsidRPr="00FA595B">
              <w:t>1.00</w:t>
            </w:r>
          </w:p>
        </w:tc>
      </w:tr>
      <w:tr w:rsidR="00FA595B" w:rsidRPr="00FA595B" w:rsidTr="00FA595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FA595B" w:rsidRPr="00FA595B" w:rsidRDefault="00FA595B" w:rsidP="00FA595B">
            <w:r w:rsidRPr="00FA595B">
              <w:t>Inner Regional Australia</w:t>
            </w:r>
          </w:p>
        </w:tc>
        <w:tc>
          <w:tcPr>
            <w:tcW w:w="1984" w:type="dxa"/>
            <w:hideMark/>
          </w:tcPr>
          <w:p w:rsidR="00FA595B" w:rsidRPr="00FA595B" w:rsidRDefault="00FA595B" w:rsidP="00FA595B">
            <w:pPr>
              <w:jc w:val="center"/>
              <w:cnfStyle w:val="000000000000" w:firstRow="0" w:lastRow="0" w:firstColumn="0" w:lastColumn="0" w:oddVBand="0" w:evenVBand="0" w:oddHBand="0" w:evenHBand="0" w:firstRowFirstColumn="0" w:firstRowLastColumn="0" w:lastRowFirstColumn="0" w:lastRowLastColumn="0"/>
            </w:pPr>
            <w:r w:rsidRPr="00FA595B">
              <w:t>884.96</w:t>
            </w:r>
          </w:p>
        </w:tc>
        <w:tc>
          <w:tcPr>
            <w:tcW w:w="1985" w:type="dxa"/>
            <w:hideMark/>
          </w:tcPr>
          <w:p w:rsidR="00FA595B" w:rsidRPr="00FA595B" w:rsidRDefault="00FA595B" w:rsidP="00FA595B">
            <w:pPr>
              <w:jc w:val="center"/>
              <w:cnfStyle w:val="000000000000" w:firstRow="0" w:lastRow="0" w:firstColumn="0" w:lastColumn="0" w:oddVBand="0" w:evenVBand="0" w:oddHBand="0" w:evenHBand="0" w:firstRowFirstColumn="0" w:firstRowLastColumn="0" w:lastRowFirstColumn="0" w:lastRowLastColumn="0"/>
            </w:pPr>
            <w:r w:rsidRPr="00FA595B">
              <w:t>1.05</w:t>
            </w:r>
          </w:p>
        </w:tc>
      </w:tr>
      <w:tr w:rsidR="00FA595B" w:rsidRPr="00FA595B" w:rsidTr="00FA59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FA595B" w:rsidRPr="00FA595B" w:rsidRDefault="00FA595B" w:rsidP="00FA595B">
            <w:r w:rsidRPr="00FA595B">
              <w:t>Outer Regional Australia</w:t>
            </w:r>
          </w:p>
        </w:tc>
        <w:tc>
          <w:tcPr>
            <w:tcW w:w="1984" w:type="dxa"/>
            <w:hideMark/>
          </w:tcPr>
          <w:p w:rsidR="00FA595B" w:rsidRPr="00FA595B" w:rsidRDefault="00FA595B" w:rsidP="00FA595B">
            <w:pPr>
              <w:jc w:val="center"/>
              <w:cnfStyle w:val="000000100000" w:firstRow="0" w:lastRow="0" w:firstColumn="0" w:lastColumn="0" w:oddVBand="0" w:evenVBand="0" w:oddHBand="1" w:evenHBand="0" w:firstRowFirstColumn="0" w:firstRowLastColumn="0" w:lastRowFirstColumn="0" w:lastRowLastColumn="0"/>
            </w:pPr>
            <w:r w:rsidRPr="00FA595B">
              <w:t>884.96</w:t>
            </w:r>
          </w:p>
        </w:tc>
        <w:tc>
          <w:tcPr>
            <w:tcW w:w="1985" w:type="dxa"/>
            <w:hideMark/>
          </w:tcPr>
          <w:p w:rsidR="00FA595B" w:rsidRPr="00FA595B" w:rsidRDefault="00FA595B" w:rsidP="00FA595B">
            <w:pPr>
              <w:jc w:val="center"/>
              <w:cnfStyle w:val="000000100000" w:firstRow="0" w:lastRow="0" w:firstColumn="0" w:lastColumn="0" w:oddVBand="0" w:evenVBand="0" w:oddHBand="1" w:evenHBand="0" w:firstRowFirstColumn="0" w:firstRowLastColumn="0" w:lastRowFirstColumn="0" w:lastRowLastColumn="0"/>
            </w:pPr>
            <w:r w:rsidRPr="00FA595B">
              <w:t>1.05</w:t>
            </w:r>
          </w:p>
        </w:tc>
      </w:tr>
      <w:tr w:rsidR="00FA595B" w:rsidRPr="00FA595B" w:rsidTr="00FA595B">
        <w:trPr>
          <w:trHeight w:val="300"/>
        </w:trPr>
        <w:tc>
          <w:tcPr>
            <w:cnfStyle w:val="001000000000" w:firstRow="0" w:lastRow="0" w:firstColumn="1" w:lastColumn="0" w:oddVBand="0" w:evenVBand="0" w:oddHBand="0" w:evenHBand="0" w:firstRowFirstColumn="0" w:firstRowLastColumn="0" w:lastRowFirstColumn="0" w:lastRowLastColumn="0"/>
            <w:tcW w:w="2552" w:type="dxa"/>
            <w:noWrap/>
            <w:hideMark/>
          </w:tcPr>
          <w:p w:rsidR="00FA595B" w:rsidRPr="00FA595B" w:rsidRDefault="00FA595B" w:rsidP="00FA595B">
            <w:r w:rsidRPr="00FA595B">
              <w:t>Remote Australia</w:t>
            </w:r>
          </w:p>
        </w:tc>
        <w:tc>
          <w:tcPr>
            <w:tcW w:w="1984" w:type="dxa"/>
            <w:hideMark/>
          </w:tcPr>
          <w:p w:rsidR="00FA595B" w:rsidRPr="00FA595B" w:rsidRDefault="00FA595B" w:rsidP="00FA595B">
            <w:pPr>
              <w:jc w:val="center"/>
              <w:cnfStyle w:val="000000000000" w:firstRow="0" w:lastRow="0" w:firstColumn="0" w:lastColumn="0" w:oddVBand="0" w:evenVBand="0" w:oddHBand="0" w:evenHBand="0" w:firstRowFirstColumn="0" w:firstRowLastColumn="0" w:lastRowFirstColumn="0" w:lastRowLastColumn="0"/>
            </w:pPr>
            <w:r w:rsidRPr="00FA595B">
              <w:t>769.23</w:t>
            </w:r>
          </w:p>
        </w:tc>
        <w:tc>
          <w:tcPr>
            <w:tcW w:w="1985" w:type="dxa"/>
            <w:hideMark/>
          </w:tcPr>
          <w:p w:rsidR="00FA595B" w:rsidRPr="00FA595B" w:rsidRDefault="00FA595B" w:rsidP="00FA595B">
            <w:pPr>
              <w:jc w:val="center"/>
              <w:cnfStyle w:val="000000000000" w:firstRow="0" w:lastRow="0" w:firstColumn="0" w:lastColumn="0" w:oddVBand="0" w:evenVBand="0" w:oddHBand="0" w:evenHBand="0" w:firstRowFirstColumn="0" w:firstRowLastColumn="0" w:lastRowFirstColumn="0" w:lastRowLastColumn="0"/>
            </w:pPr>
            <w:r w:rsidRPr="00FA595B">
              <w:t>1.20</w:t>
            </w:r>
          </w:p>
        </w:tc>
      </w:tr>
      <w:tr w:rsidR="00FA595B" w:rsidRPr="00FA595B" w:rsidTr="00FA595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2" w:type="dxa"/>
            <w:noWrap/>
            <w:hideMark/>
          </w:tcPr>
          <w:p w:rsidR="00FA595B" w:rsidRPr="00FA595B" w:rsidRDefault="00FA595B" w:rsidP="00FA595B">
            <w:r w:rsidRPr="00FA595B">
              <w:t>Very Remote Australia</w:t>
            </w:r>
          </w:p>
        </w:tc>
        <w:tc>
          <w:tcPr>
            <w:tcW w:w="1984" w:type="dxa"/>
            <w:hideMark/>
          </w:tcPr>
          <w:p w:rsidR="00FA595B" w:rsidRPr="00FA595B" w:rsidRDefault="00FA595B" w:rsidP="00FA595B">
            <w:pPr>
              <w:jc w:val="center"/>
              <w:cnfStyle w:val="000000100000" w:firstRow="0" w:lastRow="0" w:firstColumn="0" w:lastColumn="0" w:oddVBand="0" w:evenVBand="0" w:oddHBand="1" w:evenHBand="0" w:firstRowFirstColumn="0" w:firstRowLastColumn="0" w:lastRowFirstColumn="0" w:lastRowLastColumn="0"/>
            </w:pPr>
            <w:r w:rsidRPr="00FA595B">
              <w:t>769.23</w:t>
            </w:r>
          </w:p>
        </w:tc>
        <w:tc>
          <w:tcPr>
            <w:tcW w:w="1985" w:type="dxa"/>
            <w:hideMark/>
          </w:tcPr>
          <w:p w:rsidR="00FA595B" w:rsidRPr="00FA595B" w:rsidRDefault="00FA595B" w:rsidP="00FA595B">
            <w:pPr>
              <w:jc w:val="center"/>
              <w:cnfStyle w:val="000000100000" w:firstRow="0" w:lastRow="0" w:firstColumn="0" w:lastColumn="0" w:oddVBand="0" w:evenVBand="0" w:oddHBand="1" w:evenHBand="0" w:firstRowFirstColumn="0" w:firstRowLastColumn="0" w:lastRowFirstColumn="0" w:lastRowLastColumn="0"/>
            </w:pPr>
            <w:r w:rsidRPr="00FA595B">
              <w:t>1.20</w:t>
            </w:r>
          </w:p>
        </w:tc>
      </w:tr>
    </w:tbl>
    <w:p w:rsidR="00D801DF" w:rsidRDefault="00D801DF" w:rsidP="00BB5E73">
      <w:pPr>
        <w:pStyle w:val="Heading2"/>
      </w:pPr>
    </w:p>
    <w:p w:rsidR="00D801DF" w:rsidRDefault="00D801DF">
      <w:pPr>
        <w:rPr>
          <w:rFonts w:eastAsiaTheme="majorEastAsia" w:cs="Arial"/>
          <w:b/>
          <w:color w:val="0D0D0D" w:themeColor="text1" w:themeTint="F2"/>
          <w:sz w:val="28"/>
          <w:szCs w:val="26"/>
        </w:rPr>
      </w:pPr>
      <w:r>
        <w:br w:type="page"/>
      </w:r>
    </w:p>
    <w:p w:rsidR="00BB5E73" w:rsidRDefault="00BB5E73" w:rsidP="00BB5E73">
      <w:pPr>
        <w:pStyle w:val="Heading2"/>
      </w:pPr>
      <w:r>
        <w:lastRenderedPageBreak/>
        <w:t>Final location multipliers</w:t>
      </w:r>
    </w:p>
    <w:p w:rsidR="00BB5E73" w:rsidRDefault="00FA595B" w:rsidP="00BB5E73">
      <w:r>
        <w:t>The final location multipliers are calculated as a weighted contribution of wages, building repairs and maintenance and consumables, multiplied by the underutilisation rate. This is represented in the following formula:</w:t>
      </w:r>
    </w:p>
    <w:p w:rsidR="00FA595B" w:rsidRDefault="00862D24" w:rsidP="00BB5E73">
      <m:oMathPara>
        <m:oMath>
          <m:d>
            <m:dPr>
              <m:ctrlPr>
                <w:rPr>
                  <w:rFonts w:ascii="Cambria Math" w:hAnsi="Cambria Math"/>
                  <w:i/>
                </w:rPr>
              </m:ctrlPr>
            </m:dPr>
            <m:e>
              <m:r>
                <w:rPr>
                  <w:rFonts w:ascii="Cambria Math" w:hAnsi="Cambria Math"/>
                </w:rPr>
                <m:t>wage ×80%+building ×10%+consumables ×10%</m:t>
              </m:r>
            </m:e>
          </m:d>
          <m:r>
            <w:rPr>
              <w:rFonts w:ascii="Cambria Math" w:hAnsi="Cambria Math"/>
            </w:rPr>
            <m:t>×underutilisation=location factor</m:t>
          </m:r>
        </m:oMath>
      </m:oMathPara>
    </w:p>
    <w:p w:rsidR="00FA595B" w:rsidRDefault="00FA595B" w:rsidP="00FA595B">
      <w:r>
        <w:t xml:space="preserve">The location multipliers used in the Funding Model </w:t>
      </w:r>
      <w:proofErr w:type="gramStart"/>
      <w:r>
        <w:t>are displayed</w:t>
      </w:r>
      <w:proofErr w:type="gramEnd"/>
      <w:r>
        <w:t xml:space="preserve"> in </w:t>
      </w:r>
      <w:r>
        <w:fldChar w:fldCharType="begin"/>
      </w:r>
      <w:r>
        <w:instrText xml:space="preserve"> REF _Ref23175459 \h </w:instrText>
      </w:r>
      <w:r>
        <w:fldChar w:fldCharType="separate"/>
      </w:r>
      <w:r>
        <w:t xml:space="preserve">Table </w:t>
      </w:r>
      <w:r>
        <w:rPr>
          <w:noProof/>
        </w:rPr>
        <w:t>6</w:t>
      </w:r>
      <w:r>
        <w:fldChar w:fldCharType="end"/>
      </w:r>
      <w:r>
        <w:t xml:space="preserve">. </w:t>
      </w:r>
    </w:p>
    <w:p w:rsidR="00D8559B" w:rsidRDefault="00D8559B" w:rsidP="00D8559B">
      <w:pPr>
        <w:pStyle w:val="Caption"/>
        <w:keepNext/>
      </w:pPr>
      <w:bookmarkStart w:id="5" w:name="_Ref23175459"/>
      <w:r>
        <w:t xml:space="preserve">Table </w:t>
      </w:r>
      <w:r w:rsidR="00862D24">
        <w:fldChar w:fldCharType="begin"/>
      </w:r>
      <w:r w:rsidR="00862D24">
        <w:instrText xml:space="preserve"> SEQ Table \* ARABIC </w:instrText>
      </w:r>
      <w:r w:rsidR="00862D24">
        <w:fldChar w:fldCharType="separate"/>
      </w:r>
      <w:r w:rsidR="00FA595B">
        <w:rPr>
          <w:noProof/>
        </w:rPr>
        <w:t>6</w:t>
      </w:r>
      <w:r w:rsidR="00862D24">
        <w:rPr>
          <w:noProof/>
        </w:rPr>
        <w:fldChar w:fldCharType="end"/>
      </w:r>
      <w:bookmarkEnd w:id="5"/>
      <w:r>
        <w:t>. Final location multipliers</w:t>
      </w:r>
    </w:p>
    <w:tbl>
      <w:tblPr>
        <w:tblStyle w:val="ListTable1Light-Accent1"/>
        <w:tblW w:w="0" w:type="auto"/>
        <w:tblLook w:val="04A0" w:firstRow="1" w:lastRow="0" w:firstColumn="1" w:lastColumn="0" w:noHBand="0" w:noVBand="1"/>
        <w:tblDescription w:val="Final location multipliers"/>
      </w:tblPr>
      <w:tblGrid>
        <w:gridCol w:w="2835"/>
        <w:gridCol w:w="2445"/>
      </w:tblGrid>
      <w:tr w:rsidR="00D8559B" w:rsidRPr="00D8559B" w:rsidTr="00D801DF">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835" w:type="dxa"/>
            <w:noWrap/>
            <w:hideMark/>
          </w:tcPr>
          <w:p w:rsidR="00D8559B" w:rsidRPr="00D8559B" w:rsidRDefault="00D8559B" w:rsidP="00D8559B">
            <w:r w:rsidRPr="00D8559B">
              <w:t>Remoteness Area</w:t>
            </w:r>
          </w:p>
        </w:tc>
        <w:tc>
          <w:tcPr>
            <w:tcW w:w="2445" w:type="dxa"/>
            <w:noWrap/>
            <w:hideMark/>
          </w:tcPr>
          <w:p w:rsidR="00D8559B" w:rsidRPr="00D8559B" w:rsidRDefault="00D8559B" w:rsidP="00FA595B">
            <w:pPr>
              <w:jc w:val="center"/>
              <w:cnfStyle w:val="100000000000" w:firstRow="1" w:lastRow="0" w:firstColumn="0" w:lastColumn="0" w:oddVBand="0" w:evenVBand="0" w:oddHBand="0" w:evenHBand="0" w:firstRowFirstColumn="0" w:firstRowLastColumn="0" w:lastRowFirstColumn="0" w:lastRowLastColumn="0"/>
            </w:pPr>
            <w:r>
              <w:t xml:space="preserve">Location </w:t>
            </w:r>
            <w:r w:rsidR="00FA595B">
              <w:t>multiplier</w:t>
            </w:r>
          </w:p>
        </w:tc>
      </w:tr>
      <w:tr w:rsidR="00D8559B" w:rsidRPr="00D8559B" w:rsidTr="00D8559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rsidR="00D8559B" w:rsidRPr="00D8559B" w:rsidRDefault="00D8559B" w:rsidP="00D8559B">
            <w:r w:rsidRPr="00D8559B">
              <w:t>Major Cities of Australia</w:t>
            </w:r>
          </w:p>
        </w:tc>
        <w:tc>
          <w:tcPr>
            <w:tcW w:w="2445" w:type="dxa"/>
            <w:noWrap/>
            <w:hideMark/>
          </w:tcPr>
          <w:p w:rsidR="00D8559B" w:rsidRPr="00D8559B" w:rsidRDefault="00D8559B" w:rsidP="00D8559B">
            <w:pPr>
              <w:jc w:val="center"/>
              <w:cnfStyle w:val="000000100000" w:firstRow="0" w:lastRow="0" w:firstColumn="0" w:lastColumn="0" w:oddVBand="0" w:evenVBand="0" w:oddHBand="1" w:evenHBand="0" w:firstRowFirstColumn="0" w:firstRowLastColumn="0" w:lastRowFirstColumn="0" w:lastRowLastColumn="0"/>
            </w:pPr>
            <w:r w:rsidRPr="00D8559B">
              <w:t>1.00</w:t>
            </w:r>
          </w:p>
        </w:tc>
      </w:tr>
      <w:tr w:rsidR="00D8559B" w:rsidRPr="00D8559B" w:rsidTr="00D8559B">
        <w:trPr>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rsidR="00D8559B" w:rsidRPr="00D8559B" w:rsidRDefault="00D8559B" w:rsidP="00D8559B">
            <w:r w:rsidRPr="00D8559B">
              <w:t>Inner Regional Australia</w:t>
            </w:r>
          </w:p>
        </w:tc>
        <w:tc>
          <w:tcPr>
            <w:tcW w:w="2445" w:type="dxa"/>
            <w:noWrap/>
            <w:hideMark/>
          </w:tcPr>
          <w:p w:rsidR="00D8559B" w:rsidRPr="00D8559B" w:rsidRDefault="00D8559B" w:rsidP="00D8559B">
            <w:pPr>
              <w:jc w:val="center"/>
              <w:cnfStyle w:val="000000000000" w:firstRow="0" w:lastRow="0" w:firstColumn="0" w:lastColumn="0" w:oddVBand="0" w:evenVBand="0" w:oddHBand="0" w:evenHBand="0" w:firstRowFirstColumn="0" w:firstRowLastColumn="0" w:lastRowFirstColumn="0" w:lastRowLastColumn="0"/>
            </w:pPr>
            <w:r w:rsidRPr="00D8559B">
              <w:t>1.11</w:t>
            </w:r>
          </w:p>
        </w:tc>
      </w:tr>
      <w:tr w:rsidR="00D8559B" w:rsidRPr="00D8559B" w:rsidTr="00D8559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5" w:type="dxa"/>
            <w:noWrap/>
            <w:hideMark/>
          </w:tcPr>
          <w:p w:rsidR="00D8559B" w:rsidRPr="00D8559B" w:rsidRDefault="00D8559B" w:rsidP="00D8559B">
            <w:r w:rsidRPr="00D8559B">
              <w:t>Outer Regional Australia</w:t>
            </w:r>
          </w:p>
        </w:tc>
        <w:tc>
          <w:tcPr>
            <w:tcW w:w="2445" w:type="dxa"/>
            <w:noWrap/>
            <w:hideMark/>
          </w:tcPr>
          <w:p w:rsidR="00D8559B" w:rsidRPr="00D8559B" w:rsidRDefault="00D8559B" w:rsidP="00D8559B">
            <w:pPr>
              <w:jc w:val="center"/>
              <w:cnfStyle w:val="000000100000" w:firstRow="0" w:lastRow="0" w:firstColumn="0" w:lastColumn="0" w:oddVBand="0" w:evenVBand="0" w:oddHBand="1" w:evenHBand="0" w:firstRowFirstColumn="0" w:firstRowLastColumn="0" w:lastRowFirstColumn="0" w:lastRowLastColumn="0"/>
            </w:pPr>
            <w:r w:rsidRPr="00D8559B">
              <w:t>1.26</w:t>
            </w:r>
          </w:p>
        </w:tc>
      </w:tr>
      <w:tr w:rsidR="00D8559B" w:rsidRPr="00D8559B" w:rsidTr="00D8559B">
        <w:trPr>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rsidR="00D8559B" w:rsidRPr="00D8559B" w:rsidRDefault="00D8559B" w:rsidP="00D8559B">
            <w:r w:rsidRPr="00D8559B">
              <w:t>Remote Australia</w:t>
            </w:r>
          </w:p>
        </w:tc>
        <w:tc>
          <w:tcPr>
            <w:tcW w:w="2445" w:type="dxa"/>
            <w:noWrap/>
            <w:hideMark/>
          </w:tcPr>
          <w:p w:rsidR="00D8559B" w:rsidRPr="00D8559B" w:rsidRDefault="00D8559B" w:rsidP="00D8559B">
            <w:pPr>
              <w:jc w:val="center"/>
              <w:cnfStyle w:val="000000000000" w:firstRow="0" w:lastRow="0" w:firstColumn="0" w:lastColumn="0" w:oddVBand="0" w:evenVBand="0" w:oddHBand="0" w:evenHBand="0" w:firstRowFirstColumn="0" w:firstRowLastColumn="0" w:lastRowFirstColumn="0" w:lastRowLastColumn="0"/>
            </w:pPr>
            <w:r w:rsidRPr="00D8559B">
              <w:t>1.73</w:t>
            </w:r>
          </w:p>
        </w:tc>
      </w:tr>
      <w:tr w:rsidR="00D8559B" w:rsidRPr="00D8559B" w:rsidTr="00D8559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35" w:type="dxa"/>
            <w:noWrap/>
            <w:hideMark/>
          </w:tcPr>
          <w:p w:rsidR="00D8559B" w:rsidRPr="00D8559B" w:rsidRDefault="00D8559B" w:rsidP="00D8559B">
            <w:r w:rsidRPr="00D8559B">
              <w:t>Very Remote Australia</w:t>
            </w:r>
          </w:p>
        </w:tc>
        <w:tc>
          <w:tcPr>
            <w:tcW w:w="2445" w:type="dxa"/>
            <w:noWrap/>
            <w:hideMark/>
          </w:tcPr>
          <w:p w:rsidR="00D8559B" w:rsidRPr="00D8559B" w:rsidRDefault="00D8559B" w:rsidP="00D8559B">
            <w:pPr>
              <w:jc w:val="center"/>
              <w:cnfStyle w:val="000000100000" w:firstRow="0" w:lastRow="0" w:firstColumn="0" w:lastColumn="0" w:oddVBand="0" w:evenVBand="0" w:oddHBand="1" w:evenHBand="0" w:firstRowFirstColumn="0" w:firstRowLastColumn="0" w:lastRowFirstColumn="0" w:lastRowLastColumn="0"/>
            </w:pPr>
            <w:r w:rsidRPr="00D8559B">
              <w:t>1.75</w:t>
            </w:r>
          </w:p>
        </w:tc>
      </w:tr>
    </w:tbl>
    <w:p w:rsidR="00D8559B" w:rsidRDefault="00D8559B" w:rsidP="00BB5E73"/>
    <w:p w:rsidR="00C72746" w:rsidRPr="00073FD0" w:rsidRDefault="00C72746" w:rsidP="00C72746">
      <w:pPr>
        <w:spacing w:after="0"/>
        <w:rPr>
          <w:rFonts w:cstheme="minorHAnsi"/>
          <w:b/>
          <w:sz w:val="28"/>
        </w:rPr>
      </w:pPr>
      <w:r w:rsidRPr="00073FD0">
        <w:rPr>
          <w:rFonts w:cstheme="minorHAnsi"/>
          <w:b/>
          <w:sz w:val="28"/>
        </w:rPr>
        <w:t>Who do I contact for more information?</w:t>
      </w:r>
    </w:p>
    <w:p w:rsidR="00C72746" w:rsidRDefault="00C72746" w:rsidP="00C72746">
      <w:pPr>
        <w:rPr>
          <w:rFonts w:cstheme="minorHAnsi"/>
        </w:rPr>
      </w:pPr>
      <w:r>
        <w:rPr>
          <w:rFonts w:cstheme="minorHAnsi"/>
        </w:rPr>
        <w:t xml:space="preserve">For further information about the IAHP Funding Model, please email </w:t>
      </w:r>
      <w:hyperlink r:id="rId15" w:history="1">
        <w:r>
          <w:rPr>
            <w:rStyle w:val="Hyperlink"/>
            <w:rFonts w:cstheme="minorHAnsi"/>
          </w:rPr>
          <w:t>IAHPFundingModel</w:t>
        </w:r>
        <w:r w:rsidRPr="00B87C40">
          <w:rPr>
            <w:rStyle w:val="Hyperlink"/>
            <w:rFonts w:cstheme="minorHAnsi"/>
          </w:rPr>
          <w:t>@health.gov.au</w:t>
        </w:r>
      </w:hyperlink>
      <w:r>
        <w:rPr>
          <w:rFonts w:cstheme="minorHAnsi"/>
        </w:rPr>
        <w:t xml:space="preserve">. </w:t>
      </w:r>
    </w:p>
    <w:p w:rsidR="00C72746" w:rsidRPr="00BB5E73" w:rsidRDefault="00C72746" w:rsidP="00BB5E73"/>
    <w:sectPr w:rsidR="00C72746" w:rsidRPr="00BB5E73" w:rsidSect="00414DC3">
      <w:type w:val="continuous"/>
      <w:pgSz w:w="11906" w:h="16838"/>
      <w:pgMar w:top="992" w:right="1418" w:bottom="28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D4D" w:rsidRDefault="00CB0D4D" w:rsidP="002839E4">
      <w:pPr>
        <w:spacing w:after="0" w:line="240" w:lineRule="auto"/>
      </w:pPr>
      <w:r>
        <w:separator/>
      </w:r>
    </w:p>
  </w:endnote>
  <w:endnote w:type="continuationSeparator" w:id="0">
    <w:p w:rsidR="00CB0D4D" w:rsidRDefault="00CB0D4D" w:rsidP="0028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228490"/>
      <w:docPartObj>
        <w:docPartGallery w:val="Page Numbers (Bottom of Page)"/>
        <w:docPartUnique/>
      </w:docPartObj>
    </w:sdtPr>
    <w:sdtEndPr/>
    <w:sdtContent>
      <w:sdt>
        <w:sdtPr>
          <w:id w:val="-1604877476"/>
          <w:docPartObj>
            <w:docPartGallery w:val="Page Numbers (Top of Page)"/>
            <w:docPartUnique/>
          </w:docPartObj>
        </w:sdtPr>
        <w:sdtEndPr/>
        <w:sdtContent>
          <w:p w:rsidR="00414DC3" w:rsidRDefault="00414DC3">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862D24">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62D24">
              <w:rPr>
                <w:b/>
                <w:bCs/>
                <w:noProof/>
              </w:rPr>
              <w:t>5</w:t>
            </w:r>
            <w:r>
              <w:rPr>
                <w:b/>
                <w:bCs/>
                <w:sz w:val="24"/>
              </w:rPr>
              <w:fldChar w:fldCharType="end"/>
            </w:r>
          </w:p>
        </w:sdtContent>
      </w:sdt>
    </w:sdtContent>
  </w:sdt>
  <w:p w:rsidR="00115241" w:rsidRPr="00414DC3" w:rsidRDefault="00115241" w:rsidP="00414D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D4D" w:rsidRDefault="00CB0D4D" w:rsidP="002839E4">
      <w:pPr>
        <w:spacing w:after="0" w:line="240" w:lineRule="auto"/>
      </w:pPr>
      <w:r>
        <w:separator/>
      </w:r>
    </w:p>
  </w:footnote>
  <w:footnote w:type="continuationSeparator" w:id="0">
    <w:p w:rsidR="00CB0D4D" w:rsidRDefault="00CB0D4D" w:rsidP="00283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6CF" w:rsidRDefault="007546CF" w:rsidP="0062546F">
    <w:pPr>
      <w:pStyle w:val="Header"/>
      <w:ind w:left="-1134"/>
    </w:pPr>
    <w:r>
      <w:rPr>
        <w:noProof/>
        <w:lang w:eastAsia="en-AU"/>
      </w:rPr>
      <w:drawing>
        <wp:inline distT="0" distB="0" distL="0" distR="0" wp14:anchorId="638ED7A4" wp14:editId="4770354F">
          <wp:extent cx="7128000" cy="151130"/>
          <wp:effectExtent l="0" t="0" r="0" b="1270"/>
          <wp:docPr id="5" name="Picture 5"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stretch>
                    <a:fillRect/>
                  </a:stretch>
                </pic:blipFill>
                <pic:spPr>
                  <a:xfrm>
                    <a:off x="0" y="0"/>
                    <a:ext cx="7128000" cy="151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530CB12"/>
    <w:lvl w:ilvl="0">
      <w:start w:val="1"/>
      <w:numFmt w:val="decimal"/>
      <w:pStyle w:val="ListNumber"/>
      <w:lvlText w:val="%1."/>
      <w:lvlJc w:val="left"/>
      <w:pPr>
        <w:tabs>
          <w:tab w:val="num" w:pos="360"/>
        </w:tabs>
        <w:ind w:left="360" w:hanging="360"/>
      </w:pPr>
    </w:lvl>
  </w:abstractNum>
  <w:abstractNum w:abstractNumId="1" w15:restartNumberingAfterBreak="0">
    <w:nsid w:val="02B16F39"/>
    <w:multiLevelType w:val="hybridMultilevel"/>
    <w:tmpl w:val="38E035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82B03F6"/>
    <w:multiLevelType w:val="hybridMultilevel"/>
    <w:tmpl w:val="66449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4F3CAC"/>
    <w:multiLevelType w:val="hybridMultilevel"/>
    <w:tmpl w:val="B84E0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603B1"/>
    <w:multiLevelType w:val="hybridMultilevel"/>
    <w:tmpl w:val="87F2D5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4E22427"/>
    <w:multiLevelType w:val="hybridMultilevel"/>
    <w:tmpl w:val="0AB4DCE8"/>
    <w:lvl w:ilvl="0" w:tplc="3058EAC4">
      <w:start w:val="1"/>
      <w:numFmt w:val="bullet"/>
      <w:pStyle w:val="BulletPoint1"/>
      <w:lvlText w:val=""/>
      <w:lvlJc w:val="left"/>
      <w:pPr>
        <w:ind w:left="360" w:hanging="360"/>
      </w:pPr>
      <w:rPr>
        <w:rFonts w:ascii="Symbol" w:hAnsi="Symbol" w:hint="default"/>
        <w:color w:val="35818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A6035"/>
    <w:multiLevelType w:val="hybridMultilevel"/>
    <w:tmpl w:val="3DF0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775CF3"/>
    <w:multiLevelType w:val="multilevel"/>
    <w:tmpl w:val="0C09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F493F0F"/>
    <w:multiLevelType w:val="multilevel"/>
    <w:tmpl w:val="7C589FDA"/>
    <w:lvl w:ilvl="0">
      <w:start w:val="1"/>
      <w:numFmt w:val="decimal"/>
      <w:pStyle w:val="List"/>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FE50E94"/>
    <w:multiLevelType w:val="hybridMultilevel"/>
    <w:tmpl w:val="C6A43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1D5C2E"/>
    <w:multiLevelType w:val="hybridMultilevel"/>
    <w:tmpl w:val="1F0C9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CF396C"/>
    <w:multiLevelType w:val="hybridMultilevel"/>
    <w:tmpl w:val="E4E00C1E"/>
    <w:lvl w:ilvl="0" w:tplc="D572392E">
      <w:start w:val="1"/>
      <w:numFmt w:val="bullet"/>
      <w:pStyle w:val="ListBullet"/>
      <w:lvlText w:val=""/>
      <w:lvlJc w:val="left"/>
      <w:pPr>
        <w:ind w:left="360" w:hanging="360"/>
      </w:pPr>
      <w:rPr>
        <w:rFonts w:ascii="Symbol" w:hAnsi="Symbol" w:hint="default"/>
        <w:color w:val="44546A" w:themeColor="text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D020661"/>
    <w:multiLevelType w:val="multilevel"/>
    <w:tmpl w:val="B41A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8"/>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1"/>
  </w:num>
  <w:num w:numId="9">
    <w:abstractNumId w:val="10"/>
  </w:num>
  <w:num w:numId="10">
    <w:abstractNumId w:val="2"/>
  </w:num>
  <w:num w:numId="11">
    <w:abstractNumId w:val="6"/>
  </w:num>
  <w:num w:numId="12">
    <w:abstractNumId w:val="1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E4"/>
    <w:rsid w:val="000076D4"/>
    <w:rsid w:val="0004291A"/>
    <w:rsid w:val="00046326"/>
    <w:rsid w:val="0004748D"/>
    <w:rsid w:val="00073FD0"/>
    <w:rsid w:val="00081DD9"/>
    <w:rsid w:val="00087D40"/>
    <w:rsid w:val="00096F5B"/>
    <w:rsid w:val="000B27DD"/>
    <w:rsid w:val="000B63FA"/>
    <w:rsid w:val="000C1BEC"/>
    <w:rsid w:val="000D5F05"/>
    <w:rsid w:val="000D7DC8"/>
    <w:rsid w:val="000F7433"/>
    <w:rsid w:val="00105CCE"/>
    <w:rsid w:val="00115241"/>
    <w:rsid w:val="001315DD"/>
    <w:rsid w:val="00181652"/>
    <w:rsid w:val="001923E3"/>
    <w:rsid w:val="00196E21"/>
    <w:rsid w:val="00197C11"/>
    <w:rsid w:val="001A4DB9"/>
    <w:rsid w:val="001A7F8F"/>
    <w:rsid w:val="001C3D21"/>
    <w:rsid w:val="001C6DD3"/>
    <w:rsid w:val="001D2656"/>
    <w:rsid w:val="001D66D7"/>
    <w:rsid w:val="001E1929"/>
    <w:rsid w:val="001E5B5D"/>
    <w:rsid w:val="00207608"/>
    <w:rsid w:val="00210951"/>
    <w:rsid w:val="0021575D"/>
    <w:rsid w:val="00280050"/>
    <w:rsid w:val="002839E4"/>
    <w:rsid w:val="00294D9E"/>
    <w:rsid w:val="002965F8"/>
    <w:rsid w:val="00297321"/>
    <w:rsid w:val="002A407A"/>
    <w:rsid w:val="002C13E5"/>
    <w:rsid w:val="002C772D"/>
    <w:rsid w:val="002E1829"/>
    <w:rsid w:val="002F47F7"/>
    <w:rsid w:val="002F717E"/>
    <w:rsid w:val="00311644"/>
    <w:rsid w:val="00324AD1"/>
    <w:rsid w:val="00325CB3"/>
    <w:rsid w:val="00326233"/>
    <w:rsid w:val="003337E6"/>
    <w:rsid w:val="00335E80"/>
    <w:rsid w:val="00362720"/>
    <w:rsid w:val="00375DCB"/>
    <w:rsid w:val="003767F3"/>
    <w:rsid w:val="003804FC"/>
    <w:rsid w:val="003853DB"/>
    <w:rsid w:val="0038790A"/>
    <w:rsid w:val="00392CDA"/>
    <w:rsid w:val="003A4DCA"/>
    <w:rsid w:val="003A5790"/>
    <w:rsid w:val="003A6263"/>
    <w:rsid w:val="003A6B7B"/>
    <w:rsid w:val="003F3569"/>
    <w:rsid w:val="003F62A2"/>
    <w:rsid w:val="003F6E4F"/>
    <w:rsid w:val="003F7428"/>
    <w:rsid w:val="0041175D"/>
    <w:rsid w:val="00414DC3"/>
    <w:rsid w:val="00422A45"/>
    <w:rsid w:val="004445A0"/>
    <w:rsid w:val="00451BCE"/>
    <w:rsid w:val="004801B3"/>
    <w:rsid w:val="004A5404"/>
    <w:rsid w:val="004B364D"/>
    <w:rsid w:val="004B5843"/>
    <w:rsid w:val="004C4A55"/>
    <w:rsid w:val="004D18F5"/>
    <w:rsid w:val="004D22C3"/>
    <w:rsid w:val="004D746E"/>
    <w:rsid w:val="00504566"/>
    <w:rsid w:val="00544F2D"/>
    <w:rsid w:val="00555E87"/>
    <w:rsid w:val="005811D8"/>
    <w:rsid w:val="005843AF"/>
    <w:rsid w:val="005C1673"/>
    <w:rsid w:val="005D640E"/>
    <w:rsid w:val="00602513"/>
    <w:rsid w:val="0062546F"/>
    <w:rsid w:val="00654BE2"/>
    <w:rsid w:val="0067677B"/>
    <w:rsid w:val="00677BA8"/>
    <w:rsid w:val="00684230"/>
    <w:rsid w:val="00685F5B"/>
    <w:rsid w:val="006923DF"/>
    <w:rsid w:val="0069453E"/>
    <w:rsid w:val="006C0CF6"/>
    <w:rsid w:val="006C5599"/>
    <w:rsid w:val="006C5646"/>
    <w:rsid w:val="006E1755"/>
    <w:rsid w:val="006F36C3"/>
    <w:rsid w:val="006F7958"/>
    <w:rsid w:val="006F7BB0"/>
    <w:rsid w:val="0070439C"/>
    <w:rsid w:val="00732AA0"/>
    <w:rsid w:val="00742570"/>
    <w:rsid w:val="0074722A"/>
    <w:rsid w:val="007546CF"/>
    <w:rsid w:val="00756C4C"/>
    <w:rsid w:val="00790A79"/>
    <w:rsid w:val="007935B4"/>
    <w:rsid w:val="00797090"/>
    <w:rsid w:val="007A0118"/>
    <w:rsid w:val="007A1C31"/>
    <w:rsid w:val="007A50BF"/>
    <w:rsid w:val="007B02E0"/>
    <w:rsid w:val="007E3938"/>
    <w:rsid w:val="00802635"/>
    <w:rsid w:val="008043A7"/>
    <w:rsid w:val="008156AD"/>
    <w:rsid w:val="008264D9"/>
    <w:rsid w:val="0084413E"/>
    <w:rsid w:val="00844573"/>
    <w:rsid w:val="0084557F"/>
    <w:rsid w:val="008516B1"/>
    <w:rsid w:val="00851E8E"/>
    <w:rsid w:val="008523B6"/>
    <w:rsid w:val="00862D24"/>
    <w:rsid w:val="00863F2A"/>
    <w:rsid w:val="00887907"/>
    <w:rsid w:val="008A50DD"/>
    <w:rsid w:val="008B68F9"/>
    <w:rsid w:val="008D06CF"/>
    <w:rsid w:val="008D51D8"/>
    <w:rsid w:val="008D7824"/>
    <w:rsid w:val="008E2F7A"/>
    <w:rsid w:val="008E41B0"/>
    <w:rsid w:val="008E4A76"/>
    <w:rsid w:val="008E7A9C"/>
    <w:rsid w:val="008F0F53"/>
    <w:rsid w:val="008F143F"/>
    <w:rsid w:val="00901AD1"/>
    <w:rsid w:val="00913724"/>
    <w:rsid w:val="00916221"/>
    <w:rsid w:val="00940E3B"/>
    <w:rsid w:val="00954110"/>
    <w:rsid w:val="00957C7E"/>
    <w:rsid w:val="009A40C6"/>
    <w:rsid w:val="009C06CE"/>
    <w:rsid w:val="009F15A1"/>
    <w:rsid w:val="00A01904"/>
    <w:rsid w:val="00A04156"/>
    <w:rsid w:val="00A073F0"/>
    <w:rsid w:val="00A36FE5"/>
    <w:rsid w:val="00A37742"/>
    <w:rsid w:val="00A4234B"/>
    <w:rsid w:val="00A47FFD"/>
    <w:rsid w:val="00A56942"/>
    <w:rsid w:val="00A67359"/>
    <w:rsid w:val="00A70EB8"/>
    <w:rsid w:val="00AA463D"/>
    <w:rsid w:val="00AA49DE"/>
    <w:rsid w:val="00AB1201"/>
    <w:rsid w:val="00AC1810"/>
    <w:rsid w:val="00AC4BFC"/>
    <w:rsid w:val="00AC7E48"/>
    <w:rsid w:val="00AE3733"/>
    <w:rsid w:val="00AF28BA"/>
    <w:rsid w:val="00AF439A"/>
    <w:rsid w:val="00AF49D0"/>
    <w:rsid w:val="00AF6447"/>
    <w:rsid w:val="00B45246"/>
    <w:rsid w:val="00B550C8"/>
    <w:rsid w:val="00B6397D"/>
    <w:rsid w:val="00B63FBB"/>
    <w:rsid w:val="00B70C9B"/>
    <w:rsid w:val="00B87F5D"/>
    <w:rsid w:val="00BB2BBE"/>
    <w:rsid w:val="00BB5E73"/>
    <w:rsid w:val="00BB77BF"/>
    <w:rsid w:val="00BC1ABF"/>
    <w:rsid w:val="00BC21AD"/>
    <w:rsid w:val="00BD446C"/>
    <w:rsid w:val="00BF0A57"/>
    <w:rsid w:val="00C07623"/>
    <w:rsid w:val="00C1760F"/>
    <w:rsid w:val="00C2606D"/>
    <w:rsid w:val="00C40AE9"/>
    <w:rsid w:val="00C41CCE"/>
    <w:rsid w:val="00C429C5"/>
    <w:rsid w:val="00C446D8"/>
    <w:rsid w:val="00C505A8"/>
    <w:rsid w:val="00C57C6B"/>
    <w:rsid w:val="00C704B7"/>
    <w:rsid w:val="00C72746"/>
    <w:rsid w:val="00C74636"/>
    <w:rsid w:val="00C75AC9"/>
    <w:rsid w:val="00C83331"/>
    <w:rsid w:val="00C96980"/>
    <w:rsid w:val="00CB0419"/>
    <w:rsid w:val="00CB0D4D"/>
    <w:rsid w:val="00CB1B1B"/>
    <w:rsid w:val="00CE2F84"/>
    <w:rsid w:val="00CE358D"/>
    <w:rsid w:val="00D0339E"/>
    <w:rsid w:val="00D323C4"/>
    <w:rsid w:val="00D426F1"/>
    <w:rsid w:val="00D52766"/>
    <w:rsid w:val="00D73C66"/>
    <w:rsid w:val="00D801DF"/>
    <w:rsid w:val="00D8559B"/>
    <w:rsid w:val="00D924F5"/>
    <w:rsid w:val="00DB2923"/>
    <w:rsid w:val="00DB2D42"/>
    <w:rsid w:val="00DC0929"/>
    <w:rsid w:val="00DC2434"/>
    <w:rsid w:val="00DD6E94"/>
    <w:rsid w:val="00DF48C7"/>
    <w:rsid w:val="00DF7B20"/>
    <w:rsid w:val="00E2384E"/>
    <w:rsid w:val="00E23B59"/>
    <w:rsid w:val="00E23CB4"/>
    <w:rsid w:val="00E24584"/>
    <w:rsid w:val="00E246D3"/>
    <w:rsid w:val="00E263DB"/>
    <w:rsid w:val="00E572B0"/>
    <w:rsid w:val="00E6431F"/>
    <w:rsid w:val="00E723BA"/>
    <w:rsid w:val="00E824C0"/>
    <w:rsid w:val="00E833BA"/>
    <w:rsid w:val="00E94738"/>
    <w:rsid w:val="00ED48BC"/>
    <w:rsid w:val="00F075F3"/>
    <w:rsid w:val="00F14D6C"/>
    <w:rsid w:val="00F2327D"/>
    <w:rsid w:val="00F3511E"/>
    <w:rsid w:val="00F463AD"/>
    <w:rsid w:val="00F52A12"/>
    <w:rsid w:val="00F64CFB"/>
    <w:rsid w:val="00F76FDD"/>
    <w:rsid w:val="00F93B28"/>
    <w:rsid w:val="00F9790E"/>
    <w:rsid w:val="00FA254E"/>
    <w:rsid w:val="00FA595B"/>
    <w:rsid w:val="00FB1294"/>
    <w:rsid w:val="00FB1DC3"/>
    <w:rsid w:val="00FD219F"/>
    <w:rsid w:val="00FD56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3C6F231-A780-4D88-A141-936AE11F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4B7"/>
    <w:rPr>
      <w:rFonts w:asciiTheme="minorHAnsi" w:hAnsiTheme="minorHAnsi"/>
      <w:sz w:val="22"/>
    </w:rPr>
  </w:style>
  <w:style w:type="paragraph" w:styleId="Heading1">
    <w:name w:val="heading 1"/>
    <w:basedOn w:val="Normal"/>
    <w:next w:val="Normal"/>
    <w:link w:val="Heading1Char"/>
    <w:uiPriority w:val="9"/>
    <w:qFormat/>
    <w:rsid w:val="00B87F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C704B7"/>
    <w:pPr>
      <w:spacing w:before="360" w:after="160" w:line="240" w:lineRule="auto"/>
      <w:outlineLvl w:val="1"/>
    </w:pPr>
    <w:rPr>
      <w:rFonts w:asciiTheme="minorHAnsi" w:hAnsiTheme="minorHAnsi" w:cs="Arial"/>
      <w:b/>
      <w:color w:val="0D0D0D" w:themeColor="text1" w:themeTint="F2"/>
      <w:sz w:val="28"/>
      <w:szCs w:val="26"/>
    </w:rPr>
  </w:style>
  <w:style w:type="paragraph" w:styleId="Heading3">
    <w:name w:val="heading 3"/>
    <w:basedOn w:val="Normal"/>
    <w:next w:val="Normal"/>
    <w:link w:val="Heading3Char"/>
    <w:uiPriority w:val="9"/>
    <w:unhideWhenUsed/>
    <w:qFormat/>
    <w:rsid w:val="00324AD1"/>
    <w:pPr>
      <w:keepNext/>
      <w:keepLines/>
      <w:spacing w:before="240" w:after="120"/>
      <w:outlineLvl w:val="2"/>
    </w:pPr>
    <w:rPr>
      <w:rFonts w:asciiTheme="majorHAnsi" w:eastAsiaTheme="majorEastAsia" w:hAnsiTheme="majorHAnsi" w:cstheme="majorBidi"/>
      <w:b/>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E4"/>
  </w:style>
  <w:style w:type="paragraph" w:styleId="Footer">
    <w:name w:val="footer"/>
    <w:basedOn w:val="Normal"/>
    <w:link w:val="FooterChar"/>
    <w:uiPriority w:val="99"/>
    <w:unhideWhenUsed/>
    <w:rsid w:val="00283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9E4"/>
  </w:style>
  <w:style w:type="paragraph" w:styleId="ListParagraph">
    <w:name w:val="List Paragraph"/>
    <w:basedOn w:val="Normal"/>
    <w:uiPriority w:val="34"/>
    <w:qFormat/>
    <w:rsid w:val="00AF439A"/>
    <w:pPr>
      <w:ind w:left="720"/>
      <w:contextualSpacing/>
    </w:pPr>
  </w:style>
  <w:style w:type="character" w:customStyle="1" w:styleId="Heading2Char">
    <w:name w:val="Heading 2 Char"/>
    <w:basedOn w:val="DefaultParagraphFont"/>
    <w:link w:val="Heading2"/>
    <w:uiPriority w:val="9"/>
    <w:rsid w:val="00C704B7"/>
    <w:rPr>
      <w:rFonts w:asciiTheme="minorHAnsi" w:eastAsiaTheme="majorEastAsia" w:hAnsiTheme="minorHAnsi" w:cs="Arial"/>
      <w:b/>
      <w:color w:val="0D0D0D" w:themeColor="text1" w:themeTint="F2"/>
      <w:sz w:val="28"/>
      <w:szCs w:val="26"/>
    </w:rPr>
  </w:style>
  <w:style w:type="character" w:styleId="Emphasis">
    <w:name w:val="Emphasis"/>
    <w:basedOn w:val="DefaultParagraphFont"/>
    <w:uiPriority w:val="20"/>
    <w:qFormat/>
    <w:rsid w:val="00B87F5D"/>
    <w:rPr>
      <w:i/>
      <w:iCs/>
    </w:rPr>
  </w:style>
  <w:style w:type="paragraph" w:styleId="List">
    <w:name w:val="List"/>
    <w:basedOn w:val="Normal"/>
    <w:uiPriority w:val="99"/>
    <w:unhideWhenUsed/>
    <w:rsid w:val="00B87F5D"/>
    <w:pPr>
      <w:numPr>
        <w:numId w:val="3"/>
      </w:numPr>
      <w:spacing w:before="120" w:after="120" w:line="240" w:lineRule="auto"/>
      <w:contextualSpacing/>
    </w:pPr>
    <w:rPr>
      <w:rFonts w:eastAsiaTheme="minorEastAsia" w:cstheme="minorBidi"/>
      <w:szCs w:val="22"/>
      <w:lang w:val="en-US"/>
    </w:rPr>
  </w:style>
  <w:style w:type="paragraph" w:styleId="FootnoteText">
    <w:name w:val="footnote text"/>
    <w:basedOn w:val="Normal"/>
    <w:link w:val="FootnoteTextChar"/>
    <w:uiPriority w:val="99"/>
    <w:unhideWhenUsed/>
    <w:rsid w:val="00B87F5D"/>
    <w:pPr>
      <w:spacing w:after="0" w:line="240" w:lineRule="auto"/>
    </w:pPr>
    <w:rPr>
      <w:rFonts w:eastAsiaTheme="minorEastAsia" w:cstheme="minorBidi"/>
      <w:sz w:val="20"/>
      <w:szCs w:val="20"/>
      <w:lang w:val="en-US"/>
    </w:rPr>
  </w:style>
  <w:style w:type="character" w:customStyle="1" w:styleId="FootnoteTextChar">
    <w:name w:val="Footnote Text Char"/>
    <w:basedOn w:val="DefaultParagraphFont"/>
    <w:link w:val="FootnoteText"/>
    <w:uiPriority w:val="99"/>
    <w:rsid w:val="00B87F5D"/>
    <w:rPr>
      <w:rFonts w:asciiTheme="minorHAnsi" w:eastAsiaTheme="minorEastAsia" w:hAnsiTheme="minorHAnsi" w:cstheme="minorBidi"/>
      <w:sz w:val="20"/>
      <w:szCs w:val="20"/>
      <w:lang w:val="en-US"/>
    </w:rPr>
  </w:style>
  <w:style w:type="character" w:styleId="FootnoteReference">
    <w:name w:val="footnote reference"/>
    <w:basedOn w:val="DefaultParagraphFont"/>
    <w:uiPriority w:val="99"/>
    <w:semiHidden/>
    <w:unhideWhenUsed/>
    <w:rsid w:val="00B87F5D"/>
    <w:rPr>
      <w:vertAlign w:val="superscript"/>
    </w:rPr>
  </w:style>
  <w:style w:type="paragraph" w:styleId="ListNumber">
    <w:name w:val="List Number"/>
    <w:basedOn w:val="Normal"/>
    <w:uiPriority w:val="99"/>
    <w:unhideWhenUsed/>
    <w:rsid w:val="00B87F5D"/>
    <w:pPr>
      <w:numPr>
        <w:numId w:val="2"/>
      </w:numPr>
      <w:spacing w:before="120" w:after="120" w:line="240" w:lineRule="auto"/>
      <w:ind w:left="357" w:hanging="357"/>
    </w:pPr>
    <w:rPr>
      <w:rFonts w:eastAsiaTheme="minorEastAsia" w:cstheme="minorBidi"/>
      <w:szCs w:val="22"/>
      <w:lang w:val="en-US"/>
    </w:rPr>
  </w:style>
  <w:style w:type="character" w:styleId="CommentReference">
    <w:name w:val="annotation reference"/>
    <w:basedOn w:val="DefaultParagraphFont"/>
    <w:uiPriority w:val="99"/>
    <w:semiHidden/>
    <w:unhideWhenUsed/>
    <w:rsid w:val="00B87F5D"/>
    <w:rPr>
      <w:sz w:val="16"/>
      <w:szCs w:val="16"/>
    </w:rPr>
  </w:style>
  <w:style w:type="paragraph" w:styleId="CommentText">
    <w:name w:val="annotation text"/>
    <w:basedOn w:val="Normal"/>
    <w:link w:val="CommentTextChar"/>
    <w:uiPriority w:val="99"/>
    <w:semiHidden/>
    <w:unhideWhenUsed/>
    <w:rsid w:val="00B87F5D"/>
    <w:pPr>
      <w:spacing w:before="120" w:after="120" w:line="240" w:lineRule="auto"/>
    </w:pPr>
    <w:rPr>
      <w:rFonts w:eastAsiaTheme="minorEastAsia" w:cstheme="minorBidi"/>
      <w:sz w:val="20"/>
      <w:szCs w:val="20"/>
      <w:lang w:val="en-US"/>
    </w:rPr>
  </w:style>
  <w:style w:type="character" w:customStyle="1" w:styleId="CommentTextChar">
    <w:name w:val="Comment Text Char"/>
    <w:basedOn w:val="DefaultParagraphFont"/>
    <w:link w:val="CommentText"/>
    <w:uiPriority w:val="99"/>
    <w:semiHidden/>
    <w:rsid w:val="00B87F5D"/>
    <w:rPr>
      <w:rFonts w:asciiTheme="minorHAnsi" w:eastAsiaTheme="minorEastAsia" w:hAnsiTheme="minorHAnsi" w:cstheme="minorBidi"/>
      <w:sz w:val="20"/>
      <w:szCs w:val="20"/>
      <w:lang w:val="en-US"/>
    </w:rPr>
  </w:style>
  <w:style w:type="character" w:customStyle="1" w:styleId="Heading1Char">
    <w:name w:val="Heading 1 Char"/>
    <w:basedOn w:val="DefaultParagraphFont"/>
    <w:link w:val="Heading1"/>
    <w:uiPriority w:val="9"/>
    <w:rsid w:val="00B87F5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87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F5D"/>
    <w:rPr>
      <w:rFonts w:ascii="Segoe UI" w:hAnsi="Segoe UI" w:cs="Segoe UI"/>
      <w:sz w:val="18"/>
      <w:szCs w:val="18"/>
    </w:rPr>
  </w:style>
  <w:style w:type="paragraph" w:styleId="EndnoteText">
    <w:name w:val="endnote text"/>
    <w:basedOn w:val="Normal"/>
    <w:link w:val="EndnoteTextChar"/>
    <w:uiPriority w:val="99"/>
    <w:semiHidden/>
    <w:unhideWhenUsed/>
    <w:rsid w:val="008F0F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0F53"/>
    <w:rPr>
      <w:sz w:val="20"/>
      <w:szCs w:val="20"/>
    </w:rPr>
  </w:style>
  <w:style w:type="character" w:styleId="EndnoteReference">
    <w:name w:val="endnote reference"/>
    <w:basedOn w:val="DefaultParagraphFont"/>
    <w:uiPriority w:val="99"/>
    <w:semiHidden/>
    <w:unhideWhenUsed/>
    <w:rsid w:val="008F0F53"/>
    <w:rPr>
      <w:vertAlign w:val="superscript"/>
    </w:rPr>
  </w:style>
  <w:style w:type="paragraph" w:customStyle="1" w:styleId="acthead5">
    <w:name w:val="acthead5"/>
    <w:basedOn w:val="Normal"/>
    <w:rsid w:val="008F0F53"/>
    <w:pPr>
      <w:spacing w:before="100" w:beforeAutospacing="1" w:after="100" w:afterAutospacing="1" w:line="240" w:lineRule="auto"/>
    </w:pPr>
    <w:rPr>
      <w:rFonts w:eastAsia="Times New Roman"/>
      <w:lang w:eastAsia="en-AU"/>
    </w:rPr>
  </w:style>
  <w:style w:type="character" w:customStyle="1" w:styleId="charsectno">
    <w:name w:val="charsectno"/>
    <w:basedOn w:val="DefaultParagraphFont"/>
    <w:rsid w:val="008F0F53"/>
  </w:style>
  <w:style w:type="paragraph" w:customStyle="1" w:styleId="subsection">
    <w:name w:val="subsection"/>
    <w:basedOn w:val="Normal"/>
    <w:rsid w:val="008F0F53"/>
    <w:pPr>
      <w:spacing w:before="100" w:beforeAutospacing="1" w:after="100" w:afterAutospacing="1" w:line="240" w:lineRule="auto"/>
    </w:pPr>
    <w:rPr>
      <w:rFonts w:eastAsia="Times New Roman"/>
      <w:lang w:eastAsia="en-AU"/>
    </w:rPr>
  </w:style>
  <w:style w:type="paragraph" w:customStyle="1" w:styleId="paragraph">
    <w:name w:val="paragraph"/>
    <w:basedOn w:val="Normal"/>
    <w:rsid w:val="008F0F53"/>
    <w:pPr>
      <w:spacing w:before="100" w:beforeAutospacing="1" w:after="100" w:afterAutospacing="1" w:line="240" w:lineRule="auto"/>
    </w:pPr>
    <w:rPr>
      <w:rFonts w:eastAsia="Times New Roman"/>
      <w:lang w:eastAsia="en-AU"/>
    </w:rPr>
  </w:style>
  <w:style w:type="character" w:styleId="Hyperlink">
    <w:name w:val="Hyperlink"/>
    <w:basedOn w:val="DefaultParagraphFont"/>
    <w:uiPriority w:val="99"/>
    <w:unhideWhenUsed/>
    <w:rsid w:val="0038790A"/>
    <w:rPr>
      <w:color w:val="0563C1" w:themeColor="hyperlink"/>
      <w:u w:val="single"/>
    </w:rPr>
  </w:style>
  <w:style w:type="paragraph" w:styleId="ListBullet">
    <w:name w:val="List Bullet"/>
    <w:basedOn w:val="Normal"/>
    <w:uiPriority w:val="99"/>
    <w:unhideWhenUsed/>
    <w:rsid w:val="006C5599"/>
    <w:pPr>
      <w:numPr>
        <w:numId w:val="7"/>
      </w:numPr>
      <w:spacing w:before="120" w:after="120" w:line="240" w:lineRule="auto"/>
      <w:ind w:left="357" w:hanging="357"/>
    </w:pPr>
    <w:rPr>
      <w:rFonts w:eastAsiaTheme="minorEastAsia" w:cstheme="minorBidi"/>
      <w:szCs w:val="22"/>
      <w:lang w:val="en-US"/>
    </w:rPr>
  </w:style>
  <w:style w:type="character" w:styleId="FollowedHyperlink">
    <w:name w:val="FollowedHyperlink"/>
    <w:basedOn w:val="DefaultParagraphFont"/>
    <w:uiPriority w:val="99"/>
    <w:semiHidden/>
    <w:unhideWhenUsed/>
    <w:rsid w:val="00E263DB"/>
    <w:rPr>
      <w:color w:val="954F72" w:themeColor="followedHyperlink"/>
      <w:u w:val="single"/>
    </w:rPr>
  </w:style>
  <w:style w:type="table" w:styleId="TableGrid">
    <w:name w:val="Table Grid"/>
    <w:basedOn w:val="TableNormal"/>
    <w:uiPriority w:val="39"/>
    <w:rsid w:val="00C44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E1755"/>
    <w:pPr>
      <w:spacing w:before="0" w:after="160"/>
    </w:pPr>
    <w:rPr>
      <w:rFonts w:ascii="Times New Roman" w:eastAsiaTheme="minorHAnsi" w:hAnsi="Times New Roman" w:cs="Times New Roman"/>
      <w:b/>
      <w:bCs/>
      <w:lang w:val="en-AU"/>
    </w:rPr>
  </w:style>
  <w:style w:type="character" w:customStyle="1" w:styleId="CommentSubjectChar">
    <w:name w:val="Comment Subject Char"/>
    <w:basedOn w:val="CommentTextChar"/>
    <w:link w:val="CommentSubject"/>
    <w:uiPriority w:val="99"/>
    <w:semiHidden/>
    <w:rsid w:val="006E1755"/>
    <w:rPr>
      <w:rFonts w:asciiTheme="minorHAnsi" w:eastAsiaTheme="minorEastAsia" w:hAnsiTheme="minorHAnsi" w:cstheme="minorBidi"/>
      <w:b/>
      <w:bCs/>
      <w:sz w:val="20"/>
      <w:szCs w:val="20"/>
      <w:lang w:val="en-US"/>
    </w:rPr>
  </w:style>
  <w:style w:type="paragraph" w:styleId="NormalWeb">
    <w:name w:val="Normal (Web)"/>
    <w:basedOn w:val="Normal"/>
    <w:uiPriority w:val="99"/>
    <w:semiHidden/>
    <w:unhideWhenUsed/>
    <w:rsid w:val="003804FC"/>
    <w:pPr>
      <w:spacing w:after="450" w:line="420" w:lineRule="atLeast"/>
    </w:pPr>
    <w:rPr>
      <w:rFonts w:eastAsia="Times New Roman"/>
      <w:sz w:val="27"/>
      <w:szCs w:val="27"/>
      <w:lang w:eastAsia="en-AU"/>
    </w:rPr>
  </w:style>
  <w:style w:type="paragraph" w:customStyle="1" w:styleId="VisionBox">
    <w:name w:val="VisionBox"/>
    <w:basedOn w:val="Normal"/>
    <w:qFormat/>
    <w:rsid w:val="002C772D"/>
    <w:pPr>
      <w:pBdr>
        <w:top w:val="single" w:sz="4" w:space="15" w:color="358189"/>
        <w:bottom w:val="single" w:sz="4" w:space="10" w:color="358189"/>
      </w:pBdr>
      <w:spacing w:before="240" w:after="240" w:line="340" w:lineRule="exact"/>
    </w:pPr>
    <w:rPr>
      <w:color w:val="358189"/>
    </w:rPr>
  </w:style>
  <w:style w:type="table" w:styleId="TableGridLight">
    <w:name w:val="Grid Table Light"/>
    <w:basedOn w:val="TableNormal"/>
    <w:uiPriority w:val="40"/>
    <w:rsid w:val="008156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Point1">
    <w:name w:val="Bullet Point 1"/>
    <w:basedOn w:val="Normal"/>
    <w:autoRedefine/>
    <w:qFormat/>
    <w:rsid w:val="00A47FFD"/>
    <w:pPr>
      <w:numPr>
        <w:numId w:val="14"/>
      </w:numPr>
      <w:spacing w:before="120" w:after="120"/>
      <w:ind w:left="357" w:hanging="357"/>
    </w:pPr>
    <w:rPr>
      <w:rFonts w:eastAsia="Times New Roman"/>
      <w:szCs w:val="22"/>
      <w:lang w:val="en-US"/>
    </w:rPr>
  </w:style>
  <w:style w:type="table" w:styleId="LightList-Accent1">
    <w:name w:val="Light List Accent 1"/>
    <w:aliases w:val="VISUAL BRAND"/>
    <w:basedOn w:val="TableNormal"/>
    <w:uiPriority w:val="61"/>
    <w:rsid w:val="008156AD"/>
    <w:pPr>
      <w:spacing w:after="0" w:line="240" w:lineRule="auto"/>
    </w:pPr>
    <w:rPr>
      <w:rFonts w:ascii="Arial" w:hAnsi="Arial" w:cstheme="minorBidi"/>
      <w:sz w:val="22"/>
      <w:lang w:val="en-GB"/>
    </w:rPr>
    <w:tblPr>
      <w:tblStyleRowBandSize w:val="1"/>
      <w:tblStyleColBandSize w:val="1"/>
      <w:tblBorders>
        <w:top w:val="single" w:sz="2" w:space="0" w:color="008A96"/>
        <w:left w:val="single" w:sz="2" w:space="0" w:color="008A96"/>
        <w:bottom w:val="single" w:sz="2" w:space="0" w:color="008A96"/>
        <w:right w:val="single" w:sz="2" w:space="0" w:color="008A96"/>
        <w:insideH w:val="single" w:sz="2" w:space="0" w:color="008A96"/>
        <w:insideV w:val="single" w:sz="2" w:space="0" w:color="008A96"/>
      </w:tblBorders>
    </w:tblPr>
    <w:tblStylePr w:type="firstRow">
      <w:pPr>
        <w:spacing w:before="0" w:after="0" w:line="240" w:lineRule="auto"/>
      </w:pPr>
      <w:rPr>
        <w:b/>
        <w:bCs/>
        <w:color w:val="FFFFFF" w:themeColor="background1"/>
      </w:rPr>
      <w:tblPr/>
      <w:tcPr>
        <w:shd w:val="clear" w:color="auto" w:fill="008A96"/>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2" w:space="0" w:color="008A96"/>
          <w:left w:val="single" w:sz="2" w:space="0" w:color="008A96"/>
          <w:bottom w:val="single" w:sz="2" w:space="0" w:color="008A96"/>
          <w:right w:val="single" w:sz="2" w:space="0" w:color="008A96"/>
          <w:insideH w:val="single" w:sz="2" w:space="0" w:color="008A96"/>
          <w:insideV w:val="single" w:sz="2" w:space="0" w:color="008A96"/>
          <w:tl2br w:val="nil"/>
          <w:tr2bl w:val="nil"/>
        </w:tcBorders>
      </w:tcPr>
    </w:tblStylePr>
  </w:style>
  <w:style w:type="table" w:styleId="ListTable7Colorful-Accent3">
    <w:name w:val="List Table 7 Colorful Accent 3"/>
    <w:basedOn w:val="TableNormal"/>
    <w:uiPriority w:val="52"/>
    <w:rsid w:val="008156A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1">
    <w:name w:val="List Table 1 Light Accent 1"/>
    <w:basedOn w:val="TableNormal"/>
    <w:uiPriority w:val="46"/>
    <w:rsid w:val="00F76FDD"/>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laceholderText">
    <w:name w:val="Placeholder Text"/>
    <w:basedOn w:val="DefaultParagraphFont"/>
    <w:uiPriority w:val="99"/>
    <w:semiHidden/>
    <w:rsid w:val="00E6431F"/>
    <w:rPr>
      <w:color w:val="808080"/>
    </w:rPr>
  </w:style>
  <w:style w:type="paragraph" w:styleId="Caption">
    <w:name w:val="caption"/>
    <w:basedOn w:val="Normal"/>
    <w:next w:val="Normal"/>
    <w:uiPriority w:val="35"/>
    <w:unhideWhenUsed/>
    <w:qFormat/>
    <w:rsid w:val="00F3511E"/>
    <w:pPr>
      <w:spacing w:before="240" w:after="120" w:line="240" w:lineRule="auto"/>
    </w:pPr>
    <w:rPr>
      <w:b/>
      <w:iCs/>
      <w:color w:val="44546A" w:themeColor="text2"/>
      <w:szCs w:val="18"/>
    </w:rPr>
  </w:style>
  <w:style w:type="character" w:customStyle="1" w:styleId="Heading3Char">
    <w:name w:val="Heading 3 Char"/>
    <w:basedOn w:val="DefaultParagraphFont"/>
    <w:link w:val="Heading3"/>
    <w:uiPriority w:val="9"/>
    <w:rsid w:val="00324AD1"/>
    <w:rPr>
      <w:rFonts w:asciiTheme="majorHAnsi" w:eastAsiaTheme="majorEastAsia" w:hAnsiTheme="majorHAnsi" w:cstheme="majorBidi"/>
      <w:b/>
      <w:color w:val="1F4D78" w:themeColor="accent1" w:themeShade="7F"/>
    </w:rPr>
  </w:style>
  <w:style w:type="paragraph" w:styleId="Title">
    <w:name w:val="Title"/>
    <w:basedOn w:val="Normal"/>
    <w:next w:val="Normal"/>
    <w:link w:val="TitleChar"/>
    <w:uiPriority w:val="10"/>
    <w:qFormat/>
    <w:rsid w:val="00862D24"/>
    <w:pPr>
      <w:spacing w:before="120" w:after="200" w:line="240" w:lineRule="auto"/>
      <w:jc w:val="center"/>
    </w:pPr>
    <w:rPr>
      <w:rFonts w:cstheme="minorHAnsi"/>
      <w:b/>
      <w:sz w:val="36"/>
      <w:szCs w:val="32"/>
    </w:rPr>
  </w:style>
  <w:style w:type="character" w:customStyle="1" w:styleId="TitleChar">
    <w:name w:val="Title Char"/>
    <w:basedOn w:val="DefaultParagraphFont"/>
    <w:link w:val="Title"/>
    <w:uiPriority w:val="10"/>
    <w:rsid w:val="00862D24"/>
    <w:rPr>
      <w:rFonts w:asciiTheme="minorHAnsi" w:hAnsiTheme="minorHAnsi" w:cstheme="minorHAnsi"/>
      <w:b/>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5976">
      <w:bodyDiv w:val="1"/>
      <w:marLeft w:val="0"/>
      <w:marRight w:val="0"/>
      <w:marTop w:val="0"/>
      <w:marBottom w:val="0"/>
      <w:divBdr>
        <w:top w:val="none" w:sz="0" w:space="0" w:color="auto"/>
        <w:left w:val="none" w:sz="0" w:space="0" w:color="auto"/>
        <w:bottom w:val="none" w:sz="0" w:space="0" w:color="auto"/>
        <w:right w:val="none" w:sz="0" w:space="0" w:color="auto"/>
      </w:divBdr>
    </w:div>
    <w:div w:id="374233313">
      <w:bodyDiv w:val="1"/>
      <w:marLeft w:val="0"/>
      <w:marRight w:val="0"/>
      <w:marTop w:val="0"/>
      <w:marBottom w:val="0"/>
      <w:divBdr>
        <w:top w:val="none" w:sz="0" w:space="0" w:color="auto"/>
        <w:left w:val="none" w:sz="0" w:space="0" w:color="auto"/>
        <w:bottom w:val="none" w:sz="0" w:space="0" w:color="auto"/>
        <w:right w:val="none" w:sz="0" w:space="0" w:color="auto"/>
      </w:divBdr>
    </w:div>
    <w:div w:id="400715103">
      <w:bodyDiv w:val="1"/>
      <w:marLeft w:val="0"/>
      <w:marRight w:val="0"/>
      <w:marTop w:val="0"/>
      <w:marBottom w:val="0"/>
      <w:divBdr>
        <w:top w:val="none" w:sz="0" w:space="0" w:color="auto"/>
        <w:left w:val="none" w:sz="0" w:space="0" w:color="auto"/>
        <w:bottom w:val="none" w:sz="0" w:space="0" w:color="auto"/>
        <w:right w:val="none" w:sz="0" w:space="0" w:color="auto"/>
      </w:divBdr>
    </w:div>
    <w:div w:id="409541668">
      <w:bodyDiv w:val="1"/>
      <w:marLeft w:val="0"/>
      <w:marRight w:val="0"/>
      <w:marTop w:val="0"/>
      <w:marBottom w:val="0"/>
      <w:divBdr>
        <w:top w:val="none" w:sz="0" w:space="0" w:color="auto"/>
        <w:left w:val="none" w:sz="0" w:space="0" w:color="auto"/>
        <w:bottom w:val="none" w:sz="0" w:space="0" w:color="auto"/>
        <w:right w:val="none" w:sz="0" w:space="0" w:color="auto"/>
      </w:divBdr>
    </w:div>
    <w:div w:id="601454658">
      <w:bodyDiv w:val="1"/>
      <w:marLeft w:val="0"/>
      <w:marRight w:val="0"/>
      <w:marTop w:val="0"/>
      <w:marBottom w:val="0"/>
      <w:divBdr>
        <w:top w:val="none" w:sz="0" w:space="0" w:color="auto"/>
        <w:left w:val="none" w:sz="0" w:space="0" w:color="auto"/>
        <w:bottom w:val="none" w:sz="0" w:space="0" w:color="auto"/>
        <w:right w:val="none" w:sz="0" w:space="0" w:color="auto"/>
      </w:divBdr>
    </w:div>
    <w:div w:id="760375833">
      <w:bodyDiv w:val="1"/>
      <w:marLeft w:val="0"/>
      <w:marRight w:val="0"/>
      <w:marTop w:val="0"/>
      <w:marBottom w:val="0"/>
      <w:divBdr>
        <w:top w:val="none" w:sz="0" w:space="0" w:color="auto"/>
        <w:left w:val="none" w:sz="0" w:space="0" w:color="auto"/>
        <w:bottom w:val="none" w:sz="0" w:space="0" w:color="auto"/>
        <w:right w:val="none" w:sz="0" w:space="0" w:color="auto"/>
      </w:divBdr>
    </w:div>
    <w:div w:id="913272479">
      <w:bodyDiv w:val="1"/>
      <w:marLeft w:val="0"/>
      <w:marRight w:val="0"/>
      <w:marTop w:val="0"/>
      <w:marBottom w:val="0"/>
      <w:divBdr>
        <w:top w:val="none" w:sz="0" w:space="0" w:color="auto"/>
        <w:left w:val="none" w:sz="0" w:space="0" w:color="auto"/>
        <w:bottom w:val="none" w:sz="0" w:space="0" w:color="auto"/>
        <w:right w:val="none" w:sz="0" w:space="0" w:color="auto"/>
      </w:divBdr>
      <w:divsChild>
        <w:div w:id="1049651309">
          <w:marLeft w:val="0"/>
          <w:marRight w:val="0"/>
          <w:marTop w:val="0"/>
          <w:marBottom w:val="0"/>
          <w:divBdr>
            <w:top w:val="none" w:sz="0" w:space="0" w:color="auto"/>
            <w:left w:val="none" w:sz="0" w:space="0" w:color="auto"/>
            <w:bottom w:val="none" w:sz="0" w:space="0" w:color="auto"/>
            <w:right w:val="none" w:sz="0" w:space="0" w:color="auto"/>
          </w:divBdr>
          <w:divsChild>
            <w:div w:id="2040624455">
              <w:marLeft w:val="0"/>
              <w:marRight w:val="0"/>
              <w:marTop w:val="0"/>
              <w:marBottom w:val="0"/>
              <w:divBdr>
                <w:top w:val="none" w:sz="0" w:space="0" w:color="auto"/>
                <w:left w:val="none" w:sz="0" w:space="0" w:color="auto"/>
                <w:bottom w:val="none" w:sz="0" w:space="0" w:color="auto"/>
                <w:right w:val="none" w:sz="0" w:space="0" w:color="auto"/>
              </w:divBdr>
              <w:divsChild>
                <w:div w:id="1282766429">
                  <w:marLeft w:val="0"/>
                  <w:marRight w:val="0"/>
                  <w:marTop w:val="0"/>
                  <w:marBottom w:val="0"/>
                  <w:divBdr>
                    <w:top w:val="none" w:sz="0" w:space="0" w:color="auto"/>
                    <w:left w:val="none" w:sz="0" w:space="0" w:color="auto"/>
                    <w:bottom w:val="none" w:sz="0" w:space="0" w:color="auto"/>
                    <w:right w:val="none" w:sz="0" w:space="0" w:color="auto"/>
                  </w:divBdr>
                  <w:divsChild>
                    <w:div w:id="2111126214">
                      <w:marLeft w:val="0"/>
                      <w:marRight w:val="0"/>
                      <w:marTop w:val="0"/>
                      <w:marBottom w:val="0"/>
                      <w:divBdr>
                        <w:top w:val="none" w:sz="0" w:space="0" w:color="auto"/>
                        <w:left w:val="none" w:sz="0" w:space="0" w:color="auto"/>
                        <w:bottom w:val="none" w:sz="0" w:space="0" w:color="auto"/>
                        <w:right w:val="none" w:sz="0" w:space="0" w:color="auto"/>
                      </w:divBdr>
                      <w:divsChild>
                        <w:div w:id="594021226">
                          <w:marLeft w:val="0"/>
                          <w:marRight w:val="0"/>
                          <w:marTop w:val="0"/>
                          <w:marBottom w:val="0"/>
                          <w:divBdr>
                            <w:top w:val="none" w:sz="0" w:space="0" w:color="auto"/>
                            <w:left w:val="none" w:sz="0" w:space="0" w:color="auto"/>
                            <w:bottom w:val="none" w:sz="0" w:space="0" w:color="auto"/>
                            <w:right w:val="none" w:sz="0" w:space="0" w:color="auto"/>
                          </w:divBdr>
                          <w:divsChild>
                            <w:div w:id="1724939977">
                              <w:marLeft w:val="0"/>
                              <w:marRight w:val="0"/>
                              <w:marTop w:val="0"/>
                              <w:marBottom w:val="0"/>
                              <w:divBdr>
                                <w:top w:val="none" w:sz="0" w:space="0" w:color="auto"/>
                                <w:left w:val="none" w:sz="0" w:space="0" w:color="auto"/>
                                <w:bottom w:val="none" w:sz="0" w:space="0" w:color="auto"/>
                                <w:right w:val="none" w:sz="0" w:space="0" w:color="auto"/>
                              </w:divBdr>
                              <w:divsChild>
                                <w:div w:id="1397245799">
                                  <w:marLeft w:val="0"/>
                                  <w:marRight w:val="0"/>
                                  <w:marTop w:val="0"/>
                                  <w:marBottom w:val="0"/>
                                  <w:divBdr>
                                    <w:top w:val="none" w:sz="0" w:space="0" w:color="auto"/>
                                    <w:left w:val="none" w:sz="0" w:space="0" w:color="auto"/>
                                    <w:bottom w:val="none" w:sz="0" w:space="0" w:color="auto"/>
                                    <w:right w:val="none" w:sz="0" w:space="0" w:color="auto"/>
                                  </w:divBdr>
                                  <w:divsChild>
                                    <w:div w:id="1451121292">
                                      <w:marLeft w:val="0"/>
                                      <w:marRight w:val="0"/>
                                      <w:marTop w:val="0"/>
                                      <w:marBottom w:val="0"/>
                                      <w:divBdr>
                                        <w:top w:val="none" w:sz="0" w:space="0" w:color="auto"/>
                                        <w:left w:val="none" w:sz="0" w:space="0" w:color="auto"/>
                                        <w:bottom w:val="none" w:sz="0" w:space="0" w:color="auto"/>
                                        <w:right w:val="none" w:sz="0" w:space="0" w:color="auto"/>
                                      </w:divBdr>
                                      <w:divsChild>
                                        <w:div w:id="187403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187282">
      <w:bodyDiv w:val="1"/>
      <w:marLeft w:val="0"/>
      <w:marRight w:val="0"/>
      <w:marTop w:val="0"/>
      <w:marBottom w:val="0"/>
      <w:divBdr>
        <w:top w:val="none" w:sz="0" w:space="0" w:color="auto"/>
        <w:left w:val="none" w:sz="0" w:space="0" w:color="auto"/>
        <w:bottom w:val="none" w:sz="0" w:space="0" w:color="auto"/>
        <w:right w:val="none" w:sz="0" w:space="0" w:color="auto"/>
      </w:divBdr>
      <w:divsChild>
        <w:div w:id="370616751">
          <w:marLeft w:val="0"/>
          <w:marRight w:val="0"/>
          <w:marTop w:val="0"/>
          <w:marBottom w:val="0"/>
          <w:divBdr>
            <w:top w:val="none" w:sz="0" w:space="0" w:color="auto"/>
            <w:left w:val="none" w:sz="0" w:space="0" w:color="auto"/>
            <w:bottom w:val="none" w:sz="0" w:space="0" w:color="auto"/>
            <w:right w:val="none" w:sz="0" w:space="0" w:color="auto"/>
          </w:divBdr>
          <w:divsChild>
            <w:div w:id="443237061">
              <w:marLeft w:val="0"/>
              <w:marRight w:val="0"/>
              <w:marTop w:val="0"/>
              <w:marBottom w:val="0"/>
              <w:divBdr>
                <w:top w:val="none" w:sz="0" w:space="0" w:color="auto"/>
                <w:left w:val="none" w:sz="0" w:space="0" w:color="auto"/>
                <w:bottom w:val="none" w:sz="0" w:space="0" w:color="auto"/>
                <w:right w:val="none" w:sz="0" w:space="0" w:color="auto"/>
              </w:divBdr>
              <w:divsChild>
                <w:div w:id="1411921974">
                  <w:marLeft w:val="0"/>
                  <w:marRight w:val="0"/>
                  <w:marTop w:val="0"/>
                  <w:marBottom w:val="0"/>
                  <w:divBdr>
                    <w:top w:val="none" w:sz="0" w:space="0" w:color="auto"/>
                    <w:left w:val="none" w:sz="0" w:space="0" w:color="auto"/>
                    <w:bottom w:val="none" w:sz="0" w:space="0" w:color="auto"/>
                    <w:right w:val="none" w:sz="0" w:space="0" w:color="auto"/>
                  </w:divBdr>
                  <w:divsChild>
                    <w:div w:id="2037461121">
                      <w:marLeft w:val="0"/>
                      <w:marRight w:val="0"/>
                      <w:marTop w:val="0"/>
                      <w:marBottom w:val="0"/>
                      <w:divBdr>
                        <w:top w:val="none" w:sz="0" w:space="0" w:color="auto"/>
                        <w:left w:val="none" w:sz="0" w:space="0" w:color="auto"/>
                        <w:bottom w:val="none" w:sz="0" w:space="0" w:color="auto"/>
                        <w:right w:val="none" w:sz="0" w:space="0" w:color="auto"/>
                      </w:divBdr>
                      <w:divsChild>
                        <w:div w:id="331874961">
                          <w:marLeft w:val="0"/>
                          <w:marRight w:val="0"/>
                          <w:marTop w:val="0"/>
                          <w:marBottom w:val="0"/>
                          <w:divBdr>
                            <w:top w:val="none" w:sz="0" w:space="0" w:color="auto"/>
                            <w:left w:val="none" w:sz="0" w:space="0" w:color="auto"/>
                            <w:bottom w:val="none" w:sz="0" w:space="0" w:color="auto"/>
                            <w:right w:val="none" w:sz="0" w:space="0" w:color="auto"/>
                          </w:divBdr>
                          <w:divsChild>
                            <w:div w:id="174006368">
                              <w:marLeft w:val="0"/>
                              <w:marRight w:val="0"/>
                              <w:marTop w:val="0"/>
                              <w:marBottom w:val="0"/>
                              <w:divBdr>
                                <w:top w:val="none" w:sz="0" w:space="0" w:color="auto"/>
                                <w:left w:val="none" w:sz="0" w:space="0" w:color="auto"/>
                                <w:bottom w:val="none" w:sz="0" w:space="0" w:color="auto"/>
                                <w:right w:val="none" w:sz="0" w:space="0" w:color="auto"/>
                              </w:divBdr>
                              <w:divsChild>
                                <w:div w:id="39407839">
                                  <w:marLeft w:val="0"/>
                                  <w:marRight w:val="0"/>
                                  <w:marTop w:val="0"/>
                                  <w:marBottom w:val="0"/>
                                  <w:divBdr>
                                    <w:top w:val="none" w:sz="0" w:space="0" w:color="auto"/>
                                    <w:left w:val="none" w:sz="0" w:space="0" w:color="auto"/>
                                    <w:bottom w:val="none" w:sz="0" w:space="0" w:color="auto"/>
                                    <w:right w:val="none" w:sz="0" w:space="0" w:color="auto"/>
                                  </w:divBdr>
                                  <w:divsChild>
                                    <w:div w:id="420419449">
                                      <w:marLeft w:val="0"/>
                                      <w:marRight w:val="0"/>
                                      <w:marTop w:val="0"/>
                                      <w:marBottom w:val="0"/>
                                      <w:divBdr>
                                        <w:top w:val="none" w:sz="0" w:space="0" w:color="auto"/>
                                        <w:left w:val="none" w:sz="0" w:space="0" w:color="auto"/>
                                        <w:bottom w:val="none" w:sz="0" w:space="0" w:color="auto"/>
                                        <w:right w:val="none" w:sz="0" w:space="0" w:color="auto"/>
                                      </w:divBdr>
                                      <w:divsChild>
                                        <w:div w:id="700789641">
                                          <w:marLeft w:val="0"/>
                                          <w:marRight w:val="0"/>
                                          <w:marTop w:val="0"/>
                                          <w:marBottom w:val="0"/>
                                          <w:divBdr>
                                            <w:top w:val="none" w:sz="0" w:space="0" w:color="auto"/>
                                            <w:left w:val="none" w:sz="0" w:space="0" w:color="auto"/>
                                            <w:bottom w:val="none" w:sz="0" w:space="0" w:color="auto"/>
                                            <w:right w:val="none" w:sz="0" w:space="0" w:color="auto"/>
                                          </w:divBdr>
                                          <w:divsChild>
                                            <w:div w:id="612596309">
                                              <w:marLeft w:val="0"/>
                                              <w:marRight w:val="0"/>
                                              <w:marTop w:val="0"/>
                                              <w:marBottom w:val="0"/>
                                              <w:divBdr>
                                                <w:top w:val="none" w:sz="0" w:space="0" w:color="auto"/>
                                                <w:left w:val="none" w:sz="0" w:space="0" w:color="auto"/>
                                                <w:bottom w:val="none" w:sz="0" w:space="0" w:color="auto"/>
                                                <w:right w:val="none" w:sz="0" w:space="0" w:color="auto"/>
                                              </w:divBdr>
                                              <w:divsChild>
                                                <w:div w:id="1293173375">
                                                  <w:marLeft w:val="0"/>
                                                  <w:marRight w:val="0"/>
                                                  <w:marTop w:val="0"/>
                                                  <w:marBottom w:val="0"/>
                                                  <w:divBdr>
                                                    <w:top w:val="none" w:sz="0" w:space="0" w:color="auto"/>
                                                    <w:left w:val="none" w:sz="0" w:space="0" w:color="auto"/>
                                                    <w:bottom w:val="none" w:sz="0" w:space="0" w:color="auto"/>
                                                    <w:right w:val="none" w:sz="0" w:space="0" w:color="auto"/>
                                                  </w:divBdr>
                                                  <w:divsChild>
                                                    <w:div w:id="1771313910">
                                                      <w:marLeft w:val="0"/>
                                                      <w:marRight w:val="0"/>
                                                      <w:marTop w:val="0"/>
                                                      <w:marBottom w:val="0"/>
                                                      <w:divBdr>
                                                        <w:top w:val="none" w:sz="0" w:space="0" w:color="auto"/>
                                                        <w:left w:val="none" w:sz="0" w:space="0" w:color="auto"/>
                                                        <w:bottom w:val="none" w:sz="0" w:space="0" w:color="auto"/>
                                                        <w:right w:val="none" w:sz="0" w:space="0" w:color="auto"/>
                                                      </w:divBdr>
                                                      <w:divsChild>
                                                        <w:div w:id="20374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466066">
      <w:bodyDiv w:val="1"/>
      <w:marLeft w:val="0"/>
      <w:marRight w:val="0"/>
      <w:marTop w:val="0"/>
      <w:marBottom w:val="0"/>
      <w:divBdr>
        <w:top w:val="none" w:sz="0" w:space="0" w:color="auto"/>
        <w:left w:val="none" w:sz="0" w:space="0" w:color="auto"/>
        <w:bottom w:val="none" w:sz="0" w:space="0" w:color="auto"/>
        <w:right w:val="none" w:sz="0" w:space="0" w:color="auto"/>
      </w:divBdr>
    </w:div>
    <w:div w:id="1050036222">
      <w:bodyDiv w:val="1"/>
      <w:marLeft w:val="0"/>
      <w:marRight w:val="0"/>
      <w:marTop w:val="0"/>
      <w:marBottom w:val="0"/>
      <w:divBdr>
        <w:top w:val="none" w:sz="0" w:space="0" w:color="auto"/>
        <w:left w:val="none" w:sz="0" w:space="0" w:color="auto"/>
        <w:bottom w:val="none" w:sz="0" w:space="0" w:color="auto"/>
        <w:right w:val="none" w:sz="0" w:space="0" w:color="auto"/>
      </w:divBdr>
    </w:div>
    <w:div w:id="1239289526">
      <w:bodyDiv w:val="1"/>
      <w:marLeft w:val="0"/>
      <w:marRight w:val="0"/>
      <w:marTop w:val="0"/>
      <w:marBottom w:val="0"/>
      <w:divBdr>
        <w:top w:val="none" w:sz="0" w:space="0" w:color="auto"/>
        <w:left w:val="none" w:sz="0" w:space="0" w:color="auto"/>
        <w:bottom w:val="none" w:sz="0" w:space="0" w:color="auto"/>
        <w:right w:val="none" w:sz="0" w:space="0" w:color="auto"/>
      </w:divBdr>
    </w:div>
    <w:div w:id="1288049110">
      <w:bodyDiv w:val="1"/>
      <w:marLeft w:val="0"/>
      <w:marRight w:val="0"/>
      <w:marTop w:val="0"/>
      <w:marBottom w:val="0"/>
      <w:divBdr>
        <w:top w:val="none" w:sz="0" w:space="0" w:color="auto"/>
        <w:left w:val="none" w:sz="0" w:space="0" w:color="auto"/>
        <w:bottom w:val="none" w:sz="0" w:space="0" w:color="auto"/>
        <w:right w:val="none" w:sz="0" w:space="0" w:color="auto"/>
      </w:divBdr>
    </w:div>
    <w:div w:id="1391685640">
      <w:bodyDiv w:val="1"/>
      <w:marLeft w:val="0"/>
      <w:marRight w:val="0"/>
      <w:marTop w:val="0"/>
      <w:marBottom w:val="0"/>
      <w:divBdr>
        <w:top w:val="none" w:sz="0" w:space="0" w:color="auto"/>
        <w:left w:val="none" w:sz="0" w:space="0" w:color="auto"/>
        <w:bottom w:val="none" w:sz="0" w:space="0" w:color="auto"/>
        <w:right w:val="none" w:sz="0" w:space="0" w:color="auto"/>
      </w:divBdr>
    </w:div>
    <w:div w:id="1826899889">
      <w:bodyDiv w:val="1"/>
      <w:marLeft w:val="0"/>
      <w:marRight w:val="0"/>
      <w:marTop w:val="0"/>
      <w:marBottom w:val="0"/>
      <w:divBdr>
        <w:top w:val="none" w:sz="0" w:space="0" w:color="auto"/>
        <w:left w:val="none" w:sz="0" w:space="0" w:color="auto"/>
        <w:bottom w:val="none" w:sz="0" w:space="0" w:color="auto"/>
        <w:right w:val="none" w:sz="0" w:space="0" w:color="auto"/>
      </w:divBdr>
    </w:div>
    <w:div w:id="1849515776">
      <w:bodyDiv w:val="1"/>
      <w:marLeft w:val="0"/>
      <w:marRight w:val="0"/>
      <w:marTop w:val="0"/>
      <w:marBottom w:val="0"/>
      <w:divBdr>
        <w:top w:val="none" w:sz="0" w:space="0" w:color="auto"/>
        <w:left w:val="none" w:sz="0" w:space="0" w:color="auto"/>
        <w:bottom w:val="none" w:sz="0" w:space="0" w:color="auto"/>
        <w:right w:val="none" w:sz="0" w:space="0" w:color="auto"/>
      </w:divBdr>
    </w:div>
    <w:div w:id="212082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xx@health.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6" ma:contentTypeDescription="Create a new document." ma:contentTypeScope="" ma:versionID="9df34c50d087ac73e645bebf37be71ca">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02B15-BE9E-4783-8440-1EEA0EF1691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236487dd-ec90-4f99-8970-1318e5f29791"/>
    <ds:schemaRef ds:uri="dcf7b372-aaaa-46d8-9da6-ade9aab953df"/>
    <ds:schemaRef ds:uri="http://www.w3.org/XML/1998/namespace"/>
  </ds:schemaRefs>
</ds:datastoreItem>
</file>

<file path=customXml/itemProps2.xml><?xml version="1.0" encoding="utf-8"?>
<ds:datastoreItem xmlns:ds="http://schemas.openxmlformats.org/officeDocument/2006/customXml" ds:itemID="{76FD0757-E6A1-494B-A36A-3D44C378A04D}">
  <ds:schemaRefs>
    <ds:schemaRef ds:uri="http://schemas.microsoft.com/sharepoint/v3/contenttype/forms"/>
  </ds:schemaRefs>
</ds:datastoreItem>
</file>

<file path=customXml/itemProps3.xml><?xml version="1.0" encoding="utf-8"?>
<ds:datastoreItem xmlns:ds="http://schemas.openxmlformats.org/officeDocument/2006/customXml" ds:itemID="{0C666A2E-D3CF-4A07-9478-76CBC883CB9C}"/>
</file>

<file path=customXml/itemProps4.xml><?xml version="1.0" encoding="utf-8"?>
<ds:datastoreItem xmlns:ds="http://schemas.openxmlformats.org/officeDocument/2006/customXml" ds:itemID="{FEAD63FE-4938-458B-8E76-E19B12F4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 IAHP primary health care funding model technical factsheet</dc:title>
  <dc:subject/>
  <dc:creator>Australian Government Department of Health</dc:creator>
  <cp:keywords>Aboriginal and Torres Strait Islander health</cp:keywords>
  <dc:description/>
  <cp:lastModifiedBy>ROBERTSON, Jennifer</cp:lastModifiedBy>
  <cp:revision>11</cp:revision>
  <cp:lastPrinted>2019-09-24T01:24:00Z</cp:lastPrinted>
  <dcterms:created xsi:type="dcterms:W3CDTF">2019-10-30T05:19:00Z</dcterms:created>
  <dcterms:modified xsi:type="dcterms:W3CDTF">2020-12-03T23:31:00Z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