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63" w:rsidRDefault="002839E4" w:rsidP="004801B3">
      <w:pPr>
        <w:spacing w:after="120" w:line="240" w:lineRule="auto"/>
        <w:ind w:hanging="284"/>
        <w:rPr>
          <w:rFonts w:cstheme="minorHAnsi"/>
          <w:b/>
          <w:sz w:val="32"/>
          <w:szCs w:val="32"/>
        </w:rPr>
      </w:pPr>
      <w:r>
        <w:rPr>
          <w:noProof/>
          <w:lang w:eastAsia="en-AU"/>
        </w:rPr>
        <w:drawing>
          <wp:inline distT="0" distB="0" distL="0" distR="0" wp14:anchorId="5A487FA5" wp14:editId="2A55D08F">
            <wp:extent cx="2564448" cy="781050"/>
            <wp:effectExtent l="0" t="0" r="7620" b="0"/>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3615" cy="786888"/>
                    </a:xfrm>
                    <a:prstGeom prst="rect">
                      <a:avLst/>
                    </a:prstGeom>
                  </pic:spPr>
                </pic:pic>
              </a:graphicData>
            </a:graphic>
          </wp:inline>
        </w:drawing>
      </w:r>
    </w:p>
    <w:p w:rsidR="00504566" w:rsidRPr="00896C50" w:rsidRDefault="000C5F3C" w:rsidP="00896C50">
      <w:pPr>
        <w:pStyle w:val="Title"/>
      </w:pPr>
      <w:r w:rsidRPr="00896C50">
        <w:t xml:space="preserve">Indigenous Australians’ Health Programme </w:t>
      </w:r>
      <w:r w:rsidR="00BB2BBE" w:rsidRPr="00896C50">
        <w:t>Primary Health Care Funding Model Technical Factsheet</w:t>
      </w:r>
    </w:p>
    <w:p w:rsidR="00BB2BBE" w:rsidRPr="004D746E" w:rsidRDefault="0037241D" w:rsidP="00896C50">
      <w:pPr>
        <w:pStyle w:val="Title"/>
      </w:pPr>
      <w:r w:rsidRPr="00896C50">
        <w:t xml:space="preserve">Health </w:t>
      </w:r>
      <w:r w:rsidR="005E09F9" w:rsidRPr="00896C50">
        <w:t xml:space="preserve">Care </w:t>
      </w:r>
      <w:r w:rsidRPr="00896C50">
        <w:t>Need</w:t>
      </w:r>
    </w:p>
    <w:p w:rsidR="000C1BEC" w:rsidRPr="00073FD0" w:rsidRDefault="00BB2BBE" w:rsidP="00B65954">
      <w:pPr>
        <w:pStyle w:val="VisionBox"/>
        <w:spacing w:before="0" w:after="120" w:line="240" w:lineRule="auto"/>
        <w:rPr>
          <w:rFonts w:cstheme="minorHAnsi"/>
          <w:b/>
          <w:color w:val="auto"/>
          <w:sz w:val="28"/>
          <w:szCs w:val="28"/>
        </w:rPr>
      </w:pPr>
      <w:r>
        <w:rPr>
          <w:rFonts w:cstheme="minorHAnsi"/>
          <w:b/>
          <w:color w:val="auto"/>
          <w:sz w:val="28"/>
          <w:szCs w:val="28"/>
        </w:rPr>
        <w:t>Purpose</w:t>
      </w:r>
    </w:p>
    <w:p w:rsidR="000D7DC8" w:rsidRPr="004C4A55" w:rsidRDefault="00BB2BBE" w:rsidP="004C4A55">
      <w:pPr>
        <w:pStyle w:val="VisionBox"/>
        <w:spacing w:before="0" w:line="240" w:lineRule="auto"/>
        <w:rPr>
          <w:rFonts w:cstheme="minorHAnsi"/>
          <w:color w:val="auto"/>
          <w:sz w:val="24"/>
        </w:rPr>
      </w:pPr>
      <w:r>
        <w:rPr>
          <w:rFonts w:cstheme="minorHAnsi"/>
          <w:color w:val="auto"/>
          <w:sz w:val="24"/>
        </w:rPr>
        <w:t xml:space="preserve">This Factsheet provides technical details on how </w:t>
      </w:r>
      <w:r w:rsidR="0037241D">
        <w:rPr>
          <w:rFonts w:cstheme="minorHAnsi"/>
          <w:color w:val="auto"/>
          <w:sz w:val="24"/>
        </w:rPr>
        <w:t xml:space="preserve">the health </w:t>
      </w:r>
      <w:r w:rsidR="004128EA">
        <w:rPr>
          <w:rFonts w:cstheme="minorHAnsi"/>
          <w:color w:val="auto"/>
          <w:sz w:val="24"/>
        </w:rPr>
        <w:t xml:space="preserve">care </w:t>
      </w:r>
      <w:r w:rsidR="0037241D">
        <w:rPr>
          <w:rFonts w:cstheme="minorHAnsi"/>
          <w:color w:val="auto"/>
          <w:sz w:val="24"/>
        </w:rPr>
        <w:t>need</w:t>
      </w:r>
      <w:r w:rsidR="004128EA">
        <w:rPr>
          <w:rFonts w:cstheme="minorHAnsi"/>
          <w:color w:val="auto"/>
          <w:sz w:val="24"/>
        </w:rPr>
        <w:t>s</w:t>
      </w:r>
      <w:r w:rsidR="0037241D">
        <w:rPr>
          <w:rFonts w:cstheme="minorHAnsi"/>
          <w:color w:val="auto"/>
          <w:sz w:val="24"/>
        </w:rPr>
        <w:t xml:space="preserve"> of the client population </w:t>
      </w:r>
      <w:r w:rsidR="00E23CB4">
        <w:rPr>
          <w:rFonts w:cstheme="minorHAnsi"/>
          <w:color w:val="auto"/>
          <w:sz w:val="24"/>
        </w:rPr>
        <w:t>is estimate</w:t>
      </w:r>
      <w:r w:rsidR="0037241D">
        <w:rPr>
          <w:rFonts w:cstheme="minorHAnsi"/>
          <w:color w:val="auto"/>
          <w:sz w:val="24"/>
        </w:rPr>
        <w:t>d</w:t>
      </w:r>
      <w:r w:rsidR="00E23CB4">
        <w:rPr>
          <w:rFonts w:cstheme="minorHAnsi"/>
          <w:color w:val="auto"/>
          <w:sz w:val="24"/>
        </w:rPr>
        <w:t xml:space="preserve"> </w:t>
      </w:r>
      <w:r w:rsidR="0037241D">
        <w:rPr>
          <w:rFonts w:cstheme="minorHAnsi"/>
          <w:color w:val="auto"/>
          <w:sz w:val="24"/>
        </w:rPr>
        <w:t xml:space="preserve">in the </w:t>
      </w:r>
      <w:r w:rsidR="000C5F3C">
        <w:rPr>
          <w:rFonts w:cstheme="minorHAnsi"/>
          <w:color w:val="auto"/>
          <w:sz w:val="24"/>
        </w:rPr>
        <w:t xml:space="preserve">Indigenous Australians’ Health Programme (IAHP) Primary Health Care </w:t>
      </w:r>
      <w:r w:rsidR="0037241D">
        <w:rPr>
          <w:rFonts w:cstheme="minorHAnsi"/>
          <w:color w:val="auto"/>
          <w:sz w:val="24"/>
        </w:rPr>
        <w:t xml:space="preserve">Funding Model. </w:t>
      </w:r>
    </w:p>
    <w:p w:rsidR="00BB5E73" w:rsidRDefault="00BB5E73" w:rsidP="002C772D">
      <w:pPr>
        <w:pStyle w:val="Heading2"/>
      </w:pPr>
      <w:r>
        <w:t>Overview</w:t>
      </w:r>
    </w:p>
    <w:p w:rsidR="004128EA" w:rsidRDefault="005E09F9" w:rsidP="00BB5E73">
      <w:r>
        <w:t xml:space="preserve">Stakeholders engaged in the </w:t>
      </w:r>
      <w:r w:rsidR="000C5F3C">
        <w:t xml:space="preserve">IAHP Primary Health Care Funding Model (the Funding Model) </w:t>
      </w:r>
      <w:r>
        <w:t>Working Group</w:t>
      </w:r>
      <w:r w:rsidR="002604FA">
        <w:t>, which included representatives from NACCHO, Sector Support Organisations, ACCHS, the Australian Institute of Health and Welfare and the Department,</w:t>
      </w:r>
      <w:r>
        <w:t xml:space="preserve"> noted the differences in health care need between different communities, and the effect of this on the cost of service delivery. In response to this, the Funding Model includes an estimator of the health care needs of Aboriginal and Torres Strait Islander people in the locality of an ACCHS clinic, and uses this information to modify funding to that ACCHS. </w:t>
      </w:r>
    </w:p>
    <w:p w:rsidR="005E09F9" w:rsidRDefault="00ED4330" w:rsidP="00BB5E73">
      <w:r>
        <w:t>T</w:t>
      </w:r>
      <w:r w:rsidR="005E09F9">
        <w:t>he health care need multiplier</w:t>
      </w:r>
      <w:r>
        <w:t xml:space="preserve"> is made up of two parts</w:t>
      </w:r>
      <w:r w:rsidR="005E09F9">
        <w:t>: an estimate of the impact of the social determinants of health</w:t>
      </w:r>
      <w:r w:rsidR="002604FA">
        <w:t xml:space="preserve"> (the Indigenous Relative Socioeconomic Outcomes index, IRSEO)</w:t>
      </w:r>
      <w:r w:rsidR="005E09F9">
        <w:t>, and an estimate of the burden of disease in the population</w:t>
      </w:r>
      <w:r w:rsidR="002604FA">
        <w:t xml:space="preserve"> (using years of potential life lost, YPLL)</w:t>
      </w:r>
      <w:r w:rsidR="005E09F9">
        <w:t xml:space="preserve">. These elements are combined to create the health care need multiplier which is applied to individual ACCHS clinics based on geography. </w:t>
      </w:r>
    </w:p>
    <w:p w:rsidR="008C6223" w:rsidRDefault="008C6223" w:rsidP="00BB5E73">
      <w:r>
        <w:t xml:space="preserve">The other multiplier used in the Funding </w:t>
      </w:r>
      <w:r w:rsidR="00D6422D">
        <w:t>Model accounts for cost differences based on location. For more information on this multiplier, please see</w:t>
      </w:r>
      <w:r w:rsidR="000C5F3C">
        <w:t xml:space="preserve"> the</w:t>
      </w:r>
      <w:r w:rsidR="00D6422D">
        <w:t xml:space="preserve"> </w:t>
      </w:r>
      <w:r w:rsidR="00D6422D" w:rsidRPr="00D6422D">
        <w:rPr>
          <w:b/>
        </w:rPr>
        <w:t>Funding Model Technical Factsheet – Location</w:t>
      </w:r>
      <w:r w:rsidR="00D6422D">
        <w:t xml:space="preserve"> and for an overview of the model, see</w:t>
      </w:r>
      <w:r w:rsidR="005B0777">
        <w:t xml:space="preserve"> the</w:t>
      </w:r>
      <w:r w:rsidR="00D6422D">
        <w:t xml:space="preserve"> </w:t>
      </w:r>
      <w:r w:rsidR="00D6422D" w:rsidRPr="00D6422D">
        <w:rPr>
          <w:b/>
        </w:rPr>
        <w:t>Funding Model Technical Factsheet – Overview and calculation steps</w:t>
      </w:r>
      <w:r w:rsidR="00D6422D">
        <w:t xml:space="preserve">. </w:t>
      </w:r>
    </w:p>
    <w:p w:rsidR="00941512" w:rsidRDefault="00941512" w:rsidP="00941512">
      <w:pPr>
        <w:pStyle w:val="Heading2"/>
      </w:pPr>
      <w:r>
        <w:t>Social determinants of health</w:t>
      </w:r>
    </w:p>
    <w:p w:rsidR="004C2080" w:rsidRDefault="004C2080" w:rsidP="0076043A">
      <w:r>
        <w:t xml:space="preserve">The ‘social determinants of health’ </w:t>
      </w:r>
      <w:r w:rsidR="00ED4330">
        <w:t>are the</w:t>
      </w:r>
      <w:r>
        <w:t xml:space="preserve"> range of l</w:t>
      </w:r>
      <w:r w:rsidR="00750B35">
        <w:t>iving conditions that directly a</w:t>
      </w:r>
      <w:r>
        <w:t xml:space="preserve">ffect an individual’s health and wellbeing. This includes education, employment, housing, income and access to resources. The social determinants of health are estimated to account for </w:t>
      </w:r>
      <w:r w:rsidR="00750B35">
        <w:t>approximately one-third of the</w:t>
      </w:r>
      <w:r>
        <w:t xml:space="preserve"> </w:t>
      </w:r>
      <w:r w:rsidR="00750B35">
        <w:t xml:space="preserve">gap in health outcomes between Aboriginal and Torres Strait </w:t>
      </w:r>
      <w:r w:rsidR="003A1AF2">
        <w:t xml:space="preserve">Islander people and non-Indigenous Australians. </w:t>
      </w:r>
    </w:p>
    <w:p w:rsidR="00D864E7" w:rsidRDefault="003A1AF2" w:rsidP="0076043A">
      <w:r>
        <w:t>The Centre for Aboriginal Economic Policy Research (CAEPR) at the Australian National University has developed an index which captures many of the social determinants of health among Indigenous Australians.</w:t>
      </w:r>
    </w:p>
    <w:p w:rsidR="003A1AF2" w:rsidRDefault="00C952B9" w:rsidP="0076043A">
      <w:r>
        <w:lastRenderedPageBreak/>
        <w:br/>
      </w:r>
      <w:r>
        <w:br/>
      </w:r>
      <w:r w:rsidR="003A1AF2">
        <w:t xml:space="preserve">This index, the </w:t>
      </w:r>
      <w:r w:rsidR="002604FA">
        <w:t>IRSEO</w:t>
      </w:r>
      <w:r w:rsidR="003A1AF2">
        <w:t xml:space="preserve"> index</w:t>
      </w:r>
      <w:r w:rsidR="00CB5871">
        <w:rPr>
          <w:rStyle w:val="FootnoteReference"/>
        </w:rPr>
        <w:footnoteReference w:id="1"/>
      </w:r>
      <w:r w:rsidR="003A1AF2">
        <w:t>, is composed of socioeconomic outcomes</w:t>
      </w:r>
      <w:r w:rsidR="00CB5871">
        <w:t xml:space="preserve"> in each of these categories</w:t>
      </w:r>
      <w:r w:rsidR="003A1AF2">
        <w:t>:</w:t>
      </w:r>
    </w:p>
    <w:p w:rsidR="003A1AF2" w:rsidRDefault="003A1AF2" w:rsidP="003A1AF2">
      <w:pPr>
        <w:pStyle w:val="BulletPoint1"/>
      </w:pPr>
      <w:r>
        <w:t xml:space="preserve">Employment </w:t>
      </w:r>
      <w:r w:rsidR="00CB5871">
        <w:t xml:space="preserve">(overall </w:t>
      </w:r>
      <w:r>
        <w:t>rate</w:t>
      </w:r>
      <w:r w:rsidR="00CB5871">
        <w:t>, skill level, private sector employment rate)</w:t>
      </w:r>
    </w:p>
    <w:p w:rsidR="00CB5871" w:rsidRPr="0076043A" w:rsidRDefault="00CB5871" w:rsidP="00CB5871">
      <w:pPr>
        <w:pStyle w:val="BulletPoint1"/>
      </w:pPr>
      <w:r>
        <w:t xml:space="preserve">Education (Year 12 completion among adults, post-secondary qualification among adults, engagement in education among youth aged 15-24) </w:t>
      </w:r>
    </w:p>
    <w:p w:rsidR="003A1AF2" w:rsidRDefault="00CB5871" w:rsidP="003A1AF2">
      <w:pPr>
        <w:pStyle w:val="BulletPoint1"/>
      </w:pPr>
      <w:r>
        <w:t>Income (individual income in relation to the Australian median)</w:t>
      </w:r>
    </w:p>
    <w:p w:rsidR="00CB5871" w:rsidRDefault="00CB5871" w:rsidP="003A1AF2">
      <w:pPr>
        <w:pStyle w:val="BulletPoint1"/>
      </w:pPr>
      <w:r>
        <w:t>Housing (ownership, residence in a house with at least one bedroom per usual resident)</w:t>
      </w:r>
    </w:p>
    <w:p w:rsidR="00CB5871" w:rsidRDefault="00C952B9" w:rsidP="00CB5871">
      <w:r>
        <w:br/>
      </w:r>
      <w:r w:rsidR="008C6223">
        <w:t>The IRSEO index reflects relative advantage or disadvantage at the Indigenous Area level where a score of 1 represents the most advantaged area and a score of 100 represents the most disadvantaged area. Indigenous Areas are one of the levels in the Australian Bureau of Statistics’ Indigenous Structure, which is a geographic classification that represents where Aboriginal and Torres Strait Islander people live in Australia</w:t>
      </w:r>
      <w:r w:rsidR="00A963E1">
        <w:rPr>
          <w:rStyle w:val="FootnoteReference"/>
        </w:rPr>
        <w:footnoteReference w:id="2"/>
      </w:r>
      <w:r w:rsidR="008C6223">
        <w:t xml:space="preserve">. </w:t>
      </w:r>
    </w:p>
    <w:p w:rsidR="008C6223" w:rsidRDefault="00A963E1" w:rsidP="00CB5871">
      <w:r>
        <w:t xml:space="preserve">There is a strong association between burden of disease (discussed below) and IRSEO. Furthermore, IRSEO is simple to apply to a population, as the only information required is a geographical location. For these reasons, IRSEO groupings are used in the Funding Model to assign the health care need multiplier. When categorised into five groups, the proportion of service locations are distributed as shown in </w:t>
      </w:r>
      <w:r>
        <w:fldChar w:fldCharType="begin"/>
      </w:r>
      <w:r>
        <w:instrText xml:space="preserve"> REF _Ref23259628 \h </w:instrText>
      </w:r>
      <w:r>
        <w:fldChar w:fldCharType="separate"/>
      </w:r>
      <w:r>
        <w:t xml:space="preserve">Table </w:t>
      </w:r>
      <w:r>
        <w:rPr>
          <w:noProof/>
        </w:rPr>
        <w:t>1</w:t>
      </w:r>
      <w:r>
        <w:fldChar w:fldCharType="end"/>
      </w:r>
      <w:r>
        <w:t xml:space="preserve">. </w:t>
      </w:r>
    </w:p>
    <w:p w:rsidR="00A963E1" w:rsidRDefault="00A963E1" w:rsidP="00A963E1">
      <w:pPr>
        <w:pStyle w:val="Caption"/>
        <w:keepNext/>
      </w:pPr>
      <w:bookmarkStart w:id="0" w:name="_Ref23259628"/>
      <w:r>
        <w:t xml:space="preserve">Table </w:t>
      </w:r>
      <w:r w:rsidR="00896C50">
        <w:fldChar w:fldCharType="begin"/>
      </w:r>
      <w:r w:rsidR="00896C50">
        <w:instrText xml:space="preserve"> SEQ Table \* ARABIC </w:instrText>
      </w:r>
      <w:r w:rsidR="00896C50">
        <w:fldChar w:fldCharType="separate"/>
      </w:r>
      <w:r w:rsidR="00E452BE">
        <w:rPr>
          <w:noProof/>
        </w:rPr>
        <w:t>1</w:t>
      </w:r>
      <w:r w:rsidR="00896C50">
        <w:rPr>
          <w:noProof/>
        </w:rPr>
        <w:fldChar w:fldCharType="end"/>
      </w:r>
      <w:bookmarkEnd w:id="0"/>
      <w:r>
        <w:t>. Service locations by IRSEO group</w:t>
      </w:r>
    </w:p>
    <w:tbl>
      <w:tblPr>
        <w:tblStyle w:val="ListTable1Light-Accent1"/>
        <w:tblW w:w="0" w:type="auto"/>
        <w:tblLook w:val="04A0" w:firstRow="1" w:lastRow="0" w:firstColumn="1" w:lastColumn="0" w:noHBand="0" w:noVBand="1"/>
        <w:tblDescription w:val="Service locations by IRSEO group"/>
      </w:tblPr>
      <w:tblGrid>
        <w:gridCol w:w="2980"/>
        <w:gridCol w:w="960"/>
      </w:tblGrid>
      <w:tr w:rsidR="00A963E1" w:rsidRPr="00A963E1" w:rsidTr="00896C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80" w:type="dxa"/>
            <w:vAlign w:val="center"/>
            <w:hideMark/>
          </w:tcPr>
          <w:p w:rsidR="00A963E1" w:rsidRPr="00A963E1" w:rsidRDefault="00A963E1" w:rsidP="00B65954">
            <w:pPr>
              <w:jc w:val="center"/>
            </w:pPr>
            <w:r>
              <w:t>IRSEO groups</w:t>
            </w:r>
          </w:p>
        </w:tc>
        <w:tc>
          <w:tcPr>
            <w:tcW w:w="960" w:type="dxa"/>
            <w:vAlign w:val="center"/>
            <w:hideMark/>
          </w:tcPr>
          <w:p w:rsidR="00A963E1" w:rsidRPr="00A963E1" w:rsidRDefault="00A963E1" w:rsidP="00B65954">
            <w:pPr>
              <w:jc w:val="center"/>
              <w:cnfStyle w:val="100000000000" w:firstRow="1" w:lastRow="0" w:firstColumn="0" w:lastColumn="0" w:oddVBand="0" w:evenVBand="0" w:oddHBand="0" w:evenHBand="0" w:firstRowFirstColumn="0" w:firstRowLastColumn="0" w:lastRowFirstColumn="0" w:lastRowLastColumn="0"/>
            </w:pPr>
            <w:r w:rsidRPr="00A963E1">
              <w:t>%</w:t>
            </w:r>
          </w:p>
        </w:tc>
      </w:tr>
      <w:tr w:rsidR="00A963E1" w:rsidRPr="00A963E1" w:rsidTr="00B659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vAlign w:val="center"/>
            <w:hideMark/>
          </w:tcPr>
          <w:p w:rsidR="00B65954" w:rsidRDefault="00A963E1" w:rsidP="00B65954">
            <w:pPr>
              <w:jc w:val="center"/>
            </w:pPr>
            <w:r w:rsidRPr="00A963E1">
              <w:t>5</w:t>
            </w:r>
            <w:r>
              <w:t xml:space="preserve"> </w:t>
            </w:r>
          </w:p>
          <w:p w:rsidR="00A963E1" w:rsidRPr="00A963E1" w:rsidRDefault="00A963E1" w:rsidP="00B65954">
            <w:pPr>
              <w:jc w:val="center"/>
            </w:pPr>
            <w:r>
              <w:t>(least disadvantage</w:t>
            </w:r>
            <w:r w:rsidR="00B65954">
              <w:t>d</w:t>
            </w:r>
            <w:r>
              <w:t>)</w:t>
            </w:r>
          </w:p>
        </w:tc>
        <w:tc>
          <w:tcPr>
            <w:tcW w:w="960" w:type="dxa"/>
            <w:noWrap/>
            <w:vAlign w:val="center"/>
            <w:hideMark/>
          </w:tcPr>
          <w:p w:rsidR="00A963E1" w:rsidRPr="00A963E1" w:rsidRDefault="00A963E1" w:rsidP="00B65954">
            <w:pPr>
              <w:jc w:val="center"/>
              <w:cnfStyle w:val="000000100000" w:firstRow="0" w:lastRow="0" w:firstColumn="0" w:lastColumn="0" w:oddVBand="0" w:evenVBand="0" w:oddHBand="1" w:evenHBand="0" w:firstRowFirstColumn="0" w:firstRowLastColumn="0" w:lastRowFirstColumn="0" w:lastRowLastColumn="0"/>
            </w:pPr>
            <w:r w:rsidRPr="00A963E1">
              <w:t>8%</w:t>
            </w:r>
          </w:p>
        </w:tc>
      </w:tr>
      <w:tr w:rsidR="00A963E1" w:rsidRPr="00A963E1" w:rsidTr="00B65954">
        <w:trPr>
          <w:trHeight w:val="255"/>
        </w:trPr>
        <w:tc>
          <w:tcPr>
            <w:cnfStyle w:val="001000000000" w:firstRow="0" w:lastRow="0" w:firstColumn="1" w:lastColumn="0" w:oddVBand="0" w:evenVBand="0" w:oddHBand="0" w:evenHBand="0" w:firstRowFirstColumn="0" w:firstRowLastColumn="0" w:lastRowFirstColumn="0" w:lastRowLastColumn="0"/>
            <w:tcW w:w="2980" w:type="dxa"/>
            <w:noWrap/>
            <w:vAlign w:val="center"/>
            <w:hideMark/>
          </w:tcPr>
          <w:p w:rsidR="00A963E1" w:rsidRPr="00A963E1" w:rsidRDefault="00A963E1" w:rsidP="00B65954">
            <w:pPr>
              <w:jc w:val="center"/>
            </w:pPr>
            <w:r w:rsidRPr="00A963E1">
              <w:t>4</w:t>
            </w:r>
          </w:p>
        </w:tc>
        <w:tc>
          <w:tcPr>
            <w:tcW w:w="960" w:type="dxa"/>
            <w:noWrap/>
            <w:vAlign w:val="center"/>
            <w:hideMark/>
          </w:tcPr>
          <w:p w:rsidR="00A963E1" w:rsidRPr="00A963E1" w:rsidRDefault="00A963E1" w:rsidP="00B65954">
            <w:pPr>
              <w:jc w:val="center"/>
              <w:cnfStyle w:val="000000000000" w:firstRow="0" w:lastRow="0" w:firstColumn="0" w:lastColumn="0" w:oddVBand="0" w:evenVBand="0" w:oddHBand="0" w:evenHBand="0" w:firstRowFirstColumn="0" w:firstRowLastColumn="0" w:lastRowFirstColumn="0" w:lastRowLastColumn="0"/>
            </w:pPr>
            <w:r w:rsidRPr="00A963E1">
              <w:t>14%</w:t>
            </w:r>
          </w:p>
        </w:tc>
      </w:tr>
      <w:tr w:rsidR="00A963E1" w:rsidRPr="00A963E1" w:rsidTr="00B659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vAlign w:val="center"/>
            <w:hideMark/>
          </w:tcPr>
          <w:p w:rsidR="00A963E1" w:rsidRPr="00A963E1" w:rsidRDefault="00A963E1" w:rsidP="00B65954">
            <w:pPr>
              <w:jc w:val="center"/>
            </w:pPr>
            <w:r w:rsidRPr="00A963E1">
              <w:t>3</w:t>
            </w:r>
          </w:p>
        </w:tc>
        <w:tc>
          <w:tcPr>
            <w:tcW w:w="960" w:type="dxa"/>
            <w:noWrap/>
            <w:vAlign w:val="center"/>
            <w:hideMark/>
          </w:tcPr>
          <w:p w:rsidR="00A963E1" w:rsidRPr="00A963E1" w:rsidRDefault="00A963E1" w:rsidP="00B65954">
            <w:pPr>
              <w:jc w:val="center"/>
              <w:cnfStyle w:val="000000100000" w:firstRow="0" w:lastRow="0" w:firstColumn="0" w:lastColumn="0" w:oddVBand="0" w:evenVBand="0" w:oddHBand="1" w:evenHBand="0" w:firstRowFirstColumn="0" w:firstRowLastColumn="0" w:lastRowFirstColumn="0" w:lastRowLastColumn="0"/>
            </w:pPr>
            <w:r w:rsidRPr="00A963E1">
              <w:t>27%</w:t>
            </w:r>
          </w:p>
        </w:tc>
      </w:tr>
      <w:tr w:rsidR="00A963E1" w:rsidRPr="00A963E1" w:rsidTr="00B65954">
        <w:trPr>
          <w:trHeight w:val="255"/>
        </w:trPr>
        <w:tc>
          <w:tcPr>
            <w:cnfStyle w:val="001000000000" w:firstRow="0" w:lastRow="0" w:firstColumn="1" w:lastColumn="0" w:oddVBand="0" w:evenVBand="0" w:oddHBand="0" w:evenHBand="0" w:firstRowFirstColumn="0" w:firstRowLastColumn="0" w:lastRowFirstColumn="0" w:lastRowLastColumn="0"/>
            <w:tcW w:w="2980" w:type="dxa"/>
            <w:noWrap/>
            <w:vAlign w:val="center"/>
            <w:hideMark/>
          </w:tcPr>
          <w:p w:rsidR="00A963E1" w:rsidRPr="00A963E1" w:rsidRDefault="00A963E1" w:rsidP="00B65954">
            <w:pPr>
              <w:jc w:val="center"/>
            </w:pPr>
            <w:r w:rsidRPr="00A963E1">
              <w:t>2</w:t>
            </w:r>
          </w:p>
        </w:tc>
        <w:tc>
          <w:tcPr>
            <w:tcW w:w="960" w:type="dxa"/>
            <w:noWrap/>
            <w:vAlign w:val="center"/>
            <w:hideMark/>
          </w:tcPr>
          <w:p w:rsidR="00A963E1" w:rsidRPr="00A963E1" w:rsidRDefault="00A963E1" w:rsidP="00B65954">
            <w:pPr>
              <w:jc w:val="center"/>
              <w:cnfStyle w:val="000000000000" w:firstRow="0" w:lastRow="0" w:firstColumn="0" w:lastColumn="0" w:oddVBand="0" w:evenVBand="0" w:oddHBand="0" w:evenHBand="0" w:firstRowFirstColumn="0" w:firstRowLastColumn="0" w:lastRowFirstColumn="0" w:lastRowLastColumn="0"/>
            </w:pPr>
            <w:r w:rsidRPr="00A963E1">
              <w:t>26%</w:t>
            </w:r>
          </w:p>
        </w:tc>
      </w:tr>
      <w:tr w:rsidR="00A963E1" w:rsidRPr="00A963E1" w:rsidTr="00B659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vAlign w:val="center"/>
            <w:hideMark/>
          </w:tcPr>
          <w:p w:rsidR="00B65954" w:rsidRDefault="00A963E1" w:rsidP="00B65954">
            <w:pPr>
              <w:jc w:val="center"/>
            </w:pPr>
            <w:r w:rsidRPr="00A963E1">
              <w:t>1</w:t>
            </w:r>
            <w:r>
              <w:t xml:space="preserve"> </w:t>
            </w:r>
          </w:p>
          <w:p w:rsidR="00A963E1" w:rsidRPr="00A963E1" w:rsidRDefault="00A963E1" w:rsidP="00B65954">
            <w:pPr>
              <w:jc w:val="center"/>
            </w:pPr>
            <w:r>
              <w:t>(most disadvantage</w:t>
            </w:r>
            <w:r w:rsidR="00B65954">
              <w:t>d</w:t>
            </w:r>
            <w:r>
              <w:t>)</w:t>
            </w:r>
          </w:p>
        </w:tc>
        <w:tc>
          <w:tcPr>
            <w:tcW w:w="960" w:type="dxa"/>
            <w:noWrap/>
            <w:vAlign w:val="center"/>
            <w:hideMark/>
          </w:tcPr>
          <w:p w:rsidR="00A963E1" w:rsidRPr="00A963E1" w:rsidRDefault="00A963E1" w:rsidP="00B65954">
            <w:pPr>
              <w:jc w:val="center"/>
              <w:cnfStyle w:val="000000100000" w:firstRow="0" w:lastRow="0" w:firstColumn="0" w:lastColumn="0" w:oddVBand="0" w:evenVBand="0" w:oddHBand="1" w:evenHBand="0" w:firstRowFirstColumn="0" w:firstRowLastColumn="0" w:lastRowFirstColumn="0" w:lastRowLastColumn="0"/>
            </w:pPr>
            <w:r w:rsidRPr="00A963E1">
              <w:t>26%</w:t>
            </w:r>
          </w:p>
        </w:tc>
      </w:tr>
    </w:tbl>
    <w:p w:rsidR="00941512" w:rsidRDefault="00941512" w:rsidP="00941512">
      <w:pPr>
        <w:pStyle w:val="Heading2"/>
      </w:pPr>
      <w:r>
        <w:t>Burden of disease</w:t>
      </w:r>
    </w:p>
    <w:p w:rsidR="00A963E1" w:rsidRDefault="00A963E1" w:rsidP="00A963E1">
      <w:r>
        <w:t xml:space="preserve">There are a number of ways to represent the burden of disease in a population. One of the more common methods is to consider the years of potential life lost (YPLL) of all members of the population who </w:t>
      </w:r>
      <w:r w:rsidR="00D36D65">
        <w:t xml:space="preserve">died before their estimated life expectancy. </w:t>
      </w:r>
    </w:p>
    <w:p w:rsidR="00C952B9" w:rsidRDefault="00D36D65">
      <w:pPr>
        <w:rPr>
          <w:b/>
          <w:iCs/>
          <w:color w:val="44546A" w:themeColor="text2"/>
          <w:szCs w:val="18"/>
        </w:rPr>
      </w:pPr>
      <w:r>
        <w:t xml:space="preserve">The Department commissioned the Australian Bureau of Statistics to calculate YPLL for Indigenous populations across </w:t>
      </w:r>
      <w:r w:rsidR="00F94BA7">
        <w:t>Indigenous Regions</w:t>
      </w:r>
      <w:r w:rsidR="00F94BA7">
        <w:rPr>
          <w:rStyle w:val="FootnoteReference"/>
        </w:rPr>
        <w:footnoteReference w:id="3"/>
      </w:r>
      <w:r w:rsidR="00F94BA7">
        <w:t xml:space="preserve">. </w:t>
      </w:r>
      <w:r w:rsidR="001A2D4F">
        <w:t xml:space="preserve">This data shows the total YPLL and a rate per 1000 people. </w:t>
      </w:r>
      <w:r w:rsidR="00E452BE">
        <w:t>To arrive at the health care need multiplier, YPLL information was categorised into the five IRSEO groups and the relative need calculated using the least disadvantaged group as the base (</w:t>
      </w:r>
      <w:r w:rsidR="00E452BE">
        <w:fldChar w:fldCharType="begin"/>
      </w:r>
      <w:r w:rsidR="00E452BE">
        <w:instrText xml:space="preserve"> REF _Ref23340964 \h </w:instrText>
      </w:r>
      <w:r w:rsidR="00E452BE">
        <w:fldChar w:fldCharType="separate"/>
      </w:r>
      <w:r w:rsidR="00E452BE">
        <w:t xml:space="preserve">Table </w:t>
      </w:r>
      <w:r w:rsidR="00E452BE">
        <w:rPr>
          <w:noProof/>
        </w:rPr>
        <w:t>2</w:t>
      </w:r>
      <w:r w:rsidR="00E452BE">
        <w:fldChar w:fldCharType="end"/>
      </w:r>
      <w:r w:rsidR="00F50137">
        <w:t>)</w:t>
      </w:r>
      <w:r w:rsidR="00E452BE">
        <w:t>.</w:t>
      </w:r>
      <w:bookmarkStart w:id="1" w:name="_Ref23340964"/>
      <w:bookmarkStart w:id="2" w:name="_GoBack"/>
      <w:bookmarkEnd w:id="2"/>
    </w:p>
    <w:p w:rsidR="00E452BE" w:rsidRDefault="00C952B9" w:rsidP="00E452BE">
      <w:pPr>
        <w:pStyle w:val="Caption"/>
        <w:keepNext/>
      </w:pPr>
      <w:r>
        <w:lastRenderedPageBreak/>
        <w:br/>
      </w:r>
      <w:r w:rsidR="0024482A">
        <w:br/>
      </w:r>
      <w:r w:rsidR="00E452BE">
        <w:t xml:space="preserve">Table </w:t>
      </w:r>
      <w:r w:rsidR="00896C50">
        <w:fldChar w:fldCharType="begin"/>
      </w:r>
      <w:r w:rsidR="00896C50">
        <w:instrText xml:space="preserve"> SEQ Table \* ARABIC </w:instrText>
      </w:r>
      <w:r w:rsidR="00896C50">
        <w:fldChar w:fldCharType="separate"/>
      </w:r>
      <w:r w:rsidR="00E452BE">
        <w:rPr>
          <w:noProof/>
        </w:rPr>
        <w:t>2</w:t>
      </w:r>
      <w:r w:rsidR="00896C50">
        <w:rPr>
          <w:noProof/>
        </w:rPr>
        <w:fldChar w:fldCharType="end"/>
      </w:r>
      <w:bookmarkEnd w:id="1"/>
      <w:r w:rsidR="00E452BE">
        <w:t>. Need multiplier by IRSEO group and YPLL rate</w:t>
      </w:r>
    </w:p>
    <w:tbl>
      <w:tblPr>
        <w:tblStyle w:val="ListTable1Light-Accent1"/>
        <w:tblW w:w="6433" w:type="dxa"/>
        <w:tblLook w:val="04A0" w:firstRow="1" w:lastRow="0" w:firstColumn="1" w:lastColumn="0" w:noHBand="0" w:noVBand="1"/>
        <w:tblDescription w:val="Need multiplier by IRSEO group and YPLL rate"/>
      </w:tblPr>
      <w:tblGrid>
        <w:gridCol w:w="2268"/>
        <w:gridCol w:w="1985"/>
        <w:gridCol w:w="2180"/>
      </w:tblGrid>
      <w:tr w:rsidR="001A2D4F" w:rsidRPr="001A2D4F" w:rsidTr="00896C5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rsidR="001A2D4F" w:rsidRP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 xml:space="preserve">IRSEO </w:t>
            </w:r>
            <w:r>
              <w:rPr>
                <w:rFonts w:ascii="Calibri" w:eastAsia="Times New Roman" w:hAnsi="Calibri" w:cs="Calibri"/>
                <w:color w:val="000000"/>
                <w:szCs w:val="22"/>
                <w:lang w:eastAsia="en-AU"/>
              </w:rPr>
              <w:t>groups</w:t>
            </w:r>
          </w:p>
        </w:tc>
        <w:tc>
          <w:tcPr>
            <w:tcW w:w="1985" w:type="dxa"/>
            <w:vAlign w:val="center"/>
            <w:hideMark/>
          </w:tcPr>
          <w:p w:rsidR="001A2D4F" w:rsidRDefault="001A2D4F" w:rsidP="001A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YPLL</w:t>
            </w:r>
          </w:p>
          <w:p w:rsidR="001A2D4F" w:rsidRPr="001A2D4F" w:rsidRDefault="001A2D4F" w:rsidP="001A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(per 1000 people)</w:t>
            </w:r>
          </w:p>
        </w:tc>
        <w:tc>
          <w:tcPr>
            <w:tcW w:w="2180" w:type="dxa"/>
            <w:vAlign w:val="center"/>
            <w:hideMark/>
          </w:tcPr>
          <w:p w:rsidR="001A2D4F" w:rsidRPr="001A2D4F" w:rsidRDefault="001A2D4F" w:rsidP="001A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Pr>
                <w:rFonts w:ascii="Calibri" w:eastAsia="Times New Roman" w:hAnsi="Calibri" w:cs="Calibri"/>
                <w:color w:val="000000"/>
                <w:szCs w:val="22"/>
                <w:lang w:eastAsia="en-AU"/>
              </w:rPr>
              <w:t>Need multiplier</w:t>
            </w:r>
          </w:p>
        </w:tc>
      </w:tr>
      <w:tr w:rsidR="001A2D4F" w:rsidRPr="001A2D4F" w:rsidTr="001A2D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5</w:t>
            </w:r>
          </w:p>
          <w:p w:rsidR="001A2D4F" w:rsidRPr="001A2D4F" w:rsidRDefault="001A2D4F" w:rsidP="001A2D4F">
            <w:pPr>
              <w:jc w:val="center"/>
              <w:rPr>
                <w:rFonts w:ascii="Calibri" w:eastAsia="Times New Roman" w:hAnsi="Calibri" w:cs="Calibri"/>
                <w:color w:val="000000"/>
                <w:szCs w:val="22"/>
                <w:lang w:eastAsia="en-AU"/>
              </w:rPr>
            </w:pPr>
            <w:r>
              <w:rPr>
                <w:rFonts w:ascii="Calibri" w:eastAsia="Times New Roman" w:hAnsi="Calibri" w:cs="Calibri"/>
                <w:color w:val="000000"/>
                <w:szCs w:val="22"/>
                <w:lang w:eastAsia="en-AU"/>
              </w:rPr>
              <w:t>(least disadvantaged)</w:t>
            </w:r>
          </w:p>
        </w:tc>
        <w:tc>
          <w:tcPr>
            <w:tcW w:w="1985"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39.37</w:t>
            </w:r>
          </w:p>
        </w:tc>
        <w:tc>
          <w:tcPr>
            <w:tcW w:w="2180"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1.00</w:t>
            </w:r>
          </w:p>
        </w:tc>
      </w:tr>
      <w:tr w:rsidR="001A2D4F" w:rsidRPr="001A2D4F" w:rsidTr="001A2D4F">
        <w:trPr>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1A2D4F" w:rsidRP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4</w:t>
            </w:r>
          </w:p>
        </w:tc>
        <w:tc>
          <w:tcPr>
            <w:tcW w:w="1985" w:type="dxa"/>
            <w:noWrap/>
            <w:vAlign w:val="center"/>
            <w:hideMark/>
          </w:tcPr>
          <w:p w:rsidR="001A2D4F" w:rsidRPr="001A2D4F" w:rsidRDefault="001A2D4F" w:rsidP="001A2D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46.21</w:t>
            </w:r>
          </w:p>
        </w:tc>
        <w:tc>
          <w:tcPr>
            <w:tcW w:w="2180" w:type="dxa"/>
            <w:noWrap/>
            <w:vAlign w:val="center"/>
            <w:hideMark/>
          </w:tcPr>
          <w:p w:rsidR="001A2D4F" w:rsidRPr="001A2D4F" w:rsidRDefault="001A2D4F" w:rsidP="001A2D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1.17</w:t>
            </w:r>
          </w:p>
        </w:tc>
      </w:tr>
      <w:tr w:rsidR="001A2D4F" w:rsidRPr="001A2D4F" w:rsidTr="001A2D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1A2D4F" w:rsidRP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3</w:t>
            </w:r>
          </w:p>
        </w:tc>
        <w:tc>
          <w:tcPr>
            <w:tcW w:w="1985"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69.56</w:t>
            </w:r>
          </w:p>
        </w:tc>
        <w:tc>
          <w:tcPr>
            <w:tcW w:w="2180"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1.77</w:t>
            </w:r>
          </w:p>
        </w:tc>
      </w:tr>
      <w:tr w:rsidR="001A2D4F" w:rsidRPr="001A2D4F" w:rsidTr="001A2D4F">
        <w:trPr>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1A2D4F" w:rsidRP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2</w:t>
            </w:r>
          </w:p>
        </w:tc>
        <w:tc>
          <w:tcPr>
            <w:tcW w:w="1985" w:type="dxa"/>
            <w:noWrap/>
            <w:vAlign w:val="center"/>
            <w:hideMark/>
          </w:tcPr>
          <w:p w:rsidR="001A2D4F" w:rsidRPr="001A2D4F" w:rsidRDefault="001A2D4F" w:rsidP="001A2D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98.77</w:t>
            </w:r>
          </w:p>
        </w:tc>
        <w:tc>
          <w:tcPr>
            <w:tcW w:w="2180" w:type="dxa"/>
            <w:noWrap/>
            <w:vAlign w:val="center"/>
            <w:hideMark/>
          </w:tcPr>
          <w:p w:rsidR="001A2D4F" w:rsidRPr="001A2D4F" w:rsidRDefault="001A2D4F" w:rsidP="001A2D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2.51</w:t>
            </w:r>
          </w:p>
        </w:tc>
      </w:tr>
      <w:tr w:rsidR="001A2D4F" w:rsidRPr="001A2D4F" w:rsidTr="001A2D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rsidR="001A2D4F" w:rsidRDefault="001A2D4F" w:rsidP="001A2D4F">
            <w:pPr>
              <w:jc w:val="center"/>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1</w:t>
            </w:r>
          </w:p>
          <w:p w:rsidR="001A2D4F" w:rsidRPr="001A2D4F" w:rsidRDefault="001A2D4F" w:rsidP="001A2D4F">
            <w:pPr>
              <w:jc w:val="center"/>
              <w:rPr>
                <w:rFonts w:ascii="Calibri" w:eastAsia="Times New Roman" w:hAnsi="Calibri" w:cs="Calibri"/>
                <w:color w:val="000000"/>
                <w:szCs w:val="22"/>
                <w:lang w:eastAsia="en-AU"/>
              </w:rPr>
            </w:pPr>
            <w:r>
              <w:rPr>
                <w:rFonts w:ascii="Calibri" w:eastAsia="Times New Roman" w:hAnsi="Calibri" w:cs="Calibri"/>
                <w:color w:val="000000"/>
                <w:szCs w:val="22"/>
                <w:lang w:eastAsia="en-AU"/>
              </w:rPr>
              <w:t>(most disadvantaged)</w:t>
            </w:r>
          </w:p>
        </w:tc>
        <w:tc>
          <w:tcPr>
            <w:tcW w:w="1985"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126.38</w:t>
            </w:r>
          </w:p>
        </w:tc>
        <w:tc>
          <w:tcPr>
            <w:tcW w:w="2180" w:type="dxa"/>
            <w:noWrap/>
            <w:vAlign w:val="center"/>
            <w:hideMark/>
          </w:tcPr>
          <w:p w:rsidR="001A2D4F" w:rsidRPr="001A2D4F" w:rsidRDefault="001A2D4F" w:rsidP="001A2D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en-AU"/>
              </w:rPr>
            </w:pPr>
            <w:r w:rsidRPr="001A2D4F">
              <w:rPr>
                <w:rFonts w:ascii="Calibri" w:eastAsia="Times New Roman" w:hAnsi="Calibri" w:cs="Calibri"/>
                <w:color w:val="000000"/>
                <w:szCs w:val="22"/>
                <w:lang w:eastAsia="en-AU"/>
              </w:rPr>
              <w:t>3.21</w:t>
            </w:r>
          </w:p>
        </w:tc>
      </w:tr>
    </w:tbl>
    <w:p w:rsidR="001A2D4F" w:rsidRPr="00A963E1" w:rsidRDefault="001A2D4F" w:rsidP="00A963E1"/>
    <w:p w:rsidR="00941512" w:rsidRDefault="00941512" w:rsidP="00941512">
      <w:pPr>
        <w:pStyle w:val="Heading2"/>
      </w:pPr>
      <w:r>
        <w:t>Resulting need multipliers</w:t>
      </w:r>
    </w:p>
    <w:p w:rsidR="00E452BE" w:rsidRDefault="00E452BE" w:rsidP="00BB5E73">
      <w:r>
        <w:t>The resulting need multipliers are calculated as the ratio of the YPLL for the target IRSEO group to the base case (YPLL for the least disadvantaged IRSEO group). This can be displayed in an equation as follows:</w:t>
      </w:r>
      <w:r w:rsidR="00723D1F">
        <w:br/>
      </w:r>
    </w:p>
    <w:p w:rsidR="00941512" w:rsidRDefault="00896C50" w:rsidP="00E452BE">
      <w:pPr>
        <w:jc w:val="center"/>
      </w:pPr>
      <m:oMathPara>
        <m:oMath>
          <m:f>
            <m:fPr>
              <m:ctrlPr>
                <w:rPr>
                  <w:rFonts w:ascii="Cambria Math" w:hAnsi="Cambria Math"/>
                  <w:i/>
                </w:rPr>
              </m:ctrlPr>
            </m:fPr>
            <m:num>
              <m:r>
                <w:rPr>
                  <w:rFonts w:ascii="Cambria Math" w:hAnsi="Cambria Math"/>
                </w:rPr>
                <m:t>Target IRSEO grou</m:t>
              </m:r>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s YPLL</m:t>
              </m:r>
            </m:num>
            <m:den>
              <m:r>
                <w:rPr>
                  <w:rFonts w:ascii="Cambria Math" w:hAnsi="Cambria Math"/>
                </w:rPr>
                <m:t>Base IRSEO group YPLL (39.37)</m:t>
              </m:r>
            </m:den>
          </m:f>
          <m:r>
            <w:rPr>
              <w:rFonts w:ascii="Cambria Math" w:hAnsi="Cambria Math"/>
            </w:rPr>
            <m:t>=Need multiplier</m:t>
          </m:r>
        </m:oMath>
      </m:oMathPara>
    </w:p>
    <w:p w:rsidR="00E452BE" w:rsidRDefault="00E452BE" w:rsidP="00C72746">
      <w:pPr>
        <w:spacing w:after="0"/>
        <w:rPr>
          <w:rFonts w:cstheme="minorHAnsi"/>
          <w:b/>
          <w:sz w:val="28"/>
        </w:rPr>
      </w:pPr>
    </w:p>
    <w:p w:rsidR="00C72746" w:rsidRPr="00073FD0" w:rsidRDefault="00C72746" w:rsidP="00C72746">
      <w:pPr>
        <w:spacing w:after="0"/>
        <w:rPr>
          <w:rFonts w:cstheme="minorHAnsi"/>
          <w:b/>
          <w:sz w:val="28"/>
        </w:rPr>
      </w:pPr>
      <w:r w:rsidRPr="00073FD0">
        <w:rPr>
          <w:rFonts w:cstheme="minorHAnsi"/>
          <w:b/>
          <w:sz w:val="28"/>
        </w:rPr>
        <w:t>Who do I contact for more information?</w:t>
      </w:r>
    </w:p>
    <w:p w:rsidR="00C72746" w:rsidRDefault="00C72746" w:rsidP="00C72746">
      <w:pPr>
        <w:rPr>
          <w:rFonts w:cstheme="minorHAnsi"/>
        </w:rPr>
      </w:pPr>
      <w:r>
        <w:rPr>
          <w:rFonts w:cstheme="minorHAnsi"/>
        </w:rPr>
        <w:t xml:space="preserve">For further information about the IAHP Funding Model, please email </w:t>
      </w:r>
      <w:hyperlink r:id="rId9" w:history="1">
        <w:r>
          <w:rPr>
            <w:rStyle w:val="Hyperlink"/>
            <w:rFonts w:cstheme="minorHAnsi"/>
          </w:rPr>
          <w:t>IAHPFundingModel</w:t>
        </w:r>
        <w:r w:rsidRPr="00B87C40">
          <w:rPr>
            <w:rStyle w:val="Hyperlink"/>
            <w:rFonts w:cstheme="minorHAnsi"/>
          </w:rPr>
          <w:t>@health.gov.au</w:t>
        </w:r>
      </w:hyperlink>
      <w:r>
        <w:rPr>
          <w:rFonts w:cstheme="minorHAnsi"/>
        </w:rPr>
        <w:t xml:space="preserve">. </w:t>
      </w:r>
    </w:p>
    <w:p w:rsidR="00C72746" w:rsidRPr="00BB5E73" w:rsidRDefault="00C72746" w:rsidP="00BB5E73"/>
    <w:sectPr w:rsidR="00C72746" w:rsidRPr="00BB5E73" w:rsidSect="00EF2A0A">
      <w:headerReference w:type="default" r:id="rId10"/>
      <w:footerReference w:type="default" r:id="rId11"/>
      <w:pgSz w:w="11906" w:h="16838"/>
      <w:pgMar w:top="992" w:right="1418" w:bottom="284" w:left="1440" w:header="709"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7C" w:rsidRDefault="00647E7C" w:rsidP="002839E4">
      <w:pPr>
        <w:spacing w:after="0" w:line="240" w:lineRule="auto"/>
      </w:pPr>
      <w:r>
        <w:separator/>
      </w:r>
    </w:p>
  </w:endnote>
  <w:endnote w:type="continuationSeparator" w:id="0">
    <w:p w:rsidR="00647E7C" w:rsidRDefault="00647E7C" w:rsidP="0028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10615"/>
      <w:docPartObj>
        <w:docPartGallery w:val="Page Numbers (Bottom of Page)"/>
        <w:docPartUnique/>
      </w:docPartObj>
    </w:sdtPr>
    <w:sdtEndPr>
      <w:rPr>
        <w:sz w:val="20"/>
        <w:szCs w:val="20"/>
      </w:rPr>
    </w:sdtEndPr>
    <w:sdtContent>
      <w:sdt>
        <w:sdtPr>
          <w:id w:val="735046392"/>
          <w:docPartObj>
            <w:docPartGallery w:val="Page Numbers (Top of Page)"/>
            <w:docPartUnique/>
          </w:docPartObj>
        </w:sdtPr>
        <w:sdtEndPr>
          <w:rPr>
            <w:sz w:val="20"/>
            <w:szCs w:val="20"/>
          </w:rPr>
        </w:sdtEndPr>
        <w:sdtContent>
          <w:p w:rsidR="00D864E7" w:rsidRPr="00F4173C" w:rsidRDefault="00D864E7">
            <w:pPr>
              <w:pStyle w:val="Footer"/>
              <w:jc w:val="center"/>
              <w:rPr>
                <w:sz w:val="20"/>
                <w:szCs w:val="20"/>
              </w:rPr>
            </w:pPr>
            <w:r w:rsidRPr="00F4173C">
              <w:rPr>
                <w:sz w:val="20"/>
                <w:szCs w:val="20"/>
              </w:rPr>
              <w:t xml:space="preserve">Page </w:t>
            </w:r>
            <w:r w:rsidRPr="00F4173C">
              <w:rPr>
                <w:b/>
                <w:bCs/>
                <w:sz w:val="20"/>
                <w:szCs w:val="20"/>
              </w:rPr>
              <w:fldChar w:fldCharType="begin"/>
            </w:r>
            <w:r w:rsidRPr="00F4173C">
              <w:rPr>
                <w:b/>
                <w:bCs/>
                <w:sz w:val="20"/>
                <w:szCs w:val="20"/>
              </w:rPr>
              <w:instrText xml:space="preserve"> PAGE </w:instrText>
            </w:r>
            <w:r w:rsidRPr="00F4173C">
              <w:rPr>
                <w:b/>
                <w:bCs/>
                <w:sz w:val="20"/>
                <w:szCs w:val="20"/>
              </w:rPr>
              <w:fldChar w:fldCharType="separate"/>
            </w:r>
            <w:r w:rsidR="00896C50">
              <w:rPr>
                <w:b/>
                <w:bCs/>
                <w:noProof/>
                <w:sz w:val="20"/>
                <w:szCs w:val="20"/>
              </w:rPr>
              <w:t>1</w:t>
            </w:r>
            <w:r w:rsidRPr="00F4173C">
              <w:rPr>
                <w:b/>
                <w:bCs/>
                <w:sz w:val="20"/>
                <w:szCs w:val="20"/>
              </w:rPr>
              <w:fldChar w:fldCharType="end"/>
            </w:r>
            <w:r w:rsidRPr="00F4173C">
              <w:rPr>
                <w:sz w:val="20"/>
                <w:szCs w:val="20"/>
              </w:rPr>
              <w:t xml:space="preserve"> of </w:t>
            </w:r>
            <w:r w:rsidRPr="00F4173C">
              <w:rPr>
                <w:b/>
                <w:bCs/>
                <w:sz w:val="20"/>
                <w:szCs w:val="20"/>
              </w:rPr>
              <w:fldChar w:fldCharType="begin"/>
            </w:r>
            <w:r w:rsidRPr="00F4173C">
              <w:rPr>
                <w:b/>
                <w:bCs/>
                <w:sz w:val="20"/>
                <w:szCs w:val="20"/>
              </w:rPr>
              <w:instrText xml:space="preserve"> NUMPAGES  </w:instrText>
            </w:r>
            <w:r w:rsidRPr="00F4173C">
              <w:rPr>
                <w:b/>
                <w:bCs/>
                <w:sz w:val="20"/>
                <w:szCs w:val="20"/>
              </w:rPr>
              <w:fldChar w:fldCharType="separate"/>
            </w:r>
            <w:r w:rsidR="00896C50">
              <w:rPr>
                <w:b/>
                <w:bCs/>
                <w:noProof/>
                <w:sz w:val="20"/>
                <w:szCs w:val="20"/>
              </w:rPr>
              <w:t>3</w:t>
            </w:r>
            <w:r w:rsidRPr="00F4173C">
              <w:rPr>
                <w:b/>
                <w:bCs/>
                <w:sz w:val="20"/>
                <w:szCs w:val="20"/>
              </w:rPr>
              <w:fldChar w:fldCharType="end"/>
            </w:r>
          </w:p>
        </w:sdtContent>
      </w:sdt>
    </w:sdtContent>
  </w:sdt>
  <w:p w:rsidR="00115241" w:rsidRDefault="00115241" w:rsidP="00D864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7C" w:rsidRDefault="00647E7C" w:rsidP="002839E4">
      <w:pPr>
        <w:spacing w:after="0" w:line="240" w:lineRule="auto"/>
      </w:pPr>
      <w:r>
        <w:separator/>
      </w:r>
    </w:p>
  </w:footnote>
  <w:footnote w:type="continuationSeparator" w:id="0">
    <w:p w:rsidR="00647E7C" w:rsidRDefault="00647E7C" w:rsidP="002839E4">
      <w:pPr>
        <w:spacing w:after="0" w:line="240" w:lineRule="auto"/>
      </w:pPr>
      <w:r>
        <w:continuationSeparator/>
      </w:r>
    </w:p>
  </w:footnote>
  <w:footnote w:id="1">
    <w:p w:rsidR="00CB5871" w:rsidRPr="00CB5871" w:rsidRDefault="00CB5871">
      <w:pPr>
        <w:pStyle w:val="FootnoteText"/>
        <w:rPr>
          <w:lang w:val="en-AU"/>
        </w:rPr>
      </w:pPr>
      <w:r>
        <w:rPr>
          <w:rStyle w:val="FootnoteReference"/>
        </w:rPr>
        <w:footnoteRef/>
      </w:r>
      <w:r>
        <w:t xml:space="preserve"> </w:t>
      </w:r>
      <w:r>
        <w:rPr>
          <w:lang w:val="en-AU"/>
        </w:rPr>
        <w:t>Biddle, N. Population projections – CAEPR Indigenous Population Project 2011 Census Papers, no. 14/2013</w:t>
      </w:r>
      <w:r w:rsidR="008C6223">
        <w:rPr>
          <w:lang w:val="en-AU"/>
        </w:rPr>
        <w:t xml:space="preserve">. Canberra: Centre for Aboriginal Economic Policy Research (CAEPR), ANU: 2013. </w:t>
      </w:r>
    </w:p>
  </w:footnote>
  <w:footnote w:id="2">
    <w:p w:rsidR="00A963E1" w:rsidRPr="00A963E1" w:rsidRDefault="00A963E1">
      <w:pPr>
        <w:pStyle w:val="FootnoteText"/>
        <w:rPr>
          <w:lang w:val="en-AU"/>
        </w:rPr>
      </w:pPr>
      <w:r>
        <w:rPr>
          <w:rStyle w:val="FootnoteReference"/>
        </w:rPr>
        <w:footnoteRef/>
      </w:r>
      <w:r>
        <w:t xml:space="preserve"> </w:t>
      </w:r>
      <w:r>
        <w:rPr>
          <w:lang w:val="en-AU"/>
        </w:rPr>
        <w:t>ABS catalogue number 1270.0.55.002</w:t>
      </w:r>
    </w:p>
  </w:footnote>
  <w:footnote w:id="3">
    <w:p w:rsidR="00F94BA7" w:rsidRPr="00F94BA7" w:rsidRDefault="00F94BA7">
      <w:pPr>
        <w:pStyle w:val="FootnoteText"/>
        <w:rPr>
          <w:lang w:val="en-AU"/>
        </w:rPr>
      </w:pPr>
      <w:r>
        <w:rPr>
          <w:rStyle w:val="FootnoteReference"/>
        </w:rPr>
        <w:footnoteRef/>
      </w:r>
      <w:r>
        <w:t xml:space="preserve"> </w:t>
      </w:r>
      <w:r>
        <w:rPr>
          <w:lang w:val="en-AU"/>
        </w:rPr>
        <w:t>Indigenous Regions</w:t>
      </w:r>
      <w:r w:rsidR="00F50137">
        <w:rPr>
          <w:lang w:val="en-AU"/>
        </w:rPr>
        <w:t xml:space="preserve"> </w:t>
      </w:r>
      <w:r>
        <w:rPr>
          <w:lang w:val="en-AU"/>
        </w:rPr>
        <w:t xml:space="preserve">are a level of geography defined in the ABS Indigenous 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CF" w:rsidRDefault="007546CF" w:rsidP="0062546F">
    <w:pPr>
      <w:pStyle w:val="Header"/>
      <w:ind w:left="-1134"/>
    </w:pPr>
    <w:r>
      <w:rPr>
        <w:noProof/>
        <w:lang w:eastAsia="en-AU"/>
      </w:rPr>
      <w:drawing>
        <wp:inline distT="0" distB="0" distL="0" distR="0" wp14:anchorId="638ED7A4" wp14:editId="4770354F">
          <wp:extent cx="7128000" cy="151130"/>
          <wp:effectExtent l="0" t="0" r="0" b="1270"/>
          <wp:docPr id="16" name="Picture 1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stretch>
                    <a:fillRect/>
                  </a:stretch>
                </pic:blipFill>
                <pic:spPr>
                  <a:xfrm>
                    <a:off x="0" y="0"/>
                    <a:ext cx="7128000" cy="151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30CB12"/>
    <w:lvl w:ilvl="0">
      <w:start w:val="1"/>
      <w:numFmt w:val="decimal"/>
      <w:pStyle w:val="ListNumber"/>
      <w:lvlText w:val="%1."/>
      <w:lvlJc w:val="left"/>
      <w:pPr>
        <w:tabs>
          <w:tab w:val="num" w:pos="360"/>
        </w:tabs>
        <w:ind w:left="360" w:hanging="360"/>
      </w:pPr>
    </w:lvl>
  </w:abstractNum>
  <w:abstractNum w:abstractNumId="1" w15:restartNumberingAfterBreak="0">
    <w:nsid w:val="02B16F39"/>
    <w:multiLevelType w:val="hybridMultilevel"/>
    <w:tmpl w:val="38E035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2B03F6"/>
    <w:multiLevelType w:val="hybridMultilevel"/>
    <w:tmpl w:val="6644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F3CAC"/>
    <w:multiLevelType w:val="hybridMultilevel"/>
    <w:tmpl w:val="B84E0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603B1"/>
    <w:multiLevelType w:val="hybridMultilevel"/>
    <w:tmpl w:val="87F2D5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4E22427"/>
    <w:multiLevelType w:val="hybridMultilevel"/>
    <w:tmpl w:val="0AB4DCE8"/>
    <w:lvl w:ilvl="0" w:tplc="3058EAC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A6035"/>
    <w:multiLevelType w:val="hybridMultilevel"/>
    <w:tmpl w:val="3DF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775CF3"/>
    <w:multiLevelType w:val="multilevel"/>
    <w:tmpl w:val="0C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493F0F"/>
    <w:multiLevelType w:val="multilevel"/>
    <w:tmpl w:val="7C589FDA"/>
    <w:lvl w:ilvl="0">
      <w:start w:val="1"/>
      <w:numFmt w:val="decimal"/>
      <w:pStyle w:val="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E50E94"/>
    <w:multiLevelType w:val="hybridMultilevel"/>
    <w:tmpl w:val="C6A4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1D5C2E"/>
    <w:multiLevelType w:val="hybridMultilevel"/>
    <w:tmpl w:val="1F0C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CF396C"/>
    <w:multiLevelType w:val="hybridMultilevel"/>
    <w:tmpl w:val="E4E00C1E"/>
    <w:lvl w:ilvl="0" w:tplc="D572392E">
      <w:start w:val="1"/>
      <w:numFmt w:val="bullet"/>
      <w:pStyle w:val="ListBullet"/>
      <w:lvlText w:val=""/>
      <w:lvlJc w:val="left"/>
      <w:pPr>
        <w:ind w:left="360" w:hanging="360"/>
      </w:pPr>
      <w:rPr>
        <w:rFonts w:ascii="Symbol" w:hAnsi="Symbol" w:hint="default"/>
        <w:color w:val="44546A"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020661"/>
    <w:multiLevelType w:val="multilevel"/>
    <w:tmpl w:val="B4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
  </w:num>
  <w:num w:numId="9">
    <w:abstractNumId w:val="10"/>
  </w:num>
  <w:num w:numId="10">
    <w:abstractNumId w:val="2"/>
  </w:num>
  <w:num w:numId="11">
    <w:abstractNumId w:val="6"/>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E4"/>
    <w:rsid w:val="0004291A"/>
    <w:rsid w:val="00046326"/>
    <w:rsid w:val="0004748D"/>
    <w:rsid w:val="00073FD0"/>
    <w:rsid w:val="00081DD9"/>
    <w:rsid w:val="00087D40"/>
    <w:rsid w:val="00096F5B"/>
    <w:rsid w:val="000B27DD"/>
    <w:rsid w:val="000B63FA"/>
    <w:rsid w:val="000C1BEC"/>
    <w:rsid w:val="000C5F3C"/>
    <w:rsid w:val="000C77A6"/>
    <w:rsid w:val="000D5F05"/>
    <w:rsid w:val="000D7DC8"/>
    <w:rsid w:val="000F7433"/>
    <w:rsid w:val="00105CCE"/>
    <w:rsid w:val="00115241"/>
    <w:rsid w:val="001315DD"/>
    <w:rsid w:val="00147384"/>
    <w:rsid w:val="00181652"/>
    <w:rsid w:val="001923E3"/>
    <w:rsid w:val="00196E21"/>
    <w:rsid w:val="00197C11"/>
    <w:rsid w:val="001A2D4F"/>
    <w:rsid w:val="001A4DB9"/>
    <w:rsid w:val="001A7F8F"/>
    <w:rsid w:val="001C3D21"/>
    <w:rsid w:val="001C6DD3"/>
    <w:rsid w:val="001D2656"/>
    <w:rsid w:val="001D66D7"/>
    <w:rsid w:val="001E1929"/>
    <w:rsid w:val="001E5B5D"/>
    <w:rsid w:val="00207608"/>
    <w:rsid w:val="00210951"/>
    <w:rsid w:val="0021575D"/>
    <w:rsid w:val="0024482A"/>
    <w:rsid w:val="002604FA"/>
    <w:rsid w:val="00280050"/>
    <w:rsid w:val="002839E4"/>
    <w:rsid w:val="00294D9E"/>
    <w:rsid w:val="002965F8"/>
    <w:rsid w:val="00297321"/>
    <w:rsid w:val="002A407A"/>
    <w:rsid w:val="002C13E5"/>
    <w:rsid w:val="002C772D"/>
    <w:rsid w:val="002E1829"/>
    <w:rsid w:val="002F47F7"/>
    <w:rsid w:val="002F717E"/>
    <w:rsid w:val="00311644"/>
    <w:rsid w:val="00324AD1"/>
    <w:rsid w:val="00325CB3"/>
    <w:rsid w:val="00326233"/>
    <w:rsid w:val="003337E6"/>
    <w:rsid w:val="00335E80"/>
    <w:rsid w:val="00362720"/>
    <w:rsid w:val="0037241D"/>
    <w:rsid w:val="00375DCB"/>
    <w:rsid w:val="003804FC"/>
    <w:rsid w:val="003853DB"/>
    <w:rsid w:val="0038790A"/>
    <w:rsid w:val="00392CDA"/>
    <w:rsid w:val="003A1AF2"/>
    <w:rsid w:val="003A4DCA"/>
    <w:rsid w:val="003A5790"/>
    <w:rsid w:val="003A6263"/>
    <w:rsid w:val="003A6B7B"/>
    <w:rsid w:val="003F62A2"/>
    <w:rsid w:val="003F6E4F"/>
    <w:rsid w:val="0041175D"/>
    <w:rsid w:val="004128EA"/>
    <w:rsid w:val="00422A45"/>
    <w:rsid w:val="004445A0"/>
    <w:rsid w:val="00451BCE"/>
    <w:rsid w:val="004801B3"/>
    <w:rsid w:val="004A5404"/>
    <w:rsid w:val="004B364D"/>
    <w:rsid w:val="004B5843"/>
    <w:rsid w:val="004C2080"/>
    <w:rsid w:val="004C4A55"/>
    <w:rsid w:val="004D18F5"/>
    <w:rsid w:val="004D22C3"/>
    <w:rsid w:val="004D746E"/>
    <w:rsid w:val="00504566"/>
    <w:rsid w:val="00544F2D"/>
    <w:rsid w:val="00555E87"/>
    <w:rsid w:val="005811D8"/>
    <w:rsid w:val="005843AF"/>
    <w:rsid w:val="005B0777"/>
    <w:rsid w:val="005C1673"/>
    <w:rsid w:val="005D640E"/>
    <w:rsid w:val="005E09F9"/>
    <w:rsid w:val="00602513"/>
    <w:rsid w:val="0062546F"/>
    <w:rsid w:val="00647E7C"/>
    <w:rsid w:val="00654BE2"/>
    <w:rsid w:val="0067677B"/>
    <w:rsid w:val="00677BA8"/>
    <w:rsid w:val="00684230"/>
    <w:rsid w:val="00685F5B"/>
    <w:rsid w:val="006923DF"/>
    <w:rsid w:val="0069453E"/>
    <w:rsid w:val="006C0CF6"/>
    <w:rsid w:val="006C5599"/>
    <w:rsid w:val="006C5646"/>
    <w:rsid w:val="006D5F82"/>
    <w:rsid w:val="006E1755"/>
    <w:rsid w:val="006F36C3"/>
    <w:rsid w:val="006F7958"/>
    <w:rsid w:val="006F7BB0"/>
    <w:rsid w:val="0070439C"/>
    <w:rsid w:val="00723D1F"/>
    <w:rsid w:val="00732AA0"/>
    <w:rsid w:val="00742570"/>
    <w:rsid w:val="0074722A"/>
    <w:rsid w:val="00750B35"/>
    <w:rsid w:val="007546CF"/>
    <w:rsid w:val="00756C4C"/>
    <w:rsid w:val="0076043A"/>
    <w:rsid w:val="00790A79"/>
    <w:rsid w:val="007935B4"/>
    <w:rsid w:val="00797090"/>
    <w:rsid w:val="007A0118"/>
    <w:rsid w:val="007A1C31"/>
    <w:rsid w:val="007A50BF"/>
    <w:rsid w:val="007B02E0"/>
    <w:rsid w:val="007E3938"/>
    <w:rsid w:val="00802635"/>
    <w:rsid w:val="008043A7"/>
    <w:rsid w:val="008156AD"/>
    <w:rsid w:val="0084413E"/>
    <w:rsid w:val="00844573"/>
    <w:rsid w:val="0084557F"/>
    <w:rsid w:val="008516B1"/>
    <w:rsid w:val="00851E8E"/>
    <w:rsid w:val="008523B6"/>
    <w:rsid w:val="00863F2A"/>
    <w:rsid w:val="00887907"/>
    <w:rsid w:val="00896C50"/>
    <w:rsid w:val="008A50DD"/>
    <w:rsid w:val="008B68F9"/>
    <w:rsid w:val="008C6223"/>
    <w:rsid w:val="008D06CF"/>
    <w:rsid w:val="008D51D8"/>
    <w:rsid w:val="008D7824"/>
    <w:rsid w:val="008E2F7A"/>
    <w:rsid w:val="008E41B0"/>
    <w:rsid w:val="008E4A76"/>
    <w:rsid w:val="008E7A9C"/>
    <w:rsid w:val="008F0F53"/>
    <w:rsid w:val="008F143F"/>
    <w:rsid w:val="00901AD1"/>
    <w:rsid w:val="00913724"/>
    <w:rsid w:val="00916221"/>
    <w:rsid w:val="00940E3B"/>
    <w:rsid w:val="00941512"/>
    <w:rsid w:val="00954110"/>
    <w:rsid w:val="00957C7E"/>
    <w:rsid w:val="009A40C6"/>
    <w:rsid w:val="009C06CE"/>
    <w:rsid w:val="009F15A1"/>
    <w:rsid w:val="009F5952"/>
    <w:rsid w:val="00A04156"/>
    <w:rsid w:val="00A073F0"/>
    <w:rsid w:val="00A36FE5"/>
    <w:rsid w:val="00A37742"/>
    <w:rsid w:val="00A4234B"/>
    <w:rsid w:val="00A47FFD"/>
    <w:rsid w:val="00A56942"/>
    <w:rsid w:val="00A67359"/>
    <w:rsid w:val="00A70EB8"/>
    <w:rsid w:val="00A963E1"/>
    <w:rsid w:val="00AA463D"/>
    <w:rsid w:val="00AA49DE"/>
    <w:rsid w:val="00AB1201"/>
    <w:rsid w:val="00AC1810"/>
    <w:rsid w:val="00AC4BFC"/>
    <w:rsid w:val="00AC7E48"/>
    <w:rsid w:val="00AE3733"/>
    <w:rsid w:val="00AF28BA"/>
    <w:rsid w:val="00AF439A"/>
    <w:rsid w:val="00AF49D0"/>
    <w:rsid w:val="00AF6447"/>
    <w:rsid w:val="00B45246"/>
    <w:rsid w:val="00B550C8"/>
    <w:rsid w:val="00B6397D"/>
    <w:rsid w:val="00B63FBB"/>
    <w:rsid w:val="00B65954"/>
    <w:rsid w:val="00B70C9B"/>
    <w:rsid w:val="00B87F5D"/>
    <w:rsid w:val="00BB2BBE"/>
    <w:rsid w:val="00BB5E73"/>
    <w:rsid w:val="00BB77BF"/>
    <w:rsid w:val="00BC1ABF"/>
    <w:rsid w:val="00BC21AD"/>
    <w:rsid w:val="00BD446C"/>
    <w:rsid w:val="00BF0A57"/>
    <w:rsid w:val="00C07623"/>
    <w:rsid w:val="00C1760F"/>
    <w:rsid w:val="00C2606D"/>
    <w:rsid w:val="00C40AE9"/>
    <w:rsid w:val="00C41CCE"/>
    <w:rsid w:val="00C429C5"/>
    <w:rsid w:val="00C446D8"/>
    <w:rsid w:val="00C505A8"/>
    <w:rsid w:val="00C57C6B"/>
    <w:rsid w:val="00C704B7"/>
    <w:rsid w:val="00C72746"/>
    <w:rsid w:val="00C74636"/>
    <w:rsid w:val="00C75AC9"/>
    <w:rsid w:val="00C7791E"/>
    <w:rsid w:val="00C83331"/>
    <w:rsid w:val="00C952B9"/>
    <w:rsid w:val="00C96980"/>
    <w:rsid w:val="00CB0419"/>
    <w:rsid w:val="00CB5871"/>
    <w:rsid w:val="00CE2F84"/>
    <w:rsid w:val="00CE358D"/>
    <w:rsid w:val="00D0339E"/>
    <w:rsid w:val="00D323C4"/>
    <w:rsid w:val="00D36D65"/>
    <w:rsid w:val="00D426F1"/>
    <w:rsid w:val="00D52766"/>
    <w:rsid w:val="00D6422D"/>
    <w:rsid w:val="00D73C66"/>
    <w:rsid w:val="00D8559B"/>
    <w:rsid w:val="00D864E7"/>
    <w:rsid w:val="00D924F5"/>
    <w:rsid w:val="00DB2923"/>
    <w:rsid w:val="00DB2D42"/>
    <w:rsid w:val="00DC2434"/>
    <w:rsid w:val="00DD6E94"/>
    <w:rsid w:val="00DF48C7"/>
    <w:rsid w:val="00DF7B20"/>
    <w:rsid w:val="00E2384E"/>
    <w:rsid w:val="00E23B59"/>
    <w:rsid w:val="00E23CB4"/>
    <w:rsid w:val="00E24584"/>
    <w:rsid w:val="00E246D3"/>
    <w:rsid w:val="00E263DB"/>
    <w:rsid w:val="00E452BE"/>
    <w:rsid w:val="00E572B0"/>
    <w:rsid w:val="00E6431F"/>
    <w:rsid w:val="00E723BA"/>
    <w:rsid w:val="00E824C0"/>
    <w:rsid w:val="00E833BA"/>
    <w:rsid w:val="00E94738"/>
    <w:rsid w:val="00ED4330"/>
    <w:rsid w:val="00ED48BC"/>
    <w:rsid w:val="00EF2A0A"/>
    <w:rsid w:val="00F075F3"/>
    <w:rsid w:val="00F14D6C"/>
    <w:rsid w:val="00F2327D"/>
    <w:rsid w:val="00F3511E"/>
    <w:rsid w:val="00F4173C"/>
    <w:rsid w:val="00F463AD"/>
    <w:rsid w:val="00F50137"/>
    <w:rsid w:val="00F64CFB"/>
    <w:rsid w:val="00F76FDD"/>
    <w:rsid w:val="00F93B28"/>
    <w:rsid w:val="00F94BA7"/>
    <w:rsid w:val="00F9790E"/>
    <w:rsid w:val="00FA254E"/>
    <w:rsid w:val="00FA595B"/>
    <w:rsid w:val="00FB1294"/>
    <w:rsid w:val="00FB1DC3"/>
    <w:rsid w:val="00FD219F"/>
    <w:rsid w:val="00FD5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3EE2C"/>
  <w15:chartTrackingRefBased/>
  <w15:docId w15:val="{33C6F231-A780-4D88-A141-936AE11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B7"/>
    <w:rPr>
      <w:rFonts w:asciiTheme="minorHAnsi" w:hAnsiTheme="minorHAnsi"/>
      <w:sz w:val="22"/>
    </w:rPr>
  </w:style>
  <w:style w:type="paragraph" w:styleId="Heading1">
    <w:name w:val="heading 1"/>
    <w:basedOn w:val="Normal"/>
    <w:next w:val="Normal"/>
    <w:link w:val="Heading1Char"/>
    <w:uiPriority w:val="9"/>
    <w:qFormat/>
    <w:rsid w:val="00B87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704B7"/>
    <w:pPr>
      <w:spacing w:before="360" w:after="160" w:line="240" w:lineRule="auto"/>
      <w:outlineLvl w:val="1"/>
    </w:pPr>
    <w:rPr>
      <w:rFonts w:asciiTheme="minorHAnsi" w:hAnsiTheme="minorHAnsi" w:cs="Arial"/>
      <w:b/>
      <w:color w:val="0D0D0D" w:themeColor="text1" w:themeTint="F2"/>
      <w:sz w:val="28"/>
      <w:szCs w:val="26"/>
    </w:rPr>
  </w:style>
  <w:style w:type="paragraph" w:styleId="Heading3">
    <w:name w:val="heading 3"/>
    <w:basedOn w:val="Normal"/>
    <w:next w:val="Normal"/>
    <w:link w:val="Heading3Char"/>
    <w:uiPriority w:val="9"/>
    <w:unhideWhenUsed/>
    <w:qFormat/>
    <w:rsid w:val="00324AD1"/>
    <w:pPr>
      <w:keepNext/>
      <w:keepLines/>
      <w:spacing w:before="240" w:after="120"/>
      <w:outlineLvl w:val="2"/>
    </w:pPr>
    <w:rPr>
      <w:rFonts w:asciiTheme="majorHAnsi" w:eastAsiaTheme="majorEastAsia" w:hAnsiTheme="majorHAnsi" w:cstheme="majorBidi"/>
      <w:b/>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E4"/>
  </w:style>
  <w:style w:type="paragraph" w:styleId="Footer">
    <w:name w:val="footer"/>
    <w:basedOn w:val="Normal"/>
    <w:link w:val="FooterChar"/>
    <w:uiPriority w:val="99"/>
    <w:unhideWhenUsed/>
    <w:rsid w:val="00283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9E4"/>
  </w:style>
  <w:style w:type="paragraph" w:styleId="ListParagraph">
    <w:name w:val="List Paragraph"/>
    <w:basedOn w:val="Normal"/>
    <w:uiPriority w:val="34"/>
    <w:qFormat/>
    <w:rsid w:val="00AF439A"/>
    <w:pPr>
      <w:ind w:left="720"/>
      <w:contextualSpacing/>
    </w:pPr>
  </w:style>
  <w:style w:type="character" w:customStyle="1" w:styleId="Heading2Char">
    <w:name w:val="Heading 2 Char"/>
    <w:basedOn w:val="DefaultParagraphFont"/>
    <w:link w:val="Heading2"/>
    <w:uiPriority w:val="9"/>
    <w:rsid w:val="00C704B7"/>
    <w:rPr>
      <w:rFonts w:asciiTheme="minorHAnsi" w:eastAsiaTheme="majorEastAsia" w:hAnsiTheme="minorHAnsi" w:cs="Arial"/>
      <w:b/>
      <w:color w:val="0D0D0D" w:themeColor="text1" w:themeTint="F2"/>
      <w:sz w:val="28"/>
      <w:szCs w:val="26"/>
    </w:rPr>
  </w:style>
  <w:style w:type="character" w:styleId="Emphasis">
    <w:name w:val="Emphasis"/>
    <w:basedOn w:val="DefaultParagraphFont"/>
    <w:uiPriority w:val="20"/>
    <w:qFormat/>
    <w:rsid w:val="00B87F5D"/>
    <w:rPr>
      <w:i/>
      <w:iCs/>
    </w:rPr>
  </w:style>
  <w:style w:type="paragraph" w:styleId="List">
    <w:name w:val="List"/>
    <w:basedOn w:val="Normal"/>
    <w:uiPriority w:val="99"/>
    <w:unhideWhenUsed/>
    <w:rsid w:val="00B87F5D"/>
    <w:pPr>
      <w:numPr>
        <w:numId w:val="3"/>
      </w:numPr>
      <w:spacing w:before="120" w:after="120" w:line="240" w:lineRule="auto"/>
      <w:contextualSpacing/>
    </w:pPr>
    <w:rPr>
      <w:rFonts w:eastAsiaTheme="minorEastAsia" w:cstheme="minorBidi"/>
      <w:szCs w:val="22"/>
      <w:lang w:val="en-US"/>
    </w:rPr>
  </w:style>
  <w:style w:type="paragraph" w:styleId="FootnoteText">
    <w:name w:val="footnote text"/>
    <w:basedOn w:val="Normal"/>
    <w:link w:val="FootnoteTextChar"/>
    <w:uiPriority w:val="99"/>
    <w:unhideWhenUsed/>
    <w:rsid w:val="00B87F5D"/>
    <w:pPr>
      <w:spacing w:after="0" w:line="240" w:lineRule="auto"/>
    </w:pPr>
    <w:rPr>
      <w:rFonts w:eastAsiaTheme="minorEastAsia" w:cstheme="minorBidi"/>
      <w:sz w:val="20"/>
      <w:szCs w:val="20"/>
      <w:lang w:val="en-US"/>
    </w:rPr>
  </w:style>
  <w:style w:type="character" w:customStyle="1" w:styleId="FootnoteTextChar">
    <w:name w:val="Footnote Text Char"/>
    <w:basedOn w:val="DefaultParagraphFont"/>
    <w:link w:val="FootnoteText"/>
    <w:uiPriority w:val="99"/>
    <w:rsid w:val="00B87F5D"/>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B87F5D"/>
    <w:rPr>
      <w:vertAlign w:val="superscript"/>
    </w:rPr>
  </w:style>
  <w:style w:type="paragraph" w:styleId="ListNumber">
    <w:name w:val="List Number"/>
    <w:basedOn w:val="Normal"/>
    <w:uiPriority w:val="99"/>
    <w:unhideWhenUsed/>
    <w:rsid w:val="00B87F5D"/>
    <w:pPr>
      <w:numPr>
        <w:numId w:val="2"/>
      </w:numPr>
      <w:spacing w:before="120" w:after="120" w:line="240" w:lineRule="auto"/>
      <w:ind w:left="357" w:hanging="357"/>
    </w:pPr>
    <w:rPr>
      <w:rFonts w:eastAsiaTheme="minorEastAsia" w:cstheme="minorBidi"/>
      <w:szCs w:val="22"/>
      <w:lang w:val="en-US"/>
    </w:rPr>
  </w:style>
  <w:style w:type="character" w:styleId="CommentReference">
    <w:name w:val="annotation reference"/>
    <w:basedOn w:val="DefaultParagraphFont"/>
    <w:uiPriority w:val="99"/>
    <w:semiHidden/>
    <w:unhideWhenUsed/>
    <w:rsid w:val="00B87F5D"/>
    <w:rPr>
      <w:sz w:val="16"/>
      <w:szCs w:val="16"/>
    </w:rPr>
  </w:style>
  <w:style w:type="paragraph" w:styleId="CommentText">
    <w:name w:val="annotation text"/>
    <w:basedOn w:val="Normal"/>
    <w:link w:val="CommentTextChar"/>
    <w:uiPriority w:val="99"/>
    <w:semiHidden/>
    <w:unhideWhenUsed/>
    <w:rsid w:val="00B87F5D"/>
    <w:pPr>
      <w:spacing w:before="120" w:after="120" w:line="240" w:lineRule="auto"/>
    </w:pPr>
    <w:rPr>
      <w:rFonts w:eastAsiaTheme="minorEastAsia" w:cstheme="minorBidi"/>
      <w:sz w:val="20"/>
      <w:szCs w:val="20"/>
      <w:lang w:val="en-US"/>
    </w:rPr>
  </w:style>
  <w:style w:type="character" w:customStyle="1" w:styleId="CommentTextChar">
    <w:name w:val="Comment Text Char"/>
    <w:basedOn w:val="DefaultParagraphFont"/>
    <w:link w:val="CommentText"/>
    <w:uiPriority w:val="99"/>
    <w:semiHidden/>
    <w:rsid w:val="00B87F5D"/>
    <w:rPr>
      <w:rFonts w:asciiTheme="minorHAnsi" w:eastAsiaTheme="minorEastAsia" w:hAnsiTheme="minorHAnsi" w:cstheme="minorBidi"/>
      <w:sz w:val="20"/>
      <w:szCs w:val="20"/>
      <w:lang w:val="en-US"/>
    </w:rPr>
  </w:style>
  <w:style w:type="character" w:customStyle="1" w:styleId="Heading1Char">
    <w:name w:val="Heading 1 Char"/>
    <w:basedOn w:val="DefaultParagraphFont"/>
    <w:link w:val="Heading1"/>
    <w:uiPriority w:val="9"/>
    <w:rsid w:val="00B87F5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87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5D"/>
    <w:rPr>
      <w:rFonts w:ascii="Segoe UI" w:hAnsi="Segoe UI" w:cs="Segoe UI"/>
      <w:sz w:val="18"/>
      <w:szCs w:val="18"/>
    </w:rPr>
  </w:style>
  <w:style w:type="paragraph" w:styleId="EndnoteText">
    <w:name w:val="endnote text"/>
    <w:basedOn w:val="Normal"/>
    <w:link w:val="EndnoteTextChar"/>
    <w:uiPriority w:val="99"/>
    <w:semiHidden/>
    <w:unhideWhenUsed/>
    <w:rsid w:val="008F0F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F53"/>
    <w:rPr>
      <w:sz w:val="20"/>
      <w:szCs w:val="20"/>
    </w:rPr>
  </w:style>
  <w:style w:type="character" w:styleId="EndnoteReference">
    <w:name w:val="endnote reference"/>
    <w:basedOn w:val="DefaultParagraphFont"/>
    <w:uiPriority w:val="99"/>
    <w:semiHidden/>
    <w:unhideWhenUsed/>
    <w:rsid w:val="008F0F53"/>
    <w:rPr>
      <w:vertAlign w:val="superscript"/>
    </w:rPr>
  </w:style>
  <w:style w:type="paragraph" w:customStyle="1" w:styleId="acthead5">
    <w:name w:val="acthead5"/>
    <w:basedOn w:val="Normal"/>
    <w:rsid w:val="008F0F53"/>
    <w:pPr>
      <w:spacing w:before="100" w:beforeAutospacing="1" w:after="100" w:afterAutospacing="1" w:line="240" w:lineRule="auto"/>
    </w:pPr>
    <w:rPr>
      <w:rFonts w:eastAsia="Times New Roman"/>
      <w:lang w:eastAsia="en-AU"/>
    </w:rPr>
  </w:style>
  <w:style w:type="character" w:customStyle="1" w:styleId="charsectno">
    <w:name w:val="charsectno"/>
    <w:basedOn w:val="DefaultParagraphFont"/>
    <w:rsid w:val="008F0F53"/>
  </w:style>
  <w:style w:type="paragraph" w:customStyle="1" w:styleId="subsection">
    <w:name w:val="subsection"/>
    <w:basedOn w:val="Normal"/>
    <w:rsid w:val="008F0F53"/>
    <w:pPr>
      <w:spacing w:before="100" w:beforeAutospacing="1" w:after="100" w:afterAutospacing="1" w:line="240" w:lineRule="auto"/>
    </w:pPr>
    <w:rPr>
      <w:rFonts w:eastAsia="Times New Roman"/>
      <w:lang w:eastAsia="en-AU"/>
    </w:rPr>
  </w:style>
  <w:style w:type="paragraph" w:customStyle="1" w:styleId="paragraph">
    <w:name w:val="paragraph"/>
    <w:basedOn w:val="Normal"/>
    <w:rsid w:val="008F0F53"/>
    <w:pPr>
      <w:spacing w:before="100" w:beforeAutospacing="1" w:after="100" w:afterAutospacing="1" w:line="240" w:lineRule="auto"/>
    </w:pPr>
    <w:rPr>
      <w:rFonts w:eastAsia="Times New Roman"/>
      <w:lang w:eastAsia="en-AU"/>
    </w:rPr>
  </w:style>
  <w:style w:type="character" w:styleId="Hyperlink">
    <w:name w:val="Hyperlink"/>
    <w:basedOn w:val="DefaultParagraphFont"/>
    <w:uiPriority w:val="99"/>
    <w:unhideWhenUsed/>
    <w:rsid w:val="0038790A"/>
    <w:rPr>
      <w:color w:val="0563C1" w:themeColor="hyperlink"/>
      <w:u w:val="single"/>
    </w:rPr>
  </w:style>
  <w:style w:type="paragraph" w:styleId="ListBullet">
    <w:name w:val="List Bullet"/>
    <w:basedOn w:val="Normal"/>
    <w:uiPriority w:val="99"/>
    <w:unhideWhenUsed/>
    <w:rsid w:val="006C5599"/>
    <w:pPr>
      <w:numPr>
        <w:numId w:val="7"/>
      </w:numPr>
      <w:spacing w:before="120" w:after="120" w:line="240" w:lineRule="auto"/>
      <w:ind w:left="357" w:hanging="357"/>
    </w:pPr>
    <w:rPr>
      <w:rFonts w:eastAsiaTheme="minorEastAsia" w:cstheme="minorBidi"/>
      <w:szCs w:val="22"/>
      <w:lang w:val="en-US"/>
    </w:rPr>
  </w:style>
  <w:style w:type="character" w:styleId="FollowedHyperlink">
    <w:name w:val="FollowedHyperlink"/>
    <w:basedOn w:val="DefaultParagraphFont"/>
    <w:uiPriority w:val="99"/>
    <w:semiHidden/>
    <w:unhideWhenUsed/>
    <w:rsid w:val="00E263DB"/>
    <w:rPr>
      <w:color w:val="954F72" w:themeColor="followedHyperlink"/>
      <w:u w:val="single"/>
    </w:rPr>
  </w:style>
  <w:style w:type="table" w:styleId="TableGrid">
    <w:name w:val="Table Grid"/>
    <w:basedOn w:val="TableNormal"/>
    <w:uiPriority w:val="39"/>
    <w:rsid w:val="00C4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1755"/>
    <w:pPr>
      <w:spacing w:before="0" w:after="160"/>
    </w:pPr>
    <w:rPr>
      <w:rFonts w:ascii="Times New Roman" w:eastAsiaTheme="minorHAnsi" w:hAnsi="Times New Roman" w:cs="Times New Roman"/>
      <w:b/>
      <w:bCs/>
      <w:lang w:val="en-AU"/>
    </w:rPr>
  </w:style>
  <w:style w:type="character" w:customStyle="1" w:styleId="CommentSubjectChar">
    <w:name w:val="Comment Subject Char"/>
    <w:basedOn w:val="CommentTextChar"/>
    <w:link w:val="CommentSubject"/>
    <w:uiPriority w:val="99"/>
    <w:semiHidden/>
    <w:rsid w:val="006E1755"/>
    <w:rPr>
      <w:rFonts w:asciiTheme="minorHAnsi" w:eastAsiaTheme="minorEastAsia" w:hAnsiTheme="minorHAnsi" w:cstheme="minorBidi"/>
      <w:b/>
      <w:bCs/>
      <w:sz w:val="20"/>
      <w:szCs w:val="20"/>
      <w:lang w:val="en-US"/>
    </w:rPr>
  </w:style>
  <w:style w:type="paragraph" w:styleId="NormalWeb">
    <w:name w:val="Normal (Web)"/>
    <w:basedOn w:val="Normal"/>
    <w:uiPriority w:val="99"/>
    <w:semiHidden/>
    <w:unhideWhenUsed/>
    <w:rsid w:val="003804FC"/>
    <w:pPr>
      <w:spacing w:after="450" w:line="420" w:lineRule="atLeast"/>
    </w:pPr>
    <w:rPr>
      <w:rFonts w:eastAsia="Times New Roman"/>
      <w:sz w:val="27"/>
      <w:szCs w:val="27"/>
      <w:lang w:eastAsia="en-AU"/>
    </w:rPr>
  </w:style>
  <w:style w:type="paragraph" w:customStyle="1" w:styleId="VisionBox">
    <w:name w:val="VisionBox"/>
    <w:basedOn w:val="Normal"/>
    <w:qFormat/>
    <w:rsid w:val="002C772D"/>
    <w:pPr>
      <w:pBdr>
        <w:top w:val="single" w:sz="4" w:space="15" w:color="358189"/>
        <w:bottom w:val="single" w:sz="4" w:space="10" w:color="358189"/>
      </w:pBdr>
      <w:spacing w:before="240" w:after="240" w:line="340" w:lineRule="exact"/>
    </w:pPr>
    <w:rPr>
      <w:color w:val="358189"/>
    </w:rPr>
  </w:style>
  <w:style w:type="table" w:styleId="TableGridLight">
    <w:name w:val="Grid Table Light"/>
    <w:basedOn w:val="TableNormal"/>
    <w:uiPriority w:val="40"/>
    <w:rsid w:val="008156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
    <w:name w:val="Bullet Point 1"/>
    <w:basedOn w:val="Normal"/>
    <w:autoRedefine/>
    <w:qFormat/>
    <w:rsid w:val="00A47FFD"/>
    <w:pPr>
      <w:numPr>
        <w:numId w:val="14"/>
      </w:numPr>
      <w:spacing w:before="120" w:after="120"/>
      <w:ind w:left="357" w:hanging="357"/>
    </w:pPr>
    <w:rPr>
      <w:rFonts w:eastAsia="Times New Roman"/>
      <w:szCs w:val="22"/>
      <w:lang w:val="en-US"/>
    </w:rPr>
  </w:style>
  <w:style w:type="table" w:styleId="LightList-Accent1">
    <w:name w:val="Light List Accent 1"/>
    <w:aliases w:val="VISUAL BRAND"/>
    <w:basedOn w:val="TableNormal"/>
    <w:uiPriority w:val="61"/>
    <w:rsid w:val="008156AD"/>
    <w:pPr>
      <w:spacing w:after="0" w:line="240" w:lineRule="auto"/>
    </w:pPr>
    <w:rPr>
      <w:rFonts w:ascii="Arial" w:hAnsi="Arial" w:cstheme="minorBidi"/>
      <w:sz w:val="22"/>
      <w:lang w:val="en-GB"/>
    </w:rPr>
    <w:tblPr>
      <w:tblStyleRowBandSize w:val="1"/>
      <w:tblStyleColBandSize w:val="1"/>
      <w:tblBorders>
        <w:top w:val="single" w:sz="2" w:space="0" w:color="008A96"/>
        <w:left w:val="single" w:sz="2" w:space="0" w:color="008A96"/>
        <w:bottom w:val="single" w:sz="2" w:space="0" w:color="008A96"/>
        <w:right w:val="single" w:sz="2" w:space="0" w:color="008A96"/>
        <w:insideH w:val="single" w:sz="2" w:space="0" w:color="008A96"/>
        <w:insideV w:val="single" w:sz="2" w:space="0" w:color="008A96"/>
      </w:tblBorders>
    </w:tblPr>
    <w:tblStylePr w:type="firstRow">
      <w:pPr>
        <w:spacing w:before="0" w:after="0" w:line="240" w:lineRule="auto"/>
      </w:pPr>
      <w:rPr>
        <w:b/>
        <w:bCs/>
        <w:color w:val="FFFFFF" w:themeColor="background1"/>
      </w:rPr>
      <w:tblPr/>
      <w:tcPr>
        <w:shd w:val="clear" w:color="auto" w:fill="008A96"/>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2" w:space="0" w:color="008A96"/>
          <w:left w:val="single" w:sz="2" w:space="0" w:color="008A96"/>
          <w:bottom w:val="single" w:sz="2" w:space="0" w:color="008A96"/>
          <w:right w:val="single" w:sz="2" w:space="0" w:color="008A96"/>
          <w:insideH w:val="single" w:sz="2" w:space="0" w:color="008A96"/>
          <w:insideV w:val="single" w:sz="2" w:space="0" w:color="008A96"/>
          <w:tl2br w:val="nil"/>
          <w:tr2bl w:val="nil"/>
        </w:tcBorders>
      </w:tcPr>
    </w:tblStylePr>
  </w:style>
  <w:style w:type="table" w:styleId="ListTable7Colorful-Accent3">
    <w:name w:val="List Table 7 Colorful Accent 3"/>
    <w:basedOn w:val="TableNormal"/>
    <w:uiPriority w:val="52"/>
    <w:rsid w:val="008156A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F76FD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E6431F"/>
    <w:rPr>
      <w:color w:val="808080"/>
    </w:rPr>
  </w:style>
  <w:style w:type="paragraph" w:styleId="Caption">
    <w:name w:val="caption"/>
    <w:basedOn w:val="Normal"/>
    <w:next w:val="Normal"/>
    <w:uiPriority w:val="35"/>
    <w:unhideWhenUsed/>
    <w:qFormat/>
    <w:rsid w:val="00F3511E"/>
    <w:pPr>
      <w:spacing w:before="240" w:after="120" w:line="240" w:lineRule="auto"/>
    </w:pPr>
    <w:rPr>
      <w:b/>
      <w:iCs/>
      <w:color w:val="44546A" w:themeColor="text2"/>
      <w:szCs w:val="18"/>
    </w:rPr>
  </w:style>
  <w:style w:type="character" w:customStyle="1" w:styleId="Heading3Char">
    <w:name w:val="Heading 3 Char"/>
    <w:basedOn w:val="DefaultParagraphFont"/>
    <w:link w:val="Heading3"/>
    <w:uiPriority w:val="9"/>
    <w:rsid w:val="00324AD1"/>
    <w:rPr>
      <w:rFonts w:asciiTheme="majorHAnsi" w:eastAsiaTheme="majorEastAsia" w:hAnsiTheme="majorHAnsi" w:cstheme="majorBidi"/>
      <w:b/>
      <w:color w:val="1F4D78" w:themeColor="accent1" w:themeShade="7F"/>
    </w:rPr>
  </w:style>
  <w:style w:type="paragraph" w:styleId="Title">
    <w:name w:val="Title"/>
    <w:basedOn w:val="Normal"/>
    <w:next w:val="Normal"/>
    <w:link w:val="TitleChar"/>
    <w:uiPriority w:val="10"/>
    <w:qFormat/>
    <w:rsid w:val="00896C50"/>
    <w:pPr>
      <w:spacing w:before="120" w:after="240" w:line="240" w:lineRule="auto"/>
      <w:jc w:val="center"/>
    </w:pPr>
    <w:rPr>
      <w:rFonts w:cstheme="minorHAnsi"/>
      <w:b/>
      <w:sz w:val="36"/>
      <w:szCs w:val="32"/>
    </w:rPr>
  </w:style>
  <w:style w:type="character" w:customStyle="1" w:styleId="TitleChar">
    <w:name w:val="Title Char"/>
    <w:basedOn w:val="DefaultParagraphFont"/>
    <w:link w:val="Title"/>
    <w:uiPriority w:val="10"/>
    <w:rsid w:val="00896C50"/>
    <w:rPr>
      <w:rFonts w:asciiTheme="minorHAnsi" w:hAnsiTheme="minorHAnsi" w:cstheme="minorHAns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302">
      <w:bodyDiv w:val="1"/>
      <w:marLeft w:val="0"/>
      <w:marRight w:val="0"/>
      <w:marTop w:val="0"/>
      <w:marBottom w:val="0"/>
      <w:divBdr>
        <w:top w:val="none" w:sz="0" w:space="0" w:color="auto"/>
        <w:left w:val="none" w:sz="0" w:space="0" w:color="auto"/>
        <w:bottom w:val="none" w:sz="0" w:space="0" w:color="auto"/>
        <w:right w:val="none" w:sz="0" w:space="0" w:color="auto"/>
      </w:divBdr>
    </w:div>
    <w:div w:id="104465976">
      <w:bodyDiv w:val="1"/>
      <w:marLeft w:val="0"/>
      <w:marRight w:val="0"/>
      <w:marTop w:val="0"/>
      <w:marBottom w:val="0"/>
      <w:divBdr>
        <w:top w:val="none" w:sz="0" w:space="0" w:color="auto"/>
        <w:left w:val="none" w:sz="0" w:space="0" w:color="auto"/>
        <w:bottom w:val="none" w:sz="0" w:space="0" w:color="auto"/>
        <w:right w:val="none" w:sz="0" w:space="0" w:color="auto"/>
      </w:divBdr>
    </w:div>
    <w:div w:id="374233313">
      <w:bodyDiv w:val="1"/>
      <w:marLeft w:val="0"/>
      <w:marRight w:val="0"/>
      <w:marTop w:val="0"/>
      <w:marBottom w:val="0"/>
      <w:divBdr>
        <w:top w:val="none" w:sz="0" w:space="0" w:color="auto"/>
        <w:left w:val="none" w:sz="0" w:space="0" w:color="auto"/>
        <w:bottom w:val="none" w:sz="0" w:space="0" w:color="auto"/>
        <w:right w:val="none" w:sz="0" w:space="0" w:color="auto"/>
      </w:divBdr>
    </w:div>
    <w:div w:id="400715103">
      <w:bodyDiv w:val="1"/>
      <w:marLeft w:val="0"/>
      <w:marRight w:val="0"/>
      <w:marTop w:val="0"/>
      <w:marBottom w:val="0"/>
      <w:divBdr>
        <w:top w:val="none" w:sz="0" w:space="0" w:color="auto"/>
        <w:left w:val="none" w:sz="0" w:space="0" w:color="auto"/>
        <w:bottom w:val="none" w:sz="0" w:space="0" w:color="auto"/>
        <w:right w:val="none" w:sz="0" w:space="0" w:color="auto"/>
      </w:divBdr>
    </w:div>
    <w:div w:id="409541668">
      <w:bodyDiv w:val="1"/>
      <w:marLeft w:val="0"/>
      <w:marRight w:val="0"/>
      <w:marTop w:val="0"/>
      <w:marBottom w:val="0"/>
      <w:divBdr>
        <w:top w:val="none" w:sz="0" w:space="0" w:color="auto"/>
        <w:left w:val="none" w:sz="0" w:space="0" w:color="auto"/>
        <w:bottom w:val="none" w:sz="0" w:space="0" w:color="auto"/>
        <w:right w:val="none" w:sz="0" w:space="0" w:color="auto"/>
      </w:divBdr>
    </w:div>
    <w:div w:id="601454658">
      <w:bodyDiv w:val="1"/>
      <w:marLeft w:val="0"/>
      <w:marRight w:val="0"/>
      <w:marTop w:val="0"/>
      <w:marBottom w:val="0"/>
      <w:divBdr>
        <w:top w:val="none" w:sz="0" w:space="0" w:color="auto"/>
        <w:left w:val="none" w:sz="0" w:space="0" w:color="auto"/>
        <w:bottom w:val="none" w:sz="0" w:space="0" w:color="auto"/>
        <w:right w:val="none" w:sz="0" w:space="0" w:color="auto"/>
      </w:divBdr>
    </w:div>
    <w:div w:id="760375833">
      <w:bodyDiv w:val="1"/>
      <w:marLeft w:val="0"/>
      <w:marRight w:val="0"/>
      <w:marTop w:val="0"/>
      <w:marBottom w:val="0"/>
      <w:divBdr>
        <w:top w:val="none" w:sz="0" w:space="0" w:color="auto"/>
        <w:left w:val="none" w:sz="0" w:space="0" w:color="auto"/>
        <w:bottom w:val="none" w:sz="0" w:space="0" w:color="auto"/>
        <w:right w:val="none" w:sz="0" w:space="0" w:color="auto"/>
      </w:divBdr>
    </w:div>
    <w:div w:id="845485044">
      <w:bodyDiv w:val="1"/>
      <w:marLeft w:val="0"/>
      <w:marRight w:val="0"/>
      <w:marTop w:val="0"/>
      <w:marBottom w:val="0"/>
      <w:divBdr>
        <w:top w:val="none" w:sz="0" w:space="0" w:color="auto"/>
        <w:left w:val="none" w:sz="0" w:space="0" w:color="auto"/>
        <w:bottom w:val="none" w:sz="0" w:space="0" w:color="auto"/>
        <w:right w:val="none" w:sz="0" w:space="0" w:color="auto"/>
      </w:divBdr>
    </w:div>
    <w:div w:id="913272479">
      <w:bodyDiv w:val="1"/>
      <w:marLeft w:val="0"/>
      <w:marRight w:val="0"/>
      <w:marTop w:val="0"/>
      <w:marBottom w:val="0"/>
      <w:divBdr>
        <w:top w:val="none" w:sz="0" w:space="0" w:color="auto"/>
        <w:left w:val="none" w:sz="0" w:space="0" w:color="auto"/>
        <w:bottom w:val="none" w:sz="0" w:space="0" w:color="auto"/>
        <w:right w:val="none" w:sz="0" w:space="0" w:color="auto"/>
      </w:divBdr>
      <w:divsChild>
        <w:div w:id="1049651309">
          <w:marLeft w:val="0"/>
          <w:marRight w:val="0"/>
          <w:marTop w:val="0"/>
          <w:marBottom w:val="0"/>
          <w:divBdr>
            <w:top w:val="none" w:sz="0" w:space="0" w:color="auto"/>
            <w:left w:val="none" w:sz="0" w:space="0" w:color="auto"/>
            <w:bottom w:val="none" w:sz="0" w:space="0" w:color="auto"/>
            <w:right w:val="none" w:sz="0" w:space="0" w:color="auto"/>
          </w:divBdr>
          <w:divsChild>
            <w:div w:id="2040624455">
              <w:marLeft w:val="0"/>
              <w:marRight w:val="0"/>
              <w:marTop w:val="0"/>
              <w:marBottom w:val="0"/>
              <w:divBdr>
                <w:top w:val="none" w:sz="0" w:space="0" w:color="auto"/>
                <w:left w:val="none" w:sz="0" w:space="0" w:color="auto"/>
                <w:bottom w:val="none" w:sz="0" w:space="0" w:color="auto"/>
                <w:right w:val="none" w:sz="0" w:space="0" w:color="auto"/>
              </w:divBdr>
              <w:divsChild>
                <w:div w:id="1282766429">
                  <w:marLeft w:val="0"/>
                  <w:marRight w:val="0"/>
                  <w:marTop w:val="0"/>
                  <w:marBottom w:val="0"/>
                  <w:divBdr>
                    <w:top w:val="none" w:sz="0" w:space="0" w:color="auto"/>
                    <w:left w:val="none" w:sz="0" w:space="0" w:color="auto"/>
                    <w:bottom w:val="none" w:sz="0" w:space="0" w:color="auto"/>
                    <w:right w:val="none" w:sz="0" w:space="0" w:color="auto"/>
                  </w:divBdr>
                  <w:divsChild>
                    <w:div w:id="2111126214">
                      <w:marLeft w:val="0"/>
                      <w:marRight w:val="0"/>
                      <w:marTop w:val="0"/>
                      <w:marBottom w:val="0"/>
                      <w:divBdr>
                        <w:top w:val="none" w:sz="0" w:space="0" w:color="auto"/>
                        <w:left w:val="none" w:sz="0" w:space="0" w:color="auto"/>
                        <w:bottom w:val="none" w:sz="0" w:space="0" w:color="auto"/>
                        <w:right w:val="none" w:sz="0" w:space="0" w:color="auto"/>
                      </w:divBdr>
                      <w:divsChild>
                        <w:div w:id="594021226">
                          <w:marLeft w:val="0"/>
                          <w:marRight w:val="0"/>
                          <w:marTop w:val="0"/>
                          <w:marBottom w:val="0"/>
                          <w:divBdr>
                            <w:top w:val="none" w:sz="0" w:space="0" w:color="auto"/>
                            <w:left w:val="none" w:sz="0" w:space="0" w:color="auto"/>
                            <w:bottom w:val="none" w:sz="0" w:space="0" w:color="auto"/>
                            <w:right w:val="none" w:sz="0" w:space="0" w:color="auto"/>
                          </w:divBdr>
                          <w:divsChild>
                            <w:div w:id="1724939977">
                              <w:marLeft w:val="0"/>
                              <w:marRight w:val="0"/>
                              <w:marTop w:val="0"/>
                              <w:marBottom w:val="0"/>
                              <w:divBdr>
                                <w:top w:val="none" w:sz="0" w:space="0" w:color="auto"/>
                                <w:left w:val="none" w:sz="0" w:space="0" w:color="auto"/>
                                <w:bottom w:val="none" w:sz="0" w:space="0" w:color="auto"/>
                                <w:right w:val="none" w:sz="0" w:space="0" w:color="auto"/>
                              </w:divBdr>
                              <w:divsChild>
                                <w:div w:id="1397245799">
                                  <w:marLeft w:val="0"/>
                                  <w:marRight w:val="0"/>
                                  <w:marTop w:val="0"/>
                                  <w:marBottom w:val="0"/>
                                  <w:divBdr>
                                    <w:top w:val="none" w:sz="0" w:space="0" w:color="auto"/>
                                    <w:left w:val="none" w:sz="0" w:space="0" w:color="auto"/>
                                    <w:bottom w:val="none" w:sz="0" w:space="0" w:color="auto"/>
                                    <w:right w:val="none" w:sz="0" w:space="0" w:color="auto"/>
                                  </w:divBdr>
                                  <w:divsChild>
                                    <w:div w:id="1451121292">
                                      <w:marLeft w:val="0"/>
                                      <w:marRight w:val="0"/>
                                      <w:marTop w:val="0"/>
                                      <w:marBottom w:val="0"/>
                                      <w:divBdr>
                                        <w:top w:val="none" w:sz="0" w:space="0" w:color="auto"/>
                                        <w:left w:val="none" w:sz="0" w:space="0" w:color="auto"/>
                                        <w:bottom w:val="none" w:sz="0" w:space="0" w:color="auto"/>
                                        <w:right w:val="none" w:sz="0" w:space="0" w:color="auto"/>
                                      </w:divBdr>
                                      <w:divsChild>
                                        <w:div w:id="18740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187282">
      <w:bodyDiv w:val="1"/>
      <w:marLeft w:val="0"/>
      <w:marRight w:val="0"/>
      <w:marTop w:val="0"/>
      <w:marBottom w:val="0"/>
      <w:divBdr>
        <w:top w:val="none" w:sz="0" w:space="0" w:color="auto"/>
        <w:left w:val="none" w:sz="0" w:space="0" w:color="auto"/>
        <w:bottom w:val="none" w:sz="0" w:space="0" w:color="auto"/>
        <w:right w:val="none" w:sz="0" w:space="0" w:color="auto"/>
      </w:divBdr>
      <w:divsChild>
        <w:div w:id="370616751">
          <w:marLeft w:val="0"/>
          <w:marRight w:val="0"/>
          <w:marTop w:val="0"/>
          <w:marBottom w:val="0"/>
          <w:divBdr>
            <w:top w:val="none" w:sz="0" w:space="0" w:color="auto"/>
            <w:left w:val="none" w:sz="0" w:space="0" w:color="auto"/>
            <w:bottom w:val="none" w:sz="0" w:space="0" w:color="auto"/>
            <w:right w:val="none" w:sz="0" w:space="0" w:color="auto"/>
          </w:divBdr>
          <w:divsChild>
            <w:div w:id="443237061">
              <w:marLeft w:val="0"/>
              <w:marRight w:val="0"/>
              <w:marTop w:val="0"/>
              <w:marBottom w:val="0"/>
              <w:divBdr>
                <w:top w:val="none" w:sz="0" w:space="0" w:color="auto"/>
                <w:left w:val="none" w:sz="0" w:space="0" w:color="auto"/>
                <w:bottom w:val="none" w:sz="0" w:space="0" w:color="auto"/>
                <w:right w:val="none" w:sz="0" w:space="0" w:color="auto"/>
              </w:divBdr>
              <w:divsChild>
                <w:div w:id="1411921974">
                  <w:marLeft w:val="0"/>
                  <w:marRight w:val="0"/>
                  <w:marTop w:val="0"/>
                  <w:marBottom w:val="0"/>
                  <w:divBdr>
                    <w:top w:val="none" w:sz="0" w:space="0" w:color="auto"/>
                    <w:left w:val="none" w:sz="0" w:space="0" w:color="auto"/>
                    <w:bottom w:val="none" w:sz="0" w:space="0" w:color="auto"/>
                    <w:right w:val="none" w:sz="0" w:space="0" w:color="auto"/>
                  </w:divBdr>
                  <w:divsChild>
                    <w:div w:id="2037461121">
                      <w:marLeft w:val="0"/>
                      <w:marRight w:val="0"/>
                      <w:marTop w:val="0"/>
                      <w:marBottom w:val="0"/>
                      <w:divBdr>
                        <w:top w:val="none" w:sz="0" w:space="0" w:color="auto"/>
                        <w:left w:val="none" w:sz="0" w:space="0" w:color="auto"/>
                        <w:bottom w:val="none" w:sz="0" w:space="0" w:color="auto"/>
                        <w:right w:val="none" w:sz="0" w:space="0" w:color="auto"/>
                      </w:divBdr>
                      <w:divsChild>
                        <w:div w:id="331874961">
                          <w:marLeft w:val="0"/>
                          <w:marRight w:val="0"/>
                          <w:marTop w:val="0"/>
                          <w:marBottom w:val="0"/>
                          <w:divBdr>
                            <w:top w:val="none" w:sz="0" w:space="0" w:color="auto"/>
                            <w:left w:val="none" w:sz="0" w:space="0" w:color="auto"/>
                            <w:bottom w:val="none" w:sz="0" w:space="0" w:color="auto"/>
                            <w:right w:val="none" w:sz="0" w:space="0" w:color="auto"/>
                          </w:divBdr>
                          <w:divsChild>
                            <w:div w:id="174006368">
                              <w:marLeft w:val="0"/>
                              <w:marRight w:val="0"/>
                              <w:marTop w:val="0"/>
                              <w:marBottom w:val="0"/>
                              <w:divBdr>
                                <w:top w:val="none" w:sz="0" w:space="0" w:color="auto"/>
                                <w:left w:val="none" w:sz="0" w:space="0" w:color="auto"/>
                                <w:bottom w:val="none" w:sz="0" w:space="0" w:color="auto"/>
                                <w:right w:val="none" w:sz="0" w:space="0" w:color="auto"/>
                              </w:divBdr>
                              <w:divsChild>
                                <w:div w:id="39407839">
                                  <w:marLeft w:val="0"/>
                                  <w:marRight w:val="0"/>
                                  <w:marTop w:val="0"/>
                                  <w:marBottom w:val="0"/>
                                  <w:divBdr>
                                    <w:top w:val="none" w:sz="0" w:space="0" w:color="auto"/>
                                    <w:left w:val="none" w:sz="0" w:space="0" w:color="auto"/>
                                    <w:bottom w:val="none" w:sz="0" w:space="0" w:color="auto"/>
                                    <w:right w:val="none" w:sz="0" w:space="0" w:color="auto"/>
                                  </w:divBdr>
                                  <w:divsChild>
                                    <w:div w:id="420419449">
                                      <w:marLeft w:val="0"/>
                                      <w:marRight w:val="0"/>
                                      <w:marTop w:val="0"/>
                                      <w:marBottom w:val="0"/>
                                      <w:divBdr>
                                        <w:top w:val="none" w:sz="0" w:space="0" w:color="auto"/>
                                        <w:left w:val="none" w:sz="0" w:space="0" w:color="auto"/>
                                        <w:bottom w:val="none" w:sz="0" w:space="0" w:color="auto"/>
                                        <w:right w:val="none" w:sz="0" w:space="0" w:color="auto"/>
                                      </w:divBdr>
                                      <w:divsChild>
                                        <w:div w:id="700789641">
                                          <w:marLeft w:val="0"/>
                                          <w:marRight w:val="0"/>
                                          <w:marTop w:val="0"/>
                                          <w:marBottom w:val="0"/>
                                          <w:divBdr>
                                            <w:top w:val="none" w:sz="0" w:space="0" w:color="auto"/>
                                            <w:left w:val="none" w:sz="0" w:space="0" w:color="auto"/>
                                            <w:bottom w:val="none" w:sz="0" w:space="0" w:color="auto"/>
                                            <w:right w:val="none" w:sz="0" w:space="0" w:color="auto"/>
                                          </w:divBdr>
                                          <w:divsChild>
                                            <w:div w:id="612596309">
                                              <w:marLeft w:val="0"/>
                                              <w:marRight w:val="0"/>
                                              <w:marTop w:val="0"/>
                                              <w:marBottom w:val="0"/>
                                              <w:divBdr>
                                                <w:top w:val="none" w:sz="0" w:space="0" w:color="auto"/>
                                                <w:left w:val="none" w:sz="0" w:space="0" w:color="auto"/>
                                                <w:bottom w:val="none" w:sz="0" w:space="0" w:color="auto"/>
                                                <w:right w:val="none" w:sz="0" w:space="0" w:color="auto"/>
                                              </w:divBdr>
                                              <w:divsChild>
                                                <w:div w:id="1293173375">
                                                  <w:marLeft w:val="0"/>
                                                  <w:marRight w:val="0"/>
                                                  <w:marTop w:val="0"/>
                                                  <w:marBottom w:val="0"/>
                                                  <w:divBdr>
                                                    <w:top w:val="none" w:sz="0" w:space="0" w:color="auto"/>
                                                    <w:left w:val="none" w:sz="0" w:space="0" w:color="auto"/>
                                                    <w:bottom w:val="none" w:sz="0" w:space="0" w:color="auto"/>
                                                    <w:right w:val="none" w:sz="0" w:space="0" w:color="auto"/>
                                                  </w:divBdr>
                                                  <w:divsChild>
                                                    <w:div w:id="1771313910">
                                                      <w:marLeft w:val="0"/>
                                                      <w:marRight w:val="0"/>
                                                      <w:marTop w:val="0"/>
                                                      <w:marBottom w:val="0"/>
                                                      <w:divBdr>
                                                        <w:top w:val="none" w:sz="0" w:space="0" w:color="auto"/>
                                                        <w:left w:val="none" w:sz="0" w:space="0" w:color="auto"/>
                                                        <w:bottom w:val="none" w:sz="0" w:space="0" w:color="auto"/>
                                                        <w:right w:val="none" w:sz="0" w:space="0" w:color="auto"/>
                                                      </w:divBdr>
                                                      <w:divsChild>
                                                        <w:div w:id="20374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466066">
      <w:bodyDiv w:val="1"/>
      <w:marLeft w:val="0"/>
      <w:marRight w:val="0"/>
      <w:marTop w:val="0"/>
      <w:marBottom w:val="0"/>
      <w:divBdr>
        <w:top w:val="none" w:sz="0" w:space="0" w:color="auto"/>
        <w:left w:val="none" w:sz="0" w:space="0" w:color="auto"/>
        <w:bottom w:val="none" w:sz="0" w:space="0" w:color="auto"/>
        <w:right w:val="none" w:sz="0" w:space="0" w:color="auto"/>
      </w:divBdr>
    </w:div>
    <w:div w:id="1050036222">
      <w:bodyDiv w:val="1"/>
      <w:marLeft w:val="0"/>
      <w:marRight w:val="0"/>
      <w:marTop w:val="0"/>
      <w:marBottom w:val="0"/>
      <w:divBdr>
        <w:top w:val="none" w:sz="0" w:space="0" w:color="auto"/>
        <w:left w:val="none" w:sz="0" w:space="0" w:color="auto"/>
        <w:bottom w:val="none" w:sz="0" w:space="0" w:color="auto"/>
        <w:right w:val="none" w:sz="0" w:space="0" w:color="auto"/>
      </w:divBdr>
    </w:div>
    <w:div w:id="1239289526">
      <w:bodyDiv w:val="1"/>
      <w:marLeft w:val="0"/>
      <w:marRight w:val="0"/>
      <w:marTop w:val="0"/>
      <w:marBottom w:val="0"/>
      <w:divBdr>
        <w:top w:val="none" w:sz="0" w:space="0" w:color="auto"/>
        <w:left w:val="none" w:sz="0" w:space="0" w:color="auto"/>
        <w:bottom w:val="none" w:sz="0" w:space="0" w:color="auto"/>
        <w:right w:val="none" w:sz="0" w:space="0" w:color="auto"/>
      </w:divBdr>
    </w:div>
    <w:div w:id="1260748589">
      <w:bodyDiv w:val="1"/>
      <w:marLeft w:val="0"/>
      <w:marRight w:val="0"/>
      <w:marTop w:val="0"/>
      <w:marBottom w:val="0"/>
      <w:divBdr>
        <w:top w:val="none" w:sz="0" w:space="0" w:color="auto"/>
        <w:left w:val="none" w:sz="0" w:space="0" w:color="auto"/>
        <w:bottom w:val="none" w:sz="0" w:space="0" w:color="auto"/>
        <w:right w:val="none" w:sz="0" w:space="0" w:color="auto"/>
      </w:divBdr>
    </w:div>
    <w:div w:id="1288049110">
      <w:bodyDiv w:val="1"/>
      <w:marLeft w:val="0"/>
      <w:marRight w:val="0"/>
      <w:marTop w:val="0"/>
      <w:marBottom w:val="0"/>
      <w:divBdr>
        <w:top w:val="none" w:sz="0" w:space="0" w:color="auto"/>
        <w:left w:val="none" w:sz="0" w:space="0" w:color="auto"/>
        <w:bottom w:val="none" w:sz="0" w:space="0" w:color="auto"/>
        <w:right w:val="none" w:sz="0" w:space="0" w:color="auto"/>
      </w:divBdr>
    </w:div>
    <w:div w:id="1391685640">
      <w:bodyDiv w:val="1"/>
      <w:marLeft w:val="0"/>
      <w:marRight w:val="0"/>
      <w:marTop w:val="0"/>
      <w:marBottom w:val="0"/>
      <w:divBdr>
        <w:top w:val="none" w:sz="0" w:space="0" w:color="auto"/>
        <w:left w:val="none" w:sz="0" w:space="0" w:color="auto"/>
        <w:bottom w:val="none" w:sz="0" w:space="0" w:color="auto"/>
        <w:right w:val="none" w:sz="0" w:space="0" w:color="auto"/>
      </w:divBdr>
    </w:div>
    <w:div w:id="1826899889">
      <w:bodyDiv w:val="1"/>
      <w:marLeft w:val="0"/>
      <w:marRight w:val="0"/>
      <w:marTop w:val="0"/>
      <w:marBottom w:val="0"/>
      <w:divBdr>
        <w:top w:val="none" w:sz="0" w:space="0" w:color="auto"/>
        <w:left w:val="none" w:sz="0" w:space="0" w:color="auto"/>
        <w:bottom w:val="none" w:sz="0" w:space="0" w:color="auto"/>
        <w:right w:val="none" w:sz="0" w:space="0" w:color="auto"/>
      </w:divBdr>
    </w:div>
    <w:div w:id="1849515776">
      <w:bodyDiv w:val="1"/>
      <w:marLeft w:val="0"/>
      <w:marRight w:val="0"/>
      <w:marTop w:val="0"/>
      <w:marBottom w:val="0"/>
      <w:divBdr>
        <w:top w:val="none" w:sz="0" w:space="0" w:color="auto"/>
        <w:left w:val="none" w:sz="0" w:space="0" w:color="auto"/>
        <w:bottom w:val="none" w:sz="0" w:space="0" w:color="auto"/>
        <w:right w:val="none" w:sz="0" w:space="0" w:color="auto"/>
      </w:divBdr>
    </w:div>
    <w:div w:id="21208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health.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1A4C7-12D1-465C-B24D-AEA80B74DF41}">
  <ds:schemaRefs>
    <ds:schemaRef ds:uri="http://schemas.openxmlformats.org/officeDocument/2006/bibliography"/>
  </ds:schemaRefs>
</ds:datastoreItem>
</file>

<file path=customXml/itemProps2.xml><?xml version="1.0" encoding="utf-8"?>
<ds:datastoreItem xmlns:ds="http://schemas.openxmlformats.org/officeDocument/2006/customXml" ds:itemID="{C3DB4E4B-378F-42AF-A048-40197721C805}"/>
</file>

<file path=customXml/itemProps3.xml><?xml version="1.0" encoding="utf-8"?>
<ds:datastoreItem xmlns:ds="http://schemas.openxmlformats.org/officeDocument/2006/customXml" ds:itemID="{EF65B65D-8BEE-4EAE-9EE8-1D321B0C5766}"/>
</file>

<file path=customXml/itemProps4.xml><?xml version="1.0" encoding="utf-8"?>
<ds:datastoreItem xmlns:ds="http://schemas.openxmlformats.org/officeDocument/2006/customXml" ds:itemID="{BB3DC9D7-B846-4995-A90D-D1BDFECEE7D5}"/>
</file>

<file path=docProps/app.xml><?xml version="1.0" encoding="utf-8"?>
<Properties xmlns="http://schemas.openxmlformats.org/officeDocument/2006/extended-properties" xmlns:vt="http://schemas.openxmlformats.org/officeDocument/2006/docPropsVTypes">
  <Template>Normal.dotm</Template>
  <TotalTime>19</TotalTime>
  <Pages>3</Pages>
  <Words>810</Words>
  <Characters>4483</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Catherine</dc:creator>
  <cp:keywords/>
  <dc:description/>
  <cp:lastModifiedBy>HEAP, George</cp:lastModifiedBy>
  <cp:revision>15</cp:revision>
  <cp:lastPrinted>2019-09-24T01:24:00Z</cp:lastPrinted>
  <dcterms:created xsi:type="dcterms:W3CDTF">2019-10-30T05:35:00Z</dcterms:created>
  <dcterms:modified xsi:type="dcterms:W3CDTF">2019-11-06T00:57:00Z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