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C127" w14:textId="6B810DCE" w:rsidR="00FF381B" w:rsidRDefault="006C49AC" w:rsidP="00DB26E3">
      <w:pPr>
        <w:pStyle w:val="Heading1"/>
        <w:spacing w:before="300" w:after="240"/>
      </w:pPr>
      <w:r>
        <w:t>Directing do</w:t>
      </w:r>
      <w:r w:rsidR="002F3AE1">
        <w:t>ctors to areas of greatest need</w:t>
      </w:r>
    </w:p>
    <w:p w14:paraId="6FED4F38" w14:textId="2C61D278" w:rsidR="00163F5D" w:rsidRPr="00AE7EC1" w:rsidRDefault="00297E98" w:rsidP="00F227B9">
      <w:r w:rsidRPr="00AE7EC1">
        <w:t xml:space="preserve">The </w:t>
      </w:r>
      <w:r w:rsidRPr="00AE7EC1">
        <w:rPr>
          <w:b/>
        </w:rPr>
        <w:t>Visas for General Practitioners (GPs)</w:t>
      </w:r>
      <w:r w:rsidRPr="00AE7EC1">
        <w:t xml:space="preserve"> </w:t>
      </w:r>
      <w:r w:rsidR="00B11CF9" w:rsidRPr="00A67B9A">
        <w:t>P</w:t>
      </w:r>
      <w:r w:rsidRPr="00A67B9A">
        <w:t>rogram</w:t>
      </w:r>
      <w:r w:rsidR="006A568F" w:rsidRPr="00A67B9A">
        <w:t xml:space="preserve"> helps in</w:t>
      </w:r>
      <w:r w:rsidR="00B6137C" w:rsidRPr="00A67B9A">
        <w:t>crease access to GP services in</w:t>
      </w:r>
      <w:r w:rsidR="006A568F" w:rsidRPr="00A67B9A">
        <w:t xml:space="preserve"> rural</w:t>
      </w:r>
      <w:r w:rsidR="00B11CF9" w:rsidRPr="00A67B9A">
        <w:t>, regional</w:t>
      </w:r>
      <w:r w:rsidR="006A568F" w:rsidRPr="00A67B9A">
        <w:t xml:space="preserve"> and remote </w:t>
      </w:r>
      <w:r w:rsidR="00B6137C" w:rsidRPr="00A67B9A">
        <w:t xml:space="preserve">areas of Australia. The </w:t>
      </w:r>
      <w:r w:rsidR="00B11CF9" w:rsidRPr="00A67B9A">
        <w:t>P</w:t>
      </w:r>
      <w:r w:rsidR="00B6137C" w:rsidRPr="00A67B9A">
        <w:t xml:space="preserve">rogram encourages </w:t>
      </w:r>
      <w:r w:rsidR="006A568F" w:rsidRPr="00A67B9A">
        <w:t xml:space="preserve">overseas doctors to seek positions in </w:t>
      </w:r>
      <w:r w:rsidR="00FD57FE" w:rsidRPr="00A67B9A">
        <w:t>communities most in need of primary health care services.</w:t>
      </w:r>
    </w:p>
    <w:p w14:paraId="4BB7A55A" w14:textId="76B8F756" w:rsidR="002F3AE1" w:rsidRPr="00792FB3" w:rsidRDefault="002F3AE1" w:rsidP="00792FB3">
      <w:pPr>
        <w:pStyle w:val="VisionBox"/>
      </w:pPr>
      <w:r w:rsidRPr="00792FB3">
        <w:t>From</w:t>
      </w:r>
      <w:r w:rsidR="001A3963" w:rsidRPr="00792FB3">
        <w:t xml:space="preserve"> </w:t>
      </w:r>
      <w:r w:rsidR="00B11CF9" w:rsidRPr="00792FB3">
        <w:t xml:space="preserve">11 </w:t>
      </w:r>
      <w:r w:rsidRPr="00792FB3">
        <w:t xml:space="preserve">March 2019, </w:t>
      </w:r>
      <w:r w:rsidR="00ED1DCB">
        <w:t xml:space="preserve">employers of </w:t>
      </w:r>
      <w:r w:rsidR="0020681F" w:rsidRPr="00792FB3">
        <w:t xml:space="preserve">overseas doctors </w:t>
      </w:r>
      <w:r w:rsidRPr="00792FB3">
        <w:t xml:space="preserve">seeking </w:t>
      </w:r>
      <w:r w:rsidR="00F22CAA" w:rsidRPr="00792FB3">
        <w:t xml:space="preserve">employer sponsored </w:t>
      </w:r>
      <w:r w:rsidRPr="00792FB3">
        <w:t xml:space="preserve">visas to work </w:t>
      </w:r>
      <w:r w:rsidR="00F22CAA" w:rsidRPr="00792FB3">
        <w:t>in Australia</w:t>
      </w:r>
      <w:r w:rsidRPr="00792FB3">
        <w:t xml:space="preserve"> are required to obtain a Health Workforce Certificate </w:t>
      </w:r>
      <w:r w:rsidR="00F22CAA" w:rsidRPr="00792FB3">
        <w:t xml:space="preserve">(HWC) </w:t>
      </w:r>
      <w:r w:rsidR="00AC5A9D" w:rsidRPr="00792FB3">
        <w:t>from a Rural Workforce Agency</w:t>
      </w:r>
      <w:r w:rsidR="00B11CF9" w:rsidRPr="00792FB3">
        <w:t xml:space="preserve"> (RWA)</w:t>
      </w:r>
      <w:r w:rsidR="00AC5A9D" w:rsidRPr="00792FB3">
        <w:t xml:space="preserve">. </w:t>
      </w:r>
      <w:r w:rsidR="00F00528">
        <w:t>F</w:t>
      </w:r>
      <w:r w:rsidR="00F00528" w:rsidRPr="00F00528">
        <w:t>or non-hospital based</w:t>
      </w:r>
      <w:r w:rsidR="002001F6" w:rsidRPr="002001F6">
        <w:t xml:space="preserve"> (primary health care)</w:t>
      </w:r>
      <w:r w:rsidR="00F00528" w:rsidRPr="00F00528">
        <w:t xml:space="preserve"> positions</w:t>
      </w:r>
      <w:r w:rsidR="00F00528">
        <w:t xml:space="preserve">, </w:t>
      </w:r>
      <w:r w:rsidRPr="00792FB3">
        <w:t>HWC</w:t>
      </w:r>
      <w:r w:rsidR="00AC5A9D" w:rsidRPr="00792FB3">
        <w:t>s</w:t>
      </w:r>
      <w:r w:rsidRPr="00792FB3">
        <w:t xml:space="preserve"> will only be issued </w:t>
      </w:r>
      <w:r w:rsidR="00B11CF9" w:rsidRPr="00792FB3">
        <w:t>for</w:t>
      </w:r>
      <w:r w:rsidRPr="00792FB3">
        <w:t xml:space="preserve"> positons</w:t>
      </w:r>
      <w:r w:rsidR="005118AA">
        <w:t xml:space="preserve"> located</w:t>
      </w:r>
      <w:r w:rsidRPr="00792FB3">
        <w:t xml:space="preserve"> in areas where there is genuine need for additional </w:t>
      </w:r>
      <w:r w:rsidR="00AC5A9D" w:rsidRPr="00792FB3">
        <w:t>primary health care</w:t>
      </w:r>
      <w:r w:rsidRPr="00792FB3">
        <w:t xml:space="preserve"> services. These areas </w:t>
      </w:r>
      <w:r w:rsidR="00B11CF9" w:rsidRPr="00792FB3">
        <w:t>are</w:t>
      </w:r>
      <w:r w:rsidRPr="00792FB3">
        <w:t xml:space="preserve"> determined using </w:t>
      </w:r>
      <w:r w:rsidR="003921F8" w:rsidRPr="00792FB3">
        <w:t xml:space="preserve">the </w:t>
      </w:r>
      <w:r w:rsidR="00B11CF9" w:rsidRPr="00792FB3">
        <w:t>Department of Health’s Assessment Tool</w:t>
      </w:r>
      <w:r w:rsidRPr="00792FB3">
        <w:t xml:space="preserve"> and the Distributio</w:t>
      </w:r>
      <w:r w:rsidR="00AC5A9D" w:rsidRPr="00792FB3">
        <w:t>n Priority Area classification.</w:t>
      </w:r>
      <w:r w:rsidR="00F7489B">
        <w:t xml:space="preserve"> From </w:t>
      </w:r>
      <w:r w:rsidR="002001F6">
        <w:t>16 December</w:t>
      </w:r>
      <w:r w:rsidR="00F7489B">
        <w:t xml:space="preserve"> 2020,</w:t>
      </w:r>
      <w:r w:rsidR="00DC02C8">
        <w:t xml:space="preserve"> </w:t>
      </w:r>
      <w:r w:rsidR="00F7489B" w:rsidRPr="00F7489B">
        <w:t xml:space="preserve">hospital employers </w:t>
      </w:r>
      <w:r w:rsidR="00F7489B">
        <w:t xml:space="preserve">are able to apply for </w:t>
      </w:r>
      <w:r w:rsidR="00F7489B" w:rsidRPr="00F7489B">
        <w:t>a Health Workforce Exemption Certificate (HWEC)</w:t>
      </w:r>
      <w:r w:rsidR="00BA7721">
        <w:t xml:space="preserve"> which can be used </w:t>
      </w:r>
      <w:r w:rsidR="00F334A8" w:rsidRPr="00F334A8">
        <w:t xml:space="preserve">repeatedly </w:t>
      </w:r>
      <w:r w:rsidR="00F334A8">
        <w:t xml:space="preserve">within a 12 month period </w:t>
      </w:r>
      <w:r w:rsidR="00BA7721">
        <w:t xml:space="preserve">to </w:t>
      </w:r>
      <w:r w:rsidR="00415DE7">
        <w:t>nominate</w:t>
      </w:r>
      <w:r w:rsidR="005D07AA">
        <w:t xml:space="preserve"> </w:t>
      </w:r>
      <w:r w:rsidR="005D07AA" w:rsidRPr="005D07AA">
        <w:t>overseas doctors seeking</w:t>
      </w:r>
      <w:r w:rsidR="005D07AA">
        <w:t xml:space="preserve"> temporary and provisional</w:t>
      </w:r>
      <w:r w:rsidR="005D07AA" w:rsidRPr="005D07AA">
        <w:t xml:space="preserve"> employer sponsored </w:t>
      </w:r>
      <w:r w:rsidR="00F334A8">
        <w:t>visas</w:t>
      </w:r>
      <w:r w:rsidR="005D07AA">
        <w:t>.</w:t>
      </w:r>
      <w:r w:rsidR="00F7489B" w:rsidRPr="00F7489B">
        <w:t xml:space="preserve"> </w:t>
      </w:r>
      <w:r w:rsidR="00DC02C8" w:rsidRPr="00DC02C8">
        <w:t>HWECs will only be issued to hospital employers for hospital based positions.</w:t>
      </w:r>
    </w:p>
    <w:p w14:paraId="5E38B81B" w14:textId="66B3C434" w:rsidR="00163F5D" w:rsidRPr="00A007E1" w:rsidRDefault="00482828" w:rsidP="00A007E1">
      <w:pPr>
        <w:pStyle w:val="Heading2"/>
      </w:pPr>
      <w:bookmarkStart w:id="0" w:name="_Toc2597840"/>
      <w:r w:rsidRPr="00A007E1">
        <w:t>R</w:t>
      </w:r>
      <w:r w:rsidR="00163F5D" w:rsidRPr="00A007E1">
        <w:t>e</w:t>
      </w:r>
      <w:r w:rsidR="00163F5D" w:rsidRPr="005D537D">
        <w:t>qu</w:t>
      </w:r>
      <w:r w:rsidR="00163F5D" w:rsidRPr="00A007E1">
        <w:t xml:space="preserve">irements </w:t>
      </w:r>
      <w:bookmarkEnd w:id="0"/>
      <w:r w:rsidR="00163F5D" w:rsidRPr="00A007E1">
        <w:t>for employers</w:t>
      </w:r>
    </w:p>
    <w:p w14:paraId="40FBC9C9" w14:textId="468D6518" w:rsidR="00163F5D" w:rsidRPr="004D56F5" w:rsidRDefault="00163F5D" w:rsidP="00A67B9A">
      <w:r w:rsidRPr="004D56F5">
        <w:t>Employers</w:t>
      </w:r>
      <w:r w:rsidR="00852D00" w:rsidRPr="004D56F5">
        <w:t xml:space="preserve"> (including hospital employers)</w:t>
      </w:r>
      <w:r w:rsidRPr="004D56F5">
        <w:t xml:space="preserve"> nominating a position </w:t>
      </w:r>
      <w:r w:rsidR="00FD57FE" w:rsidRPr="004D56F5">
        <w:t xml:space="preserve">that will be filled by </w:t>
      </w:r>
      <w:r w:rsidRPr="004D56F5">
        <w:t>a doctor who needs a</w:t>
      </w:r>
      <w:r w:rsidR="00F22CAA">
        <w:t>n employer sponsored</w:t>
      </w:r>
      <w:r w:rsidRPr="004D56F5">
        <w:t xml:space="preserve"> visa to work </w:t>
      </w:r>
      <w:r w:rsidR="00682967" w:rsidRPr="004D56F5">
        <w:t xml:space="preserve">in </w:t>
      </w:r>
      <w:r w:rsidRPr="004D56F5">
        <w:t xml:space="preserve">Australia </w:t>
      </w:r>
      <w:r w:rsidR="00B11CF9">
        <w:t>are</w:t>
      </w:r>
      <w:r w:rsidRPr="004D56F5">
        <w:t xml:space="preserve"> required to obtain</w:t>
      </w:r>
      <w:r w:rsidR="00B11CF9">
        <w:t xml:space="preserve"> a HWC</w:t>
      </w:r>
      <w:r w:rsidR="009933AE">
        <w:t xml:space="preserve"> or a HWEC</w:t>
      </w:r>
      <w:r w:rsidR="00462331">
        <w:t xml:space="preserve"> </w:t>
      </w:r>
      <w:r w:rsidRPr="004D56F5">
        <w:t>from a</w:t>
      </w:r>
      <w:r w:rsidR="00B11CF9">
        <w:t xml:space="preserve"> RWA</w:t>
      </w:r>
      <w:r w:rsidR="00B700C0" w:rsidRPr="004D56F5">
        <w:t xml:space="preserve">. </w:t>
      </w:r>
      <w:r w:rsidR="00F00528">
        <w:t>F</w:t>
      </w:r>
      <w:r w:rsidR="004B244F" w:rsidRPr="00792FB3">
        <w:t xml:space="preserve">or </w:t>
      </w:r>
      <w:r w:rsidR="004B244F">
        <w:t xml:space="preserve">non-hospital based </w:t>
      </w:r>
      <w:r w:rsidR="004B244F" w:rsidRPr="00792FB3">
        <w:t>posit</w:t>
      </w:r>
      <w:r w:rsidR="004C1FC7">
        <w:t>i</w:t>
      </w:r>
      <w:r w:rsidR="004B244F" w:rsidRPr="00792FB3">
        <w:t>ons</w:t>
      </w:r>
      <w:r w:rsidR="00F00528">
        <w:t>, a</w:t>
      </w:r>
      <w:r w:rsidR="00F00528" w:rsidRPr="004D56F5">
        <w:t xml:space="preserve"> </w:t>
      </w:r>
      <w:r w:rsidR="00F00528">
        <w:t>HWC</w:t>
      </w:r>
      <w:r w:rsidRPr="004D56F5">
        <w:t xml:space="preserve"> is issued by </w:t>
      </w:r>
      <w:r w:rsidR="001C7659">
        <w:t>a</w:t>
      </w:r>
      <w:r w:rsidR="001C7659" w:rsidRPr="004D56F5">
        <w:t xml:space="preserve"> </w:t>
      </w:r>
      <w:r w:rsidRPr="004D56F5">
        <w:t xml:space="preserve">RWA </w:t>
      </w:r>
      <w:r w:rsidR="00F00528">
        <w:t xml:space="preserve">only </w:t>
      </w:r>
      <w:r w:rsidRPr="004D56F5">
        <w:t>where there is a genuine need to fill a primary health</w:t>
      </w:r>
      <w:r w:rsidR="00C720C2">
        <w:t xml:space="preserve"> </w:t>
      </w:r>
      <w:r w:rsidRPr="004D56F5">
        <w:t>care</w:t>
      </w:r>
      <w:r w:rsidR="00B700C0" w:rsidRPr="004D56F5">
        <w:t xml:space="preserve"> position at a given location. </w:t>
      </w:r>
      <w:r w:rsidRPr="004D56F5">
        <w:t>A</w:t>
      </w:r>
      <w:r w:rsidR="002001F6" w:rsidRPr="002001F6">
        <w:t>n appropriate</w:t>
      </w:r>
      <w:r w:rsidRPr="004D56F5">
        <w:t xml:space="preserve"> </w:t>
      </w:r>
      <w:r w:rsidR="00462331">
        <w:t>HWC</w:t>
      </w:r>
      <w:r w:rsidR="009933AE">
        <w:t xml:space="preserve"> or HWEC</w:t>
      </w:r>
      <w:r w:rsidRPr="004D56F5">
        <w:t xml:space="preserve"> is required for a</w:t>
      </w:r>
      <w:r w:rsidR="00F00528">
        <w:t>ll</w:t>
      </w:r>
      <w:r w:rsidRPr="004D56F5">
        <w:t xml:space="preserve"> employer sponsor</w:t>
      </w:r>
      <w:r w:rsidR="00DC2DBD" w:rsidRPr="004D56F5">
        <w:t>ed</w:t>
      </w:r>
      <w:r w:rsidRPr="004D56F5">
        <w:t xml:space="preserve"> visa </w:t>
      </w:r>
      <w:r w:rsidR="004B244F">
        <w:t>nomination</w:t>
      </w:r>
      <w:r w:rsidR="00F00528">
        <w:t>s</w:t>
      </w:r>
      <w:r w:rsidR="004B244F">
        <w:t xml:space="preserve"> </w:t>
      </w:r>
      <w:r w:rsidRPr="004D56F5">
        <w:t xml:space="preserve">in </w:t>
      </w:r>
      <w:r w:rsidR="00DC2DBD" w:rsidRPr="004D56F5">
        <w:t xml:space="preserve">the </w:t>
      </w:r>
      <w:r w:rsidR="00FD57FE" w:rsidRPr="004D56F5">
        <w:t>following three occupations:</w:t>
      </w:r>
    </w:p>
    <w:p w14:paraId="48DF7531" w14:textId="77777777" w:rsidR="00B700C0" w:rsidRPr="00A67B9A" w:rsidRDefault="00163F5D" w:rsidP="00A67B9A">
      <w:pPr>
        <w:pStyle w:val="ListBullet"/>
      </w:pPr>
      <w:r w:rsidRPr="00A67B9A">
        <w:t xml:space="preserve">General </w:t>
      </w:r>
      <w:r w:rsidR="00B700C0" w:rsidRPr="00A67B9A">
        <w:t>Practitioner (ANZSCO 253111)</w:t>
      </w:r>
    </w:p>
    <w:p w14:paraId="4CAD0646" w14:textId="77777777" w:rsidR="00B700C0" w:rsidRPr="00A67B9A" w:rsidRDefault="00163F5D" w:rsidP="00A67B9A">
      <w:pPr>
        <w:pStyle w:val="ListBullet"/>
      </w:pPr>
      <w:r w:rsidRPr="00A67B9A">
        <w:t>Resident Medical</w:t>
      </w:r>
      <w:r w:rsidR="00B700C0" w:rsidRPr="00A67B9A">
        <w:t xml:space="preserve"> Officer (ANZSCO 253112)</w:t>
      </w:r>
    </w:p>
    <w:p w14:paraId="7B3DFD01" w14:textId="383702D3" w:rsidR="00B700C0" w:rsidRPr="00A67B9A" w:rsidRDefault="00163F5D" w:rsidP="005A3EE9">
      <w:pPr>
        <w:pStyle w:val="ListBullet"/>
      </w:pPr>
      <w:r w:rsidRPr="00A67B9A">
        <w:t>Medical Practitioner not elsewhe</w:t>
      </w:r>
      <w:r w:rsidR="0051115D" w:rsidRPr="00A67B9A">
        <w:t>re classified (ANZSCO 253999).</w:t>
      </w:r>
    </w:p>
    <w:p w14:paraId="45AE8B4C" w14:textId="1E342CA5" w:rsidR="005D07AA" w:rsidRDefault="009933AE" w:rsidP="009933AE">
      <w:pPr>
        <w:rPr>
          <w:rFonts w:cs="Arial"/>
          <w:szCs w:val="22"/>
        </w:rPr>
      </w:pPr>
      <w:r w:rsidRPr="009933AE">
        <w:rPr>
          <w:rFonts w:cs="Arial"/>
          <w:szCs w:val="22"/>
        </w:rPr>
        <w:t>Hospital employers need to provide a HWEC when nominating overseas doctors for Temporary Skill Shortage (TSS) (subclass 482) and Skilled Employer Sponsored Regional (Provisional) (subclass 494) visas.</w:t>
      </w:r>
      <w:r w:rsidR="003B309C">
        <w:rPr>
          <w:rFonts w:cs="Arial"/>
          <w:szCs w:val="22"/>
        </w:rPr>
        <w:t xml:space="preserve"> </w:t>
      </w:r>
      <w:r w:rsidR="005D07AA">
        <w:rPr>
          <w:rFonts w:cs="Arial"/>
          <w:szCs w:val="22"/>
        </w:rPr>
        <w:t>HWEC</w:t>
      </w:r>
      <w:r w:rsidR="00A8182D">
        <w:rPr>
          <w:rFonts w:cs="Arial"/>
          <w:szCs w:val="22"/>
        </w:rPr>
        <w:t xml:space="preserve">s are valid for 12 months and hospital employers are able to use the same HWEC repeatedly </w:t>
      </w:r>
      <w:r w:rsidR="00A8182D" w:rsidRPr="00A8182D">
        <w:rPr>
          <w:rFonts w:cs="Arial"/>
          <w:szCs w:val="22"/>
        </w:rPr>
        <w:t>within the 12 month validity period</w:t>
      </w:r>
      <w:r w:rsidR="00213553">
        <w:rPr>
          <w:rFonts w:cs="Arial"/>
          <w:szCs w:val="22"/>
        </w:rPr>
        <w:t xml:space="preserve"> to nominate</w:t>
      </w:r>
      <w:r w:rsidR="00F334A8">
        <w:rPr>
          <w:rFonts w:cs="Arial"/>
          <w:szCs w:val="22"/>
        </w:rPr>
        <w:t xml:space="preserve"> </w:t>
      </w:r>
      <w:r w:rsidR="00213553" w:rsidRPr="009933AE">
        <w:rPr>
          <w:rFonts w:cs="Arial"/>
          <w:szCs w:val="22"/>
        </w:rPr>
        <w:t>overseas doctors</w:t>
      </w:r>
      <w:r w:rsidR="00213553">
        <w:rPr>
          <w:rFonts w:cs="Arial"/>
          <w:szCs w:val="22"/>
        </w:rPr>
        <w:t xml:space="preserve"> for these </w:t>
      </w:r>
      <w:r w:rsidR="003226D6" w:rsidRPr="003226D6">
        <w:rPr>
          <w:rFonts w:cs="Arial"/>
          <w:szCs w:val="22"/>
        </w:rPr>
        <w:t>temporary and provisional employer sponsored visas</w:t>
      </w:r>
      <w:r w:rsidR="00213553">
        <w:rPr>
          <w:rFonts w:cs="Arial"/>
          <w:szCs w:val="22"/>
        </w:rPr>
        <w:t xml:space="preserve"> in the three </w:t>
      </w:r>
      <w:r w:rsidR="00213553" w:rsidRPr="00213553">
        <w:rPr>
          <w:rFonts w:cs="Arial"/>
          <w:szCs w:val="22"/>
        </w:rPr>
        <w:t>occupations</w:t>
      </w:r>
      <w:r w:rsidR="00213553">
        <w:rPr>
          <w:rFonts w:cs="Arial"/>
          <w:szCs w:val="22"/>
        </w:rPr>
        <w:t xml:space="preserve"> above.</w:t>
      </w:r>
      <w:r w:rsidR="00F334A8">
        <w:rPr>
          <w:rFonts w:cs="Arial"/>
          <w:szCs w:val="22"/>
        </w:rPr>
        <w:t xml:space="preserve"> </w:t>
      </w:r>
      <w:r w:rsidR="002001F6">
        <w:rPr>
          <w:rFonts w:cs="Arial"/>
          <w:szCs w:val="22"/>
        </w:rPr>
        <w:br/>
      </w:r>
      <w:r w:rsidR="00F334A8" w:rsidRPr="00F334A8">
        <w:rPr>
          <w:rFonts w:cs="Arial"/>
          <w:sz w:val="20"/>
          <w:szCs w:val="20"/>
        </w:rPr>
        <w:t xml:space="preserve">Note: a separate HWEC is required by hospital employers </w:t>
      </w:r>
      <w:r w:rsidR="002001F6">
        <w:rPr>
          <w:rFonts w:cs="Arial"/>
          <w:sz w:val="20"/>
          <w:szCs w:val="20"/>
        </w:rPr>
        <w:t>to nominate</w:t>
      </w:r>
      <w:r w:rsidR="00F334A8" w:rsidRPr="00F334A8">
        <w:rPr>
          <w:rFonts w:cs="Arial"/>
          <w:sz w:val="20"/>
          <w:szCs w:val="20"/>
        </w:rPr>
        <w:t xml:space="preserve"> overseas doctors </w:t>
      </w:r>
      <w:r w:rsidR="00F334A8">
        <w:rPr>
          <w:rFonts w:cs="Arial"/>
          <w:sz w:val="20"/>
          <w:szCs w:val="20"/>
        </w:rPr>
        <w:t>in</w:t>
      </w:r>
      <w:r w:rsidR="00F334A8" w:rsidRPr="00F334A8">
        <w:rPr>
          <w:rFonts w:cs="Arial"/>
          <w:sz w:val="20"/>
          <w:szCs w:val="20"/>
        </w:rPr>
        <w:t xml:space="preserve"> each of the three occupations above.</w:t>
      </w:r>
    </w:p>
    <w:p w14:paraId="24C3301C" w14:textId="054CB652" w:rsidR="009933AE" w:rsidRDefault="009933AE" w:rsidP="008D2B97">
      <w:pPr>
        <w:rPr>
          <w:rFonts w:cs="Arial"/>
          <w:szCs w:val="22"/>
        </w:rPr>
      </w:pPr>
      <w:r w:rsidRPr="009933AE">
        <w:rPr>
          <w:rFonts w:cs="Arial"/>
          <w:szCs w:val="22"/>
        </w:rPr>
        <w:t xml:space="preserve">A </w:t>
      </w:r>
      <w:r w:rsidR="009952A1">
        <w:rPr>
          <w:rFonts w:cs="Arial"/>
          <w:szCs w:val="22"/>
        </w:rPr>
        <w:t xml:space="preserve">single use </w:t>
      </w:r>
      <w:r w:rsidRPr="009933AE">
        <w:rPr>
          <w:rFonts w:cs="Arial"/>
          <w:szCs w:val="22"/>
        </w:rPr>
        <w:t>HWC is still required by hos</w:t>
      </w:r>
      <w:r w:rsidR="002001F6">
        <w:rPr>
          <w:rFonts w:cs="Arial"/>
          <w:szCs w:val="22"/>
        </w:rPr>
        <w:t>pital employers when nominating</w:t>
      </w:r>
      <w:r w:rsidR="009952A1">
        <w:rPr>
          <w:rFonts w:cs="Arial"/>
          <w:szCs w:val="22"/>
        </w:rPr>
        <w:t xml:space="preserve"> </w:t>
      </w:r>
      <w:r w:rsidR="002001F6">
        <w:rPr>
          <w:rFonts w:cs="Arial"/>
          <w:szCs w:val="22"/>
        </w:rPr>
        <w:t>overseas doctors for</w:t>
      </w:r>
      <w:r w:rsidRPr="009933AE">
        <w:rPr>
          <w:rFonts w:cs="Arial"/>
          <w:szCs w:val="22"/>
        </w:rPr>
        <w:t xml:space="preserve"> permanent Employer Nomination Scheme (ENS) (subclass 186) </w:t>
      </w:r>
      <w:r w:rsidR="009952A1">
        <w:rPr>
          <w:rFonts w:cs="Arial"/>
          <w:szCs w:val="22"/>
        </w:rPr>
        <w:t>or</w:t>
      </w:r>
      <w:r w:rsidRPr="009933AE">
        <w:rPr>
          <w:rFonts w:cs="Arial"/>
          <w:szCs w:val="22"/>
        </w:rPr>
        <w:t xml:space="preserve"> Regional Sponsored Migration Scheme (RSMS) (subclass 187) visas.</w:t>
      </w:r>
    </w:p>
    <w:p w14:paraId="6903B6CE" w14:textId="0760D58D" w:rsidR="002001F6" w:rsidRPr="004D56F5" w:rsidRDefault="002001F6" w:rsidP="002001F6">
      <w:r w:rsidRPr="004D56F5">
        <w:t xml:space="preserve">Employers </w:t>
      </w:r>
      <w:r>
        <w:t xml:space="preserve">are </w:t>
      </w:r>
      <w:r w:rsidRPr="004D56F5">
        <w:t xml:space="preserve">required to attach </w:t>
      </w:r>
      <w:r>
        <w:t xml:space="preserve">the appropriate </w:t>
      </w:r>
      <w:r w:rsidRPr="004D56F5">
        <w:t>H</w:t>
      </w:r>
      <w:r>
        <w:t>WC or HWEC</w:t>
      </w:r>
      <w:r w:rsidRPr="004D56F5">
        <w:t xml:space="preserve"> to their nomination application for </w:t>
      </w:r>
      <w:r>
        <w:t xml:space="preserve">the following </w:t>
      </w:r>
      <w:r w:rsidRPr="004D56F5">
        <w:t xml:space="preserve">employer sponsored visas: </w:t>
      </w:r>
    </w:p>
    <w:p w14:paraId="4E88E5E3" w14:textId="77777777" w:rsidR="002001F6" w:rsidRPr="00A67B9A" w:rsidRDefault="002001F6" w:rsidP="002001F6">
      <w:pPr>
        <w:pStyle w:val="ListBullet"/>
      </w:pPr>
      <w:r w:rsidRPr="00A67B9A">
        <w:t>Temporary Skill Shortage (TSS) (subclass 482) visa</w:t>
      </w:r>
    </w:p>
    <w:p w14:paraId="74E80243" w14:textId="77777777" w:rsidR="002001F6" w:rsidRPr="00A67B9A" w:rsidRDefault="002001F6" w:rsidP="002001F6">
      <w:pPr>
        <w:pStyle w:val="ListBullet"/>
      </w:pPr>
      <w:r w:rsidRPr="00A67B9A">
        <w:t>Skilled Employer Sponsored Regional (Provisional) (subclass 494) visa</w:t>
      </w:r>
    </w:p>
    <w:p w14:paraId="03ABCB84" w14:textId="77777777" w:rsidR="002001F6" w:rsidRPr="00A67B9A" w:rsidRDefault="002001F6" w:rsidP="002001F6">
      <w:pPr>
        <w:pStyle w:val="ListBullet"/>
      </w:pPr>
      <w:r w:rsidRPr="00A67B9A">
        <w:t>Employer Nomination Scheme (ENS) (subclass 186) visa</w:t>
      </w:r>
    </w:p>
    <w:p w14:paraId="70AB2E23" w14:textId="77777777" w:rsidR="002001F6" w:rsidRPr="00652BC3" w:rsidRDefault="002001F6" w:rsidP="008D2B97">
      <w:pPr>
        <w:pStyle w:val="ListBullet"/>
        <w:spacing w:after="120"/>
        <w:ind w:left="714" w:hanging="357"/>
        <w:rPr>
          <w:rFonts w:cs="Arial"/>
          <w:szCs w:val="22"/>
        </w:rPr>
      </w:pPr>
      <w:r w:rsidRPr="00A67B9A">
        <w:t>Regional Sponsored Migration Scheme (RSMS) (subclass 187) visa</w:t>
      </w:r>
      <w:r>
        <w:t>.</w:t>
      </w:r>
    </w:p>
    <w:p w14:paraId="7B7A6619" w14:textId="77777777" w:rsidR="002001F6" w:rsidRDefault="002001F6" w:rsidP="002001F6">
      <w:pPr>
        <w:rPr>
          <w:rFonts w:cs="Arial"/>
          <w:szCs w:val="22"/>
        </w:rPr>
      </w:pPr>
      <w:r>
        <w:rPr>
          <w:rFonts w:cs="Arial"/>
          <w:szCs w:val="22"/>
        </w:rPr>
        <w:t xml:space="preserve">Table 1 below specifies the appropriate </w:t>
      </w:r>
      <w:r w:rsidRPr="00CE14DB">
        <w:rPr>
          <w:rFonts w:cs="Arial"/>
          <w:szCs w:val="22"/>
        </w:rPr>
        <w:t>certification required for</w:t>
      </w:r>
      <w:r>
        <w:rPr>
          <w:rFonts w:cs="Arial"/>
          <w:szCs w:val="22"/>
        </w:rPr>
        <w:t xml:space="preserve"> each </w:t>
      </w:r>
      <w:r w:rsidRPr="003B1749">
        <w:rPr>
          <w:rFonts w:cs="Arial"/>
          <w:szCs w:val="22"/>
        </w:rPr>
        <w:t>employer sponsored visa</w:t>
      </w:r>
      <w:r>
        <w:rPr>
          <w:rFonts w:cs="Arial"/>
          <w:szCs w:val="22"/>
        </w:rPr>
        <w:t xml:space="preserve"> and position nomination.</w:t>
      </w:r>
    </w:p>
    <w:p w14:paraId="7BF783B7" w14:textId="77777777" w:rsidR="00047ACA" w:rsidRPr="008D2B97" w:rsidRDefault="00047ACA">
      <w:pPr>
        <w:spacing w:before="0" w:after="0"/>
        <w:rPr>
          <w:iCs/>
          <w:sz w:val="20"/>
          <w:szCs w:val="18"/>
        </w:rPr>
      </w:pPr>
      <w:bookmarkStart w:id="1" w:name="_Ref25069554"/>
      <w:r>
        <w:rPr>
          <w:b/>
          <w:i/>
          <w:iCs/>
          <w:sz w:val="20"/>
          <w:szCs w:val="18"/>
        </w:rPr>
        <w:br w:type="page"/>
      </w:r>
    </w:p>
    <w:p w14:paraId="21ABB7EF" w14:textId="194052FD" w:rsidR="002001F6" w:rsidRPr="00196C17" w:rsidRDefault="002001F6" w:rsidP="002001F6">
      <w:pPr>
        <w:rPr>
          <w:b/>
          <w:i/>
          <w:iCs/>
          <w:sz w:val="20"/>
          <w:szCs w:val="18"/>
        </w:rPr>
      </w:pPr>
      <w:r w:rsidRPr="00196C17">
        <w:rPr>
          <w:b/>
          <w:i/>
          <w:iCs/>
          <w:sz w:val="20"/>
          <w:szCs w:val="18"/>
        </w:rPr>
        <w:lastRenderedPageBreak/>
        <w:t xml:space="preserve">Table </w:t>
      </w:r>
      <w:r w:rsidRPr="00196C17">
        <w:rPr>
          <w:b/>
          <w:i/>
          <w:iCs/>
          <w:sz w:val="20"/>
          <w:szCs w:val="18"/>
        </w:rPr>
        <w:fldChar w:fldCharType="begin"/>
      </w:r>
      <w:r w:rsidRPr="00196C17">
        <w:rPr>
          <w:b/>
          <w:i/>
          <w:iCs/>
          <w:sz w:val="20"/>
          <w:szCs w:val="18"/>
        </w:rPr>
        <w:instrText xml:space="preserve"> SEQ Table \* ARABIC </w:instrText>
      </w:r>
      <w:r w:rsidRPr="00196C17">
        <w:rPr>
          <w:b/>
          <w:i/>
          <w:iCs/>
          <w:sz w:val="20"/>
          <w:szCs w:val="18"/>
        </w:rPr>
        <w:fldChar w:fldCharType="separate"/>
      </w:r>
      <w:r w:rsidR="00415DE7">
        <w:rPr>
          <w:b/>
          <w:i/>
          <w:iCs/>
          <w:noProof/>
          <w:sz w:val="20"/>
          <w:szCs w:val="18"/>
        </w:rPr>
        <w:t>1</w:t>
      </w:r>
      <w:r w:rsidRPr="00196C17">
        <w:rPr>
          <w:b/>
          <w:i/>
          <w:iCs/>
          <w:noProof/>
          <w:sz w:val="20"/>
          <w:szCs w:val="18"/>
        </w:rPr>
        <w:fldChar w:fldCharType="end"/>
      </w:r>
      <w:bookmarkEnd w:id="1"/>
      <w:r>
        <w:rPr>
          <w:b/>
          <w:i/>
          <w:iCs/>
          <w:sz w:val="20"/>
          <w:szCs w:val="18"/>
        </w:rPr>
        <w:t>: A</w:t>
      </w:r>
      <w:r w:rsidRPr="00CE14DB">
        <w:rPr>
          <w:b/>
          <w:i/>
          <w:iCs/>
          <w:sz w:val="20"/>
          <w:szCs w:val="18"/>
        </w:rPr>
        <w:t xml:space="preserve">ppropriate </w:t>
      </w:r>
      <w:r>
        <w:rPr>
          <w:b/>
          <w:i/>
          <w:iCs/>
          <w:sz w:val="20"/>
          <w:szCs w:val="18"/>
        </w:rPr>
        <w:t>c</w:t>
      </w:r>
      <w:r w:rsidRPr="00196C17">
        <w:rPr>
          <w:b/>
          <w:i/>
          <w:iCs/>
          <w:sz w:val="20"/>
          <w:szCs w:val="18"/>
        </w:rPr>
        <w:t>ertification</w:t>
      </w:r>
      <w:r>
        <w:rPr>
          <w:b/>
          <w:i/>
          <w:iCs/>
          <w:sz w:val="20"/>
          <w:szCs w:val="18"/>
        </w:rPr>
        <w:t xml:space="preserve"> required for nomination of the following visas and positions.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1771"/>
        <w:gridCol w:w="1772"/>
      </w:tblGrid>
      <w:tr w:rsidR="002001F6" w:rsidRPr="003B1749" w14:paraId="0858229E" w14:textId="77777777" w:rsidTr="00991373">
        <w:tc>
          <w:tcPr>
            <w:tcW w:w="6238" w:type="dxa"/>
          </w:tcPr>
          <w:p w14:paraId="53BC0033" w14:textId="77777777" w:rsidR="002001F6" w:rsidRPr="003B1749" w:rsidRDefault="002001F6" w:rsidP="00991373">
            <w:pPr>
              <w:rPr>
                <w:b/>
                <w:sz w:val="20"/>
                <w:szCs w:val="20"/>
              </w:rPr>
            </w:pPr>
            <w:r w:rsidRPr="003B1749">
              <w:rPr>
                <w:rFonts w:cs="Arial"/>
                <w:b/>
                <w:sz w:val="20"/>
                <w:szCs w:val="20"/>
              </w:rPr>
              <w:t>Employer Sponsored visas</w:t>
            </w:r>
          </w:p>
        </w:tc>
        <w:tc>
          <w:tcPr>
            <w:tcW w:w="1771" w:type="dxa"/>
          </w:tcPr>
          <w:p w14:paraId="6E607D17" w14:textId="77777777" w:rsidR="002001F6" w:rsidRPr="003B1749" w:rsidRDefault="002001F6" w:rsidP="00991373">
            <w:pPr>
              <w:rPr>
                <w:b/>
                <w:sz w:val="20"/>
                <w:szCs w:val="20"/>
              </w:rPr>
            </w:pPr>
            <w:r w:rsidRPr="003B1749">
              <w:rPr>
                <w:rFonts w:cs="Arial"/>
                <w:b/>
                <w:sz w:val="20"/>
                <w:szCs w:val="20"/>
              </w:rPr>
              <w:t>Primary care positions</w:t>
            </w:r>
          </w:p>
        </w:tc>
        <w:tc>
          <w:tcPr>
            <w:tcW w:w="1772" w:type="dxa"/>
          </w:tcPr>
          <w:p w14:paraId="06ABD006" w14:textId="77777777" w:rsidR="002001F6" w:rsidRPr="003B1749" w:rsidRDefault="002001F6" w:rsidP="00991373">
            <w:pPr>
              <w:rPr>
                <w:b/>
                <w:sz w:val="20"/>
                <w:szCs w:val="20"/>
              </w:rPr>
            </w:pPr>
            <w:r w:rsidRPr="003B1749">
              <w:rPr>
                <w:rFonts w:cs="Arial"/>
                <w:b/>
                <w:sz w:val="20"/>
                <w:szCs w:val="20"/>
              </w:rPr>
              <w:t>Hospital based positions</w:t>
            </w:r>
          </w:p>
        </w:tc>
      </w:tr>
      <w:tr w:rsidR="002001F6" w:rsidRPr="003B1749" w14:paraId="4301D42B" w14:textId="77777777" w:rsidTr="00991373">
        <w:trPr>
          <w:trHeight w:val="466"/>
        </w:trPr>
        <w:tc>
          <w:tcPr>
            <w:tcW w:w="6238" w:type="dxa"/>
          </w:tcPr>
          <w:p w14:paraId="3834AFDC" w14:textId="77777777" w:rsidR="002001F6" w:rsidRPr="003B1749" w:rsidRDefault="002001F6" w:rsidP="00991373">
            <w:pPr>
              <w:spacing w:after="40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Temporary Skill Shortage (TSS) (subclass 482)</w:t>
            </w:r>
          </w:p>
        </w:tc>
        <w:tc>
          <w:tcPr>
            <w:tcW w:w="1771" w:type="dxa"/>
          </w:tcPr>
          <w:p w14:paraId="584B680E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  <w:tc>
          <w:tcPr>
            <w:tcW w:w="1772" w:type="dxa"/>
          </w:tcPr>
          <w:p w14:paraId="5FE3D8D2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HWEC</w:t>
            </w:r>
          </w:p>
        </w:tc>
      </w:tr>
      <w:tr w:rsidR="002001F6" w:rsidRPr="003B1749" w14:paraId="71EE563B" w14:textId="77777777" w:rsidTr="00991373">
        <w:trPr>
          <w:trHeight w:val="466"/>
        </w:trPr>
        <w:tc>
          <w:tcPr>
            <w:tcW w:w="6238" w:type="dxa"/>
          </w:tcPr>
          <w:p w14:paraId="38355455" w14:textId="77777777" w:rsidR="002001F6" w:rsidRPr="003B1749" w:rsidRDefault="002001F6" w:rsidP="00991373">
            <w:pPr>
              <w:spacing w:after="40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Skilled Employer Sponsored Regional (Provisional) (subclass 494)</w:t>
            </w:r>
          </w:p>
        </w:tc>
        <w:tc>
          <w:tcPr>
            <w:tcW w:w="1771" w:type="dxa"/>
          </w:tcPr>
          <w:p w14:paraId="70F10B21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  <w:tc>
          <w:tcPr>
            <w:tcW w:w="1772" w:type="dxa"/>
          </w:tcPr>
          <w:p w14:paraId="6A44F16A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HWEC</w:t>
            </w:r>
          </w:p>
        </w:tc>
      </w:tr>
      <w:tr w:rsidR="002001F6" w:rsidRPr="003B1749" w14:paraId="039E869C" w14:textId="77777777" w:rsidTr="00991373">
        <w:trPr>
          <w:trHeight w:val="466"/>
        </w:trPr>
        <w:tc>
          <w:tcPr>
            <w:tcW w:w="6238" w:type="dxa"/>
          </w:tcPr>
          <w:p w14:paraId="5F6F16C2" w14:textId="77777777" w:rsidR="002001F6" w:rsidRPr="003B1749" w:rsidRDefault="002001F6" w:rsidP="00991373">
            <w:pPr>
              <w:spacing w:after="40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Employer Nomination Scheme (ENS) (subclass 186)</w:t>
            </w:r>
          </w:p>
        </w:tc>
        <w:tc>
          <w:tcPr>
            <w:tcW w:w="1771" w:type="dxa"/>
          </w:tcPr>
          <w:p w14:paraId="43C8FE19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  <w:tc>
          <w:tcPr>
            <w:tcW w:w="1772" w:type="dxa"/>
          </w:tcPr>
          <w:p w14:paraId="10C8D4F5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</w:tr>
      <w:tr w:rsidR="002001F6" w:rsidRPr="003B1749" w14:paraId="3E51C2CE" w14:textId="77777777" w:rsidTr="00991373">
        <w:trPr>
          <w:trHeight w:val="466"/>
        </w:trPr>
        <w:tc>
          <w:tcPr>
            <w:tcW w:w="6238" w:type="dxa"/>
          </w:tcPr>
          <w:p w14:paraId="739ECCB6" w14:textId="77777777" w:rsidR="002001F6" w:rsidRPr="003B1749" w:rsidRDefault="002001F6" w:rsidP="00991373">
            <w:pPr>
              <w:spacing w:after="40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Regional Sponsored Migration Scheme (RSMS) (subclass 187)</w:t>
            </w:r>
          </w:p>
        </w:tc>
        <w:tc>
          <w:tcPr>
            <w:tcW w:w="1771" w:type="dxa"/>
          </w:tcPr>
          <w:p w14:paraId="2E204B3E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  <w:tc>
          <w:tcPr>
            <w:tcW w:w="1772" w:type="dxa"/>
          </w:tcPr>
          <w:p w14:paraId="27F35D5F" w14:textId="77777777" w:rsidR="002001F6" w:rsidRPr="003B1749" w:rsidRDefault="002001F6" w:rsidP="00991373">
            <w:pPr>
              <w:spacing w:after="40"/>
              <w:jc w:val="center"/>
              <w:rPr>
                <w:sz w:val="20"/>
                <w:szCs w:val="20"/>
              </w:rPr>
            </w:pPr>
            <w:r w:rsidRPr="003B1749">
              <w:rPr>
                <w:rFonts w:cs="Arial"/>
                <w:sz w:val="20"/>
                <w:szCs w:val="20"/>
              </w:rPr>
              <w:t>HWC</w:t>
            </w:r>
          </w:p>
        </w:tc>
      </w:tr>
    </w:tbl>
    <w:p w14:paraId="61AB22A3" w14:textId="77777777" w:rsidR="002001F6" w:rsidRDefault="002001F6" w:rsidP="002001F6">
      <w:pPr>
        <w:rPr>
          <w:rFonts w:cs="Arial"/>
          <w:szCs w:val="22"/>
        </w:rPr>
      </w:pPr>
      <w:r w:rsidRPr="00751DB7">
        <w:rPr>
          <w:rFonts w:cs="Arial"/>
          <w:szCs w:val="22"/>
        </w:rPr>
        <w:t xml:space="preserve">A visa will not be granted if an employer does not include the </w:t>
      </w:r>
      <w:r>
        <w:rPr>
          <w:rFonts w:cs="Arial"/>
          <w:szCs w:val="22"/>
        </w:rPr>
        <w:t xml:space="preserve">appropriate </w:t>
      </w:r>
      <w:r w:rsidRPr="00751DB7">
        <w:rPr>
          <w:rFonts w:cs="Arial"/>
          <w:szCs w:val="22"/>
        </w:rPr>
        <w:t>HWC</w:t>
      </w:r>
      <w:r>
        <w:rPr>
          <w:rFonts w:cs="Arial"/>
          <w:szCs w:val="22"/>
        </w:rPr>
        <w:t xml:space="preserve"> or HWEC</w:t>
      </w:r>
      <w:r w:rsidRPr="00751DB7">
        <w:rPr>
          <w:rFonts w:cs="Arial"/>
          <w:szCs w:val="22"/>
        </w:rPr>
        <w:t xml:space="preserve"> in the visa nomination application to the Department of </w:t>
      </w:r>
      <w:hyperlink r:id="rId7" w:history="1">
        <w:r w:rsidRPr="00751DB7">
          <w:rPr>
            <w:rFonts w:cs="Arial"/>
            <w:szCs w:val="22"/>
          </w:rPr>
          <w:t>Home Affairs</w:t>
        </w:r>
      </w:hyperlink>
      <w:r w:rsidRPr="00751DB7">
        <w:rPr>
          <w:rFonts w:cs="Arial"/>
          <w:szCs w:val="22"/>
        </w:rPr>
        <w:t>.</w:t>
      </w:r>
      <w:bookmarkStart w:id="2" w:name="_GoBack"/>
      <w:bookmarkEnd w:id="2"/>
    </w:p>
    <w:p w14:paraId="70EF4CC9" w14:textId="55FC0E25" w:rsidR="00C249CC" w:rsidRPr="002F3AE1" w:rsidRDefault="00482828" w:rsidP="009E4930">
      <w:pPr>
        <w:pStyle w:val="Heading2"/>
        <w:keepNext/>
        <w:keepLines/>
      </w:pPr>
      <w:r>
        <w:t>R</w:t>
      </w:r>
      <w:r w:rsidR="00C249CC" w:rsidRPr="002F3AE1">
        <w:t>equirements for overseas doctors</w:t>
      </w:r>
    </w:p>
    <w:p w14:paraId="3720060B" w14:textId="072988F8" w:rsidR="00AB6A69" w:rsidRDefault="00C249CC" w:rsidP="009E4930">
      <w:pPr>
        <w:keepNext/>
        <w:keepLines/>
        <w:spacing w:line="264" w:lineRule="auto"/>
        <w:rPr>
          <w:rFonts w:cs="Arial"/>
          <w:szCs w:val="22"/>
        </w:rPr>
      </w:pPr>
      <w:r w:rsidRPr="00C249CC">
        <w:rPr>
          <w:rFonts w:cs="Arial"/>
          <w:szCs w:val="22"/>
        </w:rPr>
        <w:t>Overseas doctors, located both within and outside Australia, who are applying for an employer sponsored temporary</w:t>
      </w:r>
      <w:r w:rsidR="00424F6A">
        <w:rPr>
          <w:rFonts w:cs="Arial"/>
          <w:szCs w:val="22"/>
        </w:rPr>
        <w:t>,</w:t>
      </w:r>
      <w:r w:rsidRPr="00C249CC">
        <w:rPr>
          <w:rFonts w:cs="Arial"/>
          <w:szCs w:val="22"/>
        </w:rPr>
        <w:t xml:space="preserve"> </w:t>
      </w:r>
      <w:r w:rsidR="00424F6A" w:rsidRPr="00424F6A">
        <w:rPr>
          <w:rFonts w:cs="Arial"/>
          <w:szCs w:val="22"/>
        </w:rPr>
        <w:t xml:space="preserve">provisional </w:t>
      </w:r>
      <w:r w:rsidRPr="00C249CC">
        <w:rPr>
          <w:rFonts w:cs="Arial"/>
          <w:szCs w:val="22"/>
        </w:rPr>
        <w:t>or permanent residence visa</w:t>
      </w:r>
      <w:r w:rsidR="003964AC">
        <w:rPr>
          <w:rFonts w:cs="Arial"/>
          <w:szCs w:val="22"/>
        </w:rPr>
        <w:t xml:space="preserve"> in one of the three occupation</w:t>
      </w:r>
      <w:r w:rsidR="00A43C37">
        <w:rPr>
          <w:rFonts w:cs="Arial"/>
          <w:szCs w:val="22"/>
        </w:rPr>
        <w:t>s</w:t>
      </w:r>
      <w:r w:rsidR="003964AC">
        <w:rPr>
          <w:rFonts w:cs="Arial"/>
          <w:szCs w:val="22"/>
        </w:rPr>
        <w:t xml:space="preserve"> above</w:t>
      </w:r>
      <w:r w:rsidRPr="00C249CC">
        <w:rPr>
          <w:rFonts w:cs="Arial"/>
          <w:szCs w:val="22"/>
        </w:rPr>
        <w:t>, require</w:t>
      </w:r>
      <w:r w:rsidR="004B244F">
        <w:rPr>
          <w:rFonts w:cs="Arial"/>
          <w:szCs w:val="22"/>
        </w:rPr>
        <w:t xml:space="preserve"> their sponsoring employer to obtain</w:t>
      </w:r>
      <w:r w:rsidRPr="00C249CC">
        <w:rPr>
          <w:rFonts w:cs="Arial"/>
          <w:szCs w:val="22"/>
        </w:rPr>
        <w:t xml:space="preserve"> </w:t>
      </w:r>
      <w:r w:rsidR="00047ACA" w:rsidRPr="00047ACA">
        <w:rPr>
          <w:rFonts w:cs="Arial"/>
          <w:szCs w:val="22"/>
        </w:rPr>
        <w:t>the appropriate</w:t>
      </w:r>
      <w:r w:rsidRPr="00C249CC">
        <w:rPr>
          <w:rFonts w:cs="Arial"/>
          <w:szCs w:val="22"/>
        </w:rPr>
        <w:t xml:space="preserve"> H</w:t>
      </w:r>
      <w:r w:rsidR="00462331">
        <w:rPr>
          <w:rFonts w:cs="Arial"/>
          <w:szCs w:val="22"/>
        </w:rPr>
        <w:t>WC</w:t>
      </w:r>
      <w:r w:rsidR="009933AE">
        <w:rPr>
          <w:rFonts w:cs="Arial"/>
          <w:szCs w:val="22"/>
        </w:rPr>
        <w:t xml:space="preserve"> or HWEC</w:t>
      </w:r>
      <w:r w:rsidR="0026770F">
        <w:rPr>
          <w:rFonts w:cs="Arial"/>
          <w:szCs w:val="22"/>
        </w:rPr>
        <w:t xml:space="preserve"> and submit it as part of the visa </w:t>
      </w:r>
      <w:r w:rsidR="0026770F" w:rsidRPr="002F3AE1">
        <w:rPr>
          <w:rFonts w:cs="Arial"/>
          <w:szCs w:val="22"/>
        </w:rPr>
        <w:t>nomination application</w:t>
      </w:r>
      <w:r w:rsidRPr="00C249CC">
        <w:rPr>
          <w:rFonts w:cs="Arial"/>
          <w:szCs w:val="22"/>
        </w:rPr>
        <w:t>.</w:t>
      </w:r>
    </w:p>
    <w:p w14:paraId="43ED20B2" w14:textId="227F55D2" w:rsidR="00C504C0" w:rsidRDefault="0026770F" w:rsidP="009E4930">
      <w:pPr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2F3AE1">
        <w:rPr>
          <w:rFonts w:cs="Arial"/>
          <w:szCs w:val="22"/>
        </w:rPr>
        <w:t xml:space="preserve"> visa will not be granted if an employer does not include </w:t>
      </w:r>
      <w:r w:rsidR="00047ACA" w:rsidRPr="00047ACA">
        <w:rPr>
          <w:rFonts w:cs="Arial"/>
          <w:szCs w:val="22"/>
        </w:rPr>
        <w:t>the appropriate</w:t>
      </w:r>
      <w:r w:rsidRPr="002F3AE1">
        <w:rPr>
          <w:rFonts w:cs="Arial"/>
          <w:szCs w:val="22"/>
        </w:rPr>
        <w:t xml:space="preserve"> H</w:t>
      </w:r>
      <w:r>
        <w:rPr>
          <w:rFonts w:cs="Arial"/>
          <w:szCs w:val="22"/>
        </w:rPr>
        <w:t>WC</w:t>
      </w:r>
      <w:r w:rsidR="009933AE">
        <w:rPr>
          <w:rFonts w:cs="Arial"/>
          <w:szCs w:val="22"/>
        </w:rPr>
        <w:t xml:space="preserve"> or HWEC</w:t>
      </w:r>
      <w:r>
        <w:rPr>
          <w:rFonts w:cs="Arial"/>
          <w:szCs w:val="22"/>
        </w:rPr>
        <w:t xml:space="preserve"> </w:t>
      </w:r>
      <w:r w:rsidRPr="002F3AE1">
        <w:rPr>
          <w:rFonts w:cs="Arial"/>
          <w:szCs w:val="22"/>
        </w:rPr>
        <w:t xml:space="preserve">in the </w:t>
      </w:r>
      <w:r>
        <w:rPr>
          <w:rFonts w:cs="Arial"/>
          <w:szCs w:val="22"/>
        </w:rPr>
        <w:t xml:space="preserve">visa </w:t>
      </w:r>
      <w:r w:rsidRPr="002F3AE1">
        <w:rPr>
          <w:rFonts w:cs="Arial"/>
          <w:szCs w:val="22"/>
        </w:rPr>
        <w:t xml:space="preserve">nomination application to the </w:t>
      </w:r>
      <w:r>
        <w:rPr>
          <w:rFonts w:cs="Arial"/>
          <w:szCs w:val="22"/>
        </w:rPr>
        <w:t xml:space="preserve">Department of </w:t>
      </w:r>
      <w:hyperlink r:id="rId8" w:history="1">
        <w:r w:rsidRPr="002F3AE1">
          <w:rPr>
            <w:rFonts w:cs="Arial"/>
            <w:szCs w:val="22"/>
          </w:rPr>
          <w:t>Home Affairs</w:t>
        </w:r>
      </w:hyperlink>
      <w:r w:rsidRPr="002F3AE1">
        <w:rPr>
          <w:rFonts w:cs="Arial"/>
          <w:szCs w:val="22"/>
        </w:rPr>
        <w:t>.</w:t>
      </w:r>
    </w:p>
    <w:p w14:paraId="2761BE85" w14:textId="0B7ACB11" w:rsidR="00C249CC" w:rsidRDefault="00AB6A69" w:rsidP="00782A91">
      <w:pPr>
        <w:pStyle w:val="Heading2"/>
      </w:pPr>
      <w:r w:rsidRPr="00A007E1">
        <w:t xml:space="preserve">Fast-tracked Health Workforce Certificates </w:t>
      </w:r>
    </w:p>
    <w:p w14:paraId="7FA421FD" w14:textId="27651B37" w:rsidR="00B43292" w:rsidRPr="00B43292" w:rsidRDefault="00B43292" w:rsidP="00782A91">
      <w:r w:rsidRPr="00B43292">
        <w:rPr>
          <w:lang w:val="en-US"/>
        </w:rPr>
        <w:t>Fast-tracked HWCs are available for the following positions:</w:t>
      </w:r>
    </w:p>
    <w:p w14:paraId="69F23E90" w14:textId="05AEC734" w:rsidR="00BD52C3" w:rsidRPr="00A67B9A" w:rsidRDefault="00BD52C3" w:rsidP="009E4930">
      <w:pPr>
        <w:pStyle w:val="ListBullet"/>
        <w:ind w:left="714" w:hanging="357"/>
      </w:pPr>
      <w:r>
        <w:t>Overseas d</w:t>
      </w:r>
      <w:r w:rsidRPr="00A67B9A">
        <w:t>octors working in hospital</w:t>
      </w:r>
      <w:r>
        <w:t xml:space="preserve"> </w:t>
      </w:r>
      <w:r w:rsidRPr="00A67B9A">
        <w:t xml:space="preserve">based </w:t>
      </w:r>
      <w:r>
        <w:t>positions</w:t>
      </w:r>
      <w:r w:rsidR="00047ACA">
        <w:t>.</w:t>
      </w:r>
    </w:p>
    <w:p w14:paraId="6BD6C5C3" w14:textId="600753A7" w:rsidR="00C249CC" w:rsidRPr="00A67B9A" w:rsidRDefault="00AB6A69" w:rsidP="009E4930">
      <w:pPr>
        <w:pStyle w:val="ListBullet"/>
        <w:ind w:left="714" w:hanging="357"/>
      </w:pPr>
      <w:r w:rsidRPr="00A67B9A">
        <w:t>Overseas doctors</w:t>
      </w:r>
      <w:r w:rsidR="00C249CC" w:rsidRPr="00A67B9A">
        <w:t xml:space="preserve"> already working in Australia </w:t>
      </w:r>
      <w:r w:rsidR="00F22CAA" w:rsidRPr="00A67B9A">
        <w:t>who</w:t>
      </w:r>
      <w:r w:rsidR="00C249CC" w:rsidRPr="00A67B9A">
        <w:t xml:space="preserve"> </w:t>
      </w:r>
      <w:r w:rsidR="0052667F">
        <w:t>require</w:t>
      </w:r>
      <w:r w:rsidR="007D1111">
        <w:t xml:space="preserve"> an employer sponsored visa to </w:t>
      </w:r>
      <w:r w:rsidR="00C249CC" w:rsidRPr="00A67B9A">
        <w:t>continue to work in their current position, in the same loca</w:t>
      </w:r>
      <w:r w:rsidR="00905F4C">
        <w:t>tion and with the same employer</w:t>
      </w:r>
      <w:r w:rsidR="001C7659">
        <w:t>.</w:t>
      </w:r>
      <w:r w:rsidR="00760DE5">
        <w:t xml:space="preserve"> </w:t>
      </w:r>
      <w:r w:rsidR="00760DE5" w:rsidRPr="00760DE5">
        <w:rPr>
          <w:sz w:val="20"/>
          <w:szCs w:val="20"/>
        </w:rPr>
        <w:t>(Employers must be able to demonstrate that the doctor who is in a position of continuing employment has been practicing at the nominated location for at least 12 months</w:t>
      </w:r>
      <w:r w:rsidR="00760DE5">
        <w:rPr>
          <w:sz w:val="20"/>
          <w:szCs w:val="20"/>
        </w:rPr>
        <w:t>. See the</w:t>
      </w:r>
      <w:r w:rsidR="00760DE5" w:rsidRPr="00760DE5">
        <w:rPr>
          <w:szCs w:val="22"/>
        </w:rPr>
        <w:t xml:space="preserve"> </w:t>
      </w:r>
      <w:r w:rsidR="00760DE5" w:rsidRPr="00760DE5">
        <w:rPr>
          <w:sz w:val="20"/>
          <w:szCs w:val="20"/>
        </w:rPr>
        <w:t xml:space="preserve">Visas for GPs </w:t>
      </w:r>
      <w:hyperlink r:id="rId9" w:history="1">
        <w:r w:rsidR="00760DE5" w:rsidRPr="00760DE5">
          <w:rPr>
            <w:rStyle w:val="Hyperlink"/>
            <w:sz w:val="20"/>
            <w:szCs w:val="20"/>
          </w:rPr>
          <w:t>Program Guidelines</w:t>
        </w:r>
      </w:hyperlink>
      <w:r w:rsidR="00760DE5">
        <w:rPr>
          <w:sz w:val="20"/>
          <w:szCs w:val="20"/>
        </w:rPr>
        <w:t xml:space="preserve"> for further information.)</w:t>
      </w:r>
    </w:p>
    <w:p w14:paraId="2B3F115B" w14:textId="7B38533A" w:rsidR="00186638" w:rsidRPr="00A67B9A" w:rsidRDefault="00413494" w:rsidP="009E4930">
      <w:pPr>
        <w:pStyle w:val="ListBullet"/>
        <w:ind w:left="714" w:hanging="357"/>
      </w:pPr>
      <w:r>
        <w:t>Overseas d</w:t>
      </w:r>
      <w:r w:rsidR="00186638" w:rsidRPr="00A67B9A">
        <w:t xml:space="preserve">octors working in an </w:t>
      </w:r>
      <w:r w:rsidR="00AB6A69" w:rsidRPr="00A67B9A">
        <w:t xml:space="preserve">Aboriginal </w:t>
      </w:r>
      <w:r w:rsidR="00186638" w:rsidRPr="00A67B9A">
        <w:t>Medical Service (AMS)</w:t>
      </w:r>
      <w:r w:rsidR="00047ACA">
        <w:t>.</w:t>
      </w:r>
    </w:p>
    <w:p w14:paraId="7E653BCC" w14:textId="6B44AEB7" w:rsidR="005A3EE9" w:rsidRDefault="00F22CAA" w:rsidP="009E4930">
      <w:pPr>
        <w:pStyle w:val="ListBullet"/>
        <w:ind w:left="714" w:hanging="357"/>
      </w:pPr>
      <w:r w:rsidRPr="00A67B9A">
        <w:t>Overseas doctors with basic medical qualifications from an Australian university (</w:t>
      </w:r>
      <w:r w:rsidR="00186638" w:rsidRPr="00A67B9A">
        <w:t xml:space="preserve">Australian trained </w:t>
      </w:r>
      <w:r w:rsidRPr="00A67B9A">
        <w:t>international graduate</w:t>
      </w:r>
      <w:r w:rsidR="00CC14DD">
        <w:t>s</w:t>
      </w:r>
      <w:r w:rsidRPr="00A67B9A">
        <w:t>)</w:t>
      </w:r>
      <w:r w:rsidR="00186638" w:rsidRPr="00A67B9A">
        <w:t xml:space="preserve"> who require a</w:t>
      </w:r>
      <w:r w:rsidR="0052667F">
        <w:t xml:space="preserve">n </w:t>
      </w:r>
      <w:r w:rsidR="0052667F" w:rsidRPr="0052667F">
        <w:t>employer sponsored</w:t>
      </w:r>
      <w:r w:rsidR="00186638" w:rsidRPr="00A67B9A">
        <w:t xml:space="preserve"> visa</w:t>
      </w:r>
      <w:r w:rsidR="00CC14DD">
        <w:t>.</w:t>
      </w:r>
    </w:p>
    <w:p w14:paraId="0DC3CCA7" w14:textId="5986A1BE" w:rsidR="00186638" w:rsidRPr="00A67B9A" w:rsidRDefault="00413494" w:rsidP="009E4930">
      <w:pPr>
        <w:pStyle w:val="ListBullet"/>
        <w:ind w:left="714" w:hanging="357"/>
      </w:pPr>
      <w:r w:rsidRPr="00413494">
        <w:t xml:space="preserve">Overseas doctors working in an </w:t>
      </w:r>
      <w:r w:rsidR="005A3EE9" w:rsidRPr="005A3EE9">
        <w:t>Approved Medical Deputising Service</w:t>
      </w:r>
      <w:r w:rsidR="009E648D">
        <w:t xml:space="preserve"> (AMDS)</w:t>
      </w:r>
      <w:r w:rsidR="00BD171F">
        <w:t xml:space="preserve"> </w:t>
      </w:r>
      <w:r w:rsidR="00BD171F" w:rsidRPr="00BD171F">
        <w:t xml:space="preserve">as </w:t>
      </w:r>
      <w:r w:rsidR="003B309C">
        <w:t xml:space="preserve">a </w:t>
      </w:r>
      <w:r w:rsidR="00BD171F" w:rsidRPr="00BD171F">
        <w:t>3GA program participant</w:t>
      </w:r>
      <w:r w:rsidR="00186638" w:rsidRPr="00A67B9A">
        <w:t>.</w:t>
      </w:r>
    </w:p>
    <w:p w14:paraId="5703D1D9" w14:textId="1328C33A" w:rsidR="00C249CC" w:rsidRPr="002F3AE1" w:rsidRDefault="00C249CC" w:rsidP="00A007E1">
      <w:pPr>
        <w:pStyle w:val="Heading2"/>
      </w:pPr>
      <w:r w:rsidRPr="002F3AE1">
        <w:t xml:space="preserve">Assessment of </w:t>
      </w:r>
      <w:r w:rsidR="002E47C6">
        <w:t xml:space="preserve">non-hospital based </w:t>
      </w:r>
      <w:r w:rsidRPr="002F3AE1">
        <w:t>positions</w:t>
      </w:r>
    </w:p>
    <w:p w14:paraId="48964C6C" w14:textId="00CD113D" w:rsidR="00C249CC" w:rsidRPr="004D56F5" w:rsidRDefault="00C249CC" w:rsidP="00F227B9">
      <w:r w:rsidRPr="004D56F5">
        <w:t xml:space="preserve">RWAs determine whether a </w:t>
      </w:r>
      <w:r w:rsidR="003964AC">
        <w:t xml:space="preserve">nominated </w:t>
      </w:r>
      <w:r w:rsidRPr="004D56F5">
        <w:t>position is located in an area of genuine need for</w:t>
      </w:r>
      <w:r w:rsidR="00B43292">
        <w:t xml:space="preserve"> additional</w:t>
      </w:r>
      <w:r w:rsidRPr="004D56F5">
        <w:t xml:space="preserve"> primary health</w:t>
      </w:r>
      <w:r w:rsidR="00BB3D1C">
        <w:t xml:space="preserve"> </w:t>
      </w:r>
      <w:r w:rsidRPr="004D56F5">
        <w:t>care services by using:</w:t>
      </w:r>
    </w:p>
    <w:p w14:paraId="48FE95DD" w14:textId="7500ED6A" w:rsidR="00C249CC" w:rsidRPr="00A67B9A" w:rsidRDefault="003964AC" w:rsidP="00A67B9A">
      <w:pPr>
        <w:pStyle w:val="ListBullet"/>
      </w:pPr>
      <w:r>
        <w:t>the Department of Health’s</w:t>
      </w:r>
      <w:r w:rsidR="00C05E44" w:rsidRPr="00A67B9A">
        <w:t xml:space="preserve"> Health Workforce Planning</w:t>
      </w:r>
      <w:r w:rsidR="0051115D" w:rsidRPr="00A67B9A">
        <w:t xml:space="preserve"> </w:t>
      </w:r>
      <w:r w:rsidR="00321DF3" w:rsidRPr="00A67B9A">
        <w:t xml:space="preserve">Tool (the </w:t>
      </w:r>
      <w:r w:rsidR="00F22CAA" w:rsidRPr="00A67B9A">
        <w:t>A</w:t>
      </w:r>
      <w:r w:rsidR="0051115D" w:rsidRPr="00A67B9A">
        <w:t xml:space="preserve">ssessment </w:t>
      </w:r>
      <w:r w:rsidR="00F22CAA" w:rsidRPr="00A67B9A">
        <w:t>T</w:t>
      </w:r>
      <w:r w:rsidR="00682967" w:rsidRPr="00A67B9A">
        <w:t>ool</w:t>
      </w:r>
      <w:r w:rsidR="00321DF3" w:rsidRPr="00A67B9A">
        <w:t>)</w:t>
      </w:r>
      <w:r>
        <w:t>;</w:t>
      </w:r>
      <w:r w:rsidR="00792FB3">
        <w:t xml:space="preserve"> and</w:t>
      </w:r>
    </w:p>
    <w:p w14:paraId="69C815D3" w14:textId="781A77A5" w:rsidR="00C249CC" w:rsidRPr="00A67B9A" w:rsidRDefault="00682967" w:rsidP="00A67B9A">
      <w:pPr>
        <w:pStyle w:val="ListBullet"/>
      </w:pPr>
      <w:r w:rsidRPr="00A67B9A">
        <w:t>the</w:t>
      </w:r>
      <w:r w:rsidR="00C249CC" w:rsidRPr="00A67B9A">
        <w:t xml:space="preserve"> </w:t>
      </w:r>
      <w:hyperlink r:id="rId10" w:history="1">
        <w:r w:rsidR="00C249CC" w:rsidRPr="00A67B9A">
          <w:rPr>
            <w:rStyle w:val="Hyperlink"/>
          </w:rPr>
          <w:t>Distribution Priority Area (DPA)</w:t>
        </w:r>
      </w:hyperlink>
      <w:r w:rsidR="00C249CC" w:rsidRPr="00A67B9A">
        <w:t xml:space="preserve"> classification </w:t>
      </w:r>
      <w:r w:rsidR="0051115D" w:rsidRPr="00A67B9A">
        <w:t>of the position’s location.</w:t>
      </w:r>
    </w:p>
    <w:p w14:paraId="30C6A8C8" w14:textId="561AFE44" w:rsidR="00ED307C" w:rsidRDefault="00C249CC" w:rsidP="00F227B9">
      <w:r w:rsidRPr="00C249CC">
        <w:t xml:space="preserve">RWAs assess positions and </w:t>
      </w:r>
      <w:r w:rsidR="00682967">
        <w:t>provide</w:t>
      </w:r>
      <w:r w:rsidR="00682967" w:rsidRPr="00C249CC">
        <w:t xml:space="preserve"> </w:t>
      </w:r>
      <w:r w:rsidR="00AC615C">
        <w:t xml:space="preserve">an </w:t>
      </w:r>
      <w:r w:rsidRPr="00C249CC">
        <w:t xml:space="preserve">endorsement by issuing a </w:t>
      </w:r>
      <w:r w:rsidR="00A007E1">
        <w:t>HWC</w:t>
      </w:r>
      <w:r w:rsidRPr="00C249CC">
        <w:t xml:space="preserve"> where there is a genuine need for additiona</w:t>
      </w:r>
      <w:r w:rsidR="00792FB3">
        <w:t>l primary health care services.</w:t>
      </w:r>
    </w:p>
    <w:p w14:paraId="3B06BFCC" w14:textId="64995DE1" w:rsidR="00B131E7" w:rsidRDefault="00C249CC" w:rsidP="00A67B9A">
      <w:r w:rsidRPr="00C249CC">
        <w:t xml:space="preserve">RWAs do not assess overseas doctors’ suitability for a visa. </w:t>
      </w:r>
    </w:p>
    <w:p w14:paraId="17E9B6F3" w14:textId="2E63858A" w:rsidR="00C249CC" w:rsidRDefault="00C249CC" w:rsidP="00A67B9A">
      <w:r w:rsidRPr="00C249CC">
        <w:t xml:space="preserve">The </w:t>
      </w:r>
      <w:r w:rsidRPr="001D4D69">
        <w:t>assessment</w:t>
      </w:r>
      <w:r w:rsidRPr="00C249CC">
        <w:t xml:space="preserve"> and endorsement process is designed to be fair </w:t>
      </w:r>
      <w:r w:rsidR="0051115D">
        <w:t>and non-discriminatory</w:t>
      </w:r>
      <w:r w:rsidRPr="009972CC">
        <w:t>.</w:t>
      </w:r>
    </w:p>
    <w:p w14:paraId="7099A01A" w14:textId="77777777" w:rsidR="00B131E7" w:rsidRPr="00B131E7" w:rsidRDefault="00B131E7" w:rsidP="00B131E7">
      <w:pPr>
        <w:rPr>
          <w:rFonts w:eastAsia="MS Gothic"/>
          <w:sz w:val="24"/>
          <w:szCs w:val="26"/>
          <w:lang w:val="en-US"/>
        </w:rPr>
      </w:pPr>
      <w:r>
        <w:br w:type="page"/>
      </w:r>
    </w:p>
    <w:p w14:paraId="79EB9A48" w14:textId="414E36D0" w:rsidR="00C249CC" w:rsidRPr="002F3AE1" w:rsidRDefault="00ED307C" w:rsidP="00A007E1">
      <w:pPr>
        <w:pStyle w:val="Heading2"/>
      </w:pPr>
      <w:r w:rsidRPr="002F3AE1">
        <w:lastRenderedPageBreak/>
        <w:t>A</w:t>
      </w:r>
      <w:r w:rsidR="00C249CC" w:rsidRPr="002F3AE1">
        <w:t>pply</w:t>
      </w:r>
      <w:r w:rsidRPr="002F3AE1">
        <w:t>ing</w:t>
      </w:r>
      <w:r w:rsidR="00C249CC" w:rsidRPr="002F3AE1">
        <w:t xml:space="preserve"> for a Health Workforce Certificate</w:t>
      </w:r>
      <w:r w:rsidR="003B309C" w:rsidRPr="003B309C">
        <w:t xml:space="preserve"> or a Health Workforce Exemption Certificate</w:t>
      </w:r>
    </w:p>
    <w:p w14:paraId="3BC77251" w14:textId="1C8410F8" w:rsidR="00AC615C" w:rsidRDefault="00C249CC" w:rsidP="00A67B9A">
      <w:r w:rsidRPr="004D56F5">
        <w:t>To apply for a H</w:t>
      </w:r>
      <w:r w:rsidR="00A007E1">
        <w:t>WC</w:t>
      </w:r>
      <w:r w:rsidR="003B309C">
        <w:t xml:space="preserve"> or HWEC</w:t>
      </w:r>
      <w:r w:rsidRPr="004D56F5">
        <w:t>, employers need to</w:t>
      </w:r>
      <w:r w:rsidR="00AC615C" w:rsidRPr="004D56F5">
        <w:t xml:space="preserve"> complete an online form available at </w:t>
      </w:r>
      <w:hyperlink r:id="rId11" w:history="1">
        <w:r w:rsidR="001D4D69">
          <w:rPr>
            <w:rStyle w:val="Hyperlink"/>
            <w:rFonts w:cs="Arial"/>
            <w:szCs w:val="22"/>
          </w:rPr>
          <w:t>visasforgps.com.au</w:t>
        </w:r>
      </w:hyperlink>
      <w:r w:rsidR="001D4D69" w:rsidRPr="001D4D69">
        <w:t>.</w:t>
      </w:r>
      <w:r w:rsidR="0051115D" w:rsidRPr="001D4D69">
        <w:t xml:space="preserve"> </w:t>
      </w:r>
      <w:r w:rsidR="00AC615C" w:rsidRPr="004D56F5">
        <w:t>Alternatively, employers can re</w:t>
      </w:r>
      <w:r w:rsidR="0051115D" w:rsidRPr="004D56F5">
        <w:t>quest an electronic</w:t>
      </w:r>
      <w:r w:rsidR="00AC615C" w:rsidRPr="004D56F5">
        <w:t xml:space="preserve"> application form to complete and submit to </w:t>
      </w:r>
      <w:hyperlink r:id="rId12" w:history="1">
        <w:r w:rsidR="00AC615C" w:rsidRPr="004D56F5">
          <w:rPr>
            <w:rStyle w:val="Hyperlink"/>
            <w:rFonts w:cs="Arial"/>
            <w:szCs w:val="22"/>
          </w:rPr>
          <w:t>visasforgps@hrplustas.com.au</w:t>
        </w:r>
      </w:hyperlink>
      <w:r w:rsidR="00AC615C" w:rsidRPr="004D56F5">
        <w:t>.</w:t>
      </w:r>
    </w:p>
    <w:p w14:paraId="442D90D1" w14:textId="6D26E420" w:rsidR="00C249CC" w:rsidRPr="002F3AE1" w:rsidRDefault="00C249CC" w:rsidP="00A007E1">
      <w:pPr>
        <w:pStyle w:val="Heading2"/>
      </w:pPr>
      <w:r w:rsidRPr="002F3AE1">
        <w:t>Health Workforce Certificate</w:t>
      </w:r>
      <w:r w:rsidR="007D2C88">
        <w:t>s</w:t>
      </w:r>
    </w:p>
    <w:p w14:paraId="32835321" w14:textId="77777777" w:rsidR="00CC14DD" w:rsidRDefault="00CC14DD" w:rsidP="00CC14DD">
      <w:pPr>
        <w:pStyle w:val="ListBullet"/>
      </w:pPr>
      <w:r>
        <w:t>A HWC must:</w:t>
      </w:r>
    </w:p>
    <w:p w14:paraId="7318EC88" w14:textId="77777777" w:rsidR="00CC14DD" w:rsidRDefault="00CC14DD" w:rsidP="008D2B97">
      <w:pPr>
        <w:pStyle w:val="ListBullet"/>
        <w:numPr>
          <w:ilvl w:val="0"/>
          <w:numId w:val="29"/>
        </w:numPr>
        <w:ind w:left="1134"/>
      </w:pPr>
      <w:r>
        <w:t>specify the nominated doctor’s name and date of birth</w:t>
      </w:r>
    </w:p>
    <w:p w14:paraId="1E370B8E" w14:textId="77777777" w:rsidR="00CC14DD" w:rsidRDefault="00CC14DD" w:rsidP="008D2B97">
      <w:pPr>
        <w:pStyle w:val="ListBullet"/>
        <w:numPr>
          <w:ilvl w:val="0"/>
          <w:numId w:val="29"/>
        </w:numPr>
        <w:ind w:left="1134"/>
      </w:pPr>
      <w:r>
        <w:t xml:space="preserve">specify </w:t>
      </w:r>
      <w:r w:rsidRPr="00082FDE">
        <w:t xml:space="preserve">the position in which the </w:t>
      </w:r>
      <w:r>
        <w:t>doctor</w:t>
      </w:r>
      <w:r w:rsidRPr="00082FDE">
        <w:t xml:space="preserve"> is to work</w:t>
      </w:r>
    </w:p>
    <w:p w14:paraId="40C2FAA9" w14:textId="144EB6F3" w:rsidR="00CC14DD" w:rsidRDefault="00CC14DD" w:rsidP="008D2B97">
      <w:pPr>
        <w:pStyle w:val="ListBullet"/>
        <w:numPr>
          <w:ilvl w:val="0"/>
          <w:numId w:val="29"/>
        </w:numPr>
        <w:ind w:left="1134"/>
      </w:pPr>
      <w:r w:rsidRPr="00E955D9">
        <w:t>specify the</w:t>
      </w:r>
      <w:r>
        <w:t xml:space="preserve"> location of the</w:t>
      </w:r>
      <w:r w:rsidRPr="00E955D9">
        <w:t xml:space="preserve"> position</w:t>
      </w:r>
    </w:p>
    <w:p w14:paraId="13170874" w14:textId="77777777" w:rsidR="00CC14DD" w:rsidRDefault="00CC14DD" w:rsidP="008D2B97">
      <w:pPr>
        <w:pStyle w:val="ListBullet"/>
        <w:numPr>
          <w:ilvl w:val="0"/>
          <w:numId w:val="29"/>
        </w:numPr>
        <w:ind w:left="1134"/>
      </w:pPr>
      <w:r>
        <w:t>specify the nominated occupation.</w:t>
      </w:r>
    </w:p>
    <w:p w14:paraId="70E8D30C" w14:textId="5FE410F1" w:rsidR="00883B6B" w:rsidRPr="00A67B9A" w:rsidRDefault="00227111" w:rsidP="00A378C7">
      <w:pPr>
        <w:pStyle w:val="ListBullet"/>
        <w:ind w:left="714" w:hanging="357"/>
      </w:pPr>
      <w:r>
        <w:t>HWC</w:t>
      </w:r>
      <w:r w:rsidR="00A43C37">
        <w:t>s</w:t>
      </w:r>
      <w:r w:rsidRPr="00A67B9A">
        <w:t xml:space="preserve"> </w:t>
      </w:r>
      <w:r w:rsidR="003921F8" w:rsidRPr="00A67B9A">
        <w:t xml:space="preserve">must </w:t>
      </w:r>
      <w:r w:rsidR="00883B6B" w:rsidRPr="00A67B9A">
        <w:t xml:space="preserve">be used </w:t>
      </w:r>
      <w:r w:rsidR="00456346" w:rsidRPr="00A67B9A">
        <w:t>prior to</w:t>
      </w:r>
      <w:r w:rsidR="00883B6B" w:rsidRPr="00A67B9A">
        <w:t xml:space="preserve"> </w:t>
      </w:r>
      <w:r w:rsidR="00A43C37">
        <w:t>the</w:t>
      </w:r>
      <w:r w:rsidR="00A43C37" w:rsidRPr="00A67B9A">
        <w:t xml:space="preserve"> </w:t>
      </w:r>
      <w:r w:rsidR="00456346" w:rsidRPr="00A67B9A">
        <w:t>expiry</w:t>
      </w:r>
      <w:r w:rsidR="00792FB3">
        <w:t xml:space="preserve"> date</w:t>
      </w:r>
      <w:r w:rsidR="00A43C37">
        <w:t xml:space="preserve"> printed on the certificate</w:t>
      </w:r>
      <w:r w:rsidR="001C5F10">
        <w:t>.</w:t>
      </w:r>
    </w:p>
    <w:p w14:paraId="25BEC815" w14:textId="0D46A204" w:rsidR="00C249CC" w:rsidRPr="00A67B9A" w:rsidRDefault="00227111" w:rsidP="00A378C7">
      <w:pPr>
        <w:pStyle w:val="ListBullet"/>
        <w:ind w:left="714" w:hanging="357"/>
      </w:pPr>
      <w:r>
        <w:t>HWC</w:t>
      </w:r>
      <w:r w:rsidR="00A43C37">
        <w:t>s</w:t>
      </w:r>
      <w:r w:rsidRPr="00A67B9A">
        <w:t xml:space="preserve"> </w:t>
      </w:r>
      <w:r w:rsidR="00C249CC" w:rsidRPr="00A67B9A">
        <w:t xml:space="preserve">can only be used </w:t>
      </w:r>
      <w:r w:rsidR="00535521">
        <w:t xml:space="preserve">once </w:t>
      </w:r>
      <w:r w:rsidR="00C249CC" w:rsidRPr="00A67B9A">
        <w:t>for the posi</w:t>
      </w:r>
      <w:r w:rsidR="00792FB3">
        <w:t>tion nominated by the employer.</w:t>
      </w:r>
    </w:p>
    <w:p w14:paraId="65512D2F" w14:textId="22C2EE7B" w:rsidR="001C5F10" w:rsidRDefault="001C5F10" w:rsidP="001C5F10">
      <w:pPr>
        <w:pStyle w:val="ListBullet"/>
        <w:ind w:left="714" w:hanging="357"/>
      </w:pPr>
      <w:r w:rsidRPr="00A67B9A">
        <w:t>The doctor named on</w:t>
      </w:r>
      <w:r>
        <w:t xml:space="preserve"> a</w:t>
      </w:r>
      <w:r w:rsidRPr="00A67B9A">
        <w:t xml:space="preserve"> </w:t>
      </w:r>
      <w:r>
        <w:t xml:space="preserve">HWC </w:t>
      </w:r>
      <w:r w:rsidRPr="00A67B9A">
        <w:t xml:space="preserve">must be the doctor nominated by the employer </w:t>
      </w:r>
      <w:r>
        <w:t>for an employer sponsored visa.</w:t>
      </w:r>
    </w:p>
    <w:p w14:paraId="797A3DB0" w14:textId="07879675" w:rsidR="00213553" w:rsidRDefault="006C49AC" w:rsidP="007D2C88">
      <w:r w:rsidRPr="004D56F5">
        <w:t>If there is a</w:t>
      </w:r>
      <w:r w:rsidR="00777577" w:rsidRPr="004D56F5">
        <w:t xml:space="preserve">ny </w:t>
      </w:r>
      <w:r w:rsidR="00C249CC" w:rsidRPr="004D56F5">
        <w:t xml:space="preserve">change </w:t>
      </w:r>
      <w:r w:rsidR="00777577" w:rsidRPr="004D56F5">
        <w:t xml:space="preserve">in circumstance </w:t>
      </w:r>
      <w:r w:rsidR="00C249CC" w:rsidRPr="004D56F5">
        <w:t xml:space="preserve">after </w:t>
      </w:r>
      <w:r w:rsidR="005118AA">
        <w:t>a</w:t>
      </w:r>
      <w:r w:rsidR="00C249CC" w:rsidRPr="004D56F5">
        <w:t xml:space="preserve"> H</w:t>
      </w:r>
      <w:r w:rsidR="00A007E1">
        <w:t>WC</w:t>
      </w:r>
      <w:r w:rsidR="00C249CC" w:rsidRPr="004D56F5">
        <w:t xml:space="preserve"> has been issued and prior to lodging with Home Affairs, </w:t>
      </w:r>
      <w:r w:rsidR="0023213F" w:rsidRPr="004D56F5">
        <w:t xml:space="preserve">employers </w:t>
      </w:r>
      <w:r w:rsidR="00C249CC" w:rsidRPr="004D56F5">
        <w:t>sho</w:t>
      </w:r>
      <w:r w:rsidR="00777577" w:rsidRPr="004D56F5">
        <w:t>uld contact the RWA for advice.</w:t>
      </w:r>
    </w:p>
    <w:p w14:paraId="51235476" w14:textId="3FF01C4B" w:rsidR="007D2C88" w:rsidRPr="007D2C88" w:rsidRDefault="007D2C88" w:rsidP="007D2C88">
      <w:pPr>
        <w:pStyle w:val="Heading2"/>
      </w:pPr>
      <w:r w:rsidRPr="007D2C88">
        <w:t>Health Workforce Exemption Certificates</w:t>
      </w:r>
    </w:p>
    <w:p w14:paraId="33CC562D" w14:textId="77777777" w:rsidR="001C5F10" w:rsidRDefault="001C5F10" w:rsidP="001C5F10">
      <w:pPr>
        <w:pStyle w:val="ListBullet"/>
      </w:pPr>
      <w:r>
        <w:t>A HWEC must:</w:t>
      </w:r>
    </w:p>
    <w:p w14:paraId="4112C09C" w14:textId="77777777" w:rsidR="001C5F10" w:rsidRDefault="001C5F10" w:rsidP="008D2B97">
      <w:pPr>
        <w:pStyle w:val="ListBullet"/>
        <w:numPr>
          <w:ilvl w:val="0"/>
          <w:numId w:val="29"/>
        </w:numPr>
        <w:ind w:left="1134"/>
      </w:pPr>
      <w:r w:rsidRPr="00A36D20">
        <w:t xml:space="preserve">specify </w:t>
      </w:r>
      <w:r>
        <w:t>the nominated occupation</w:t>
      </w:r>
    </w:p>
    <w:p w14:paraId="0773E65C" w14:textId="77777777" w:rsidR="001C5F10" w:rsidRPr="007D2C88" w:rsidRDefault="001C5F10" w:rsidP="008D2B97">
      <w:pPr>
        <w:pStyle w:val="ListBullet"/>
        <w:numPr>
          <w:ilvl w:val="0"/>
          <w:numId w:val="29"/>
        </w:numPr>
        <w:ind w:left="1134"/>
      </w:pPr>
      <w:r w:rsidRPr="008D2B97">
        <w:t>specify</w:t>
      </w:r>
      <w:r w:rsidRPr="008D2B97" w:rsidDel="00A36D20">
        <w:t xml:space="preserve"> </w:t>
      </w:r>
      <w:r>
        <w:t>t</w:t>
      </w:r>
      <w:r w:rsidRPr="007D2C88">
        <w:t xml:space="preserve">he name of </w:t>
      </w:r>
      <w:r>
        <w:t>the employer who is nominating the position</w:t>
      </w:r>
    </w:p>
    <w:p w14:paraId="0459080E" w14:textId="7A6F1617" w:rsidR="001C5F10" w:rsidRDefault="001C5F10" w:rsidP="008D2B97">
      <w:pPr>
        <w:pStyle w:val="ListBullet"/>
        <w:numPr>
          <w:ilvl w:val="0"/>
          <w:numId w:val="29"/>
        </w:numPr>
        <w:ind w:left="1134"/>
      </w:pPr>
      <w:r w:rsidRPr="008D2B97">
        <w:t xml:space="preserve">specify </w:t>
      </w:r>
      <w:r>
        <w:t>the name and location of each hospital</w:t>
      </w:r>
    </w:p>
    <w:p w14:paraId="6696B024" w14:textId="77777777" w:rsidR="001C5F10" w:rsidRPr="007D2C88" w:rsidRDefault="001C5F10" w:rsidP="008D2B97">
      <w:pPr>
        <w:pStyle w:val="ListBullet"/>
        <w:numPr>
          <w:ilvl w:val="0"/>
          <w:numId w:val="29"/>
        </w:numPr>
        <w:ind w:left="1134"/>
      </w:pPr>
      <w:r w:rsidRPr="00A36D20">
        <w:t>have been issued during the 12 months ending when the nomination is made.</w:t>
      </w:r>
    </w:p>
    <w:p w14:paraId="3DF0319D" w14:textId="77777777" w:rsidR="001C5F10" w:rsidRPr="007D2C88" w:rsidRDefault="001C5F10" w:rsidP="001C5F10">
      <w:pPr>
        <w:numPr>
          <w:ilvl w:val="0"/>
          <w:numId w:val="26"/>
        </w:numPr>
        <w:spacing w:after="60"/>
      </w:pPr>
      <w:r w:rsidRPr="007D2C88">
        <w:t>A separate HWEC is required for each of the three occupations above</w:t>
      </w:r>
      <w:r>
        <w:t>.</w:t>
      </w:r>
    </w:p>
    <w:p w14:paraId="42AC3A63" w14:textId="77777777" w:rsidR="001C5F10" w:rsidRDefault="001C5F10" w:rsidP="001C5F10">
      <w:pPr>
        <w:numPr>
          <w:ilvl w:val="0"/>
          <w:numId w:val="26"/>
        </w:numPr>
        <w:spacing w:after="60"/>
      </w:pPr>
      <w:r w:rsidRPr="007D2C88">
        <w:t xml:space="preserve">A single HWEC can be used </w:t>
      </w:r>
      <w:r>
        <w:t>repeatedly throughout</w:t>
      </w:r>
      <w:r w:rsidRPr="007D2C88">
        <w:t xml:space="preserve"> the 12 month validity period.</w:t>
      </w:r>
    </w:p>
    <w:p w14:paraId="6448C673" w14:textId="77777777" w:rsidR="001C5F10" w:rsidRPr="007D2C88" w:rsidRDefault="001C5F10" w:rsidP="001C5F10">
      <w:pPr>
        <w:numPr>
          <w:ilvl w:val="0"/>
          <w:numId w:val="26"/>
        </w:numPr>
        <w:spacing w:after="60"/>
      </w:pPr>
      <w:r>
        <w:t>Up to four (4)</w:t>
      </w:r>
      <w:r w:rsidRPr="007D2C88">
        <w:t xml:space="preserve"> hospital locations can be included on a single HWEC</w:t>
      </w:r>
      <w:r>
        <w:t>.</w:t>
      </w:r>
    </w:p>
    <w:p w14:paraId="51312ADA" w14:textId="3D553421" w:rsidR="005F5159" w:rsidRPr="005F5159" w:rsidRDefault="005F5159" w:rsidP="00A007E1">
      <w:pPr>
        <w:pStyle w:val="Heading2"/>
      </w:pPr>
      <w:r w:rsidRPr="005F5159">
        <w:t>Further information</w:t>
      </w:r>
    </w:p>
    <w:p w14:paraId="1FD224EE" w14:textId="2609C9E1" w:rsidR="002F3AE1" w:rsidRPr="004D56F5" w:rsidRDefault="002F3AE1" w:rsidP="00A67B9A">
      <w:r w:rsidRPr="004D56F5">
        <w:t xml:space="preserve">The Visas for GPs </w:t>
      </w:r>
      <w:r w:rsidR="00456346">
        <w:t>P</w:t>
      </w:r>
      <w:r w:rsidRPr="004D56F5">
        <w:t xml:space="preserve">rogram is managed by </w:t>
      </w:r>
      <w:hyperlink r:id="rId13" w:history="1">
        <w:r w:rsidRPr="00AA29E1">
          <w:rPr>
            <w:rFonts w:cs="Arial"/>
            <w:szCs w:val="22"/>
          </w:rPr>
          <w:t>HR</w:t>
        </w:r>
        <w:r w:rsidR="00456346" w:rsidRPr="00AA29E1">
          <w:rPr>
            <w:rFonts w:cs="Arial"/>
            <w:szCs w:val="22"/>
          </w:rPr>
          <w:t xml:space="preserve"> Plus</w:t>
        </w:r>
        <w:r w:rsidRPr="00AA29E1">
          <w:rPr>
            <w:rFonts w:cs="Arial"/>
            <w:szCs w:val="22"/>
          </w:rPr>
          <w:t xml:space="preserve"> Tasmania</w:t>
        </w:r>
      </w:hyperlink>
      <w:r w:rsidRPr="004D56F5">
        <w:t xml:space="preserve"> on behalf of </w:t>
      </w:r>
      <w:r w:rsidR="00883B6B">
        <w:t xml:space="preserve">the network of </w:t>
      </w:r>
      <w:r w:rsidR="00456346">
        <w:t xml:space="preserve">RWAs. </w:t>
      </w:r>
      <w:r w:rsidRPr="004D56F5">
        <w:t>HR</w:t>
      </w:r>
      <w:r w:rsidR="00456346">
        <w:t xml:space="preserve"> Plus</w:t>
      </w:r>
      <w:r w:rsidRPr="004D56F5">
        <w:t xml:space="preserve"> Tasmania organise processing of application</w:t>
      </w:r>
      <w:r w:rsidR="00A4603C">
        <w:t>s</w:t>
      </w:r>
      <w:r w:rsidRPr="004D56F5">
        <w:t xml:space="preserve"> and issue H</w:t>
      </w:r>
      <w:r w:rsidR="00A007E1">
        <w:t>WC</w:t>
      </w:r>
      <w:r w:rsidR="008774BB">
        <w:t>s</w:t>
      </w:r>
      <w:r w:rsidR="007D2C88">
        <w:t xml:space="preserve"> and HWECs</w:t>
      </w:r>
      <w:r w:rsidRPr="004D56F5">
        <w:t xml:space="preserve"> to employers as a PDF attachment in an email.</w:t>
      </w:r>
      <w:r w:rsidR="00F227B9">
        <w:t xml:space="preserve"> Employers will be contacted by </w:t>
      </w:r>
      <w:r w:rsidR="00F227B9" w:rsidRPr="00F91799">
        <w:t>HR</w:t>
      </w:r>
      <w:r w:rsidR="00F227B9">
        <w:t xml:space="preserve"> Plus</w:t>
      </w:r>
      <w:r w:rsidR="00F227B9" w:rsidRPr="00F91799">
        <w:t xml:space="preserve"> Tasmania </w:t>
      </w:r>
      <w:r w:rsidR="00F227B9">
        <w:t>if their application for a H</w:t>
      </w:r>
      <w:r w:rsidR="00A007E1">
        <w:t>WC</w:t>
      </w:r>
      <w:r w:rsidR="007D2C88">
        <w:t xml:space="preserve"> or a HWEC</w:t>
      </w:r>
      <w:r w:rsidR="00F227B9">
        <w:t xml:space="preserve"> is declined.</w:t>
      </w:r>
    </w:p>
    <w:p w14:paraId="5BDF899D" w14:textId="023B7432" w:rsidR="002F3AE1" w:rsidRDefault="002F3AE1" w:rsidP="00A67B9A">
      <w:r w:rsidRPr="00C249CC">
        <w:t>Employers can contact HR</w:t>
      </w:r>
      <w:r w:rsidR="00F227B9">
        <w:t xml:space="preserve"> Plus</w:t>
      </w:r>
      <w:r w:rsidRPr="00C249CC">
        <w:t xml:space="preserve"> Tasmania on 1800 022 000 </w:t>
      </w:r>
      <w:r w:rsidR="005A3EE9">
        <w:t xml:space="preserve">or at </w:t>
      </w:r>
      <w:hyperlink r:id="rId14" w:history="1">
        <w:r w:rsidR="00AA29E1" w:rsidRPr="00555988">
          <w:rPr>
            <w:rStyle w:val="Hyperlink"/>
            <w:rFonts w:eastAsia="MS Gothic" w:cs="Arial"/>
          </w:rPr>
          <w:t>visasforgps@hrplustas.com.au</w:t>
        </w:r>
      </w:hyperlink>
      <w:r w:rsidR="00AA29E1">
        <w:rPr>
          <w:rFonts w:cs="Arial"/>
          <w:color w:val="404040"/>
        </w:rPr>
        <w:t xml:space="preserve"> </w:t>
      </w:r>
      <w:r w:rsidRPr="00C249CC">
        <w:t xml:space="preserve">for further information </w:t>
      </w:r>
      <w:r w:rsidR="00F227B9">
        <w:t xml:space="preserve">about </w:t>
      </w:r>
      <w:r w:rsidRPr="00C249CC">
        <w:t xml:space="preserve">the Visas for GPs </w:t>
      </w:r>
      <w:r w:rsidR="00F227B9">
        <w:t>Program</w:t>
      </w:r>
      <w:r w:rsidRPr="00C249CC">
        <w:t>.</w:t>
      </w:r>
    </w:p>
    <w:p w14:paraId="782EE2F6" w14:textId="03BD7789" w:rsidR="002F3AE1" w:rsidRPr="00F227B9" w:rsidRDefault="004D56F5" w:rsidP="00F227B9">
      <w:pPr>
        <w:spacing w:before="240"/>
        <w:rPr>
          <w:szCs w:val="22"/>
          <w:u w:val="single"/>
        </w:rPr>
      </w:pPr>
      <w:r w:rsidRPr="004D56F5">
        <w:rPr>
          <w:rFonts w:cs="Arial"/>
          <w:szCs w:val="22"/>
        </w:rPr>
        <w:t>Further information</w:t>
      </w:r>
      <w:r w:rsidR="004D0D1C">
        <w:rPr>
          <w:rFonts w:cs="Arial"/>
          <w:szCs w:val="22"/>
        </w:rPr>
        <w:t xml:space="preserve"> </w:t>
      </w:r>
      <w:r w:rsidR="00F227B9">
        <w:rPr>
          <w:rFonts w:cs="Arial"/>
          <w:szCs w:val="22"/>
        </w:rPr>
        <w:t xml:space="preserve">about the </w:t>
      </w:r>
      <w:r w:rsidR="00F227B9" w:rsidRPr="00C249CC">
        <w:rPr>
          <w:rFonts w:cs="Arial"/>
          <w:szCs w:val="22"/>
        </w:rPr>
        <w:t xml:space="preserve">Visas for GPs </w:t>
      </w:r>
      <w:r w:rsidR="00F227B9">
        <w:rPr>
          <w:rFonts w:cs="Arial"/>
          <w:szCs w:val="22"/>
        </w:rPr>
        <w:t>Program is</w:t>
      </w:r>
      <w:r w:rsidR="00E969F7">
        <w:rPr>
          <w:rFonts w:cs="Arial"/>
          <w:szCs w:val="22"/>
        </w:rPr>
        <w:t xml:space="preserve"> also</w:t>
      </w:r>
      <w:r w:rsidR="00F227B9">
        <w:rPr>
          <w:rFonts w:cs="Arial"/>
          <w:szCs w:val="22"/>
        </w:rPr>
        <w:t xml:space="preserve"> available at</w:t>
      </w:r>
      <w:r w:rsidRPr="004D56F5">
        <w:rPr>
          <w:rFonts w:cs="Arial"/>
          <w:szCs w:val="22"/>
        </w:rPr>
        <w:t xml:space="preserve"> </w:t>
      </w:r>
      <w:hyperlink r:id="rId15" w:history="1">
        <w:r w:rsidR="001D4D69">
          <w:rPr>
            <w:rFonts w:cs="Arial"/>
            <w:color w:val="0070C0"/>
            <w:szCs w:val="22"/>
            <w:u w:val="single"/>
          </w:rPr>
          <w:t>visasforgps.com.au</w:t>
        </w:r>
      </w:hyperlink>
      <w:r w:rsidRPr="004D0D1C">
        <w:rPr>
          <w:rFonts w:cs="Arial"/>
          <w:color w:val="0070C0"/>
          <w:szCs w:val="22"/>
        </w:rPr>
        <w:t xml:space="preserve"> </w:t>
      </w:r>
      <w:r>
        <w:rPr>
          <w:szCs w:val="22"/>
        </w:rPr>
        <w:t>and</w:t>
      </w:r>
      <w:r w:rsidR="004D0D1C">
        <w:rPr>
          <w:szCs w:val="22"/>
        </w:rPr>
        <w:t xml:space="preserve"> in the Visas for GPs</w:t>
      </w:r>
      <w:r>
        <w:rPr>
          <w:szCs w:val="22"/>
        </w:rPr>
        <w:t xml:space="preserve"> </w:t>
      </w:r>
      <w:hyperlink r:id="rId16" w:history="1">
        <w:r w:rsidR="00F227B9">
          <w:rPr>
            <w:rStyle w:val="Hyperlink"/>
            <w:szCs w:val="22"/>
          </w:rPr>
          <w:t>P</w:t>
        </w:r>
        <w:r w:rsidRPr="001D4D69">
          <w:rPr>
            <w:rStyle w:val="Hyperlink"/>
            <w:szCs w:val="22"/>
          </w:rPr>
          <w:t xml:space="preserve">rogram </w:t>
        </w:r>
        <w:r w:rsidR="00F227B9">
          <w:rPr>
            <w:rStyle w:val="Hyperlink"/>
            <w:szCs w:val="22"/>
          </w:rPr>
          <w:t>G</w:t>
        </w:r>
        <w:r w:rsidRPr="001D4D69">
          <w:rPr>
            <w:rStyle w:val="Hyperlink"/>
            <w:szCs w:val="22"/>
          </w:rPr>
          <w:t>uidelines</w:t>
        </w:r>
      </w:hyperlink>
      <w:r w:rsidRPr="001D4D69">
        <w:rPr>
          <w:rFonts w:cs="Arial"/>
          <w:szCs w:val="22"/>
        </w:rPr>
        <w:t>.</w:t>
      </w:r>
    </w:p>
    <w:sectPr w:rsidR="002F3AE1" w:rsidRPr="00F227B9" w:rsidSect="00DB26E3">
      <w:footerReference w:type="default" r:id="rId17"/>
      <w:headerReference w:type="first" r:id="rId18"/>
      <w:type w:val="continuous"/>
      <w:pgSz w:w="11900" w:h="16840"/>
      <w:pgMar w:top="709" w:right="84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0C184" w14:textId="77777777" w:rsidR="00B53650" w:rsidRDefault="00B53650" w:rsidP="00F15E50">
      <w:pPr>
        <w:spacing w:before="0"/>
      </w:pPr>
      <w:r>
        <w:separator/>
      </w:r>
    </w:p>
    <w:p w14:paraId="6DD7A9E1" w14:textId="77777777" w:rsidR="004F6BA2" w:rsidRDefault="004F6BA2"/>
  </w:endnote>
  <w:endnote w:type="continuationSeparator" w:id="0">
    <w:p w14:paraId="0B5CED53" w14:textId="77777777" w:rsidR="00B53650" w:rsidRDefault="00B53650" w:rsidP="00F15E50">
      <w:pPr>
        <w:spacing w:before="0"/>
      </w:pPr>
      <w:r>
        <w:continuationSeparator/>
      </w:r>
    </w:p>
    <w:p w14:paraId="736720A6" w14:textId="77777777" w:rsidR="004F6BA2" w:rsidRDefault="004F6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00"/>
    <w:family w:val="roman"/>
    <w:notTrueType/>
    <w:pitch w:val="default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F949" w14:textId="2AE92E5D" w:rsidR="004F6BA2" w:rsidRDefault="00F227B9" w:rsidP="00A67B9A">
    <w:pPr>
      <w:pStyle w:val="Footer"/>
      <w:tabs>
        <w:tab w:val="clear" w:pos="4513"/>
        <w:tab w:val="left" w:pos="8505"/>
      </w:tabs>
    </w:pPr>
    <w:r>
      <w:rPr>
        <w:sz w:val="20"/>
        <w:szCs w:val="20"/>
      </w:rPr>
      <w:t>Visas for GPs Program –</w:t>
    </w:r>
    <w:r w:rsidR="001474AA">
      <w:rPr>
        <w:sz w:val="20"/>
        <w:szCs w:val="20"/>
      </w:rPr>
      <w:t xml:space="preserve"> </w:t>
    </w:r>
    <w:r w:rsidR="00F70BA1">
      <w:rPr>
        <w:sz w:val="20"/>
        <w:szCs w:val="20"/>
      </w:rPr>
      <w:t>December</w:t>
    </w:r>
    <w:r w:rsidR="00B072B4">
      <w:rPr>
        <w:sz w:val="20"/>
        <w:szCs w:val="20"/>
      </w:rPr>
      <w:t xml:space="preserve"> 2020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F15E50">
      <w:rPr>
        <w:sz w:val="20"/>
        <w:szCs w:val="20"/>
      </w:rPr>
      <w:fldChar w:fldCharType="begin"/>
    </w:r>
    <w:r w:rsidRPr="00F15E50">
      <w:rPr>
        <w:sz w:val="20"/>
        <w:szCs w:val="20"/>
      </w:rPr>
      <w:instrText xml:space="preserve"> PAGE  \* Arabic </w:instrText>
    </w:r>
    <w:r w:rsidRPr="00F15E50">
      <w:rPr>
        <w:sz w:val="20"/>
        <w:szCs w:val="20"/>
      </w:rPr>
      <w:fldChar w:fldCharType="separate"/>
    </w:r>
    <w:r w:rsidR="00D03D46">
      <w:rPr>
        <w:noProof/>
        <w:sz w:val="20"/>
        <w:szCs w:val="20"/>
      </w:rPr>
      <w:t>3</w:t>
    </w:r>
    <w:r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B476" w14:textId="77777777" w:rsidR="00B53650" w:rsidRDefault="00B53650" w:rsidP="00F15E50">
      <w:pPr>
        <w:spacing w:before="0"/>
      </w:pPr>
      <w:r>
        <w:separator/>
      </w:r>
    </w:p>
    <w:p w14:paraId="0BD18E43" w14:textId="77777777" w:rsidR="004F6BA2" w:rsidRDefault="004F6BA2"/>
  </w:footnote>
  <w:footnote w:type="continuationSeparator" w:id="0">
    <w:p w14:paraId="2D5BAE76" w14:textId="77777777" w:rsidR="00B53650" w:rsidRDefault="00B53650" w:rsidP="00F15E50">
      <w:pPr>
        <w:spacing w:before="0"/>
      </w:pPr>
      <w:r>
        <w:continuationSeparator/>
      </w:r>
    </w:p>
    <w:p w14:paraId="68503F3D" w14:textId="77777777" w:rsidR="004F6BA2" w:rsidRDefault="004F6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47B1" w14:textId="7BE8D1A2" w:rsidR="00C504C0" w:rsidRDefault="00C504C0">
    <w:pPr>
      <w:pStyle w:val="Header"/>
    </w:pPr>
    <w:r>
      <w:rPr>
        <w:noProof/>
        <w:lang w:eastAsia="en-AU"/>
      </w:rPr>
      <w:drawing>
        <wp:inline distT="0" distB="0" distL="0" distR="0" wp14:anchorId="2DBF2ECF" wp14:editId="1A7397E3">
          <wp:extent cx="5731510" cy="1038860"/>
          <wp:effectExtent l="0" t="0" r="2540" b="889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7F43AB4"/>
    <w:multiLevelType w:val="hybridMultilevel"/>
    <w:tmpl w:val="C390F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47E1"/>
    <w:multiLevelType w:val="hybridMultilevel"/>
    <w:tmpl w:val="A7C263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7227"/>
    <w:multiLevelType w:val="hybridMultilevel"/>
    <w:tmpl w:val="02189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62E7"/>
    <w:multiLevelType w:val="hybridMultilevel"/>
    <w:tmpl w:val="41167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974"/>
    <w:multiLevelType w:val="hybridMultilevel"/>
    <w:tmpl w:val="A0FA0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229C"/>
    <w:multiLevelType w:val="hybridMultilevel"/>
    <w:tmpl w:val="829C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427"/>
    <w:multiLevelType w:val="hybridMultilevel"/>
    <w:tmpl w:val="0A84CA6E"/>
    <w:lvl w:ilvl="0" w:tplc="64EE8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43CC6"/>
    <w:multiLevelType w:val="hybridMultilevel"/>
    <w:tmpl w:val="7A98B2E8"/>
    <w:lvl w:ilvl="0" w:tplc="132491E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2842"/>
    <w:multiLevelType w:val="hybridMultilevel"/>
    <w:tmpl w:val="58AE5FAC"/>
    <w:lvl w:ilvl="0" w:tplc="182CBF4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3144A"/>
    <w:multiLevelType w:val="hybridMultilevel"/>
    <w:tmpl w:val="41167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791E"/>
    <w:multiLevelType w:val="hybridMultilevel"/>
    <w:tmpl w:val="8BC46D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F2B50"/>
    <w:multiLevelType w:val="hybridMultilevel"/>
    <w:tmpl w:val="A52AEF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11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18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3"/>
  </w:num>
  <w:num w:numId="18">
    <w:abstractNumId w:val="1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2"/>
  </w:num>
  <w:num w:numId="27">
    <w:abstractNumId w:val="19"/>
  </w:num>
  <w:num w:numId="28">
    <w:abstractNumId w:val="4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1B"/>
    <w:rsid w:val="00032C2B"/>
    <w:rsid w:val="00040AF0"/>
    <w:rsid w:val="00047ACA"/>
    <w:rsid w:val="0008333A"/>
    <w:rsid w:val="000F080C"/>
    <w:rsid w:val="000F713C"/>
    <w:rsid w:val="000F714E"/>
    <w:rsid w:val="00102346"/>
    <w:rsid w:val="001108B0"/>
    <w:rsid w:val="00113E67"/>
    <w:rsid w:val="00124758"/>
    <w:rsid w:val="001474AA"/>
    <w:rsid w:val="001611D8"/>
    <w:rsid w:val="00163F5D"/>
    <w:rsid w:val="001863C7"/>
    <w:rsid w:val="00186638"/>
    <w:rsid w:val="001A2855"/>
    <w:rsid w:val="001A3963"/>
    <w:rsid w:val="001C06C2"/>
    <w:rsid w:val="001C5F10"/>
    <w:rsid w:val="001C7659"/>
    <w:rsid w:val="001D3B66"/>
    <w:rsid w:val="001D4D69"/>
    <w:rsid w:val="002001F6"/>
    <w:rsid w:val="0020681F"/>
    <w:rsid w:val="00213553"/>
    <w:rsid w:val="00227111"/>
    <w:rsid w:val="0023213F"/>
    <w:rsid w:val="00264E1F"/>
    <w:rsid w:val="0026770F"/>
    <w:rsid w:val="002733B8"/>
    <w:rsid w:val="00280458"/>
    <w:rsid w:val="0028138A"/>
    <w:rsid w:val="00297E98"/>
    <w:rsid w:val="002A71B0"/>
    <w:rsid w:val="002B2143"/>
    <w:rsid w:val="002C06BE"/>
    <w:rsid w:val="002E047D"/>
    <w:rsid w:val="002E28C3"/>
    <w:rsid w:val="002E47C6"/>
    <w:rsid w:val="002E5EA1"/>
    <w:rsid w:val="002F3AE1"/>
    <w:rsid w:val="002F6C2C"/>
    <w:rsid w:val="00301525"/>
    <w:rsid w:val="00314476"/>
    <w:rsid w:val="00321DF3"/>
    <w:rsid w:val="003226D6"/>
    <w:rsid w:val="00326CE3"/>
    <w:rsid w:val="00327FB6"/>
    <w:rsid w:val="0033600D"/>
    <w:rsid w:val="00340D8E"/>
    <w:rsid w:val="003571BE"/>
    <w:rsid w:val="0038516B"/>
    <w:rsid w:val="003921F8"/>
    <w:rsid w:val="003964AC"/>
    <w:rsid w:val="003B309C"/>
    <w:rsid w:val="003E71A6"/>
    <w:rsid w:val="00413494"/>
    <w:rsid w:val="0041384D"/>
    <w:rsid w:val="00415DE7"/>
    <w:rsid w:val="00421D8D"/>
    <w:rsid w:val="00424F6A"/>
    <w:rsid w:val="00441C2B"/>
    <w:rsid w:val="00446D82"/>
    <w:rsid w:val="00456346"/>
    <w:rsid w:val="004622D1"/>
    <w:rsid w:val="00462331"/>
    <w:rsid w:val="00482828"/>
    <w:rsid w:val="0048297F"/>
    <w:rsid w:val="0048373F"/>
    <w:rsid w:val="004B244F"/>
    <w:rsid w:val="004B402B"/>
    <w:rsid w:val="004C1FC7"/>
    <w:rsid w:val="004D0D1C"/>
    <w:rsid w:val="004D56F5"/>
    <w:rsid w:val="004F6BA2"/>
    <w:rsid w:val="0051115D"/>
    <w:rsid w:val="005118AA"/>
    <w:rsid w:val="005135C4"/>
    <w:rsid w:val="0052667F"/>
    <w:rsid w:val="005305AD"/>
    <w:rsid w:val="00535521"/>
    <w:rsid w:val="00535642"/>
    <w:rsid w:val="00553F82"/>
    <w:rsid w:val="00557B05"/>
    <w:rsid w:val="0056770A"/>
    <w:rsid w:val="00591D63"/>
    <w:rsid w:val="0059611E"/>
    <w:rsid w:val="005A3EE9"/>
    <w:rsid w:val="005D07AA"/>
    <w:rsid w:val="005D374E"/>
    <w:rsid w:val="005D537D"/>
    <w:rsid w:val="005F5159"/>
    <w:rsid w:val="00616171"/>
    <w:rsid w:val="00625BFA"/>
    <w:rsid w:val="006278C4"/>
    <w:rsid w:val="00643318"/>
    <w:rsid w:val="00652BC3"/>
    <w:rsid w:val="00673FCA"/>
    <w:rsid w:val="006743DA"/>
    <w:rsid w:val="00682967"/>
    <w:rsid w:val="006A4C74"/>
    <w:rsid w:val="006A568F"/>
    <w:rsid w:val="006C49AC"/>
    <w:rsid w:val="006D1A93"/>
    <w:rsid w:val="00710FA3"/>
    <w:rsid w:val="00726AB8"/>
    <w:rsid w:val="00733CCB"/>
    <w:rsid w:val="00734D90"/>
    <w:rsid w:val="0075034E"/>
    <w:rsid w:val="00751DB7"/>
    <w:rsid w:val="00760DE5"/>
    <w:rsid w:val="00777577"/>
    <w:rsid w:val="00782A91"/>
    <w:rsid w:val="007923B1"/>
    <w:rsid w:val="00792FB3"/>
    <w:rsid w:val="007D1111"/>
    <w:rsid w:val="007D2C88"/>
    <w:rsid w:val="007D2FE6"/>
    <w:rsid w:val="007E2F83"/>
    <w:rsid w:val="007F136F"/>
    <w:rsid w:val="00801E71"/>
    <w:rsid w:val="008074D9"/>
    <w:rsid w:val="00810679"/>
    <w:rsid w:val="00813F78"/>
    <w:rsid w:val="00830113"/>
    <w:rsid w:val="00843974"/>
    <w:rsid w:val="00852D00"/>
    <w:rsid w:val="008603CF"/>
    <w:rsid w:val="008774BB"/>
    <w:rsid w:val="00883B6B"/>
    <w:rsid w:val="008D2B97"/>
    <w:rsid w:val="008E49C9"/>
    <w:rsid w:val="008F2EA6"/>
    <w:rsid w:val="00902C6C"/>
    <w:rsid w:val="00905F4C"/>
    <w:rsid w:val="00931A06"/>
    <w:rsid w:val="0094077E"/>
    <w:rsid w:val="00952FE7"/>
    <w:rsid w:val="0095327E"/>
    <w:rsid w:val="00965774"/>
    <w:rsid w:val="009823BB"/>
    <w:rsid w:val="009933AE"/>
    <w:rsid w:val="009952A1"/>
    <w:rsid w:val="009972CC"/>
    <w:rsid w:val="009D33C3"/>
    <w:rsid w:val="009E4930"/>
    <w:rsid w:val="009E648D"/>
    <w:rsid w:val="009F57F5"/>
    <w:rsid w:val="00A007E1"/>
    <w:rsid w:val="00A378C7"/>
    <w:rsid w:val="00A41839"/>
    <w:rsid w:val="00A42CB9"/>
    <w:rsid w:val="00A43C37"/>
    <w:rsid w:val="00A4603C"/>
    <w:rsid w:val="00A67B9A"/>
    <w:rsid w:val="00A8182D"/>
    <w:rsid w:val="00A95292"/>
    <w:rsid w:val="00AA29B3"/>
    <w:rsid w:val="00AA29E1"/>
    <w:rsid w:val="00AB6A69"/>
    <w:rsid w:val="00AB6C2C"/>
    <w:rsid w:val="00AC5A9D"/>
    <w:rsid w:val="00AC615C"/>
    <w:rsid w:val="00AE00D9"/>
    <w:rsid w:val="00AE7EC1"/>
    <w:rsid w:val="00B072B4"/>
    <w:rsid w:val="00B11CF9"/>
    <w:rsid w:val="00B131E7"/>
    <w:rsid w:val="00B2286B"/>
    <w:rsid w:val="00B43292"/>
    <w:rsid w:val="00B53650"/>
    <w:rsid w:val="00B60862"/>
    <w:rsid w:val="00B6137C"/>
    <w:rsid w:val="00B700C0"/>
    <w:rsid w:val="00BA7721"/>
    <w:rsid w:val="00BB3D1C"/>
    <w:rsid w:val="00BD171F"/>
    <w:rsid w:val="00BD52C3"/>
    <w:rsid w:val="00BE2C9A"/>
    <w:rsid w:val="00BF16AB"/>
    <w:rsid w:val="00C01F8C"/>
    <w:rsid w:val="00C05E44"/>
    <w:rsid w:val="00C249CC"/>
    <w:rsid w:val="00C504C0"/>
    <w:rsid w:val="00C63269"/>
    <w:rsid w:val="00C66721"/>
    <w:rsid w:val="00C6794E"/>
    <w:rsid w:val="00C720C2"/>
    <w:rsid w:val="00C74007"/>
    <w:rsid w:val="00C96FF9"/>
    <w:rsid w:val="00CC14DD"/>
    <w:rsid w:val="00CF00DC"/>
    <w:rsid w:val="00D03D46"/>
    <w:rsid w:val="00D265AF"/>
    <w:rsid w:val="00D359F4"/>
    <w:rsid w:val="00D567F0"/>
    <w:rsid w:val="00D75349"/>
    <w:rsid w:val="00D77274"/>
    <w:rsid w:val="00D96E3A"/>
    <w:rsid w:val="00DA429F"/>
    <w:rsid w:val="00DB0893"/>
    <w:rsid w:val="00DB26E3"/>
    <w:rsid w:val="00DC02C8"/>
    <w:rsid w:val="00DC2DBD"/>
    <w:rsid w:val="00DC65F1"/>
    <w:rsid w:val="00DE59C0"/>
    <w:rsid w:val="00DE7C03"/>
    <w:rsid w:val="00E000A7"/>
    <w:rsid w:val="00E04571"/>
    <w:rsid w:val="00E542CB"/>
    <w:rsid w:val="00E77E79"/>
    <w:rsid w:val="00E969F7"/>
    <w:rsid w:val="00EB0E4F"/>
    <w:rsid w:val="00EB5979"/>
    <w:rsid w:val="00EC34BE"/>
    <w:rsid w:val="00ED136A"/>
    <w:rsid w:val="00ED1DCB"/>
    <w:rsid w:val="00ED307C"/>
    <w:rsid w:val="00EF6E96"/>
    <w:rsid w:val="00F00528"/>
    <w:rsid w:val="00F15E50"/>
    <w:rsid w:val="00F16284"/>
    <w:rsid w:val="00F227B9"/>
    <w:rsid w:val="00F22CAA"/>
    <w:rsid w:val="00F275BA"/>
    <w:rsid w:val="00F32FA5"/>
    <w:rsid w:val="00F334A8"/>
    <w:rsid w:val="00F33CEE"/>
    <w:rsid w:val="00F45FC3"/>
    <w:rsid w:val="00F62ED4"/>
    <w:rsid w:val="00F65E09"/>
    <w:rsid w:val="00F65E86"/>
    <w:rsid w:val="00F70BA1"/>
    <w:rsid w:val="00F71068"/>
    <w:rsid w:val="00F73884"/>
    <w:rsid w:val="00F7489B"/>
    <w:rsid w:val="00F7724B"/>
    <w:rsid w:val="00F81571"/>
    <w:rsid w:val="00F91799"/>
    <w:rsid w:val="00FA62E3"/>
    <w:rsid w:val="00FA6A25"/>
    <w:rsid w:val="00FC6E53"/>
    <w:rsid w:val="00FD57FE"/>
    <w:rsid w:val="00FE1C1E"/>
    <w:rsid w:val="00FE2CE0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39C7AAD2"/>
  <w14:defaultImageDpi w14:val="32767"/>
  <w15:docId w15:val="{AE4DFD5F-E922-44D4-9517-581F86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9A"/>
    <w:pPr>
      <w:spacing w:before="120" w:after="120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6D1A93"/>
    <w:pPr>
      <w:keepNext/>
      <w:keepLines/>
      <w:spacing w:before="48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B9A"/>
    <w:pPr>
      <w:spacing w:before="240"/>
      <w:outlineLvl w:val="1"/>
    </w:pPr>
    <w:rPr>
      <w:rFonts w:eastAsia="MS Gothic"/>
      <w:b/>
      <w:bCs/>
      <w:color w:val="3F4A75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7E1"/>
    <w:pPr>
      <w:outlineLvl w:val="2"/>
    </w:pPr>
    <w:rPr>
      <w:rFonts w:eastAsia="MS Gothic"/>
      <w:bCs/>
      <w:i/>
      <w:color w:val="358189"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A93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7B9A"/>
    <w:rPr>
      <w:rFonts w:ascii="Arial" w:eastAsia="MS Gothic" w:hAnsi="Arial" w:cs="Times New Roman"/>
      <w:b/>
      <w:bCs/>
      <w:color w:val="3F4A75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007E1"/>
    <w:rPr>
      <w:rFonts w:ascii="Arial" w:eastAsia="MS Gothic" w:hAnsi="Arial" w:cs="Times New Roman"/>
      <w:bCs/>
      <w:i/>
      <w:color w:val="358189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A67B9A"/>
    <w:pPr>
      <w:numPr>
        <w:numId w:val="26"/>
      </w:numPr>
      <w:spacing w:after="60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792FB3"/>
    <w:pPr>
      <w:pBdr>
        <w:top w:val="single" w:sz="4" w:space="1" w:color="006666"/>
        <w:left w:val="single" w:sz="4" w:space="4" w:color="006666"/>
        <w:bottom w:val="single" w:sz="4" w:space="1" w:color="006666"/>
        <w:right w:val="single" w:sz="4" w:space="4" w:color="006666"/>
      </w:pBdr>
      <w:spacing w:before="0" w:after="0"/>
    </w:pPr>
    <w:rPr>
      <w:rFonts w:eastAsiaTheme="minorHAnsi"/>
      <w:color w:val="358189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E98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E98"/>
    <w:pPr>
      <w:spacing w:before="0" w:after="160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E9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nhideWhenUsed/>
    <w:rsid w:val="00163F5D"/>
    <w:pPr>
      <w:spacing w:before="0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3F5D"/>
    <w:rPr>
      <w:rFonts w:ascii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nhideWhenUsed/>
    <w:rsid w:val="00163F5D"/>
    <w:rPr>
      <w:vertAlign w:val="superscript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C249CC"/>
    <w:rPr>
      <w:rFonts w:ascii="Arial" w:eastAsia="Times New Roman" w:hAnsi="Arial" w:cs="Times New Roman"/>
      <w:sz w:val="21"/>
      <w:lang w:val="en-AU"/>
    </w:rPr>
  </w:style>
  <w:style w:type="character" w:styleId="Hyperlink">
    <w:name w:val="Hyperlink"/>
    <w:basedOn w:val="DefaultParagraphFont"/>
    <w:uiPriority w:val="99"/>
    <w:unhideWhenUsed/>
    <w:rsid w:val="00C249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967"/>
    <w:rPr>
      <w:sz w:val="16"/>
      <w:szCs w:val="16"/>
    </w:rPr>
  </w:style>
  <w:style w:type="paragraph" w:styleId="Revision">
    <w:name w:val="Revision"/>
    <w:hidden/>
    <w:uiPriority w:val="99"/>
    <w:semiHidden/>
    <w:rsid w:val="000F080C"/>
    <w:rPr>
      <w:rFonts w:ascii="Arial" w:eastAsia="Times New Roman" w:hAnsi="Arial" w:cs="Times New Roman"/>
      <w:sz w:val="21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E71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0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affairs.gov.au/" TargetMode="External"/><Relationship Id="rId13" Type="http://schemas.openxmlformats.org/officeDocument/2006/relationships/hyperlink" Target="https://www.hrplustas.com.a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meaffairs.gov.au/" TargetMode="External"/><Relationship Id="rId12" Type="http://schemas.openxmlformats.org/officeDocument/2006/relationships/hyperlink" Target="mailto:visasforgps@hrplustas.com.a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health.gov.au/resources/publications/visas-for-gps-targeting-areas-of-doctor-shortages-program-guidelin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sasforgps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sasforgps.com.au/" TargetMode="External"/><Relationship Id="rId10" Type="http://schemas.openxmlformats.org/officeDocument/2006/relationships/hyperlink" Target="https://www.health.gov.au/health-workforce/health-workforce-classifications/distribution-priority-are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publications/visas-for-gps-targeting-areas-of-doctor-shortages-program-guidelines" TargetMode="External"/><Relationship Id="rId14" Type="http://schemas.openxmlformats.org/officeDocument/2006/relationships/hyperlink" Target="mailto:visasforgps@hrplusta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7224</Characters>
  <Application>Microsoft Office Word</Application>
  <DocSecurity>0</DocSecurity>
  <Lines>124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Directing doctors to areas of greatest need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Directing doctors to areas of greatest need</dc:title>
  <dc:subject>Rural Health</dc:subject>
  <dc:creator>Australian Government Department of Health</dc:creator>
  <cp:keywords>Rural Health;</cp:keywords>
  <dc:description/>
  <cp:lastModifiedBy>PROUDFOOT, Cassandra</cp:lastModifiedBy>
  <cp:revision>2</cp:revision>
  <cp:lastPrinted>2020-12-02T23:24:00Z</cp:lastPrinted>
  <dcterms:created xsi:type="dcterms:W3CDTF">2020-12-09T04:45:00Z</dcterms:created>
  <dcterms:modified xsi:type="dcterms:W3CDTF">2020-12-09T04:45:00Z</dcterms:modified>
</cp:coreProperties>
</file>