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4F2A" w14:textId="65ED132F" w:rsidR="006456AE" w:rsidRDefault="00D82A12" w:rsidP="00673C18">
      <w:pPr>
        <w:autoSpaceDE w:val="0"/>
        <w:autoSpaceDN w:val="0"/>
        <w:adjustRightInd w:val="0"/>
        <w:spacing w:before="120"/>
        <w:jc w:val="center"/>
        <w:rPr>
          <w:rFonts w:ascii="Arial" w:hAnsi="Arial" w:cs="Arial"/>
          <w:b/>
          <w:bCs/>
          <w:sz w:val="48"/>
          <w:szCs w:val="48"/>
        </w:rPr>
      </w:pPr>
      <w:r>
        <w:rPr>
          <w:rFonts w:ascii="Arial" w:hAnsi="Arial" w:cs="Arial"/>
          <w:b/>
          <w:bCs/>
          <w:sz w:val="48"/>
          <w:szCs w:val="48"/>
        </w:rPr>
        <w:t xml:space="preserve"> </w:t>
      </w:r>
      <w:bookmarkStart w:id="0" w:name="_GoBack"/>
      <w:bookmarkEnd w:id="0"/>
    </w:p>
    <w:p w14:paraId="7F474F2B" w14:textId="77777777" w:rsidR="00673C18" w:rsidRPr="00D7114C" w:rsidRDefault="00DD14FC" w:rsidP="00673C18">
      <w:pPr>
        <w:autoSpaceDE w:val="0"/>
        <w:autoSpaceDN w:val="0"/>
        <w:adjustRightInd w:val="0"/>
        <w:spacing w:before="120"/>
        <w:jc w:val="center"/>
        <w:rPr>
          <w:rFonts w:ascii="Arial" w:hAnsi="Arial" w:cs="Arial"/>
          <w:b/>
          <w:bCs/>
          <w:sz w:val="48"/>
          <w:szCs w:val="48"/>
        </w:rPr>
      </w:pPr>
      <w:r>
        <w:rPr>
          <w:rFonts w:ascii="Arial" w:hAnsi="Arial" w:cs="Arial"/>
          <w:b/>
          <w:bCs/>
          <w:sz w:val="48"/>
          <w:szCs w:val="48"/>
        </w:rPr>
        <w:t>Action</w:t>
      </w:r>
      <w:r w:rsidR="00673C18">
        <w:rPr>
          <w:rFonts w:ascii="Arial" w:hAnsi="Arial" w:cs="Arial"/>
          <w:b/>
          <w:bCs/>
          <w:sz w:val="48"/>
          <w:szCs w:val="48"/>
        </w:rPr>
        <w:t xml:space="preserve"> Plan</w:t>
      </w:r>
    </w:p>
    <w:p w14:paraId="7F474F2C" w14:textId="77777777" w:rsidR="00D7114C" w:rsidRDefault="00D7114C" w:rsidP="00D7114C">
      <w:pPr>
        <w:autoSpaceDE w:val="0"/>
        <w:autoSpaceDN w:val="0"/>
        <w:adjustRightInd w:val="0"/>
        <w:spacing w:before="120"/>
        <w:jc w:val="center"/>
        <w:rPr>
          <w:rFonts w:ascii="Arial" w:hAnsi="Arial" w:cs="Arial"/>
          <w:b/>
          <w:bCs/>
          <w:sz w:val="48"/>
          <w:szCs w:val="48"/>
        </w:rPr>
      </w:pPr>
    </w:p>
    <w:p w14:paraId="7F474F2D" w14:textId="77777777" w:rsidR="00D7114C" w:rsidRPr="00D7114C" w:rsidRDefault="00CE736A" w:rsidP="00D7114C">
      <w:pPr>
        <w:autoSpaceDE w:val="0"/>
        <w:autoSpaceDN w:val="0"/>
        <w:adjustRightInd w:val="0"/>
        <w:spacing w:before="120"/>
        <w:jc w:val="center"/>
        <w:rPr>
          <w:rFonts w:ascii="Arial" w:hAnsi="Arial" w:cs="Arial"/>
          <w:b/>
          <w:bCs/>
          <w:sz w:val="48"/>
          <w:szCs w:val="48"/>
        </w:rPr>
      </w:pPr>
      <w:r>
        <w:rPr>
          <w:rFonts w:ascii="Arial" w:hAnsi="Arial" w:cs="Arial"/>
          <w:b/>
          <w:bCs/>
          <w:sz w:val="48"/>
          <w:szCs w:val="48"/>
        </w:rPr>
        <w:t>Enhanced response to a</w:t>
      </w:r>
      <w:r w:rsidR="00D7114C" w:rsidRPr="00D7114C">
        <w:rPr>
          <w:rFonts w:ascii="Arial" w:hAnsi="Arial" w:cs="Arial"/>
          <w:b/>
          <w:bCs/>
          <w:sz w:val="48"/>
          <w:szCs w:val="48"/>
        </w:rPr>
        <w:t xml:space="preserve">ddressing sexually </w:t>
      </w:r>
      <w:r w:rsidR="00351ED9" w:rsidRPr="00D7114C">
        <w:rPr>
          <w:rFonts w:ascii="Arial" w:hAnsi="Arial" w:cs="Arial"/>
          <w:b/>
          <w:bCs/>
          <w:sz w:val="48"/>
          <w:szCs w:val="48"/>
        </w:rPr>
        <w:t>transmi</w:t>
      </w:r>
      <w:r w:rsidR="00351ED9">
        <w:rPr>
          <w:rFonts w:ascii="Arial" w:hAnsi="Arial" w:cs="Arial"/>
          <w:b/>
          <w:bCs/>
          <w:sz w:val="48"/>
          <w:szCs w:val="48"/>
        </w:rPr>
        <w:t>ssible</w:t>
      </w:r>
      <w:r w:rsidR="00351ED9" w:rsidRPr="00D7114C">
        <w:rPr>
          <w:rFonts w:ascii="Arial" w:hAnsi="Arial" w:cs="Arial"/>
          <w:b/>
          <w:bCs/>
          <w:sz w:val="48"/>
          <w:szCs w:val="48"/>
        </w:rPr>
        <w:t xml:space="preserve"> </w:t>
      </w:r>
      <w:r w:rsidR="0016184E">
        <w:rPr>
          <w:rFonts w:ascii="Arial" w:hAnsi="Arial" w:cs="Arial"/>
          <w:b/>
          <w:bCs/>
          <w:sz w:val="48"/>
          <w:szCs w:val="48"/>
        </w:rPr>
        <w:t xml:space="preserve">infections </w:t>
      </w:r>
      <w:r w:rsidR="0016184E" w:rsidRPr="00D7114C">
        <w:rPr>
          <w:rFonts w:ascii="Arial" w:hAnsi="Arial" w:cs="Arial"/>
          <w:b/>
          <w:bCs/>
          <w:sz w:val="48"/>
          <w:szCs w:val="48"/>
        </w:rPr>
        <w:t>(and bl</w:t>
      </w:r>
      <w:r w:rsidR="0016184E">
        <w:rPr>
          <w:rFonts w:ascii="Arial" w:hAnsi="Arial" w:cs="Arial"/>
          <w:b/>
          <w:bCs/>
          <w:sz w:val="48"/>
          <w:szCs w:val="48"/>
        </w:rPr>
        <w:t>oo</w:t>
      </w:r>
      <w:r w:rsidR="0016184E" w:rsidRPr="00D7114C">
        <w:rPr>
          <w:rFonts w:ascii="Arial" w:hAnsi="Arial" w:cs="Arial"/>
          <w:b/>
          <w:bCs/>
          <w:sz w:val="48"/>
          <w:szCs w:val="48"/>
        </w:rPr>
        <w:t>d borne viruses)</w:t>
      </w:r>
      <w:r w:rsidR="00D7114C" w:rsidRPr="00D7114C">
        <w:rPr>
          <w:rFonts w:ascii="Arial" w:hAnsi="Arial" w:cs="Arial"/>
          <w:b/>
          <w:bCs/>
          <w:sz w:val="48"/>
          <w:szCs w:val="48"/>
        </w:rPr>
        <w:t xml:space="preserve"> in Indigenous populations</w:t>
      </w:r>
    </w:p>
    <w:p w14:paraId="7F474F2E" w14:textId="77777777" w:rsidR="006456AE" w:rsidRDefault="006456AE" w:rsidP="00D7114C">
      <w:pPr>
        <w:autoSpaceDE w:val="0"/>
        <w:autoSpaceDN w:val="0"/>
        <w:adjustRightInd w:val="0"/>
        <w:spacing w:before="120"/>
        <w:jc w:val="center"/>
        <w:rPr>
          <w:rFonts w:ascii="Arial" w:hAnsi="Arial" w:cs="Arial"/>
          <w:b/>
          <w:bCs/>
          <w:sz w:val="28"/>
          <w:szCs w:val="28"/>
        </w:rPr>
      </w:pPr>
    </w:p>
    <w:p w14:paraId="7F474F2F" w14:textId="77777777" w:rsidR="00D7114C" w:rsidRDefault="007E5B0C" w:rsidP="00D7114C">
      <w:pPr>
        <w:autoSpaceDE w:val="0"/>
        <w:autoSpaceDN w:val="0"/>
        <w:adjustRightInd w:val="0"/>
        <w:spacing w:before="120"/>
        <w:jc w:val="center"/>
        <w:rPr>
          <w:rFonts w:ascii="Arial" w:hAnsi="Arial" w:cs="Arial"/>
          <w:b/>
          <w:bCs/>
          <w:sz w:val="28"/>
          <w:szCs w:val="28"/>
        </w:rPr>
      </w:pPr>
      <w:r>
        <w:rPr>
          <w:rFonts w:ascii="Arial" w:hAnsi="Arial" w:cs="Arial"/>
          <w:b/>
          <w:bCs/>
          <w:sz w:val="28"/>
          <w:szCs w:val="28"/>
        </w:rPr>
        <w:t>NOVEM</w:t>
      </w:r>
      <w:r w:rsidR="00351ED9">
        <w:rPr>
          <w:rFonts w:ascii="Arial" w:hAnsi="Arial" w:cs="Arial"/>
          <w:b/>
          <w:bCs/>
          <w:sz w:val="28"/>
          <w:szCs w:val="28"/>
        </w:rPr>
        <w:t>BER</w:t>
      </w:r>
      <w:r w:rsidR="00351ED9" w:rsidRPr="00D7114C">
        <w:rPr>
          <w:rFonts w:ascii="Arial" w:hAnsi="Arial" w:cs="Arial"/>
          <w:b/>
          <w:bCs/>
          <w:sz w:val="28"/>
          <w:szCs w:val="28"/>
        </w:rPr>
        <w:t xml:space="preserve"> </w:t>
      </w:r>
      <w:r w:rsidR="00D7114C" w:rsidRPr="00D7114C">
        <w:rPr>
          <w:rFonts w:ascii="Arial" w:hAnsi="Arial" w:cs="Arial"/>
          <w:b/>
          <w:bCs/>
          <w:sz w:val="28"/>
          <w:szCs w:val="28"/>
        </w:rPr>
        <w:t>2017</w:t>
      </w:r>
    </w:p>
    <w:p w14:paraId="7F474F30" w14:textId="77777777" w:rsidR="006456AE" w:rsidRDefault="006456AE" w:rsidP="00D7114C">
      <w:pPr>
        <w:autoSpaceDE w:val="0"/>
        <w:autoSpaceDN w:val="0"/>
        <w:adjustRightInd w:val="0"/>
        <w:spacing w:before="120"/>
        <w:jc w:val="center"/>
        <w:rPr>
          <w:rFonts w:ascii="Arial" w:hAnsi="Arial" w:cs="Arial"/>
          <w:b/>
          <w:bCs/>
          <w:sz w:val="28"/>
          <w:szCs w:val="28"/>
        </w:rPr>
      </w:pPr>
    </w:p>
    <w:p w14:paraId="7F474F31" w14:textId="77777777" w:rsidR="000676D5" w:rsidRDefault="000676D5" w:rsidP="00D7114C">
      <w:pPr>
        <w:autoSpaceDE w:val="0"/>
        <w:autoSpaceDN w:val="0"/>
        <w:adjustRightInd w:val="0"/>
        <w:spacing w:before="120"/>
        <w:jc w:val="center"/>
        <w:rPr>
          <w:rFonts w:ascii="Arial" w:hAnsi="Arial" w:cs="Arial"/>
          <w:b/>
          <w:bCs/>
          <w:sz w:val="28"/>
          <w:szCs w:val="28"/>
        </w:rPr>
      </w:pPr>
    </w:p>
    <w:p w14:paraId="7F474F32" w14:textId="77777777" w:rsidR="0056308E" w:rsidRPr="00DB00E4" w:rsidRDefault="0056308E" w:rsidP="0056308E">
      <w:pPr>
        <w:autoSpaceDE w:val="0"/>
        <w:autoSpaceDN w:val="0"/>
        <w:adjustRightInd w:val="0"/>
        <w:spacing w:before="240"/>
        <w:rPr>
          <w:rFonts w:ascii="Arial" w:hAnsi="Arial" w:cs="Arial"/>
          <w:bCs/>
          <w:sz w:val="22"/>
          <w:szCs w:val="22"/>
        </w:rPr>
      </w:pPr>
      <w:r w:rsidRPr="00DB00E4">
        <w:rPr>
          <w:rFonts w:ascii="Arial" w:hAnsi="Arial" w:cs="Arial"/>
          <w:bCs/>
          <w:sz w:val="22"/>
          <w:szCs w:val="22"/>
        </w:rPr>
        <w:t xml:space="preserve">This Action Plan has been developed by the </w:t>
      </w:r>
      <w:r w:rsidR="00DB00E4" w:rsidRPr="00DB00E4">
        <w:rPr>
          <w:rFonts w:ascii="Arial" w:hAnsi="Arial" w:cs="Arial"/>
          <w:bCs/>
          <w:sz w:val="22"/>
          <w:szCs w:val="22"/>
        </w:rPr>
        <w:t xml:space="preserve">Australian Health Protection Principal Committee </w:t>
      </w:r>
      <w:r w:rsidR="00DB00E4">
        <w:rPr>
          <w:rFonts w:ascii="Arial" w:hAnsi="Arial" w:cs="Arial"/>
          <w:bCs/>
          <w:sz w:val="22"/>
          <w:szCs w:val="22"/>
        </w:rPr>
        <w:t>(</w:t>
      </w:r>
      <w:r w:rsidRPr="00DB00E4">
        <w:rPr>
          <w:rFonts w:ascii="Arial" w:hAnsi="Arial" w:cs="Arial"/>
          <w:bCs/>
          <w:sz w:val="22"/>
          <w:szCs w:val="22"/>
        </w:rPr>
        <w:t>AHPPC</w:t>
      </w:r>
      <w:r w:rsidR="00DB00E4">
        <w:rPr>
          <w:rFonts w:ascii="Arial" w:hAnsi="Arial" w:cs="Arial"/>
          <w:bCs/>
          <w:sz w:val="22"/>
          <w:szCs w:val="22"/>
        </w:rPr>
        <w:t>)</w:t>
      </w:r>
      <w:r w:rsidRPr="00DB00E4">
        <w:rPr>
          <w:rFonts w:ascii="Arial" w:hAnsi="Arial" w:cs="Arial"/>
          <w:bCs/>
          <w:sz w:val="22"/>
          <w:szCs w:val="22"/>
        </w:rPr>
        <w:t xml:space="preserve"> Governance Group and </w:t>
      </w:r>
      <w:r w:rsidR="00B03E64">
        <w:rPr>
          <w:rFonts w:ascii="Arial" w:hAnsi="Arial" w:cs="Arial"/>
          <w:bCs/>
          <w:sz w:val="22"/>
          <w:szCs w:val="22"/>
        </w:rPr>
        <w:t>endorsed</w:t>
      </w:r>
      <w:r w:rsidRPr="00DB00E4">
        <w:rPr>
          <w:rFonts w:ascii="Arial" w:hAnsi="Arial" w:cs="Arial"/>
          <w:bCs/>
          <w:sz w:val="22"/>
          <w:szCs w:val="22"/>
        </w:rPr>
        <w:t xml:space="preserve"> by the </w:t>
      </w:r>
      <w:r w:rsidR="00C10593">
        <w:rPr>
          <w:rFonts w:ascii="Arial" w:hAnsi="Arial" w:cs="Arial"/>
          <w:bCs/>
          <w:sz w:val="22"/>
          <w:szCs w:val="22"/>
        </w:rPr>
        <w:t xml:space="preserve">AHPPC and the </w:t>
      </w:r>
      <w:r w:rsidRPr="00DB00E4">
        <w:rPr>
          <w:rFonts w:ascii="Arial" w:hAnsi="Arial" w:cs="Arial"/>
          <w:bCs/>
          <w:sz w:val="22"/>
          <w:szCs w:val="22"/>
        </w:rPr>
        <w:t>Australian Health Ministers Advisory Council</w:t>
      </w:r>
      <w:r w:rsidR="00DB00E4">
        <w:rPr>
          <w:rFonts w:ascii="Arial" w:hAnsi="Arial" w:cs="Arial"/>
          <w:bCs/>
          <w:sz w:val="22"/>
          <w:szCs w:val="22"/>
        </w:rPr>
        <w:t xml:space="preserve"> (AHMAC)</w:t>
      </w:r>
      <w:r w:rsidR="00C10593">
        <w:rPr>
          <w:rFonts w:ascii="Arial" w:hAnsi="Arial" w:cs="Arial"/>
          <w:bCs/>
          <w:sz w:val="22"/>
          <w:szCs w:val="22"/>
        </w:rPr>
        <w:t>.</w:t>
      </w:r>
    </w:p>
    <w:p w14:paraId="7F474F33" w14:textId="77777777" w:rsidR="00DB00E4" w:rsidRPr="00DB00E4" w:rsidRDefault="00DB00E4" w:rsidP="0056308E">
      <w:pPr>
        <w:autoSpaceDE w:val="0"/>
        <w:autoSpaceDN w:val="0"/>
        <w:adjustRightInd w:val="0"/>
        <w:spacing w:before="240"/>
        <w:rPr>
          <w:rFonts w:ascii="Arial" w:hAnsi="Arial" w:cs="Arial"/>
          <w:bCs/>
          <w:sz w:val="22"/>
          <w:szCs w:val="22"/>
        </w:rPr>
      </w:pPr>
      <w:r w:rsidRPr="00DB00E4">
        <w:rPr>
          <w:rFonts w:ascii="Arial" w:hAnsi="Arial" w:cs="Arial"/>
          <w:sz w:val="22"/>
          <w:szCs w:val="22"/>
        </w:rPr>
        <w:t xml:space="preserve">It is expected that the Action Plan will evolve over time to meet the objectives of the </w:t>
      </w:r>
      <w:r w:rsidRPr="00DB00E4">
        <w:rPr>
          <w:rFonts w:ascii="Arial" w:hAnsi="Arial" w:cs="Arial"/>
          <w:bCs/>
          <w:i/>
          <w:sz w:val="22"/>
          <w:szCs w:val="22"/>
        </w:rPr>
        <w:t>National Strategic approach for an enhanced response to the disproportionately high rates of STI and BBV in Aboriginal and Torres Strait Islander people</w:t>
      </w:r>
      <w:r w:rsidRPr="00DB00E4">
        <w:rPr>
          <w:rFonts w:ascii="Arial" w:hAnsi="Arial" w:cs="Arial"/>
          <w:sz w:val="22"/>
          <w:szCs w:val="22"/>
        </w:rPr>
        <w:t>.</w:t>
      </w:r>
    </w:p>
    <w:p w14:paraId="7F474F34" w14:textId="77777777" w:rsidR="006456AE" w:rsidRDefault="006456AE">
      <w:pPr>
        <w:rPr>
          <w:rFonts w:ascii="Arial" w:hAnsi="Arial" w:cs="Arial"/>
          <w:bCs/>
          <w:noProof/>
          <w:sz w:val="22"/>
          <w:szCs w:val="22"/>
        </w:rPr>
      </w:pPr>
      <w:r>
        <w:rPr>
          <w:rFonts w:ascii="Arial" w:hAnsi="Arial" w:cs="Arial"/>
          <w:bCs/>
          <w:noProof/>
          <w:sz w:val="22"/>
          <w:szCs w:val="22"/>
        </w:rPr>
        <w:br w:type="page"/>
      </w:r>
    </w:p>
    <w:p w14:paraId="7F474F35" w14:textId="77777777" w:rsidR="006456AE" w:rsidRDefault="006456AE">
      <w:pPr>
        <w:rPr>
          <w:rFonts w:ascii="Arial" w:hAnsi="Arial" w:cs="Arial"/>
          <w:bCs/>
          <w:noProof/>
          <w:sz w:val="22"/>
          <w:szCs w:val="22"/>
        </w:rPr>
      </w:pPr>
    </w:p>
    <w:p w14:paraId="7F474F36" w14:textId="77777777" w:rsidR="006456AE" w:rsidRDefault="006456AE">
      <w:pPr>
        <w:rPr>
          <w:rFonts w:ascii="Arial" w:hAnsi="Arial" w:cs="Arial"/>
          <w:bCs/>
          <w:noProof/>
          <w:sz w:val="22"/>
          <w:szCs w:val="22"/>
        </w:rPr>
      </w:pPr>
    </w:p>
    <w:sdt>
      <w:sdtPr>
        <w:rPr>
          <w:rFonts w:ascii="Times New Roman" w:eastAsia="Times New Roman" w:hAnsi="Times New Roman" w:cs="Times New Roman"/>
          <w:b w:val="0"/>
          <w:bCs w:val="0"/>
          <w:color w:val="auto"/>
          <w:sz w:val="24"/>
          <w:szCs w:val="24"/>
          <w:lang w:val="en-AU" w:eastAsia="en-AU"/>
        </w:rPr>
        <w:id w:val="574640504"/>
        <w:docPartObj>
          <w:docPartGallery w:val="Table of Contents"/>
          <w:docPartUnique/>
        </w:docPartObj>
      </w:sdtPr>
      <w:sdtEndPr>
        <w:rPr>
          <w:noProof/>
        </w:rPr>
      </w:sdtEndPr>
      <w:sdtContent>
        <w:p w14:paraId="7F474F37" w14:textId="77777777" w:rsidR="00B7500E" w:rsidRPr="00497F09" w:rsidRDefault="00B7500E" w:rsidP="00B7500E">
          <w:pPr>
            <w:pStyle w:val="TOCHeading"/>
            <w:jc w:val="center"/>
            <w:rPr>
              <w:rFonts w:ascii="Arial" w:hAnsi="Arial" w:cs="Arial"/>
              <w:sz w:val="24"/>
            </w:rPr>
          </w:pPr>
          <w:r w:rsidRPr="00FB5849">
            <w:rPr>
              <w:rFonts w:ascii="Arial" w:hAnsi="Arial" w:cs="Arial"/>
              <w:sz w:val="24"/>
            </w:rPr>
            <w:t>Table of Contents</w:t>
          </w:r>
        </w:p>
        <w:p w14:paraId="7F474F38" w14:textId="77777777" w:rsidR="00EC4E26" w:rsidRDefault="00B7500E">
          <w:pPr>
            <w:pStyle w:val="TOC1"/>
            <w:tabs>
              <w:tab w:val="right" w:leader="dot" w:pos="8296"/>
            </w:tabs>
            <w:rPr>
              <w:rFonts w:asciiTheme="minorHAnsi" w:eastAsiaTheme="minorEastAsia" w:hAnsiTheme="minorHAnsi" w:cstheme="minorBidi"/>
              <w:noProof/>
              <w:sz w:val="22"/>
              <w:szCs w:val="22"/>
            </w:rPr>
          </w:pPr>
          <w:r w:rsidRPr="00D220F9">
            <w:rPr>
              <w:rFonts w:ascii="Arial" w:hAnsi="Arial" w:cs="Arial"/>
            </w:rPr>
            <w:fldChar w:fldCharType="begin"/>
          </w:r>
          <w:r w:rsidRPr="00D220F9">
            <w:rPr>
              <w:rFonts w:ascii="Arial" w:hAnsi="Arial" w:cs="Arial"/>
            </w:rPr>
            <w:instrText xml:space="preserve"> TOC \o "1-3" \h \z \u </w:instrText>
          </w:r>
          <w:r w:rsidRPr="00D220F9">
            <w:rPr>
              <w:rFonts w:ascii="Arial" w:hAnsi="Arial" w:cs="Arial"/>
            </w:rPr>
            <w:fldChar w:fldCharType="separate"/>
          </w:r>
          <w:hyperlink w:anchor="_Toc514227106" w:history="1">
            <w:r w:rsidR="00EC4E26" w:rsidRPr="00AF2F78">
              <w:rPr>
                <w:rStyle w:val="Hyperlink"/>
                <w:noProof/>
              </w:rPr>
              <w:t>Objectives</w:t>
            </w:r>
            <w:r w:rsidR="00EC4E26">
              <w:rPr>
                <w:noProof/>
                <w:webHidden/>
              </w:rPr>
              <w:tab/>
            </w:r>
            <w:r w:rsidR="00EC4E26">
              <w:rPr>
                <w:noProof/>
                <w:webHidden/>
              </w:rPr>
              <w:fldChar w:fldCharType="begin"/>
            </w:r>
            <w:r w:rsidR="00EC4E26">
              <w:rPr>
                <w:noProof/>
                <w:webHidden/>
              </w:rPr>
              <w:instrText xml:space="preserve"> PAGEREF _Toc514227106 \h </w:instrText>
            </w:r>
            <w:r w:rsidR="00EC4E26">
              <w:rPr>
                <w:noProof/>
                <w:webHidden/>
              </w:rPr>
            </w:r>
            <w:r w:rsidR="00EC4E26">
              <w:rPr>
                <w:noProof/>
                <w:webHidden/>
              </w:rPr>
              <w:fldChar w:fldCharType="separate"/>
            </w:r>
            <w:r w:rsidR="00C159E9">
              <w:rPr>
                <w:noProof/>
                <w:webHidden/>
              </w:rPr>
              <w:t>3</w:t>
            </w:r>
            <w:r w:rsidR="00EC4E26">
              <w:rPr>
                <w:noProof/>
                <w:webHidden/>
              </w:rPr>
              <w:fldChar w:fldCharType="end"/>
            </w:r>
          </w:hyperlink>
        </w:p>
        <w:p w14:paraId="7F474F39"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07" w:history="1">
            <w:r w:rsidR="00EC4E26" w:rsidRPr="00AF2F78">
              <w:rPr>
                <w:rStyle w:val="Hyperlink"/>
                <w:noProof/>
              </w:rPr>
              <w:t>Setting the scene</w:t>
            </w:r>
            <w:r w:rsidR="00EC4E26">
              <w:rPr>
                <w:noProof/>
                <w:webHidden/>
              </w:rPr>
              <w:tab/>
            </w:r>
            <w:r w:rsidR="00EC4E26">
              <w:rPr>
                <w:noProof/>
                <w:webHidden/>
              </w:rPr>
              <w:fldChar w:fldCharType="begin"/>
            </w:r>
            <w:r w:rsidR="00EC4E26">
              <w:rPr>
                <w:noProof/>
                <w:webHidden/>
              </w:rPr>
              <w:instrText xml:space="preserve"> PAGEREF _Toc514227107 \h </w:instrText>
            </w:r>
            <w:r w:rsidR="00EC4E26">
              <w:rPr>
                <w:noProof/>
                <w:webHidden/>
              </w:rPr>
            </w:r>
            <w:r w:rsidR="00EC4E26">
              <w:rPr>
                <w:noProof/>
                <w:webHidden/>
              </w:rPr>
              <w:fldChar w:fldCharType="separate"/>
            </w:r>
            <w:r w:rsidR="00C159E9">
              <w:rPr>
                <w:noProof/>
                <w:webHidden/>
              </w:rPr>
              <w:t>3</w:t>
            </w:r>
            <w:r w:rsidR="00EC4E26">
              <w:rPr>
                <w:noProof/>
                <w:webHidden/>
              </w:rPr>
              <w:fldChar w:fldCharType="end"/>
            </w:r>
          </w:hyperlink>
        </w:p>
        <w:p w14:paraId="7F474F3A"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08" w:history="1">
            <w:r w:rsidR="00EC4E26" w:rsidRPr="00AF2F78">
              <w:rPr>
                <w:rStyle w:val="Hyperlink"/>
                <w:noProof/>
              </w:rPr>
              <w:t>Background</w:t>
            </w:r>
            <w:r w:rsidR="00EC4E26">
              <w:rPr>
                <w:noProof/>
                <w:webHidden/>
              </w:rPr>
              <w:tab/>
            </w:r>
            <w:r w:rsidR="00EC4E26">
              <w:rPr>
                <w:noProof/>
                <w:webHidden/>
              </w:rPr>
              <w:fldChar w:fldCharType="begin"/>
            </w:r>
            <w:r w:rsidR="00EC4E26">
              <w:rPr>
                <w:noProof/>
                <w:webHidden/>
              </w:rPr>
              <w:instrText xml:space="preserve"> PAGEREF _Toc514227108 \h </w:instrText>
            </w:r>
            <w:r w:rsidR="00EC4E26">
              <w:rPr>
                <w:noProof/>
                <w:webHidden/>
              </w:rPr>
            </w:r>
            <w:r w:rsidR="00EC4E26">
              <w:rPr>
                <w:noProof/>
                <w:webHidden/>
              </w:rPr>
              <w:fldChar w:fldCharType="separate"/>
            </w:r>
            <w:r w:rsidR="00C159E9">
              <w:rPr>
                <w:noProof/>
                <w:webHidden/>
              </w:rPr>
              <w:t>4</w:t>
            </w:r>
            <w:r w:rsidR="00EC4E26">
              <w:rPr>
                <w:noProof/>
                <w:webHidden/>
              </w:rPr>
              <w:fldChar w:fldCharType="end"/>
            </w:r>
          </w:hyperlink>
        </w:p>
        <w:p w14:paraId="7F474F3B"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09" w:history="1">
            <w:r w:rsidR="00EC4E26" w:rsidRPr="00AF2F78">
              <w:rPr>
                <w:rStyle w:val="Hyperlink"/>
                <w:noProof/>
              </w:rPr>
              <w:t>Priority Areas for the enhanced response</w:t>
            </w:r>
            <w:r w:rsidR="00EC4E26">
              <w:rPr>
                <w:noProof/>
                <w:webHidden/>
              </w:rPr>
              <w:tab/>
            </w:r>
            <w:r w:rsidR="00EC4E26">
              <w:rPr>
                <w:noProof/>
                <w:webHidden/>
              </w:rPr>
              <w:fldChar w:fldCharType="begin"/>
            </w:r>
            <w:r w:rsidR="00EC4E26">
              <w:rPr>
                <w:noProof/>
                <w:webHidden/>
              </w:rPr>
              <w:instrText xml:space="preserve"> PAGEREF _Toc514227109 \h </w:instrText>
            </w:r>
            <w:r w:rsidR="00EC4E26">
              <w:rPr>
                <w:noProof/>
                <w:webHidden/>
              </w:rPr>
            </w:r>
            <w:r w:rsidR="00EC4E26">
              <w:rPr>
                <w:noProof/>
                <w:webHidden/>
              </w:rPr>
              <w:fldChar w:fldCharType="separate"/>
            </w:r>
            <w:r w:rsidR="00C159E9">
              <w:rPr>
                <w:noProof/>
                <w:webHidden/>
              </w:rPr>
              <w:t>4</w:t>
            </w:r>
            <w:r w:rsidR="00EC4E26">
              <w:rPr>
                <w:noProof/>
                <w:webHidden/>
              </w:rPr>
              <w:fldChar w:fldCharType="end"/>
            </w:r>
          </w:hyperlink>
        </w:p>
        <w:p w14:paraId="7F474F3C"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10" w:history="1">
            <w:r w:rsidR="00EC4E26" w:rsidRPr="00AF2F78">
              <w:rPr>
                <w:rStyle w:val="Hyperlink"/>
                <w:noProof/>
              </w:rPr>
              <w:t>Workforce</w:t>
            </w:r>
            <w:r w:rsidR="00EC4E26">
              <w:rPr>
                <w:noProof/>
                <w:webHidden/>
              </w:rPr>
              <w:tab/>
            </w:r>
            <w:r w:rsidR="00EC4E26">
              <w:rPr>
                <w:noProof/>
                <w:webHidden/>
              </w:rPr>
              <w:fldChar w:fldCharType="begin"/>
            </w:r>
            <w:r w:rsidR="00EC4E26">
              <w:rPr>
                <w:noProof/>
                <w:webHidden/>
              </w:rPr>
              <w:instrText xml:space="preserve"> PAGEREF _Toc514227110 \h </w:instrText>
            </w:r>
            <w:r w:rsidR="00EC4E26">
              <w:rPr>
                <w:noProof/>
                <w:webHidden/>
              </w:rPr>
            </w:r>
            <w:r w:rsidR="00EC4E26">
              <w:rPr>
                <w:noProof/>
                <w:webHidden/>
              </w:rPr>
              <w:fldChar w:fldCharType="separate"/>
            </w:r>
            <w:r w:rsidR="00C159E9">
              <w:rPr>
                <w:noProof/>
                <w:webHidden/>
              </w:rPr>
              <w:t>5</w:t>
            </w:r>
            <w:r w:rsidR="00EC4E26">
              <w:rPr>
                <w:noProof/>
                <w:webHidden/>
              </w:rPr>
              <w:fldChar w:fldCharType="end"/>
            </w:r>
          </w:hyperlink>
        </w:p>
        <w:p w14:paraId="7F474F3D"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11" w:history="1">
            <w:r w:rsidR="00EC4E26" w:rsidRPr="00AF2F78">
              <w:rPr>
                <w:rStyle w:val="Hyperlink"/>
                <w:noProof/>
              </w:rPr>
              <w:t>Governance and reporting structure for the enhanced response</w:t>
            </w:r>
            <w:r w:rsidR="00EC4E26">
              <w:rPr>
                <w:noProof/>
                <w:webHidden/>
              </w:rPr>
              <w:tab/>
            </w:r>
            <w:r w:rsidR="00EC4E26">
              <w:rPr>
                <w:noProof/>
                <w:webHidden/>
              </w:rPr>
              <w:fldChar w:fldCharType="begin"/>
            </w:r>
            <w:r w:rsidR="00EC4E26">
              <w:rPr>
                <w:noProof/>
                <w:webHidden/>
              </w:rPr>
              <w:instrText xml:space="preserve"> PAGEREF _Toc514227111 \h </w:instrText>
            </w:r>
            <w:r w:rsidR="00EC4E26">
              <w:rPr>
                <w:noProof/>
                <w:webHidden/>
              </w:rPr>
            </w:r>
            <w:r w:rsidR="00EC4E26">
              <w:rPr>
                <w:noProof/>
                <w:webHidden/>
              </w:rPr>
              <w:fldChar w:fldCharType="separate"/>
            </w:r>
            <w:r w:rsidR="00C159E9">
              <w:rPr>
                <w:noProof/>
                <w:webHidden/>
              </w:rPr>
              <w:t>5</w:t>
            </w:r>
            <w:r w:rsidR="00EC4E26">
              <w:rPr>
                <w:noProof/>
                <w:webHidden/>
              </w:rPr>
              <w:fldChar w:fldCharType="end"/>
            </w:r>
          </w:hyperlink>
        </w:p>
        <w:p w14:paraId="7F474F3E"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12" w:history="1">
            <w:r w:rsidR="00EC4E26" w:rsidRPr="00AF2F78">
              <w:rPr>
                <w:rStyle w:val="Hyperlink"/>
                <w:noProof/>
              </w:rPr>
              <w:t>Action Plan</w:t>
            </w:r>
            <w:r w:rsidR="00EC4E26">
              <w:rPr>
                <w:noProof/>
                <w:webHidden/>
              </w:rPr>
              <w:tab/>
            </w:r>
            <w:r w:rsidR="00EC4E26">
              <w:rPr>
                <w:noProof/>
                <w:webHidden/>
              </w:rPr>
              <w:fldChar w:fldCharType="begin"/>
            </w:r>
            <w:r w:rsidR="00EC4E26">
              <w:rPr>
                <w:noProof/>
                <w:webHidden/>
              </w:rPr>
              <w:instrText xml:space="preserve"> PAGEREF _Toc514227112 \h </w:instrText>
            </w:r>
            <w:r w:rsidR="00EC4E26">
              <w:rPr>
                <w:noProof/>
                <w:webHidden/>
              </w:rPr>
            </w:r>
            <w:r w:rsidR="00EC4E26">
              <w:rPr>
                <w:noProof/>
                <w:webHidden/>
              </w:rPr>
              <w:fldChar w:fldCharType="separate"/>
            </w:r>
            <w:r w:rsidR="00C159E9">
              <w:rPr>
                <w:noProof/>
                <w:webHidden/>
              </w:rPr>
              <w:t>8</w:t>
            </w:r>
            <w:r w:rsidR="00EC4E26">
              <w:rPr>
                <w:noProof/>
                <w:webHidden/>
              </w:rPr>
              <w:fldChar w:fldCharType="end"/>
            </w:r>
          </w:hyperlink>
        </w:p>
        <w:p w14:paraId="7F474F3F" w14:textId="77777777" w:rsidR="00EC4E26" w:rsidRDefault="00772FA9">
          <w:pPr>
            <w:pStyle w:val="TOC2"/>
            <w:tabs>
              <w:tab w:val="right" w:leader="dot" w:pos="8296"/>
            </w:tabs>
            <w:rPr>
              <w:rFonts w:asciiTheme="minorHAnsi" w:eastAsiaTheme="minorEastAsia" w:hAnsiTheme="minorHAnsi" w:cstheme="minorBidi"/>
              <w:noProof/>
              <w:sz w:val="22"/>
              <w:szCs w:val="22"/>
            </w:rPr>
          </w:pPr>
          <w:hyperlink w:anchor="_Toc514227113" w:history="1">
            <w:r w:rsidR="00EC4E26" w:rsidRPr="00AF2F78">
              <w:rPr>
                <w:rStyle w:val="Hyperlink"/>
                <w:noProof/>
              </w:rPr>
              <w:t>Priority Area 1: Testing and treatment</w:t>
            </w:r>
            <w:r w:rsidR="00EC4E26">
              <w:rPr>
                <w:noProof/>
                <w:webHidden/>
              </w:rPr>
              <w:tab/>
            </w:r>
            <w:r w:rsidR="00EC4E26">
              <w:rPr>
                <w:noProof/>
                <w:webHidden/>
              </w:rPr>
              <w:fldChar w:fldCharType="begin"/>
            </w:r>
            <w:r w:rsidR="00EC4E26">
              <w:rPr>
                <w:noProof/>
                <w:webHidden/>
              </w:rPr>
              <w:instrText xml:space="preserve"> PAGEREF _Toc514227113 \h </w:instrText>
            </w:r>
            <w:r w:rsidR="00EC4E26">
              <w:rPr>
                <w:noProof/>
                <w:webHidden/>
              </w:rPr>
            </w:r>
            <w:r w:rsidR="00EC4E26">
              <w:rPr>
                <w:noProof/>
                <w:webHidden/>
              </w:rPr>
              <w:fldChar w:fldCharType="separate"/>
            </w:r>
            <w:r w:rsidR="00C159E9">
              <w:rPr>
                <w:noProof/>
                <w:webHidden/>
              </w:rPr>
              <w:t>8</w:t>
            </w:r>
            <w:r w:rsidR="00EC4E26">
              <w:rPr>
                <w:noProof/>
                <w:webHidden/>
              </w:rPr>
              <w:fldChar w:fldCharType="end"/>
            </w:r>
          </w:hyperlink>
        </w:p>
        <w:p w14:paraId="7F474F40" w14:textId="77777777" w:rsidR="00EC4E26" w:rsidRDefault="00772FA9">
          <w:pPr>
            <w:pStyle w:val="TOC2"/>
            <w:tabs>
              <w:tab w:val="right" w:leader="dot" w:pos="8296"/>
            </w:tabs>
            <w:rPr>
              <w:rFonts w:asciiTheme="minorHAnsi" w:eastAsiaTheme="minorEastAsia" w:hAnsiTheme="minorHAnsi" w:cstheme="minorBidi"/>
              <w:noProof/>
              <w:sz w:val="22"/>
              <w:szCs w:val="22"/>
            </w:rPr>
          </w:pPr>
          <w:hyperlink w:anchor="_Toc514227114" w:history="1">
            <w:r w:rsidR="00EC4E26" w:rsidRPr="00AF2F78">
              <w:rPr>
                <w:rStyle w:val="Hyperlink"/>
                <w:noProof/>
              </w:rPr>
              <w:t>Priority Area 2: Surveillance and reporting</w:t>
            </w:r>
            <w:r w:rsidR="00EC4E26">
              <w:rPr>
                <w:noProof/>
                <w:webHidden/>
              </w:rPr>
              <w:tab/>
            </w:r>
            <w:r w:rsidR="00EC4E26">
              <w:rPr>
                <w:noProof/>
                <w:webHidden/>
              </w:rPr>
              <w:fldChar w:fldCharType="begin"/>
            </w:r>
            <w:r w:rsidR="00EC4E26">
              <w:rPr>
                <w:noProof/>
                <w:webHidden/>
              </w:rPr>
              <w:instrText xml:space="preserve"> PAGEREF _Toc514227114 \h </w:instrText>
            </w:r>
            <w:r w:rsidR="00EC4E26">
              <w:rPr>
                <w:noProof/>
                <w:webHidden/>
              </w:rPr>
            </w:r>
            <w:r w:rsidR="00EC4E26">
              <w:rPr>
                <w:noProof/>
                <w:webHidden/>
              </w:rPr>
              <w:fldChar w:fldCharType="separate"/>
            </w:r>
            <w:r w:rsidR="00C159E9">
              <w:rPr>
                <w:noProof/>
                <w:webHidden/>
              </w:rPr>
              <w:t>9</w:t>
            </w:r>
            <w:r w:rsidR="00EC4E26">
              <w:rPr>
                <w:noProof/>
                <w:webHidden/>
              </w:rPr>
              <w:fldChar w:fldCharType="end"/>
            </w:r>
          </w:hyperlink>
        </w:p>
        <w:p w14:paraId="7F474F41" w14:textId="77777777" w:rsidR="00EC4E26" w:rsidRDefault="00772FA9">
          <w:pPr>
            <w:pStyle w:val="TOC2"/>
            <w:tabs>
              <w:tab w:val="right" w:leader="dot" w:pos="8296"/>
            </w:tabs>
            <w:rPr>
              <w:rFonts w:asciiTheme="minorHAnsi" w:eastAsiaTheme="minorEastAsia" w:hAnsiTheme="minorHAnsi" w:cstheme="minorBidi"/>
              <w:noProof/>
              <w:sz w:val="22"/>
              <w:szCs w:val="22"/>
            </w:rPr>
          </w:pPr>
          <w:hyperlink w:anchor="_Toc514227115" w:history="1">
            <w:r w:rsidR="00EC4E26" w:rsidRPr="00AF2F78">
              <w:rPr>
                <w:rStyle w:val="Hyperlink"/>
                <w:noProof/>
              </w:rPr>
              <w:t>Priority Area 3: Education and Awareness</w:t>
            </w:r>
            <w:r w:rsidR="00EC4E26">
              <w:rPr>
                <w:noProof/>
                <w:webHidden/>
              </w:rPr>
              <w:tab/>
            </w:r>
            <w:r w:rsidR="00EC4E26">
              <w:rPr>
                <w:noProof/>
                <w:webHidden/>
              </w:rPr>
              <w:fldChar w:fldCharType="begin"/>
            </w:r>
            <w:r w:rsidR="00EC4E26">
              <w:rPr>
                <w:noProof/>
                <w:webHidden/>
              </w:rPr>
              <w:instrText xml:space="preserve"> PAGEREF _Toc514227115 \h </w:instrText>
            </w:r>
            <w:r w:rsidR="00EC4E26">
              <w:rPr>
                <w:noProof/>
                <w:webHidden/>
              </w:rPr>
            </w:r>
            <w:r w:rsidR="00EC4E26">
              <w:rPr>
                <w:noProof/>
                <w:webHidden/>
              </w:rPr>
              <w:fldChar w:fldCharType="separate"/>
            </w:r>
            <w:r w:rsidR="00C159E9">
              <w:rPr>
                <w:noProof/>
                <w:webHidden/>
              </w:rPr>
              <w:t>10</w:t>
            </w:r>
            <w:r w:rsidR="00EC4E26">
              <w:rPr>
                <w:noProof/>
                <w:webHidden/>
              </w:rPr>
              <w:fldChar w:fldCharType="end"/>
            </w:r>
          </w:hyperlink>
        </w:p>
        <w:p w14:paraId="7F474F42" w14:textId="77777777" w:rsidR="00EC4E26" w:rsidRDefault="00772FA9">
          <w:pPr>
            <w:pStyle w:val="TOC2"/>
            <w:tabs>
              <w:tab w:val="right" w:leader="dot" w:pos="8296"/>
            </w:tabs>
            <w:rPr>
              <w:rFonts w:asciiTheme="minorHAnsi" w:eastAsiaTheme="minorEastAsia" w:hAnsiTheme="minorHAnsi" w:cstheme="minorBidi"/>
              <w:noProof/>
              <w:sz w:val="22"/>
              <w:szCs w:val="22"/>
            </w:rPr>
          </w:pPr>
          <w:hyperlink w:anchor="_Toc514227116" w:history="1">
            <w:r w:rsidR="00EC4E26" w:rsidRPr="00AF2F78">
              <w:rPr>
                <w:rStyle w:val="Hyperlink"/>
                <w:noProof/>
              </w:rPr>
              <w:t>Priority Area 4: Antenatal Care</w:t>
            </w:r>
            <w:r w:rsidR="00EC4E26">
              <w:rPr>
                <w:noProof/>
                <w:webHidden/>
              </w:rPr>
              <w:tab/>
            </w:r>
            <w:r w:rsidR="00EC4E26">
              <w:rPr>
                <w:noProof/>
                <w:webHidden/>
              </w:rPr>
              <w:fldChar w:fldCharType="begin"/>
            </w:r>
            <w:r w:rsidR="00EC4E26">
              <w:rPr>
                <w:noProof/>
                <w:webHidden/>
              </w:rPr>
              <w:instrText xml:space="preserve"> PAGEREF _Toc514227116 \h </w:instrText>
            </w:r>
            <w:r w:rsidR="00EC4E26">
              <w:rPr>
                <w:noProof/>
                <w:webHidden/>
              </w:rPr>
            </w:r>
            <w:r w:rsidR="00EC4E26">
              <w:rPr>
                <w:noProof/>
                <w:webHidden/>
              </w:rPr>
              <w:fldChar w:fldCharType="separate"/>
            </w:r>
            <w:r w:rsidR="00C159E9">
              <w:rPr>
                <w:noProof/>
                <w:webHidden/>
              </w:rPr>
              <w:t>12</w:t>
            </w:r>
            <w:r w:rsidR="00EC4E26">
              <w:rPr>
                <w:noProof/>
                <w:webHidden/>
              </w:rPr>
              <w:fldChar w:fldCharType="end"/>
            </w:r>
          </w:hyperlink>
        </w:p>
        <w:p w14:paraId="7F474F43"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17" w:history="1">
            <w:r w:rsidR="00EC4E26" w:rsidRPr="00AF2F78">
              <w:rPr>
                <w:rStyle w:val="Hyperlink"/>
                <w:noProof/>
              </w:rPr>
              <w:t>Monitoring and evaluation</w:t>
            </w:r>
            <w:r w:rsidR="00EC4E26">
              <w:rPr>
                <w:noProof/>
                <w:webHidden/>
              </w:rPr>
              <w:tab/>
            </w:r>
            <w:r w:rsidR="00EC4E26">
              <w:rPr>
                <w:noProof/>
                <w:webHidden/>
              </w:rPr>
              <w:fldChar w:fldCharType="begin"/>
            </w:r>
            <w:r w:rsidR="00EC4E26">
              <w:rPr>
                <w:noProof/>
                <w:webHidden/>
              </w:rPr>
              <w:instrText xml:space="preserve"> PAGEREF _Toc514227117 \h </w:instrText>
            </w:r>
            <w:r w:rsidR="00EC4E26">
              <w:rPr>
                <w:noProof/>
                <w:webHidden/>
              </w:rPr>
            </w:r>
            <w:r w:rsidR="00EC4E26">
              <w:rPr>
                <w:noProof/>
                <w:webHidden/>
              </w:rPr>
              <w:fldChar w:fldCharType="separate"/>
            </w:r>
            <w:r w:rsidR="00C159E9">
              <w:rPr>
                <w:noProof/>
                <w:webHidden/>
              </w:rPr>
              <w:t>13</w:t>
            </w:r>
            <w:r w:rsidR="00EC4E26">
              <w:rPr>
                <w:noProof/>
                <w:webHidden/>
              </w:rPr>
              <w:fldChar w:fldCharType="end"/>
            </w:r>
          </w:hyperlink>
        </w:p>
        <w:p w14:paraId="7F474F44" w14:textId="77777777" w:rsidR="00EC4E26" w:rsidRDefault="00772FA9">
          <w:pPr>
            <w:pStyle w:val="TOC1"/>
            <w:tabs>
              <w:tab w:val="right" w:leader="dot" w:pos="8296"/>
            </w:tabs>
            <w:rPr>
              <w:rFonts w:asciiTheme="minorHAnsi" w:eastAsiaTheme="minorEastAsia" w:hAnsiTheme="minorHAnsi" w:cstheme="minorBidi"/>
              <w:noProof/>
              <w:sz w:val="22"/>
              <w:szCs w:val="22"/>
            </w:rPr>
          </w:pPr>
          <w:hyperlink w:anchor="_Toc514227118" w:history="1">
            <w:r w:rsidR="00EC4E26" w:rsidRPr="00AF2F78">
              <w:rPr>
                <w:rStyle w:val="Hyperlink"/>
                <w:noProof/>
              </w:rPr>
              <w:t>Appendix A: Governance Group Terms of Reference</w:t>
            </w:r>
            <w:r w:rsidR="00EC4E26">
              <w:rPr>
                <w:noProof/>
                <w:webHidden/>
              </w:rPr>
              <w:tab/>
            </w:r>
            <w:r w:rsidR="00EC4E26">
              <w:rPr>
                <w:noProof/>
                <w:webHidden/>
              </w:rPr>
              <w:fldChar w:fldCharType="begin"/>
            </w:r>
            <w:r w:rsidR="00EC4E26">
              <w:rPr>
                <w:noProof/>
                <w:webHidden/>
              </w:rPr>
              <w:instrText xml:space="preserve"> PAGEREF _Toc514227118 \h </w:instrText>
            </w:r>
            <w:r w:rsidR="00EC4E26">
              <w:rPr>
                <w:noProof/>
                <w:webHidden/>
              </w:rPr>
            </w:r>
            <w:r w:rsidR="00EC4E26">
              <w:rPr>
                <w:noProof/>
                <w:webHidden/>
              </w:rPr>
              <w:fldChar w:fldCharType="separate"/>
            </w:r>
            <w:r w:rsidR="00C159E9">
              <w:rPr>
                <w:noProof/>
                <w:webHidden/>
              </w:rPr>
              <w:t>14</w:t>
            </w:r>
            <w:r w:rsidR="00EC4E26">
              <w:rPr>
                <w:noProof/>
                <w:webHidden/>
              </w:rPr>
              <w:fldChar w:fldCharType="end"/>
            </w:r>
          </w:hyperlink>
        </w:p>
        <w:p w14:paraId="7F474F45" w14:textId="77777777" w:rsidR="00B7500E" w:rsidRDefault="00B7500E">
          <w:r w:rsidRPr="00D220F9">
            <w:rPr>
              <w:rFonts w:ascii="Arial" w:hAnsi="Arial" w:cs="Arial"/>
              <w:b/>
              <w:bCs/>
              <w:noProof/>
            </w:rPr>
            <w:fldChar w:fldCharType="end"/>
          </w:r>
        </w:p>
      </w:sdtContent>
    </w:sdt>
    <w:p w14:paraId="7F474F46" w14:textId="77777777" w:rsidR="00B7500E" w:rsidRDefault="00B7500E">
      <w:pPr>
        <w:rPr>
          <w:rFonts w:ascii="Arial" w:hAnsi="Arial" w:cs="Arial"/>
          <w:b/>
          <w:bCs/>
          <w:sz w:val="28"/>
          <w:szCs w:val="28"/>
        </w:rPr>
      </w:pPr>
      <w:r>
        <w:rPr>
          <w:rFonts w:ascii="Arial" w:hAnsi="Arial" w:cs="Arial"/>
          <w:b/>
          <w:bCs/>
          <w:sz w:val="28"/>
          <w:szCs w:val="28"/>
        </w:rPr>
        <w:br w:type="page"/>
      </w:r>
    </w:p>
    <w:p w14:paraId="7F474F47" w14:textId="77777777" w:rsidR="00D24CAD" w:rsidRPr="000550A9" w:rsidRDefault="006D7E3A" w:rsidP="00D24CAD">
      <w:pPr>
        <w:pStyle w:val="Heading1"/>
      </w:pPr>
      <w:bookmarkStart w:id="1" w:name="_Toc514227106"/>
      <w:r>
        <w:lastRenderedPageBreak/>
        <w:t>Objectives</w:t>
      </w:r>
      <w:bookmarkEnd w:id="1"/>
    </w:p>
    <w:p w14:paraId="7F474F48" w14:textId="77777777" w:rsidR="00A3068D" w:rsidRDefault="00FC10F2" w:rsidP="00D24CAD">
      <w:pPr>
        <w:autoSpaceDE w:val="0"/>
        <w:autoSpaceDN w:val="0"/>
        <w:adjustRightInd w:val="0"/>
        <w:spacing w:before="120"/>
        <w:rPr>
          <w:rFonts w:ascii="Arial" w:hAnsi="Arial" w:cs="Arial"/>
          <w:bCs/>
        </w:rPr>
      </w:pPr>
      <w:r>
        <w:rPr>
          <w:rFonts w:ascii="Arial" w:hAnsi="Arial" w:cs="Arial"/>
          <w:bCs/>
        </w:rPr>
        <w:t xml:space="preserve">This Action </w:t>
      </w:r>
      <w:r w:rsidR="00A3068D">
        <w:rPr>
          <w:rFonts w:ascii="Arial" w:hAnsi="Arial" w:cs="Arial"/>
          <w:bCs/>
        </w:rPr>
        <w:t xml:space="preserve">Plan </w:t>
      </w:r>
      <w:r w:rsidR="003936D8">
        <w:rPr>
          <w:rFonts w:ascii="Arial" w:hAnsi="Arial" w:cs="Arial"/>
          <w:bCs/>
        </w:rPr>
        <w:t xml:space="preserve">supports the </w:t>
      </w:r>
      <w:r w:rsidR="003936D8" w:rsidRPr="002E0F60">
        <w:rPr>
          <w:rFonts w:ascii="Arial" w:hAnsi="Arial" w:cs="Arial"/>
          <w:bCs/>
          <w:i/>
        </w:rPr>
        <w:t xml:space="preserve">National </w:t>
      </w:r>
      <w:r w:rsidR="00AC3A2D">
        <w:rPr>
          <w:rFonts w:ascii="Arial" w:hAnsi="Arial" w:cs="Arial"/>
          <w:bCs/>
          <w:i/>
        </w:rPr>
        <w:t>Strategic approach</w:t>
      </w:r>
      <w:r w:rsidR="003936D8" w:rsidRPr="002E0F60">
        <w:rPr>
          <w:rFonts w:ascii="Arial" w:hAnsi="Arial" w:cs="Arial"/>
          <w:bCs/>
          <w:i/>
        </w:rPr>
        <w:t xml:space="preserve"> for an enhanced response to the disproportionately high rates of STI and BBV in Aboriginal and Torres Strait Islander people</w:t>
      </w:r>
      <w:r w:rsidR="003936D8">
        <w:rPr>
          <w:rFonts w:ascii="Arial" w:hAnsi="Arial" w:cs="Arial"/>
          <w:bCs/>
          <w:i/>
        </w:rPr>
        <w:t xml:space="preserve"> </w:t>
      </w:r>
      <w:r w:rsidR="003936D8" w:rsidRPr="002E0F60">
        <w:rPr>
          <w:rFonts w:ascii="Arial" w:hAnsi="Arial" w:cs="Arial"/>
          <w:bCs/>
        </w:rPr>
        <w:t>(the Strateg</w:t>
      </w:r>
      <w:r w:rsidR="00AC3A2D">
        <w:rPr>
          <w:rFonts w:ascii="Arial" w:hAnsi="Arial" w:cs="Arial"/>
          <w:bCs/>
        </w:rPr>
        <w:t>ic approach</w:t>
      </w:r>
      <w:r w:rsidR="003936D8" w:rsidRPr="002E0F60">
        <w:rPr>
          <w:rFonts w:ascii="Arial" w:hAnsi="Arial" w:cs="Arial"/>
          <w:bCs/>
        </w:rPr>
        <w:t>)</w:t>
      </w:r>
      <w:r w:rsidR="003936D8" w:rsidRPr="003936D8">
        <w:rPr>
          <w:rFonts w:ascii="Arial" w:hAnsi="Arial" w:cs="Arial"/>
          <w:bCs/>
        </w:rPr>
        <w:t>.</w:t>
      </w:r>
      <w:r w:rsidR="00A3068D" w:rsidRPr="003936D8">
        <w:rPr>
          <w:rFonts w:ascii="Arial" w:hAnsi="Arial" w:cs="Arial"/>
          <w:bCs/>
        </w:rPr>
        <w:t xml:space="preserve">  </w:t>
      </w:r>
      <w:r w:rsidR="00A3068D">
        <w:rPr>
          <w:rFonts w:ascii="Arial" w:hAnsi="Arial" w:cs="Arial"/>
          <w:bCs/>
        </w:rPr>
        <w:t xml:space="preserve">The </w:t>
      </w:r>
      <w:r w:rsidR="00E625A9">
        <w:rPr>
          <w:rFonts w:ascii="Arial" w:hAnsi="Arial" w:cs="Arial"/>
          <w:bCs/>
        </w:rPr>
        <w:t xml:space="preserve">respective </w:t>
      </w:r>
      <w:r>
        <w:rPr>
          <w:rFonts w:ascii="Arial" w:hAnsi="Arial" w:cs="Arial"/>
          <w:bCs/>
        </w:rPr>
        <w:t xml:space="preserve">primary, secondary and tertiary </w:t>
      </w:r>
      <w:r w:rsidR="006D7E3A">
        <w:rPr>
          <w:rFonts w:ascii="Arial" w:hAnsi="Arial" w:cs="Arial"/>
          <w:bCs/>
        </w:rPr>
        <w:t>objectives</w:t>
      </w:r>
      <w:r>
        <w:rPr>
          <w:rFonts w:ascii="Arial" w:hAnsi="Arial" w:cs="Arial"/>
          <w:bCs/>
        </w:rPr>
        <w:t xml:space="preserve"> of the </w:t>
      </w:r>
      <w:r w:rsidR="003936D8">
        <w:rPr>
          <w:rFonts w:ascii="Arial" w:hAnsi="Arial" w:cs="Arial"/>
          <w:bCs/>
        </w:rPr>
        <w:t>Strateg</w:t>
      </w:r>
      <w:r w:rsidR="00AC3A2D">
        <w:rPr>
          <w:rFonts w:ascii="Arial" w:hAnsi="Arial" w:cs="Arial"/>
          <w:bCs/>
        </w:rPr>
        <w:t>ic approach</w:t>
      </w:r>
      <w:r>
        <w:rPr>
          <w:rFonts w:ascii="Arial" w:hAnsi="Arial" w:cs="Arial"/>
          <w:bCs/>
        </w:rPr>
        <w:t xml:space="preserve"> are to</w:t>
      </w:r>
      <w:r w:rsidR="00A3068D">
        <w:rPr>
          <w:rFonts w:ascii="Arial" w:hAnsi="Arial" w:cs="Arial"/>
          <w:bCs/>
        </w:rPr>
        <w:t>:</w:t>
      </w:r>
    </w:p>
    <w:p w14:paraId="7F474F49" w14:textId="77777777" w:rsidR="00A3068D" w:rsidRDefault="00A3068D" w:rsidP="004B5B24">
      <w:pPr>
        <w:pStyle w:val="ListParagraph"/>
        <w:numPr>
          <w:ilvl w:val="0"/>
          <w:numId w:val="27"/>
        </w:numPr>
        <w:autoSpaceDE w:val="0"/>
        <w:autoSpaceDN w:val="0"/>
        <w:adjustRightInd w:val="0"/>
        <w:spacing w:before="120"/>
        <w:ind w:left="426" w:hanging="426"/>
        <w:rPr>
          <w:rFonts w:ascii="Arial" w:hAnsi="Arial" w:cs="Arial"/>
          <w:bCs/>
        </w:rPr>
      </w:pPr>
      <w:r>
        <w:rPr>
          <w:rFonts w:ascii="Arial" w:hAnsi="Arial" w:cs="Arial"/>
          <w:bCs/>
        </w:rPr>
        <w:t>Control the current syphilis outbreak in northern and central Australia</w:t>
      </w:r>
      <w:r w:rsidR="00FC10F2">
        <w:rPr>
          <w:rFonts w:ascii="Arial" w:hAnsi="Arial" w:cs="Arial"/>
          <w:bCs/>
        </w:rPr>
        <w:t xml:space="preserve"> (primary)</w:t>
      </w:r>
      <w:r>
        <w:rPr>
          <w:rFonts w:ascii="Arial" w:hAnsi="Arial" w:cs="Arial"/>
          <w:bCs/>
        </w:rPr>
        <w:t>;</w:t>
      </w:r>
    </w:p>
    <w:p w14:paraId="7F474F4A" w14:textId="77777777" w:rsidR="00A3068D" w:rsidRDefault="00A3068D" w:rsidP="004B5B24">
      <w:pPr>
        <w:pStyle w:val="ListParagraph"/>
        <w:numPr>
          <w:ilvl w:val="0"/>
          <w:numId w:val="27"/>
        </w:numPr>
        <w:autoSpaceDE w:val="0"/>
        <w:autoSpaceDN w:val="0"/>
        <w:adjustRightInd w:val="0"/>
        <w:spacing w:before="120"/>
        <w:ind w:left="426" w:hanging="426"/>
        <w:rPr>
          <w:rFonts w:ascii="Arial" w:hAnsi="Arial" w:cs="Arial"/>
          <w:bCs/>
        </w:rPr>
      </w:pPr>
      <w:r>
        <w:rPr>
          <w:rFonts w:ascii="Arial" w:hAnsi="Arial" w:cs="Arial"/>
          <w:bCs/>
        </w:rPr>
        <w:t>Undertake opportunistic control efforts for other STI and BBV</w:t>
      </w:r>
      <w:r w:rsidR="00FC10F2">
        <w:rPr>
          <w:rFonts w:ascii="Arial" w:hAnsi="Arial" w:cs="Arial"/>
          <w:bCs/>
        </w:rPr>
        <w:t xml:space="preserve"> (secondary)</w:t>
      </w:r>
      <w:r>
        <w:rPr>
          <w:rFonts w:ascii="Arial" w:hAnsi="Arial" w:cs="Arial"/>
          <w:bCs/>
        </w:rPr>
        <w:t>;</w:t>
      </w:r>
    </w:p>
    <w:p w14:paraId="7F474F4B" w14:textId="77777777" w:rsidR="00FC10F2" w:rsidRDefault="00FC10F2" w:rsidP="004B5B24">
      <w:pPr>
        <w:pStyle w:val="ListParagraph"/>
        <w:numPr>
          <w:ilvl w:val="0"/>
          <w:numId w:val="27"/>
        </w:numPr>
        <w:autoSpaceDE w:val="0"/>
        <w:autoSpaceDN w:val="0"/>
        <w:adjustRightInd w:val="0"/>
        <w:spacing w:before="120"/>
        <w:ind w:left="426" w:hanging="426"/>
        <w:rPr>
          <w:rFonts w:ascii="Arial" w:hAnsi="Arial" w:cs="Arial"/>
          <w:bCs/>
        </w:rPr>
      </w:pPr>
      <w:r>
        <w:rPr>
          <w:rFonts w:ascii="Arial" w:hAnsi="Arial" w:cs="Arial"/>
          <w:bCs/>
        </w:rPr>
        <w:t>Consider the long-term sustainable response to STI and BBV issues</w:t>
      </w:r>
      <w:r w:rsidR="00E1590D">
        <w:rPr>
          <w:rFonts w:ascii="Arial" w:hAnsi="Arial" w:cs="Arial"/>
          <w:bCs/>
        </w:rPr>
        <w:t xml:space="preserve"> in Indigenous people</w:t>
      </w:r>
      <w:r>
        <w:rPr>
          <w:rFonts w:ascii="Arial" w:hAnsi="Arial" w:cs="Arial"/>
          <w:bCs/>
        </w:rPr>
        <w:t xml:space="preserve">, in-line with the National BBV and STI Strategies </w:t>
      </w:r>
      <w:r w:rsidR="00E1590D">
        <w:rPr>
          <w:rFonts w:ascii="Arial" w:hAnsi="Arial" w:cs="Arial"/>
          <w:bCs/>
        </w:rPr>
        <w:t>for 2018-2022</w:t>
      </w:r>
      <w:r w:rsidR="004B5B24">
        <w:rPr>
          <w:rFonts w:ascii="Arial" w:hAnsi="Arial" w:cs="Arial"/>
          <w:bCs/>
        </w:rPr>
        <w:t xml:space="preserve"> </w:t>
      </w:r>
      <w:r>
        <w:rPr>
          <w:rFonts w:ascii="Arial" w:hAnsi="Arial" w:cs="Arial"/>
          <w:bCs/>
        </w:rPr>
        <w:t>(tertiary)</w:t>
      </w:r>
      <w:r w:rsidR="00E1590D">
        <w:rPr>
          <w:rFonts w:ascii="Arial" w:hAnsi="Arial" w:cs="Arial"/>
          <w:bCs/>
        </w:rPr>
        <w:t>, with the ultimate goal of reducing rates of STI and BBV to a sustainably low level</w:t>
      </w:r>
      <w:r>
        <w:rPr>
          <w:rFonts w:ascii="Arial" w:hAnsi="Arial" w:cs="Arial"/>
          <w:bCs/>
        </w:rPr>
        <w:t>.</w:t>
      </w:r>
    </w:p>
    <w:p w14:paraId="7F474F4C" w14:textId="77777777" w:rsidR="0056308E" w:rsidRPr="0056308E" w:rsidRDefault="0056308E" w:rsidP="0056308E">
      <w:pPr>
        <w:autoSpaceDE w:val="0"/>
        <w:autoSpaceDN w:val="0"/>
        <w:adjustRightInd w:val="0"/>
        <w:spacing w:before="120"/>
        <w:rPr>
          <w:rFonts w:ascii="Arial" w:hAnsi="Arial" w:cs="Arial"/>
          <w:bCs/>
        </w:rPr>
      </w:pPr>
    </w:p>
    <w:p w14:paraId="7F474F4D" w14:textId="77777777" w:rsidR="00D24CAD" w:rsidRDefault="00D24CAD" w:rsidP="00D24CAD">
      <w:pPr>
        <w:pStyle w:val="Heading1"/>
      </w:pPr>
      <w:bookmarkStart w:id="2" w:name="_Toc514227107"/>
      <w:r>
        <w:t>Setting the scene</w:t>
      </w:r>
      <w:bookmarkEnd w:id="2"/>
    </w:p>
    <w:p w14:paraId="7F474F4E" w14:textId="77777777" w:rsidR="0081627E" w:rsidRDefault="00D24CAD" w:rsidP="00D24CAD">
      <w:pPr>
        <w:autoSpaceDE w:val="0"/>
        <w:autoSpaceDN w:val="0"/>
        <w:adjustRightInd w:val="0"/>
        <w:spacing w:before="120"/>
        <w:rPr>
          <w:rFonts w:ascii="Arial" w:hAnsi="Arial" w:cs="Arial"/>
          <w:bCs/>
        </w:rPr>
      </w:pPr>
      <w:r w:rsidRPr="00FA2EFC">
        <w:rPr>
          <w:rFonts w:ascii="Arial" w:hAnsi="Arial" w:cs="Arial"/>
          <w:bCs/>
        </w:rPr>
        <w:t xml:space="preserve">In January 2011, an increase of infectious syphilis notifications among young </w:t>
      </w:r>
      <w:r w:rsidR="00A3068D">
        <w:rPr>
          <w:rFonts w:ascii="Arial" w:hAnsi="Arial" w:cs="Arial"/>
          <w:bCs/>
        </w:rPr>
        <w:t>Indigenous</w:t>
      </w:r>
      <w:r w:rsidRPr="00FA2EFC">
        <w:rPr>
          <w:rFonts w:ascii="Arial" w:hAnsi="Arial" w:cs="Arial"/>
          <w:bCs/>
        </w:rPr>
        <w:t xml:space="preserve"> people was identified in the North West region of Queensland, following a steady decline at a nation</w:t>
      </w:r>
      <w:r w:rsidR="0081627E">
        <w:rPr>
          <w:rFonts w:ascii="Arial" w:hAnsi="Arial" w:cs="Arial"/>
          <w:bCs/>
        </w:rPr>
        <w:t>al level in remote communities.</w:t>
      </w:r>
    </w:p>
    <w:p w14:paraId="7F474F4F" w14:textId="77777777" w:rsidR="0081627E" w:rsidRDefault="0081627E" w:rsidP="0081627E">
      <w:pPr>
        <w:autoSpaceDE w:val="0"/>
        <w:autoSpaceDN w:val="0"/>
        <w:adjustRightInd w:val="0"/>
        <w:rPr>
          <w:rFonts w:ascii="Arial" w:hAnsi="Arial" w:cs="Arial"/>
          <w:bCs/>
        </w:rPr>
      </w:pPr>
    </w:p>
    <w:p w14:paraId="7F474F50" w14:textId="77777777" w:rsidR="0081627E" w:rsidRDefault="00D24CAD" w:rsidP="0081627E">
      <w:pPr>
        <w:autoSpaceDE w:val="0"/>
        <w:autoSpaceDN w:val="0"/>
        <w:adjustRightInd w:val="0"/>
        <w:rPr>
          <w:rFonts w:ascii="Arial" w:hAnsi="Arial" w:cs="Arial"/>
          <w:bCs/>
        </w:rPr>
      </w:pPr>
      <w:r w:rsidRPr="00FA2EFC">
        <w:rPr>
          <w:rFonts w:ascii="Arial" w:hAnsi="Arial" w:cs="Arial"/>
          <w:bCs/>
        </w:rPr>
        <w:t>Subsequent increases in infectious syphilis notifications were reported in the Northern Territory in 2013, Western Australia in 2014 and South Australia in 2016, following sustained periods of low notification rates.</w:t>
      </w:r>
    </w:p>
    <w:p w14:paraId="7F474F51" w14:textId="77777777" w:rsidR="0081627E" w:rsidRDefault="0081627E" w:rsidP="0081627E">
      <w:pPr>
        <w:autoSpaceDE w:val="0"/>
        <w:autoSpaceDN w:val="0"/>
        <w:adjustRightInd w:val="0"/>
        <w:rPr>
          <w:rFonts w:ascii="Arial" w:hAnsi="Arial" w:cs="Arial"/>
          <w:bCs/>
        </w:rPr>
      </w:pPr>
    </w:p>
    <w:p w14:paraId="7F474F52" w14:textId="77777777" w:rsidR="00D24CAD" w:rsidRDefault="00D24CAD" w:rsidP="0081627E">
      <w:pPr>
        <w:autoSpaceDE w:val="0"/>
        <w:autoSpaceDN w:val="0"/>
        <w:adjustRightInd w:val="0"/>
        <w:rPr>
          <w:rFonts w:ascii="Arial" w:hAnsi="Arial" w:cs="Arial"/>
          <w:bCs/>
        </w:rPr>
      </w:pPr>
      <w:r w:rsidRPr="001F5E8C">
        <w:rPr>
          <w:rFonts w:ascii="Arial" w:hAnsi="Arial" w:cs="Arial"/>
          <w:bCs/>
        </w:rPr>
        <w:t>In April 2015, the M</w:t>
      </w:r>
      <w:r>
        <w:rPr>
          <w:rFonts w:ascii="Arial" w:hAnsi="Arial" w:cs="Arial"/>
          <w:bCs/>
        </w:rPr>
        <w:t>ultijurisdictional Syphilis Outbreak Working Group (MJSO)</w:t>
      </w:r>
      <w:r w:rsidRPr="001F5E8C">
        <w:rPr>
          <w:rFonts w:ascii="Arial" w:hAnsi="Arial" w:cs="Arial"/>
          <w:bCs/>
        </w:rPr>
        <w:t xml:space="preserve"> of the Communicable Diseases Network Australia</w:t>
      </w:r>
      <w:r>
        <w:rPr>
          <w:rFonts w:ascii="Arial" w:hAnsi="Arial" w:cs="Arial"/>
          <w:bCs/>
        </w:rPr>
        <w:t xml:space="preserve"> (CDNA)</w:t>
      </w:r>
      <w:r w:rsidRPr="001F5E8C">
        <w:rPr>
          <w:rFonts w:ascii="Arial" w:hAnsi="Arial" w:cs="Arial"/>
          <w:bCs/>
        </w:rPr>
        <w:t xml:space="preserve"> was formed in response to the on-going outbreak of infectious syphilis among young Aboriginal and Torres Strait Islander people residing in</w:t>
      </w:r>
      <w:r>
        <w:rPr>
          <w:rFonts w:ascii="Arial" w:hAnsi="Arial" w:cs="Arial"/>
          <w:bCs/>
        </w:rPr>
        <w:t xml:space="preserve"> northern Australia.</w:t>
      </w:r>
    </w:p>
    <w:p w14:paraId="7F474F53" w14:textId="77777777" w:rsidR="0081627E" w:rsidRDefault="0081627E" w:rsidP="0081627E">
      <w:pPr>
        <w:autoSpaceDE w:val="0"/>
        <w:autoSpaceDN w:val="0"/>
        <w:adjustRightInd w:val="0"/>
        <w:rPr>
          <w:rFonts w:ascii="Arial" w:hAnsi="Arial" w:cs="Arial"/>
          <w:bCs/>
        </w:rPr>
      </w:pPr>
    </w:p>
    <w:p w14:paraId="7F474F54" w14:textId="77777777" w:rsidR="00D24CAD" w:rsidRPr="001F5E8C" w:rsidRDefault="00D24CAD" w:rsidP="00D24CAD">
      <w:pPr>
        <w:autoSpaceDE w:val="0"/>
        <w:autoSpaceDN w:val="0"/>
        <w:adjustRightInd w:val="0"/>
        <w:rPr>
          <w:rFonts w:ascii="Arial" w:hAnsi="Arial" w:cs="Arial"/>
          <w:bCs/>
        </w:rPr>
      </w:pPr>
      <w:r w:rsidRPr="001F5E8C">
        <w:rPr>
          <w:rFonts w:ascii="Arial" w:hAnsi="Arial" w:cs="Arial"/>
          <w:bCs/>
        </w:rPr>
        <w:t xml:space="preserve">The infectious syphilis outbreak is affecting predominately young (15-29 year olds) </w:t>
      </w:r>
      <w:r w:rsidR="00FC10F2">
        <w:rPr>
          <w:rFonts w:ascii="Arial" w:hAnsi="Arial" w:cs="Arial"/>
          <w:bCs/>
        </w:rPr>
        <w:t>Indigenous</w:t>
      </w:r>
      <w:r>
        <w:rPr>
          <w:rFonts w:ascii="Arial" w:hAnsi="Arial" w:cs="Arial"/>
          <w:bCs/>
        </w:rPr>
        <w:t xml:space="preserve"> </w:t>
      </w:r>
      <w:r w:rsidRPr="001F5E8C">
        <w:rPr>
          <w:rFonts w:ascii="Arial" w:hAnsi="Arial" w:cs="Arial"/>
          <w:bCs/>
        </w:rPr>
        <w:t xml:space="preserve">people living in remote areas of northern Australia.  </w:t>
      </w:r>
      <w:r>
        <w:rPr>
          <w:rFonts w:ascii="Arial" w:hAnsi="Arial" w:cs="Arial"/>
          <w:bCs/>
        </w:rPr>
        <w:t xml:space="preserve">However, the outbreak is becoming a significant issue in larger cities (most recently Darwin).  </w:t>
      </w:r>
      <w:r w:rsidRPr="001F5E8C">
        <w:rPr>
          <w:rFonts w:ascii="Arial" w:hAnsi="Arial" w:cs="Arial"/>
          <w:bCs/>
        </w:rPr>
        <w:t>The epidemiological profile of the outbreak and nature of syphilis infection has considerable public health implications:</w:t>
      </w:r>
    </w:p>
    <w:p w14:paraId="7F474F55" w14:textId="77777777" w:rsidR="00D24CAD" w:rsidRPr="001F5E8C" w:rsidRDefault="00D24CAD" w:rsidP="004B5B24">
      <w:pPr>
        <w:pStyle w:val="ListParagraph"/>
        <w:numPr>
          <w:ilvl w:val="0"/>
          <w:numId w:val="14"/>
        </w:numPr>
        <w:autoSpaceDE w:val="0"/>
        <w:autoSpaceDN w:val="0"/>
        <w:adjustRightInd w:val="0"/>
        <w:ind w:left="426" w:hanging="426"/>
        <w:rPr>
          <w:rFonts w:ascii="Arial" w:hAnsi="Arial" w:cs="Arial"/>
          <w:bCs/>
        </w:rPr>
      </w:pPr>
      <w:r w:rsidRPr="001F5E8C">
        <w:rPr>
          <w:rFonts w:ascii="Arial" w:hAnsi="Arial" w:cs="Arial"/>
          <w:bCs/>
        </w:rPr>
        <w:t>high rates of infection in women of child bearing age, increasing the risk of congenital syphilis;</w:t>
      </w:r>
    </w:p>
    <w:p w14:paraId="7F474F56" w14:textId="77777777" w:rsidR="00D24CAD" w:rsidRDefault="00D24CAD" w:rsidP="004B5B24">
      <w:pPr>
        <w:pStyle w:val="ListParagraph"/>
        <w:numPr>
          <w:ilvl w:val="0"/>
          <w:numId w:val="14"/>
        </w:numPr>
        <w:autoSpaceDE w:val="0"/>
        <w:autoSpaceDN w:val="0"/>
        <w:adjustRightInd w:val="0"/>
        <w:ind w:left="426" w:hanging="426"/>
        <w:rPr>
          <w:rFonts w:ascii="Arial" w:hAnsi="Arial" w:cs="Arial"/>
          <w:bCs/>
        </w:rPr>
      </w:pPr>
      <w:r w:rsidRPr="001F5E8C">
        <w:rPr>
          <w:rFonts w:ascii="Arial" w:hAnsi="Arial" w:cs="Arial"/>
          <w:bCs/>
        </w:rPr>
        <w:t xml:space="preserve">high risk of further spread </w:t>
      </w:r>
      <w:r>
        <w:rPr>
          <w:rFonts w:ascii="Arial" w:hAnsi="Arial" w:cs="Arial"/>
          <w:bCs/>
        </w:rPr>
        <w:t xml:space="preserve">of syphilis </w:t>
      </w:r>
      <w:r w:rsidRPr="001F5E8C">
        <w:rPr>
          <w:rFonts w:ascii="Arial" w:hAnsi="Arial" w:cs="Arial"/>
          <w:bCs/>
        </w:rPr>
        <w:t>due to the highly mobile nature of the affected population, widespread distribution in remote areas and across jurisdictional borders, limited access to skilled and stable workforce in remote areas and limited community awareness and education</w:t>
      </w:r>
      <w:r>
        <w:rPr>
          <w:rFonts w:ascii="Arial" w:hAnsi="Arial" w:cs="Arial"/>
          <w:bCs/>
        </w:rPr>
        <w:t>; and</w:t>
      </w:r>
    </w:p>
    <w:p w14:paraId="7F474F57" w14:textId="77777777" w:rsidR="00D24CAD" w:rsidRPr="0025773D" w:rsidRDefault="00D24CAD" w:rsidP="004B5B24">
      <w:pPr>
        <w:pStyle w:val="ListParagraph"/>
        <w:numPr>
          <w:ilvl w:val="0"/>
          <w:numId w:val="14"/>
        </w:numPr>
        <w:autoSpaceDE w:val="0"/>
        <w:autoSpaceDN w:val="0"/>
        <w:adjustRightInd w:val="0"/>
        <w:ind w:left="426" w:hanging="426"/>
        <w:rPr>
          <w:rFonts w:ascii="Arial" w:hAnsi="Arial" w:cs="Arial"/>
          <w:bCs/>
        </w:rPr>
      </w:pPr>
      <w:r w:rsidRPr="001F5E8C">
        <w:rPr>
          <w:rFonts w:ascii="Arial" w:hAnsi="Arial" w:cs="Arial"/>
          <w:bCs/>
        </w:rPr>
        <w:t xml:space="preserve">increased risk of transmission and acquisition of HIV and other </w:t>
      </w:r>
      <w:r>
        <w:rPr>
          <w:rFonts w:ascii="Arial" w:hAnsi="Arial" w:cs="Arial"/>
          <w:bCs/>
        </w:rPr>
        <w:t>STI</w:t>
      </w:r>
      <w:r w:rsidRPr="0025773D">
        <w:rPr>
          <w:rFonts w:ascii="Arial" w:hAnsi="Arial" w:cs="Arial"/>
          <w:bCs/>
        </w:rPr>
        <w:t>.</w:t>
      </w:r>
    </w:p>
    <w:p w14:paraId="7F474F58" w14:textId="77777777" w:rsidR="00D24CAD" w:rsidRPr="00BA5196" w:rsidRDefault="00D24CAD" w:rsidP="00D24CAD">
      <w:pPr>
        <w:autoSpaceDE w:val="0"/>
        <w:autoSpaceDN w:val="0"/>
        <w:adjustRightInd w:val="0"/>
        <w:rPr>
          <w:rFonts w:ascii="Arial" w:hAnsi="Arial" w:cs="Arial"/>
          <w:bCs/>
        </w:rPr>
      </w:pPr>
    </w:p>
    <w:p w14:paraId="7F474F59" w14:textId="77777777" w:rsidR="00D24CAD" w:rsidRPr="00BA5196" w:rsidRDefault="00D24CAD" w:rsidP="00D24CAD">
      <w:pPr>
        <w:autoSpaceDE w:val="0"/>
        <w:autoSpaceDN w:val="0"/>
        <w:adjustRightInd w:val="0"/>
        <w:rPr>
          <w:rFonts w:ascii="Arial" w:hAnsi="Arial" w:cs="Arial"/>
          <w:bCs/>
        </w:rPr>
      </w:pPr>
      <w:r w:rsidRPr="00BA5196">
        <w:rPr>
          <w:rFonts w:ascii="Arial" w:hAnsi="Arial" w:cs="Arial"/>
          <w:bCs/>
        </w:rPr>
        <w:t xml:space="preserve">While much of the focus has been on syphilis, the epidemiology for other </w:t>
      </w:r>
      <w:r>
        <w:rPr>
          <w:rFonts w:ascii="Arial" w:hAnsi="Arial" w:cs="Arial"/>
          <w:bCs/>
        </w:rPr>
        <w:t>STI</w:t>
      </w:r>
      <w:r w:rsidR="009A5D10">
        <w:rPr>
          <w:rFonts w:ascii="Arial" w:hAnsi="Arial" w:cs="Arial"/>
          <w:bCs/>
        </w:rPr>
        <w:t>, particularly gonorrhoea and chlamydia,</w:t>
      </w:r>
      <w:r>
        <w:rPr>
          <w:rFonts w:ascii="Arial" w:hAnsi="Arial" w:cs="Arial"/>
          <w:bCs/>
        </w:rPr>
        <w:t xml:space="preserve"> and </w:t>
      </w:r>
      <w:r w:rsidRPr="00BA5196">
        <w:rPr>
          <w:rFonts w:ascii="Arial" w:hAnsi="Arial" w:cs="Arial"/>
          <w:bCs/>
        </w:rPr>
        <w:t>BBV are similarly concerning.</w:t>
      </w:r>
    </w:p>
    <w:p w14:paraId="7F474F5A" w14:textId="77777777" w:rsidR="00D24CAD" w:rsidRPr="00BA5196" w:rsidRDefault="00D24CAD" w:rsidP="00D24CAD">
      <w:pPr>
        <w:autoSpaceDE w:val="0"/>
        <w:autoSpaceDN w:val="0"/>
        <w:adjustRightInd w:val="0"/>
        <w:rPr>
          <w:rFonts w:ascii="Arial" w:hAnsi="Arial" w:cs="Arial"/>
          <w:bCs/>
        </w:rPr>
      </w:pPr>
    </w:p>
    <w:p w14:paraId="7F474F5B" w14:textId="77777777" w:rsidR="00D24CAD" w:rsidRPr="00BA5196" w:rsidRDefault="00D24CAD" w:rsidP="00D24CAD">
      <w:pPr>
        <w:autoSpaceDE w:val="0"/>
        <w:autoSpaceDN w:val="0"/>
        <w:adjustRightInd w:val="0"/>
        <w:rPr>
          <w:rFonts w:ascii="Arial" w:hAnsi="Arial" w:cs="Arial"/>
          <w:bCs/>
        </w:rPr>
      </w:pPr>
      <w:r w:rsidRPr="00BA5196">
        <w:rPr>
          <w:rFonts w:ascii="Arial" w:hAnsi="Arial" w:cs="Arial"/>
          <w:bCs/>
        </w:rPr>
        <w:t xml:space="preserve">On 1 May 2017, Minister Wyatt wrote to State and Territory health ministers articulating the need to work together more strategically on Indigenous sexual health. A comprehensive stocktake was undertaken of the actions states and territories </w:t>
      </w:r>
      <w:r w:rsidR="00C10593">
        <w:rPr>
          <w:rFonts w:ascii="Arial" w:hAnsi="Arial" w:cs="Arial"/>
          <w:bCs/>
        </w:rPr>
        <w:t xml:space="preserve">were </w:t>
      </w:r>
      <w:r w:rsidRPr="00BA5196">
        <w:rPr>
          <w:rFonts w:ascii="Arial" w:hAnsi="Arial" w:cs="Arial"/>
          <w:bCs/>
        </w:rPr>
        <w:t xml:space="preserve">taking to address STI/BBV among Aboriginal and Torres Strait Islander people in their jurisdictions. </w:t>
      </w:r>
    </w:p>
    <w:p w14:paraId="7F474F5C" w14:textId="77777777" w:rsidR="00D24CAD" w:rsidRPr="000550A9" w:rsidRDefault="00D24CAD" w:rsidP="00D24CAD">
      <w:pPr>
        <w:pStyle w:val="Heading1"/>
      </w:pPr>
      <w:bookmarkStart w:id="3" w:name="_Toc514227108"/>
      <w:r w:rsidRPr="000550A9">
        <w:lastRenderedPageBreak/>
        <w:t>B</w:t>
      </w:r>
      <w:r>
        <w:t>ackground</w:t>
      </w:r>
      <w:bookmarkEnd w:id="3"/>
    </w:p>
    <w:p w14:paraId="7F474F5D" w14:textId="77777777" w:rsidR="00D24CAD" w:rsidRPr="00BA5196" w:rsidRDefault="00D24CAD" w:rsidP="00D24CAD">
      <w:pPr>
        <w:autoSpaceDE w:val="0"/>
        <w:autoSpaceDN w:val="0"/>
        <w:adjustRightInd w:val="0"/>
        <w:rPr>
          <w:rFonts w:ascii="Arial" w:hAnsi="Arial" w:cs="Arial"/>
          <w:bCs/>
        </w:rPr>
      </w:pPr>
      <w:r>
        <w:rPr>
          <w:rFonts w:ascii="Arial" w:hAnsi="Arial" w:cs="Arial"/>
        </w:rPr>
        <w:t>On 14 July 2017, t</w:t>
      </w:r>
      <w:r w:rsidRPr="00BA5196">
        <w:rPr>
          <w:rFonts w:ascii="Arial" w:hAnsi="Arial" w:cs="Arial"/>
        </w:rPr>
        <w:t>he Australian Health Protection Principal Committee (AHPPC) convened an Emergency Response Teleconference on BBV/STI in Indigenous Communities. The teleconference acknowledged that s</w:t>
      </w:r>
      <w:r w:rsidRPr="00BA5196">
        <w:rPr>
          <w:rFonts w:ascii="Arial" w:hAnsi="Arial" w:cs="Arial"/>
          <w:bCs/>
        </w:rPr>
        <w:t xml:space="preserve">ignificant work has been done by State and Territory health services, </w:t>
      </w:r>
      <w:r>
        <w:rPr>
          <w:rFonts w:ascii="Arial" w:hAnsi="Arial" w:cs="Arial"/>
          <w:bCs/>
        </w:rPr>
        <w:t>Aboriginal Community Controlled Health Organisations (</w:t>
      </w:r>
      <w:r w:rsidRPr="00BA5196">
        <w:rPr>
          <w:rFonts w:ascii="Arial" w:hAnsi="Arial" w:cs="Arial"/>
          <w:bCs/>
        </w:rPr>
        <w:t>ACCHOs</w:t>
      </w:r>
      <w:r>
        <w:rPr>
          <w:rFonts w:ascii="Arial" w:hAnsi="Arial" w:cs="Arial"/>
          <w:bCs/>
        </w:rPr>
        <w:t>)</w:t>
      </w:r>
      <w:r w:rsidRPr="00BA5196">
        <w:rPr>
          <w:rFonts w:ascii="Arial" w:hAnsi="Arial" w:cs="Arial"/>
          <w:bCs/>
        </w:rPr>
        <w:t>, primary health care and other community organisations, with the co-ordination of effort in syphilis through the MJSO</w:t>
      </w:r>
      <w:r>
        <w:rPr>
          <w:rFonts w:ascii="Arial" w:hAnsi="Arial" w:cs="Arial"/>
          <w:bCs/>
        </w:rPr>
        <w:t>,</w:t>
      </w:r>
      <w:r w:rsidRPr="00BA5196">
        <w:rPr>
          <w:rFonts w:ascii="Arial" w:hAnsi="Arial" w:cs="Arial"/>
          <w:bCs/>
        </w:rPr>
        <w:t xml:space="preserve"> under </w:t>
      </w:r>
      <w:r>
        <w:rPr>
          <w:rFonts w:ascii="Arial" w:hAnsi="Arial" w:cs="Arial"/>
          <w:bCs/>
        </w:rPr>
        <w:t xml:space="preserve">the </w:t>
      </w:r>
      <w:r w:rsidRPr="00BA5196">
        <w:rPr>
          <w:rFonts w:ascii="Arial" w:hAnsi="Arial" w:cs="Arial"/>
          <w:bCs/>
        </w:rPr>
        <w:t>CDNA.</w:t>
      </w:r>
      <w:r>
        <w:rPr>
          <w:rFonts w:ascii="Arial" w:hAnsi="Arial" w:cs="Arial"/>
          <w:bCs/>
        </w:rPr>
        <w:t xml:space="preserve"> </w:t>
      </w:r>
      <w:r w:rsidRPr="00BA5196">
        <w:rPr>
          <w:rFonts w:ascii="Arial" w:hAnsi="Arial" w:cs="Arial"/>
        </w:rPr>
        <w:t xml:space="preserve">At that teleconference, </w:t>
      </w:r>
      <w:r>
        <w:rPr>
          <w:rFonts w:ascii="Arial" w:hAnsi="Arial" w:cs="Arial"/>
        </w:rPr>
        <w:t xml:space="preserve">AHPPC </w:t>
      </w:r>
      <w:r w:rsidRPr="00BA5196">
        <w:rPr>
          <w:rFonts w:ascii="Arial" w:hAnsi="Arial" w:cs="Arial"/>
        </w:rPr>
        <w:t>members agreed to hold a half day workshop</w:t>
      </w:r>
      <w:r>
        <w:rPr>
          <w:rFonts w:ascii="Arial" w:hAnsi="Arial" w:cs="Arial"/>
        </w:rPr>
        <w:t>.</w:t>
      </w:r>
    </w:p>
    <w:p w14:paraId="7F474F5E" w14:textId="77777777" w:rsidR="00D24CAD" w:rsidRPr="00BA5196" w:rsidRDefault="00D24CAD" w:rsidP="00D24CAD">
      <w:pPr>
        <w:autoSpaceDE w:val="0"/>
        <w:autoSpaceDN w:val="0"/>
        <w:adjustRightInd w:val="0"/>
        <w:rPr>
          <w:rFonts w:ascii="Arial" w:hAnsi="Arial" w:cs="Arial"/>
          <w:bCs/>
        </w:rPr>
      </w:pPr>
    </w:p>
    <w:p w14:paraId="7F474F5F" w14:textId="77777777" w:rsidR="00D24CAD" w:rsidRDefault="00D24CAD" w:rsidP="00D24CAD">
      <w:pPr>
        <w:rPr>
          <w:rFonts w:ascii="Arial" w:hAnsi="Arial" w:cs="Arial"/>
        </w:rPr>
      </w:pPr>
      <w:r>
        <w:rPr>
          <w:rFonts w:ascii="Arial" w:hAnsi="Arial" w:cs="Arial"/>
        </w:rPr>
        <w:t xml:space="preserve">The workshop was held </w:t>
      </w:r>
      <w:r w:rsidRPr="00BA5196">
        <w:rPr>
          <w:rFonts w:ascii="Arial" w:hAnsi="Arial" w:cs="Arial"/>
        </w:rPr>
        <w:t>in Sydney on 9 August 2017</w:t>
      </w:r>
      <w:r>
        <w:rPr>
          <w:rFonts w:ascii="Arial" w:hAnsi="Arial" w:cs="Arial"/>
        </w:rPr>
        <w:t xml:space="preserve"> and the objectives were to:</w:t>
      </w:r>
    </w:p>
    <w:p w14:paraId="7F474F60" w14:textId="77777777" w:rsidR="00D24CAD" w:rsidRDefault="00CC04BD" w:rsidP="009A5D10">
      <w:pPr>
        <w:numPr>
          <w:ilvl w:val="0"/>
          <w:numId w:val="9"/>
        </w:numPr>
        <w:spacing w:before="120"/>
        <w:ind w:left="426" w:hanging="426"/>
        <w:rPr>
          <w:rFonts w:ascii="Arial" w:hAnsi="Arial" w:cs="Arial"/>
        </w:rPr>
      </w:pPr>
      <w:r>
        <w:rPr>
          <w:rFonts w:ascii="Arial" w:hAnsi="Arial" w:cs="Arial"/>
        </w:rPr>
        <w:t>i</w:t>
      </w:r>
      <w:r w:rsidR="00D24CAD" w:rsidRPr="00053065">
        <w:rPr>
          <w:rFonts w:ascii="Arial" w:hAnsi="Arial" w:cs="Arial"/>
        </w:rPr>
        <w:t xml:space="preserve">dentify </w:t>
      </w:r>
      <w:r w:rsidR="00D24CAD">
        <w:rPr>
          <w:rFonts w:ascii="Arial" w:hAnsi="Arial" w:cs="Arial"/>
        </w:rPr>
        <w:t>the current status of the syphilis outbreak in Indigenous populations and identify existing BBV/STI activities;</w:t>
      </w:r>
    </w:p>
    <w:p w14:paraId="7F474F61" w14:textId="77777777" w:rsidR="00D24CAD" w:rsidRDefault="00CC04BD" w:rsidP="009A5D10">
      <w:pPr>
        <w:numPr>
          <w:ilvl w:val="0"/>
          <w:numId w:val="9"/>
        </w:numPr>
        <w:spacing w:before="120"/>
        <w:ind w:left="426" w:hanging="426"/>
        <w:rPr>
          <w:rFonts w:ascii="Arial" w:hAnsi="Arial" w:cs="Arial"/>
        </w:rPr>
      </w:pPr>
      <w:r>
        <w:rPr>
          <w:rFonts w:ascii="Arial" w:hAnsi="Arial" w:cs="Arial"/>
        </w:rPr>
        <w:t>i</w:t>
      </w:r>
      <w:r w:rsidR="00D24CAD">
        <w:rPr>
          <w:rFonts w:ascii="Arial" w:hAnsi="Arial" w:cs="Arial"/>
        </w:rPr>
        <w:t>dentify the barriers to success in addressing the syphilis outbreak;</w:t>
      </w:r>
    </w:p>
    <w:p w14:paraId="7F474F62" w14:textId="77777777" w:rsidR="00D24CAD" w:rsidRDefault="00CC04BD" w:rsidP="009A5D10">
      <w:pPr>
        <w:numPr>
          <w:ilvl w:val="0"/>
          <w:numId w:val="9"/>
        </w:numPr>
        <w:spacing w:before="120"/>
        <w:ind w:left="426" w:hanging="426"/>
        <w:rPr>
          <w:rFonts w:ascii="Arial" w:hAnsi="Arial" w:cs="Arial"/>
        </w:rPr>
      </w:pPr>
      <w:r>
        <w:rPr>
          <w:rFonts w:ascii="Arial" w:hAnsi="Arial" w:cs="Arial"/>
        </w:rPr>
        <w:t>d</w:t>
      </w:r>
      <w:r w:rsidR="00D24CAD">
        <w:rPr>
          <w:rFonts w:ascii="Arial" w:hAnsi="Arial" w:cs="Arial"/>
        </w:rPr>
        <w:t>iscuss and develop solutions, including what the AHPPC led process could do to add value at the national level; and</w:t>
      </w:r>
    </w:p>
    <w:p w14:paraId="7F474F63" w14:textId="77777777" w:rsidR="00D24CAD" w:rsidRDefault="00CC04BD" w:rsidP="009A5D10">
      <w:pPr>
        <w:numPr>
          <w:ilvl w:val="0"/>
          <w:numId w:val="9"/>
        </w:numPr>
        <w:spacing w:before="120"/>
        <w:ind w:left="426" w:hanging="426"/>
        <w:rPr>
          <w:rFonts w:ascii="Arial" w:hAnsi="Arial" w:cs="Arial"/>
        </w:rPr>
      </w:pPr>
      <w:r>
        <w:rPr>
          <w:rFonts w:ascii="Arial" w:hAnsi="Arial" w:cs="Arial"/>
        </w:rPr>
        <w:t>a</w:t>
      </w:r>
      <w:r w:rsidR="00D24CAD" w:rsidRPr="007836F1">
        <w:rPr>
          <w:rFonts w:ascii="Arial" w:hAnsi="Arial" w:cs="Arial"/>
        </w:rPr>
        <w:t>gree on next steps for an enhanced national response to BBVs and STIs in the Indigenous population</w:t>
      </w:r>
      <w:r w:rsidR="00D24CAD">
        <w:rPr>
          <w:rFonts w:ascii="Arial" w:hAnsi="Arial" w:cs="Arial"/>
        </w:rPr>
        <w:t>.</w:t>
      </w:r>
    </w:p>
    <w:p w14:paraId="7F474F64" w14:textId="77777777" w:rsidR="00D24CAD" w:rsidRDefault="00D24CAD" w:rsidP="00D24CAD">
      <w:pPr>
        <w:autoSpaceDE w:val="0"/>
        <w:autoSpaceDN w:val="0"/>
        <w:adjustRightInd w:val="0"/>
        <w:rPr>
          <w:rFonts w:ascii="Arial" w:hAnsi="Arial" w:cs="Arial"/>
        </w:rPr>
      </w:pPr>
    </w:p>
    <w:p w14:paraId="7F474F65" w14:textId="77777777" w:rsidR="00D24CAD" w:rsidRDefault="00D24CAD" w:rsidP="00D24CAD">
      <w:pPr>
        <w:rPr>
          <w:rFonts w:ascii="Arial" w:hAnsi="Arial" w:cs="Arial"/>
        </w:rPr>
      </w:pPr>
      <w:r w:rsidRPr="006B5CAE">
        <w:rPr>
          <w:rFonts w:ascii="Arial" w:hAnsi="Arial" w:cs="Arial"/>
        </w:rPr>
        <w:t xml:space="preserve">The </w:t>
      </w:r>
      <w:r>
        <w:rPr>
          <w:rFonts w:ascii="Arial" w:hAnsi="Arial" w:cs="Arial"/>
        </w:rPr>
        <w:t>w</w:t>
      </w:r>
      <w:r w:rsidRPr="006B5CAE">
        <w:rPr>
          <w:rFonts w:ascii="Arial" w:hAnsi="Arial" w:cs="Arial"/>
        </w:rPr>
        <w:t xml:space="preserve">orkshop agreed on a number of </w:t>
      </w:r>
      <w:r>
        <w:rPr>
          <w:rFonts w:ascii="Arial" w:hAnsi="Arial" w:cs="Arial"/>
        </w:rPr>
        <w:t xml:space="preserve">key </w:t>
      </w:r>
      <w:r w:rsidRPr="006B5CAE">
        <w:rPr>
          <w:rFonts w:ascii="Arial" w:hAnsi="Arial" w:cs="Arial"/>
        </w:rPr>
        <w:t>priorit</w:t>
      </w:r>
      <w:r>
        <w:rPr>
          <w:rFonts w:ascii="Arial" w:hAnsi="Arial" w:cs="Arial"/>
        </w:rPr>
        <w:t>y areas</w:t>
      </w:r>
      <w:r w:rsidRPr="006B5CAE">
        <w:rPr>
          <w:rFonts w:ascii="Arial" w:hAnsi="Arial" w:cs="Arial"/>
        </w:rPr>
        <w:t>, including: point of care tests; workforce; provider numbers for nurses in remote settings; standardisation of current guidelines and frequency of testing; laboratories; MBS data; standardised reporting and indicators; prisons; general practice; education awareness; antenatal care; and Indigenous identifiers</w:t>
      </w:r>
      <w:r w:rsidR="00CC04BD">
        <w:rPr>
          <w:rFonts w:ascii="Arial" w:hAnsi="Arial" w:cs="Arial"/>
        </w:rPr>
        <w:t xml:space="preserve"> on health records</w:t>
      </w:r>
      <w:r w:rsidRPr="006B5CAE">
        <w:rPr>
          <w:rFonts w:ascii="Arial" w:hAnsi="Arial" w:cs="Arial"/>
        </w:rPr>
        <w:t>.</w:t>
      </w:r>
      <w:r w:rsidRPr="00AE4721">
        <w:rPr>
          <w:rFonts w:ascii="Arial" w:hAnsi="Arial" w:cs="Arial"/>
        </w:rPr>
        <w:t xml:space="preserve"> </w:t>
      </w:r>
    </w:p>
    <w:p w14:paraId="7F474F66" w14:textId="77777777" w:rsidR="00D24CAD" w:rsidRDefault="00D24CAD" w:rsidP="00D24CAD">
      <w:pPr>
        <w:rPr>
          <w:rFonts w:ascii="Arial" w:hAnsi="Arial" w:cs="Arial"/>
        </w:rPr>
      </w:pPr>
    </w:p>
    <w:p w14:paraId="7F474F67" w14:textId="77777777" w:rsidR="00D24CAD" w:rsidRDefault="00D24CAD" w:rsidP="00D24CAD">
      <w:pPr>
        <w:rPr>
          <w:rFonts w:ascii="Arial" w:hAnsi="Arial" w:cs="Arial"/>
        </w:rPr>
      </w:pPr>
      <w:r w:rsidRPr="00AE4721">
        <w:rPr>
          <w:rFonts w:ascii="Arial" w:hAnsi="Arial" w:cs="Arial"/>
        </w:rPr>
        <w:t xml:space="preserve">The workshop established a </w:t>
      </w:r>
      <w:r w:rsidR="00C10593">
        <w:rPr>
          <w:rFonts w:ascii="Arial" w:hAnsi="Arial" w:cs="Arial"/>
        </w:rPr>
        <w:t>g</w:t>
      </w:r>
      <w:r w:rsidRPr="00AE4721">
        <w:rPr>
          <w:rFonts w:ascii="Arial" w:hAnsi="Arial" w:cs="Arial"/>
        </w:rPr>
        <w:t xml:space="preserve">overnance structure to oversee the progression of agreed </w:t>
      </w:r>
      <w:r>
        <w:rPr>
          <w:rFonts w:ascii="Arial" w:hAnsi="Arial" w:cs="Arial"/>
        </w:rPr>
        <w:t xml:space="preserve">key </w:t>
      </w:r>
      <w:r w:rsidRPr="00AE4721">
        <w:rPr>
          <w:rFonts w:ascii="Arial" w:hAnsi="Arial" w:cs="Arial"/>
        </w:rPr>
        <w:t xml:space="preserve">priority </w:t>
      </w:r>
      <w:r>
        <w:rPr>
          <w:rFonts w:ascii="Arial" w:hAnsi="Arial" w:cs="Arial"/>
        </w:rPr>
        <w:t xml:space="preserve">areas and </w:t>
      </w:r>
      <w:r w:rsidRPr="00AE4721">
        <w:rPr>
          <w:rFonts w:ascii="Arial" w:hAnsi="Arial" w:cs="Arial"/>
        </w:rPr>
        <w:t xml:space="preserve">actions. The </w:t>
      </w:r>
      <w:r>
        <w:rPr>
          <w:rFonts w:ascii="Arial" w:hAnsi="Arial" w:cs="Arial"/>
        </w:rPr>
        <w:t>w</w:t>
      </w:r>
      <w:r w:rsidRPr="00AE4721">
        <w:rPr>
          <w:rFonts w:ascii="Arial" w:hAnsi="Arial" w:cs="Arial"/>
        </w:rPr>
        <w:t>orkshop participants agreed to reconvene before the first AHPPC meeting in 2018 to discuss progress o</w:t>
      </w:r>
      <w:r>
        <w:rPr>
          <w:rFonts w:ascii="Arial" w:hAnsi="Arial" w:cs="Arial"/>
        </w:rPr>
        <w:t>n</w:t>
      </w:r>
      <w:r w:rsidRPr="00AE4721">
        <w:rPr>
          <w:rFonts w:ascii="Arial" w:hAnsi="Arial" w:cs="Arial"/>
        </w:rPr>
        <w:t xml:space="preserve"> the priority action</w:t>
      </w:r>
      <w:r>
        <w:rPr>
          <w:rFonts w:ascii="Arial" w:hAnsi="Arial" w:cs="Arial"/>
        </w:rPr>
        <w:t>s</w:t>
      </w:r>
      <w:r w:rsidRPr="00AE4721">
        <w:rPr>
          <w:rFonts w:ascii="Arial" w:hAnsi="Arial" w:cs="Arial"/>
        </w:rPr>
        <w:t>.</w:t>
      </w:r>
    </w:p>
    <w:p w14:paraId="7F474F68" w14:textId="77777777" w:rsidR="00D24CAD" w:rsidRPr="00BA5196" w:rsidRDefault="00D24CAD" w:rsidP="00D24CAD">
      <w:pPr>
        <w:rPr>
          <w:rFonts w:ascii="Arial" w:hAnsi="Arial" w:cs="Arial"/>
        </w:rPr>
      </w:pPr>
    </w:p>
    <w:p w14:paraId="7F474F69" w14:textId="77777777" w:rsidR="00D24CAD" w:rsidRPr="00763C37" w:rsidRDefault="00D24CAD" w:rsidP="00D24CAD">
      <w:pPr>
        <w:pStyle w:val="Heading1"/>
      </w:pPr>
      <w:bookmarkStart w:id="4" w:name="_Toc514227109"/>
      <w:r>
        <w:t>Priority Areas for the enhanced response</w:t>
      </w:r>
      <w:bookmarkEnd w:id="4"/>
      <w:r>
        <w:t xml:space="preserve"> </w:t>
      </w:r>
    </w:p>
    <w:p w14:paraId="7F474F6A" w14:textId="77777777" w:rsidR="00D24CAD" w:rsidRPr="00763C37" w:rsidRDefault="009A5D10" w:rsidP="00D24CAD">
      <w:pPr>
        <w:autoSpaceDE w:val="0"/>
        <w:autoSpaceDN w:val="0"/>
        <w:adjustRightInd w:val="0"/>
        <w:spacing w:before="120"/>
        <w:rPr>
          <w:rFonts w:ascii="Arial" w:hAnsi="Arial" w:cs="Arial"/>
        </w:rPr>
      </w:pPr>
      <w:r>
        <w:rPr>
          <w:rFonts w:ascii="Arial" w:hAnsi="Arial" w:cs="Arial"/>
          <w:bCs/>
        </w:rPr>
        <w:t xml:space="preserve">The </w:t>
      </w:r>
      <w:r w:rsidR="00D24CAD">
        <w:rPr>
          <w:rFonts w:ascii="Arial" w:hAnsi="Arial" w:cs="Arial"/>
          <w:bCs/>
        </w:rPr>
        <w:t>action items identified at the workshop</w:t>
      </w:r>
      <w:r w:rsidR="00E625A9">
        <w:rPr>
          <w:rFonts w:ascii="Arial" w:hAnsi="Arial" w:cs="Arial"/>
          <w:bCs/>
        </w:rPr>
        <w:t xml:space="preserve"> and through on-going discussion</w:t>
      </w:r>
      <w:r>
        <w:rPr>
          <w:rFonts w:ascii="Arial" w:hAnsi="Arial" w:cs="Arial"/>
          <w:bCs/>
        </w:rPr>
        <w:t xml:space="preserve"> can be grouped</w:t>
      </w:r>
      <w:r w:rsidR="00D24CAD">
        <w:rPr>
          <w:rFonts w:ascii="Arial" w:hAnsi="Arial" w:cs="Arial"/>
        </w:rPr>
        <w:t xml:space="preserve"> </w:t>
      </w:r>
      <w:r>
        <w:rPr>
          <w:rFonts w:ascii="Arial" w:hAnsi="Arial" w:cs="Arial"/>
        </w:rPr>
        <w:t>into</w:t>
      </w:r>
      <w:r w:rsidRPr="00763C37">
        <w:rPr>
          <w:rFonts w:ascii="Arial" w:hAnsi="Arial" w:cs="Arial"/>
        </w:rPr>
        <w:t xml:space="preserve"> </w:t>
      </w:r>
      <w:r w:rsidR="00D24CAD">
        <w:rPr>
          <w:rFonts w:ascii="Arial" w:hAnsi="Arial" w:cs="Arial"/>
        </w:rPr>
        <w:t>four</w:t>
      </w:r>
      <w:r w:rsidR="00D24CAD" w:rsidRPr="00763C37">
        <w:rPr>
          <w:rFonts w:ascii="Arial" w:hAnsi="Arial" w:cs="Arial"/>
        </w:rPr>
        <w:t xml:space="preserve"> key priority areas</w:t>
      </w:r>
      <w:r w:rsidR="00D24CAD">
        <w:rPr>
          <w:rFonts w:ascii="Arial" w:hAnsi="Arial" w:cs="Arial"/>
        </w:rPr>
        <w:t>:</w:t>
      </w:r>
    </w:p>
    <w:p w14:paraId="7F474F6B" w14:textId="77777777" w:rsidR="00D24CAD" w:rsidRDefault="00D24CAD" w:rsidP="00D24CAD">
      <w:pPr>
        <w:autoSpaceDE w:val="0"/>
        <w:autoSpaceDN w:val="0"/>
        <w:adjustRightInd w:val="0"/>
        <w:rPr>
          <w:rFonts w:ascii="Arial" w:hAnsi="Arial" w:cs="Arial"/>
          <w:b/>
          <w:bCs/>
          <w:i/>
        </w:rPr>
      </w:pPr>
    </w:p>
    <w:p w14:paraId="7F474F6C" w14:textId="77777777" w:rsidR="00D24CAD" w:rsidRDefault="00D24CAD" w:rsidP="00D24CAD">
      <w:pPr>
        <w:autoSpaceDE w:val="0"/>
        <w:autoSpaceDN w:val="0"/>
        <w:adjustRightInd w:val="0"/>
        <w:spacing w:before="120"/>
        <w:rPr>
          <w:rFonts w:ascii="Arial" w:hAnsi="Arial" w:cs="Arial"/>
          <w:bCs/>
          <w:u w:val="single"/>
        </w:rPr>
      </w:pPr>
      <w:r>
        <w:rPr>
          <w:rFonts w:ascii="Arial" w:hAnsi="Arial" w:cs="Arial"/>
          <w:b/>
          <w:bCs/>
          <w:i/>
        </w:rPr>
        <w:t xml:space="preserve">Priority Area 1: </w:t>
      </w:r>
      <w:r w:rsidR="002B1801">
        <w:rPr>
          <w:rFonts w:ascii="Arial" w:hAnsi="Arial" w:cs="Arial"/>
          <w:bCs/>
        </w:rPr>
        <w:t>T</w:t>
      </w:r>
      <w:r w:rsidRPr="0041665B">
        <w:rPr>
          <w:rFonts w:ascii="Arial" w:hAnsi="Arial" w:cs="Arial"/>
          <w:bCs/>
        </w:rPr>
        <w:t>esting and treatment</w:t>
      </w:r>
    </w:p>
    <w:p w14:paraId="7F474F6D" w14:textId="77777777" w:rsidR="00D24CAD" w:rsidRPr="0041665B" w:rsidRDefault="00D24CAD" w:rsidP="00D24CAD">
      <w:pPr>
        <w:autoSpaceDE w:val="0"/>
        <w:autoSpaceDN w:val="0"/>
        <w:adjustRightInd w:val="0"/>
        <w:rPr>
          <w:rFonts w:ascii="Arial" w:hAnsi="Arial" w:cs="Arial"/>
          <w:bCs/>
        </w:rPr>
      </w:pPr>
    </w:p>
    <w:p w14:paraId="7F474F6E" w14:textId="77777777" w:rsidR="00D24CAD" w:rsidRPr="0041665B" w:rsidRDefault="00D24CAD" w:rsidP="00D24CAD">
      <w:pPr>
        <w:autoSpaceDE w:val="0"/>
        <w:autoSpaceDN w:val="0"/>
        <w:adjustRightInd w:val="0"/>
        <w:rPr>
          <w:rFonts w:ascii="Arial" w:hAnsi="Arial" w:cs="Arial"/>
          <w:bCs/>
        </w:rPr>
      </w:pPr>
      <w:r w:rsidRPr="0041665B">
        <w:rPr>
          <w:rFonts w:ascii="Arial" w:hAnsi="Arial" w:cs="Arial"/>
          <w:b/>
          <w:bCs/>
          <w:i/>
        </w:rPr>
        <w:t>Priority</w:t>
      </w:r>
      <w:r>
        <w:rPr>
          <w:rFonts w:ascii="Arial" w:hAnsi="Arial" w:cs="Arial"/>
          <w:b/>
          <w:bCs/>
          <w:i/>
        </w:rPr>
        <w:t xml:space="preserve"> Area 2:</w:t>
      </w:r>
      <w:r>
        <w:rPr>
          <w:rFonts w:ascii="Arial" w:hAnsi="Arial" w:cs="Arial"/>
          <w:bCs/>
        </w:rPr>
        <w:t xml:space="preserve"> Surveillance and reporting</w:t>
      </w:r>
    </w:p>
    <w:p w14:paraId="7F474F6F" w14:textId="77777777" w:rsidR="00D24CAD" w:rsidRPr="0041665B" w:rsidRDefault="00D24CAD" w:rsidP="00D24CAD">
      <w:pPr>
        <w:autoSpaceDE w:val="0"/>
        <w:autoSpaceDN w:val="0"/>
        <w:adjustRightInd w:val="0"/>
        <w:rPr>
          <w:rFonts w:ascii="Arial" w:hAnsi="Arial" w:cs="Arial"/>
          <w:bCs/>
        </w:rPr>
      </w:pPr>
    </w:p>
    <w:p w14:paraId="7F474F70" w14:textId="77777777" w:rsidR="00D24CAD" w:rsidRPr="004B5B24" w:rsidRDefault="00D24CAD" w:rsidP="004B5B24">
      <w:pPr>
        <w:autoSpaceDE w:val="0"/>
        <w:autoSpaceDN w:val="0"/>
        <w:adjustRightInd w:val="0"/>
        <w:rPr>
          <w:rFonts w:ascii="Arial" w:hAnsi="Arial" w:cs="Arial"/>
          <w:bCs/>
        </w:rPr>
      </w:pPr>
      <w:r>
        <w:rPr>
          <w:rFonts w:ascii="Arial" w:hAnsi="Arial" w:cs="Arial"/>
          <w:b/>
          <w:bCs/>
          <w:i/>
        </w:rPr>
        <w:t xml:space="preserve">Priority Area 3: </w:t>
      </w:r>
      <w:r w:rsidRPr="004B5B24">
        <w:rPr>
          <w:rFonts w:ascii="Arial" w:hAnsi="Arial" w:cs="Arial"/>
          <w:bCs/>
        </w:rPr>
        <w:t>Education and Awareness</w:t>
      </w:r>
    </w:p>
    <w:p w14:paraId="7F474F71" w14:textId="77777777" w:rsidR="00D24CAD" w:rsidRPr="004B5B24" w:rsidRDefault="00D24CAD" w:rsidP="00D24CAD">
      <w:pPr>
        <w:autoSpaceDE w:val="0"/>
        <w:autoSpaceDN w:val="0"/>
        <w:adjustRightInd w:val="0"/>
        <w:rPr>
          <w:rFonts w:ascii="Arial" w:hAnsi="Arial" w:cs="Arial"/>
          <w:b/>
          <w:bCs/>
          <w:i/>
        </w:rPr>
      </w:pPr>
    </w:p>
    <w:p w14:paraId="7F474F72" w14:textId="77777777" w:rsidR="00D24CAD" w:rsidRPr="004B5B24" w:rsidRDefault="00D24CAD" w:rsidP="004B5B24">
      <w:pPr>
        <w:autoSpaceDE w:val="0"/>
        <w:autoSpaceDN w:val="0"/>
        <w:adjustRightInd w:val="0"/>
        <w:rPr>
          <w:rFonts w:ascii="Arial" w:hAnsi="Arial" w:cs="Arial"/>
          <w:bCs/>
        </w:rPr>
      </w:pPr>
      <w:r>
        <w:rPr>
          <w:rFonts w:ascii="Arial" w:hAnsi="Arial" w:cs="Arial"/>
          <w:b/>
          <w:bCs/>
          <w:i/>
        </w:rPr>
        <w:t>Priority Area 4:</w:t>
      </w:r>
      <w:r w:rsidRPr="004B5B24">
        <w:rPr>
          <w:rFonts w:ascii="Arial" w:hAnsi="Arial" w:cs="Arial"/>
          <w:bCs/>
        </w:rPr>
        <w:t xml:space="preserve"> Antenatal Care</w:t>
      </w:r>
    </w:p>
    <w:p w14:paraId="7F474F73" w14:textId="77777777" w:rsidR="00D17DC1" w:rsidRDefault="00D17DC1" w:rsidP="00951815">
      <w:pPr>
        <w:autoSpaceDE w:val="0"/>
        <w:autoSpaceDN w:val="0"/>
        <w:adjustRightInd w:val="0"/>
        <w:rPr>
          <w:rFonts w:ascii="Arial" w:hAnsi="Arial" w:cs="Arial"/>
          <w:bCs/>
        </w:rPr>
      </w:pPr>
    </w:p>
    <w:p w14:paraId="7F474F74" w14:textId="77777777" w:rsidR="00951815" w:rsidRDefault="00951815" w:rsidP="00951815">
      <w:pPr>
        <w:autoSpaceDE w:val="0"/>
        <w:autoSpaceDN w:val="0"/>
        <w:adjustRightInd w:val="0"/>
        <w:rPr>
          <w:rFonts w:ascii="Arial" w:hAnsi="Arial" w:cs="Arial"/>
          <w:bCs/>
        </w:rPr>
      </w:pPr>
      <w:r>
        <w:rPr>
          <w:rFonts w:ascii="Arial" w:hAnsi="Arial" w:cs="Arial"/>
          <w:bCs/>
        </w:rPr>
        <w:t>The importance of each Priority Area is discussed in further detail below</w:t>
      </w:r>
      <w:r w:rsidR="00FB5849">
        <w:rPr>
          <w:rFonts w:ascii="Arial" w:hAnsi="Arial" w:cs="Arial"/>
          <w:bCs/>
        </w:rPr>
        <w:t>.</w:t>
      </w:r>
    </w:p>
    <w:p w14:paraId="7F474F75" w14:textId="77777777" w:rsidR="00951815" w:rsidRPr="00371DAB" w:rsidRDefault="00951815" w:rsidP="00951815">
      <w:pPr>
        <w:autoSpaceDE w:val="0"/>
        <w:autoSpaceDN w:val="0"/>
        <w:adjustRightInd w:val="0"/>
        <w:rPr>
          <w:rFonts w:ascii="Arial" w:hAnsi="Arial" w:cs="Arial"/>
          <w:bCs/>
        </w:rPr>
      </w:pPr>
      <w:r w:rsidRPr="00371DAB">
        <w:rPr>
          <w:rFonts w:ascii="Arial" w:hAnsi="Arial" w:cs="Arial"/>
          <w:bCs/>
        </w:rPr>
        <w:lastRenderedPageBreak/>
        <w:t>This Action Plan acknowledges th</w:t>
      </w:r>
      <w:r w:rsidR="009406CC">
        <w:rPr>
          <w:rFonts w:ascii="Arial" w:hAnsi="Arial" w:cs="Arial"/>
          <w:bCs/>
        </w:rPr>
        <w:t xml:space="preserve">at significant work has been done by </w:t>
      </w:r>
      <w:r w:rsidRPr="00371DAB">
        <w:rPr>
          <w:rFonts w:ascii="Arial" w:hAnsi="Arial" w:cs="Arial"/>
          <w:bCs/>
        </w:rPr>
        <w:t xml:space="preserve">State and Territory Health services, ACCHOs, primary health care and other community organisations to address the syphilis outbreak. </w:t>
      </w:r>
    </w:p>
    <w:p w14:paraId="7F474F76" w14:textId="77777777" w:rsidR="00951815" w:rsidRDefault="00951815" w:rsidP="00951815">
      <w:pPr>
        <w:pStyle w:val="ListParagraph"/>
        <w:ind w:left="0"/>
        <w:contextualSpacing w:val="0"/>
        <w:rPr>
          <w:rFonts w:ascii="Arial" w:hAnsi="Arial" w:cs="Arial"/>
        </w:rPr>
      </w:pPr>
    </w:p>
    <w:p w14:paraId="7F474F77" w14:textId="77777777" w:rsidR="00951815" w:rsidRDefault="00951815" w:rsidP="00951815">
      <w:pPr>
        <w:pStyle w:val="ListParagraph"/>
        <w:ind w:left="0"/>
        <w:contextualSpacing w:val="0"/>
        <w:rPr>
          <w:rFonts w:ascii="Arial" w:hAnsi="Arial" w:cs="Arial"/>
        </w:rPr>
      </w:pPr>
      <w:r>
        <w:rPr>
          <w:rFonts w:ascii="Arial" w:hAnsi="Arial" w:cs="Arial"/>
        </w:rPr>
        <w:t>All States and Territories have a range of interventions in place and have directed specific resources to this issue. This Action Plan identifies opportunities to scale-up these programs to a national level, where appropriate.</w:t>
      </w:r>
    </w:p>
    <w:p w14:paraId="7F474F78" w14:textId="77777777" w:rsidR="004A231F" w:rsidRDefault="004A231F" w:rsidP="00204143">
      <w:pPr>
        <w:autoSpaceDE w:val="0"/>
        <w:autoSpaceDN w:val="0"/>
        <w:adjustRightInd w:val="0"/>
        <w:rPr>
          <w:rFonts w:ascii="Arial" w:hAnsi="Arial" w:cs="Arial"/>
          <w:bCs/>
        </w:rPr>
      </w:pPr>
    </w:p>
    <w:p w14:paraId="7F474F79" w14:textId="77777777" w:rsidR="00D17DC1" w:rsidRDefault="00D17DC1" w:rsidP="00D17DC1">
      <w:pPr>
        <w:pStyle w:val="Heading1"/>
      </w:pPr>
      <w:bookmarkStart w:id="5" w:name="_Toc514227110"/>
      <w:r>
        <w:t>Workforce</w:t>
      </w:r>
      <w:bookmarkEnd w:id="5"/>
    </w:p>
    <w:p w14:paraId="7F474F7A" w14:textId="77777777" w:rsidR="00E1590D" w:rsidRDefault="00E1590D" w:rsidP="00E1590D">
      <w:pPr>
        <w:pStyle w:val="ListParagraph"/>
        <w:ind w:left="0" w:right="-483"/>
        <w:contextualSpacing w:val="0"/>
        <w:rPr>
          <w:rFonts w:ascii="Arial" w:hAnsi="Arial" w:cs="Arial"/>
        </w:rPr>
      </w:pPr>
      <w:r>
        <w:rPr>
          <w:rFonts w:ascii="Arial" w:hAnsi="Arial" w:cs="Arial"/>
        </w:rPr>
        <w:t>Outbreak control efforts and sustained interventions to address high rates of STI and BBV in Indigenous communities are being impeded by a number of workforce issues, occurring predominately in remote health services, including:</w:t>
      </w:r>
    </w:p>
    <w:p w14:paraId="7F474F7B" w14:textId="77777777" w:rsidR="00E1590D" w:rsidRDefault="00E1590D" w:rsidP="00E1590D">
      <w:pPr>
        <w:pStyle w:val="ListParagraph"/>
        <w:numPr>
          <w:ilvl w:val="0"/>
          <w:numId w:val="44"/>
        </w:numPr>
        <w:ind w:left="426" w:hanging="426"/>
        <w:contextualSpacing w:val="0"/>
        <w:rPr>
          <w:rFonts w:ascii="Arial" w:hAnsi="Arial" w:cs="Arial"/>
        </w:rPr>
      </w:pPr>
      <w:r>
        <w:rPr>
          <w:rFonts w:ascii="Arial" w:hAnsi="Arial" w:cs="Arial"/>
        </w:rPr>
        <w:t xml:space="preserve"> </w:t>
      </w:r>
      <w:r w:rsidR="00C10593">
        <w:rPr>
          <w:rFonts w:ascii="Arial" w:hAnsi="Arial" w:cs="Arial"/>
        </w:rPr>
        <w:t xml:space="preserve">a </w:t>
      </w:r>
      <w:r>
        <w:rPr>
          <w:rFonts w:ascii="Arial" w:hAnsi="Arial" w:cs="Arial"/>
        </w:rPr>
        <w:t xml:space="preserve">lack of dedicated funding for </w:t>
      </w:r>
      <w:r w:rsidR="005059EA">
        <w:rPr>
          <w:rFonts w:ascii="Arial" w:hAnsi="Arial" w:cs="Arial"/>
        </w:rPr>
        <w:t>the primary</w:t>
      </w:r>
      <w:r>
        <w:rPr>
          <w:rFonts w:ascii="Arial" w:hAnsi="Arial" w:cs="Arial"/>
        </w:rPr>
        <w:t xml:space="preserve"> health</w:t>
      </w:r>
      <w:r w:rsidR="005059EA">
        <w:rPr>
          <w:rFonts w:ascii="Arial" w:hAnsi="Arial" w:cs="Arial"/>
        </w:rPr>
        <w:t>care</w:t>
      </w:r>
      <w:r>
        <w:rPr>
          <w:rFonts w:ascii="Arial" w:hAnsi="Arial" w:cs="Arial"/>
        </w:rPr>
        <w:t xml:space="preserve"> workforce</w:t>
      </w:r>
      <w:r w:rsidR="005059EA">
        <w:rPr>
          <w:rFonts w:ascii="Arial" w:hAnsi="Arial" w:cs="Arial"/>
        </w:rPr>
        <w:t xml:space="preserve"> for sexual health</w:t>
      </w:r>
      <w:r>
        <w:rPr>
          <w:rFonts w:ascii="Arial" w:hAnsi="Arial" w:cs="Arial"/>
        </w:rPr>
        <w:t>;</w:t>
      </w:r>
    </w:p>
    <w:p w14:paraId="7F474F7C" w14:textId="77777777" w:rsidR="00E1590D" w:rsidRDefault="00C10593" w:rsidP="00E1590D">
      <w:pPr>
        <w:pStyle w:val="ListParagraph"/>
        <w:numPr>
          <w:ilvl w:val="0"/>
          <w:numId w:val="44"/>
        </w:numPr>
        <w:ind w:left="426" w:hanging="426"/>
        <w:contextualSpacing w:val="0"/>
        <w:rPr>
          <w:rFonts w:ascii="Arial" w:hAnsi="Arial" w:cs="Arial"/>
        </w:rPr>
      </w:pPr>
      <w:r>
        <w:rPr>
          <w:rFonts w:ascii="Arial" w:hAnsi="Arial" w:cs="Arial"/>
        </w:rPr>
        <w:t>h</w:t>
      </w:r>
      <w:r w:rsidR="00E1590D">
        <w:rPr>
          <w:rFonts w:ascii="Arial" w:hAnsi="Arial" w:cs="Arial"/>
        </w:rPr>
        <w:t>igh turnover and significant shortages of appropriately skilled staff;</w:t>
      </w:r>
      <w:r w:rsidR="00CF58EC">
        <w:rPr>
          <w:rFonts w:ascii="Arial" w:hAnsi="Arial" w:cs="Arial"/>
        </w:rPr>
        <w:t xml:space="preserve"> and</w:t>
      </w:r>
    </w:p>
    <w:p w14:paraId="7F474F7D" w14:textId="77777777" w:rsidR="00E1590D" w:rsidRPr="00D64F25" w:rsidRDefault="00C10593" w:rsidP="00E1590D">
      <w:pPr>
        <w:pStyle w:val="ListParagraph"/>
        <w:numPr>
          <w:ilvl w:val="0"/>
          <w:numId w:val="44"/>
        </w:numPr>
        <w:ind w:left="426" w:hanging="426"/>
        <w:contextualSpacing w:val="0"/>
        <w:rPr>
          <w:rFonts w:ascii="Arial" w:hAnsi="Arial" w:cs="Arial"/>
        </w:rPr>
      </w:pPr>
      <w:r>
        <w:rPr>
          <w:rFonts w:ascii="Arial" w:hAnsi="Arial" w:cs="Arial"/>
        </w:rPr>
        <w:t>g</w:t>
      </w:r>
      <w:r w:rsidR="00E1590D" w:rsidRPr="00D64F25">
        <w:rPr>
          <w:rFonts w:ascii="Arial" w:hAnsi="Arial" w:cs="Arial"/>
        </w:rPr>
        <w:t xml:space="preserve">aps in </w:t>
      </w:r>
      <w:r w:rsidR="00A43F98" w:rsidRPr="00D64F25">
        <w:rPr>
          <w:rFonts w:ascii="Arial" w:hAnsi="Arial" w:cs="Arial"/>
        </w:rPr>
        <w:t xml:space="preserve">education, </w:t>
      </w:r>
      <w:r w:rsidR="00E1590D" w:rsidRPr="00D64F25">
        <w:rPr>
          <w:rFonts w:ascii="Arial" w:hAnsi="Arial" w:cs="Arial"/>
        </w:rPr>
        <w:t>training</w:t>
      </w:r>
      <w:r w:rsidR="00A43F98" w:rsidRPr="00D64F25">
        <w:rPr>
          <w:rFonts w:ascii="Arial" w:hAnsi="Arial" w:cs="Arial"/>
        </w:rPr>
        <w:t xml:space="preserve"> and</w:t>
      </w:r>
      <w:r w:rsidR="00E1590D" w:rsidRPr="00D64F25">
        <w:rPr>
          <w:rFonts w:ascii="Arial" w:hAnsi="Arial" w:cs="Arial"/>
        </w:rPr>
        <w:t xml:space="preserve"> professional development opportunities </w:t>
      </w:r>
      <w:r w:rsidR="00A43F98" w:rsidRPr="00D64F25">
        <w:rPr>
          <w:rFonts w:ascii="Arial" w:hAnsi="Arial" w:cs="Arial"/>
        </w:rPr>
        <w:t>for health professionals</w:t>
      </w:r>
      <w:r w:rsidR="00E1590D" w:rsidRPr="00D64F25">
        <w:rPr>
          <w:rFonts w:ascii="Arial" w:hAnsi="Arial" w:cs="Arial"/>
        </w:rPr>
        <w:t>.</w:t>
      </w:r>
    </w:p>
    <w:p w14:paraId="7F474F7E" w14:textId="77777777" w:rsidR="00E1590D" w:rsidRDefault="00E1590D" w:rsidP="00E1590D">
      <w:pPr>
        <w:pStyle w:val="ListParagraph"/>
        <w:ind w:left="0"/>
        <w:contextualSpacing w:val="0"/>
        <w:rPr>
          <w:rFonts w:ascii="Arial" w:hAnsi="Arial" w:cs="Arial"/>
        </w:rPr>
      </w:pPr>
    </w:p>
    <w:p w14:paraId="7F474F7F" w14:textId="77777777" w:rsidR="0081627E" w:rsidRDefault="009A63DE" w:rsidP="00E175C6">
      <w:pPr>
        <w:pStyle w:val="ListParagraph"/>
        <w:ind w:left="0"/>
        <w:contextualSpacing w:val="0"/>
        <w:rPr>
          <w:rFonts w:ascii="Arial" w:hAnsi="Arial" w:cs="Arial"/>
        </w:rPr>
      </w:pPr>
      <w:r w:rsidRPr="00E175C6">
        <w:rPr>
          <w:rFonts w:ascii="Arial" w:hAnsi="Arial" w:cs="Arial"/>
        </w:rPr>
        <w:t xml:space="preserve">A stable, skilled and culturally appropriate workforce is fundamental to achieving </w:t>
      </w:r>
      <w:r w:rsidR="00E175C6" w:rsidRPr="00E175C6">
        <w:rPr>
          <w:rFonts w:ascii="Arial" w:hAnsi="Arial" w:cs="Arial"/>
        </w:rPr>
        <w:t>the actions</w:t>
      </w:r>
      <w:r w:rsidRPr="00E175C6">
        <w:rPr>
          <w:rFonts w:ascii="Arial" w:hAnsi="Arial" w:cs="Arial"/>
        </w:rPr>
        <w:t xml:space="preserve"> outlined in this </w:t>
      </w:r>
      <w:r w:rsidR="00E175C6" w:rsidRPr="00E175C6">
        <w:rPr>
          <w:rFonts w:ascii="Arial" w:hAnsi="Arial" w:cs="Arial"/>
        </w:rPr>
        <w:t>Plan</w:t>
      </w:r>
      <w:r w:rsidRPr="00E175C6">
        <w:rPr>
          <w:rFonts w:ascii="Arial" w:hAnsi="Arial" w:cs="Arial"/>
        </w:rPr>
        <w:t>.</w:t>
      </w:r>
      <w:r w:rsidR="00E175C6" w:rsidRPr="00E175C6">
        <w:rPr>
          <w:rFonts w:ascii="Arial" w:hAnsi="Arial" w:cs="Arial"/>
        </w:rPr>
        <w:t xml:space="preserve">  Integrated into each Priority Area are related workforce actions that will enable delivery of the overarching objective of each</w:t>
      </w:r>
      <w:r w:rsidR="00497F09">
        <w:rPr>
          <w:rFonts w:ascii="Arial" w:hAnsi="Arial" w:cs="Arial"/>
        </w:rPr>
        <w:t xml:space="preserve"> Priority Area</w:t>
      </w:r>
      <w:r w:rsidR="00E1590D">
        <w:rPr>
          <w:rFonts w:ascii="Arial" w:hAnsi="Arial" w:cs="Arial"/>
        </w:rPr>
        <w:t xml:space="preserve"> and will aim to address, where possible, the significant workforce issues</w:t>
      </w:r>
      <w:r w:rsidR="00497F09">
        <w:rPr>
          <w:rFonts w:ascii="Arial" w:hAnsi="Arial" w:cs="Arial"/>
        </w:rPr>
        <w:t>.</w:t>
      </w:r>
      <w:r w:rsidR="00E175C6" w:rsidRPr="00E175C6">
        <w:rPr>
          <w:rFonts w:ascii="Arial" w:hAnsi="Arial" w:cs="Arial"/>
        </w:rPr>
        <w:t xml:space="preserve">  </w:t>
      </w:r>
      <w:r w:rsidR="00E175C6">
        <w:rPr>
          <w:rFonts w:ascii="Arial" w:hAnsi="Arial" w:cs="Arial"/>
        </w:rPr>
        <w:t xml:space="preserve">These workforce actions are aimed at </w:t>
      </w:r>
      <w:r w:rsidR="00497F09">
        <w:rPr>
          <w:rFonts w:ascii="Arial" w:hAnsi="Arial" w:cs="Arial"/>
        </w:rPr>
        <w:t>building capacity</w:t>
      </w:r>
      <w:r w:rsidR="00E175C6">
        <w:rPr>
          <w:rFonts w:ascii="Arial" w:hAnsi="Arial" w:cs="Arial"/>
        </w:rPr>
        <w:t xml:space="preserve"> (including </w:t>
      </w:r>
      <w:r w:rsidR="00497F09">
        <w:rPr>
          <w:rFonts w:ascii="Arial" w:hAnsi="Arial" w:cs="Arial"/>
        </w:rPr>
        <w:t>development of a surge workforce in the short-term), providing support and the tools necessary to</w:t>
      </w:r>
      <w:r w:rsidR="00497F09" w:rsidRPr="00497F09">
        <w:rPr>
          <w:rFonts w:ascii="Arial" w:hAnsi="Arial" w:cs="Arial"/>
        </w:rPr>
        <w:t xml:space="preserve"> </w:t>
      </w:r>
      <w:r w:rsidR="009A5D10">
        <w:rPr>
          <w:rFonts w:ascii="Arial" w:hAnsi="Arial" w:cs="Arial"/>
        </w:rPr>
        <w:t>increase</w:t>
      </w:r>
      <w:r w:rsidR="00497F09" w:rsidRPr="00497F09">
        <w:rPr>
          <w:rFonts w:ascii="Arial" w:hAnsi="Arial" w:cs="Arial"/>
        </w:rPr>
        <w:t xml:space="preserve"> health promotion, </w:t>
      </w:r>
      <w:r w:rsidR="006C755E">
        <w:rPr>
          <w:rFonts w:ascii="Arial" w:hAnsi="Arial" w:cs="Arial"/>
        </w:rPr>
        <w:t>testing</w:t>
      </w:r>
      <w:r w:rsidR="00497F09" w:rsidRPr="00497F09">
        <w:rPr>
          <w:rFonts w:ascii="Arial" w:hAnsi="Arial" w:cs="Arial"/>
        </w:rPr>
        <w:t xml:space="preserve"> and treatment </w:t>
      </w:r>
      <w:r w:rsidR="00497F09">
        <w:rPr>
          <w:rFonts w:ascii="Arial" w:hAnsi="Arial" w:cs="Arial"/>
        </w:rPr>
        <w:t>in areas of need.</w:t>
      </w:r>
    </w:p>
    <w:p w14:paraId="7F474F80" w14:textId="77777777" w:rsidR="0081627E" w:rsidRDefault="0081627E" w:rsidP="00E175C6">
      <w:pPr>
        <w:pStyle w:val="ListParagraph"/>
        <w:ind w:left="0"/>
        <w:contextualSpacing w:val="0"/>
        <w:rPr>
          <w:rFonts w:ascii="Arial" w:hAnsi="Arial" w:cs="Arial"/>
        </w:rPr>
      </w:pPr>
    </w:p>
    <w:p w14:paraId="7F474F81" w14:textId="77777777" w:rsidR="00F620AD" w:rsidRDefault="00F620AD" w:rsidP="00E175C6">
      <w:pPr>
        <w:pStyle w:val="ListParagraph"/>
        <w:ind w:left="0"/>
        <w:contextualSpacing w:val="0"/>
        <w:rPr>
          <w:rFonts w:ascii="Arial" w:hAnsi="Arial" w:cs="Arial"/>
        </w:rPr>
      </w:pPr>
      <w:r>
        <w:rPr>
          <w:rFonts w:ascii="Arial" w:hAnsi="Arial" w:cs="Arial"/>
        </w:rPr>
        <w:t>A workforce strategy that takes into consideration current arrangements and needs of each jurisdiction will also be investigated as part of this Action Plan</w:t>
      </w:r>
      <w:r w:rsidR="004B5B24">
        <w:rPr>
          <w:rFonts w:ascii="Arial" w:hAnsi="Arial" w:cs="Arial"/>
        </w:rPr>
        <w:t>.</w:t>
      </w:r>
      <w:r>
        <w:rPr>
          <w:rFonts w:ascii="Arial" w:hAnsi="Arial" w:cs="Arial"/>
        </w:rPr>
        <w:t xml:space="preserve"> </w:t>
      </w:r>
    </w:p>
    <w:p w14:paraId="7F474F82" w14:textId="77777777" w:rsidR="00F620AD" w:rsidRDefault="00F620AD" w:rsidP="00F620AD">
      <w:pPr>
        <w:pStyle w:val="ListParagraph"/>
        <w:ind w:left="0"/>
        <w:contextualSpacing w:val="0"/>
        <w:rPr>
          <w:rFonts w:ascii="Arial" w:eastAsiaTheme="minorHAnsi" w:hAnsi="Arial" w:cs="Arial"/>
          <w:lang w:eastAsia="en-US"/>
        </w:rPr>
      </w:pPr>
    </w:p>
    <w:p w14:paraId="7F474F83" w14:textId="77777777" w:rsidR="00BA5196" w:rsidRDefault="006456AE" w:rsidP="00B7500E">
      <w:pPr>
        <w:pStyle w:val="Heading1"/>
      </w:pPr>
      <w:bookmarkStart w:id="6" w:name="_Toc514227111"/>
      <w:r>
        <w:t>Governance and reporting structure for the enhanced response</w:t>
      </w:r>
      <w:bookmarkEnd w:id="6"/>
      <w:r>
        <w:t xml:space="preserve"> </w:t>
      </w:r>
    </w:p>
    <w:p w14:paraId="7F474F84" w14:textId="77777777" w:rsidR="00951815" w:rsidRPr="00371DAB" w:rsidRDefault="00951815" w:rsidP="00951815">
      <w:pPr>
        <w:autoSpaceDE w:val="0"/>
        <w:autoSpaceDN w:val="0"/>
        <w:adjustRightInd w:val="0"/>
        <w:spacing w:before="120"/>
        <w:rPr>
          <w:rFonts w:ascii="Arial" w:hAnsi="Arial" w:cs="Arial"/>
          <w:bCs/>
        </w:rPr>
      </w:pPr>
      <w:r w:rsidRPr="00371DAB">
        <w:rPr>
          <w:rFonts w:ascii="Arial" w:hAnsi="Arial" w:cs="Arial"/>
          <w:bCs/>
        </w:rPr>
        <w:t>At the Commonwealth level, there is more than one level of response, with the following areas having a role:</w:t>
      </w:r>
    </w:p>
    <w:p w14:paraId="7F474F85" w14:textId="77777777" w:rsidR="00951815" w:rsidRPr="009406CC" w:rsidRDefault="00951815" w:rsidP="009A5D10">
      <w:pPr>
        <w:pStyle w:val="ListParagraph"/>
        <w:numPr>
          <w:ilvl w:val="0"/>
          <w:numId w:val="15"/>
        </w:numPr>
        <w:ind w:left="567" w:hanging="567"/>
        <w:contextualSpacing w:val="0"/>
        <w:rPr>
          <w:rFonts w:ascii="Arial" w:hAnsi="Arial" w:cs="Arial"/>
        </w:rPr>
      </w:pPr>
      <w:r w:rsidRPr="009406CC">
        <w:rPr>
          <w:rFonts w:ascii="Arial" w:hAnsi="Arial" w:cs="Arial"/>
        </w:rPr>
        <w:t>Department of Health;</w:t>
      </w:r>
      <w:r w:rsidR="009406CC" w:rsidRPr="009406CC">
        <w:rPr>
          <w:rFonts w:ascii="Arial" w:hAnsi="Arial" w:cs="Arial"/>
        </w:rPr>
        <w:t xml:space="preserve"> </w:t>
      </w:r>
      <w:r w:rsidRPr="009406CC">
        <w:rPr>
          <w:rFonts w:ascii="Arial" w:hAnsi="Arial" w:cs="Arial"/>
        </w:rPr>
        <w:t>and</w:t>
      </w:r>
    </w:p>
    <w:p w14:paraId="7F474F86" w14:textId="77777777" w:rsidR="00951815" w:rsidRDefault="00951815" w:rsidP="009A5D10">
      <w:pPr>
        <w:pStyle w:val="ListParagraph"/>
        <w:numPr>
          <w:ilvl w:val="0"/>
          <w:numId w:val="15"/>
        </w:numPr>
        <w:ind w:left="567" w:hanging="567"/>
        <w:contextualSpacing w:val="0"/>
        <w:rPr>
          <w:rFonts w:ascii="Arial" w:hAnsi="Arial" w:cs="Arial"/>
        </w:rPr>
      </w:pPr>
      <w:r>
        <w:rPr>
          <w:rFonts w:ascii="Arial" w:hAnsi="Arial" w:cs="Arial"/>
        </w:rPr>
        <w:t>Indigenous Affairs Group, Department of Pr</w:t>
      </w:r>
      <w:r w:rsidR="00CC04BD">
        <w:rPr>
          <w:rFonts w:ascii="Arial" w:hAnsi="Arial" w:cs="Arial"/>
        </w:rPr>
        <w:t>ime Minister and Cabinet (PM&amp;C).</w:t>
      </w:r>
    </w:p>
    <w:p w14:paraId="7F474F87" w14:textId="77777777" w:rsidR="00951815" w:rsidRDefault="00951815" w:rsidP="00951815">
      <w:pPr>
        <w:rPr>
          <w:rFonts w:ascii="Arial" w:hAnsi="Arial" w:cs="Arial"/>
        </w:rPr>
      </w:pPr>
    </w:p>
    <w:p w14:paraId="7F474F88" w14:textId="77777777" w:rsidR="00951815" w:rsidRPr="00204143" w:rsidRDefault="00951815" w:rsidP="00951815">
      <w:pPr>
        <w:rPr>
          <w:rFonts w:ascii="Arial" w:hAnsi="Arial" w:cs="Arial"/>
        </w:rPr>
      </w:pPr>
      <w:r>
        <w:rPr>
          <w:rFonts w:ascii="Arial" w:hAnsi="Arial" w:cs="Arial"/>
        </w:rPr>
        <w:t xml:space="preserve">In addition, </w:t>
      </w:r>
      <w:r w:rsidRPr="00204143">
        <w:rPr>
          <w:rFonts w:ascii="Arial" w:hAnsi="Arial" w:cs="Arial"/>
        </w:rPr>
        <w:t xml:space="preserve">AHPPC </w:t>
      </w:r>
      <w:r>
        <w:rPr>
          <w:rFonts w:ascii="Arial" w:hAnsi="Arial" w:cs="Arial"/>
        </w:rPr>
        <w:t xml:space="preserve">and its </w:t>
      </w:r>
      <w:r w:rsidRPr="00204143">
        <w:rPr>
          <w:rFonts w:ascii="Arial" w:hAnsi="Arial" w:cs="Arial"/>
        </w:rPr>
        <w:t>sub</w:t>
      </w:r>
      <w:r>
        <w:rPr>
          <w:rFonts w:ascii="Arial" w:hAnsi="Arial" w:cs="Arial"/>
        </w:rPr>
        <w:noBreakHyphen/>
      </w:r>
      <w:r w:rsidRPr="00204143">
        <w:rPr>
          <w:rFonts w:ascii="Arial" w:hAnsi="Arial" w:cs="Arial"/>
        </w:rPr>
        <w:t xml:space="preserve">committees and </w:t>
      </w:r>
      <w:r>
        <w:rPr>
          <w:rFonts w:ascii="Arial" w:hAnsi="Arial" w:cs="Arial"/>
        </w:rPr>
        <w:t xml:space="preserve">technical </w:t>
      </w:r>
      <w:r w:rsidRPr="00204143">
        <w:rPr>
          <w:rFonts w:ascii="Arial" w:hAnsi="Arial" w:cs="Arial"/>
        </w:rPr>
        <w:t xml:space="preserve">working groups </w:t>
      </w:r>
      <w:r>
        <w:rPr>
          <w:rFonts w:ascii="Arial" w:hAnsi="Arial" w:cs="Arial"/>
        </w:rPr>
        <w:t xml:space="preserve">are involved in coordinating the response, </w:t>
      </w:r>
      <w:r w:rsidRPr="00204143">
        <w:rPr>
          <w:rFonts w:ascii="Arial" w:hAnsi="Arial" w:cs="Arial"/>
        </w:rPr>
        <w:t>including:</w:t>
      </w:r>
    </w:p>
    <w:p w14:paraId="7F474F89" w14:textId="77777777" w:rsidR="00951815" w:rsidRPr="009849C8" w:rsidRDefault="00951815" w:rsidP="009A5D10">
      <w:pPr>
        <w:pStyle w:val="ListParagraph"/>
        <w:numPr>
          <w:ilvl w:val="0"/>
          <w:numId w:val="11"/>
        </w:numPr>
        <w:ind w:left="567" w:hanging="567"/>
        <w:rPr>
          <w:rFonts w:ascii="Arial" w:hAnsi="Arial" w:cs="Arial"/>
          <w:bCs/>
        </w:rPr>
      </w:pPr>
      <w:r w:rsidRPr="009849C8">
        <w:rPr>
          <w:rFonts w:ascii="Arial" w:hAnsi="Arial" w:cs="Arial"/>
          <w:bCs/>
        </w:rPr>
        <w:t>CDNA</w:t>
      </w:r>
      <w:r w:rsidR="009406CC">
        <w:rPr>
          <w:rFonts w:ascii="Arial" w:hAnsi="Arial" w:cs="Arial"/>
          <w:bCs/>
        </w:rPr>
        <w:t>, which is supported by:</w:t>
      </w:r>
    </w:p>
    <w:p w14:paraId="7F474F8A" w14:textId="77777777" w:rsidR="00951815" w:rsidRDefault="00951815" w:rsidP="009A5D10">
      <w:pPr>
        <w:pStyle w:val="ListParagraph"/>
        <w:numPr>
          <w:ilvl w:val="0"/>
          <w:numId w:val="24"/>
        </w:numPr>
        <w:rPr>
          <w:rFonts w:ascii="Arial" w:hAnsi="Arial" w:cs="Arial"/>
          <w:bCs/>
        </w:rPr>
      </w:pPr>
      <w:r w:rsidRPr="009849C8">
        <w:rPr>
          <w:rFonts w:ascii="Arial" w:hAnsi="Arial" w:cs="Arial"/>
          <w:bCs/>
        </w:rPr>
        <w:t>MJSO</w:t>
      </w:r>
      <w:r>
        <w:rPr>
          <w:rFonts w:ascii="Arial" w:hAnsi="Arial" w:cs="Arial"/>
          <w:bCs/>
        </w:rPr>
        <w:t>;</w:t>
      </w:r>
    </w:p>
    <w:p w14:paraId="7F474F8B" w14:textId="77777777" w:rsidR="00951815" w:rsidRDefault="00951815" w:rsidP="009A5D10">
      <w:pPr>
        <w:pStyle w:val="ListParagraph"/>
        <w:numPr>
          <w:ilvl w:val="0"/>
          <w:numId w:val="24"/>
        </w:numPr>
        <w:rPr>
          <w:rFonts w:ascii="Arial" w:hAnsi="Arial" w:cs="Arial"/>
          <w:bCs/>
        </w:rPr>
      </w:pPr>
      <w:r>
        <w:rPr>
          <w:rFonts w:ascii="Arial" w:hAnsi="Arial" w:cs="Arial"/>
          <w:bCs/>
        </w:rPr>
        <w:t>MJSO Data Working Group;</w:t>
      </w:r>
    </w:p>
    <w:p w14:paraId="7F474F8C" w14:textId="77777777" w:rsidR="00951815" w:rsidRDefault="00951815" w:rsidP="009A5D10">
      <w:pPr>
        <w:pStyle w:val="ListParagraph"/>
        <w:numPr>
          <w:ilvl w:val="0"/>
          <w:numId w:val="11"/>
        </w:numPr>
        <w:ind w:left="567" w:hanging="567"/>
        <w:rPr>
          <w:rFonts w:ascii="Arial" w:hAnsi="Arial" w:cs="Arial"/>
          <w:bCs/>
        </w:rPr>
      </w:pPr>
      <w:r>
        <w:rPr>
          <w:rFonts w:ascii="Arial" w:hAnsi="Arial" w:cs="Arial"/>
          <w:bCs/>
        </w:rPr>
        <w:t>Public Health Laboratory Network (PHLN); and</w:t>
      </w:r>
    </w:p>
    <w:p w14:paraId="7F474F8D" w14:textId="77777777" w:rsidR="00951815" w:rsidRPr="009849C8" w:rsidRDefault="00951815" w:rsidP="009A5D10">
      <w:pPr>
        <w:pStyle w:val="ListParagraph"/>
        <w:numPr>
          <w:ilvl w:val="0"/>
          <w:numId w:val="11"/>
        </w:numPr>
        <w:ind w:left="567" w:hanging="567"/>
        <w:rPr>
          <w:rFonts w:ascii="Arial" w:hAnsi="Arial" w:cs="Arial"/>
          <w:bCs/>
        </w:rPr>
      </w:pPr>
      <w:r>
        <w:rPr>
          <w:rFonts w:ascii="Arial" w:hAnsi="Arial" w:cs="Arial"/>
          <w:bCs/>
        </w:rPr>
        <w:t>Blood Borne Viruses and Sexually Transmissible Infections Standing Committee (BBVSS).</w:t>
      </w:r>
    </w:p>
    <w:p w14:paraId="7F474F8E" w14:textId="77777777" w:rsidR="00951815" w:rsidRPr="004624A3" w:rsidRDefault="00951815" w:rsidP="009406CC">
      <w:pPr>
        <w:rPr>
          <w:rFonts w:ascii="Arial" w:hAnsi="Arial" w:cs="Arial"/>
        </w:rPr>
      </w:pPr>
    </w:p>
    <w:p w14:paraId="7F474F8F" w14:textId="77777777" w:rsidR="00951815" w:rsidRPr="006601CC" w:rsidRDefault="00951815" w:rsidP="009406CC">
      <w:pPr>
        <w:pStyle w:val="ListParagraph"/>
        <w:spacing w:before="120" w:after="120"/>
        <w:ind w:hanging="720"/>
        <w:contextualSpacing w:val="0"/>
        <w:rPr>
          <w:rFonts w:ascii="Arial" w:hAnsi="Arial" w:cs="Arial"/>
          <w:i/>
        </w:rPr>
      </w:pPr>
      <w:r w:rsidRPr="006601CC">
        <w:rPr>
          <w:rFonts w:ascii="Arial" w:hAnsi="Arial" w:cs="Arial"/>
          <w:i/>
        </w:rPr>
        <w:lastRenderedPageBreak/>
        <w:t>Governance Group</w:t>
      </w:r>
    </w:p>
    <w:p w14:paraId="7F474F90" w14:textId="77777777" w:rsidR="009406CC" w:rsidRDefault="009406CC" w:rsidP="009406CC">
      <w:pPr>
        <w:rPr>
          <w:rFonts w:ascii="Arial" w:hAnsi="Arial" w:cs="Arial"/>
        </w:rPr>
      </w:pPr>
      <w:r>
        <w:rPr>
          <w:rFonts w:ascii="Arial" w:hAnsi="Arial" w:cs="Arial"/>
        </w:rPr>
        <w:t xml:space="preserve">The Office of Health Protection (OHP) in the Commonwealth Department of Health and </w:t>
      </w:r>
      <w:r w:rsidR="003636F1">
        <w:rPr>
          <w:rFonts w:ascii="Arial" w:hAnsi="Arial" w:cs="Arial"/>
        </w:rPr>
        <w:t xml:space="preserve">the </w:t>
      </w:r>
      <w:r>
        <w:rPr>
          <w:rFonts w:ascii="Arial" w:hAnsi="Arial" w:cs="Arial"/>
        </w:rPr>
        <w:t xml:space="preserve">AHPPC </w:t>
      </w:r>
      <w:r w:rsidR="00247B40">
        <w:rPr>
          <w:rFonts w:ascii="Arial" w:hAnsi="Arial" w:cs="Arial"/>
        </w:rPr>
        <w:t>has</w:t>
      </w:r>
      <w:r>
        <w:rPr>
          <w:rFonts w:ascii="Arial" w:hAnsi="Arial" w:cs="Arial"/>
        </w:rPr>
        <w:t xml:space="preserve"> been tasked by Minister Wyatt to take a leadership role in this area. This has been formalised through the establishment of a Governance Group</w:t>
      </w:r>
      <w:r w:rsidR="003636F1">
        <w:rPr>
          <w:rFonts w:ascii="Arial" w:hAnsi="Arial" w:cs="Arial"/>
        </w:rPr>
        <w:t>, which report</w:t>
      </w:r>
      <w:r w:rsidR="00C10593">
        <w:rPr>
          <w:rFonts w:ascii="Arial" w:hAnsi="Arial" w:cs="Arial"/>
        </w:rPr>
        <w:t>s</w:t>
      </w:r>
      <w:r w:rsidR="003636F1">
        <w:rPr>
          <w:rFonts w:ascii="Arial" w:hAnsi="Arial" w:cs="Arial"/>
        </w:rPr>
        <w:t xml:space="preserve"> directly to AHPPC and</w:t>
      </w:r>
      <w:r>
        <w:rPr>
          <w:rFonts w:ascii="Arial" w:hAnsi="Arial" w:cs="Arial"/>
        </w:rPr>
        <w:t xml:space="preserve"> whose members include representatives from the four affected jurisdictions and key advisory bodies. </w:t>
      </w:r>
      <w:r w:rsidR="00CC04BD">
        <w:rPr>
          <w:rFonts w:ascii="Arial" w:hAnsi="Arial" w:cs="Arial"/>
        </w:rPr>
        <w:t xml:space="preserve"> The Group </w:t>
      </w:r>
      <w:r w:rsidR="00C10593">
        <w:rPr>
          <w:rFonts w:ascii="Arial" w:hAnsi="Arial" w:cs="Arial"/>
        </w:rPr>
        <w:t xml:space="preserve">is </w:t>
      </w:r>
      <w:r w:rsidR="00CC04BD">
        <w:rPr>
          <w:rFonts w:ascii="Arial" w:hAnsi="Arial" w:cs="Arial"/>
        </w:rPr>
        <w:t>chaired by the Commonwealth Chief Medical Officer.</w:t>
      </w:r>
    </w:p>
    <w:p w14:paraId="7F474F91" w14:textId="77777777" w:rsidR="009406CC" w:rsidRDefault="009406CC" w:rsidP="009406CC">
      <w:pPr>
        <w:rPr>
          <w:rFonts w:ascii="Arial" w:hAnsi="Arial" w:cs="Arial"/>
        </w:rPr>
      </w:pPr>
    </w:p>
    <w:p w14:paraId="7F474F92" w14:textId="77777777" w:rsidR="00951815" w:rsidRDefault="00951815" w:rsidP="009406CC">
      <w:pPr>
        <w:rPr>
          <w:rFonts w:ascii="Arial" w:hAnsi="Arial" w:cs="Arial"/>
          <w:i/>
          <w:u w:val="single"/>
        </w:rPr>
      </w:pPr>
      <w:r>
        <w:rPr>
          <w:rFonts w:ascii="Arial" w:hAnsi="Arial" w:cs="Arial"/>
          <w:bCs/>
        </w:rPr>
        <w:t>The</w:t>
      </w:r>
      <w:r w:rsidRPr="00673C18">
        <w:rPr>
          <w:rFonts w:ascii="Arial" w:hAnsi="Arial" w:cs="Arial"/>
          <w:bCs/>
        </w:rPr>
        <w:t xml:space="preserve"> Governance Group will oversee </w:t>
      </w:r>
      <w:r>
        <w:rPr>
          <w:rFonts w:ascii="Arial" w:hAnsi="Arial" w:cs="Arial"/>
          <w:bCs/>
        </w:rPr>
        <w:t>the enhanced</w:t>
      </w:r>
      <w:r w:rsidRPr="00673C18">
        <w:rPr>
          <w:rFonts w:ascii="Arial" w:hAnsi="Arial" w:cs="Arial"/>
          <w:bCs/>
        </w:rPr>
        <w:t xml:space="preserve"> national response to Indigenous sexual health priorities.</w:t>
      </w:r>
      <w:r>
        <w:rPr>
          <w:rFonts w:ascii="Arial" w:hAnsi="Arial" w:cs="Arial"/>
          <w:bCs/>
        </w:rPr>
        <w:t xml:space="preserve"> </w:t>
      </w:r>
      <w:r w:rsidR="009406CC">
        <w:rPr>
          <w:rFonts w:ascii="Arial" w:hAnsi="Arial" w:cs="Arial"/>
        </w:rPr>
        <w:t>The Terms of Reference for the Governance Group</w:t>
      </w:r>
      <w:r w:rsidR="00365B04">
        <w:rPr>
          <w:rFonts w:ascii="Arial" w:hAnsi="Arial" w:cs="Arial"/>
        </w:rPr>
        <w:t>, including the current composition</w:t>
      </w:r>
      <w:r w:rsidR="00DB46D3">
        <w:rPr>
          <w:rFonts w:ascii="Arial" w:hAnsi="Arial" w:cs="Arial"/>
        </w:rPr>
        <w:t xml:space="preserve"> of the Group</w:t>
      </w:r>
      <w:r w:rsidR="00365B04">
        <w:rPr>
          <w:rFonts w:ascii="Arial" w:hAnsi="Arial" w:cs="Arial"/>
        </w:rPr>
        <w:t>,</w:t>
      </w:r>
      <w:r w:rsidR="009406CC">
        <w:rPr>
          <w:rFonts w:ascii="Arial" w:hAnsi="Arial" w:cs="Arial"/>
        </w:rPr>
        <w:t xml:space="preserve"> is at </w:t>
      </w:r>
      <w:r w:rsidR="009406CC" w:rsidRPr="009406CC">
        <w:rPr>
          <w:rFonts w:ascii="Arial" w:hAnsi="Arial" w:cs="Arial"/>
          <w:u w:val="single"/>
        </w:rPr>
        <w:t xml:space="preserve">Appendix </w:t>
      </w:r>
      <w:r w:rsidR="00EC4E26">
        <w:rPr>
          <w:rFonts w:ascii="Arial" w:hAnsi="Arial" w:cs="Arial"/>
          <w:u w:val="single"/>
        </w:rPr>
        <w:t>A</w:t>
      </w:r>
      <w:r w:rsidR="009406CC">
        <w:rPr>
          <w:rFonts w:ascii="Arial" w:hAnsi="Arial" w:cs="Arial"/>
        </w:rPr>
        <w:t>.</w:t>
      </w:r>
    </w:p>
    <w:p w14:paraId="7F474F93" w14:textId="77777777" w:rsidR="006601CC" w:rsidRDefault="006601CC" w:rsidP="00951815">
      <w:pPr>
        <w:rPr>
          <w:rFonts w:ascii="Arial" w:hAnsi="Arial" w:cs="Arial"/>
          <w:i/>
          <w:u w:val="single"/>
        </w:rPr>
      </w:pPr>
    </w:p>
    <w:p w14:paraId="7F474F94" w14:textId="77777777" w:rsidR="00951815" w:rsidRPr="006601CC" w:rsidRDefault="00951815" w:rsidP="008C587C">
      <w:pPr>
        <w:pStyle w:val="ListParagraph"/>
        <w:spacing w:before="200" w:after="120"/>
        <w:ind w:hanging="720"/>
        <w:contextualSpacing w:val="0"/>
        <w:rPr>
          <w:rFonts w:ascii="Arial" w:hAnsi="Arial" w:cs="Arial"/>
          <w:i/>
        </w:rPr>
      </w:pPr>
      <w:r w:rsidRPr="006601CC">
        <w:rPr>
          <w:rFonts w:ascii="Arial" w:hAnsi="Arial" w:cs="Arial"/>
          <w:i/>
        </w:rPr>
        <w:t>Reporting to the Governance Group</w:t>
      </w:r>
    </w:p>
    <w:p w14:paraId="7F474F95" w14:textId="77777777" w:rsidR="00951815" w:rsidRDefault="00951815" w:rsidP="00951815">
      <w:pPr>
        <w:rPr>
          <w:rFonts w:ascii="Arial" w:hAnsi="Arial" w:cs="Arial"/>
        </w:rPr>
      </w:pPr>
      <w:r w:rsidRPr="00204143">
        <w:rPr>
          <w:rFonts w:ascii="Arial" w:hAnsi="Arial" w:cs="Arial"/>
        </w:rPr>
        <w:t xml:space="preserve">The Governance Group will be supported </w:t>
      </w:r>
      <w:r>
        <w:rPr>
          <w:rFonts w:ascii="Arial" w:hAnsi="Arial" w:cs="Arial"/>
        </w:rPr>
        <w:t xml:space="preserve">as needed </w:t>
      </w:r>
      <w:r w:rsidRPr="00204143">
        <w:rPr>
          <w:rFonts w:ascii="Arial" w:hAnsi="Arial" w:cs="Arial"/>
        </w:rPr>
        <w:t xml:space="preserve">by </w:t>
      </w:r>
      <w:r>
        <w:rPr>
          <w:rFonts w:ascii="Arial" w:hAnsi="Arial" w:cs="Arial"/>
        </w:rPr>
        <w:t xml:space="preserve">the various areas within the Commonwealth (including </w:t>
      </w:r>
      <w:r w:rsidR="00990705">
        <w:rPr>
          <w:rFonts w:ascii="Arial" w:hAnsi="Arial" w:cs="Arial"/>
        </w:rPr>
        <w:t>Health</w:t>
      </w:r>
      <w:r>
        <w:rPr>
          <w:rFonts w:ascii="Arial" w:hAnsi="Arial" w:cs="Arial"/>
        </w:rPr>
        <w:t xml:space="preserve"> and PM&amp;C), as well as the </w:t>
      </w:r>
      <w:r w:rsidRPr="00204143">
        <w:rPr>
          <w:rFonts w:ascii="Arial" w:hAnsi="Arial" w:cs="Arial"/>
        </w:rPr>
        <w:t>AHPPC sub</w:t>
      </w:r>
      <w:r>
        <w:rPr>
          <w:rFonts w:ascii="Arial" w:hAnsi="Arial" w:cs="Arial"/>
        </w:rPr>
        <w:noBreakHyphen/>
      </w:r>
      <w:r w:rsidRPr="00204143">
        <w:rPr>
          <w:rFonts w:ascii="Arial" w:hAnsi="Arial" w:cs="Arial"/>
        </w:rPr>
        <w:t xml:space="preserve">committees and </w:t>
      </w:r>
      <w:r>
        <w:rPr>
          <w:rFonts w:ascii="Arial" w:hAnsi="Arial" w:cs="Arial"/>
        </w:rPr>
        <w:t xml:space="preserve">technical </w:t>
      </w:r>
      <w:r w:rsidRPr="00204143">
        <w:rPr>
          <w:rFonts w:ascii="Arial" w:hAnsi="Arial" w:cs="Arial"/>
        </w:rPr>
        <w:t xml:space="preserve">working groups, </w:t>
      </w:r>
      <w:r w:rsidR="00D029D1">
        <w:rPr>
          <w:rFonts w:ascii="Arial" w:hAnsi="Arial" w:cs="Arial"/>
        </w:rPr>
        <w:t>as outlined below</w:t>
      </w:r>
      <w:r>
        <w:rPr>
          <w:rFonts w:ascii="Arial" w:hAnsi="Arial" w:cs="Arial"/>
        </w:rPr>
        <w:t xml:space="preserve">: </w:t>
      </w:r>
    </w:p>
    <w:p w14:paraId="7F474F96" w14:textId="77777777" w:rsidR="00951815" w:rsidRPr="009D26B4" w:rsidRDefault="00951815" w:rsidP="000C057B">
      <w:pPr>
        <w:pStyle w:val="ListParagraph"/>
        <w:numPr>
          <w:ilvl w:val="0"/>
          <w:numId w:val="16"/>
        </w:numPr>
        <w:spacing w:before="120"/>
        <w:ind w:left="567" w:hanging="567"/>
        <w:contextualSpacing w:val="0"/>
        <w:rPr>
          <w:rFonts w:ascii="Arial" w:hAnsi="Arial" w:cs="Arial"/>
          <w:bCs/>
        </w:rPr>
      </w:pPr>
      <w:r w:rsidRPr="009D26B4">
        <w:rPr>
          <w:rFonts w:ascii="Arial" w:hAnsi="Arial" w:cs="Arial"/>
          <w:bCs/>
        </w:rPr>
        <w:t>CDNA</w:t>
      </w:r>
      <w:r w:rsidR="00990705">
        <w:rPr>
          <w:rFonts w:ascii="Arial" w:hAnsi="Arial" w:cs="Arial"/>
          <w:bCs/>
        </w:rPr>
        <w:t>:</w:t>
      </w:r>
      <w:r w:rsidRPr="009D26B4">
        <w:rPr>
          <w:rFonts w:ascii="Arial" w:hAnsi="Arial" w:cs="Arial"/>
          <w:bCs/>
        </w:rPr>
        <w:t xml:space="preserve"> national public health coordination and leadership, including </w:t>
      </w:r>
      <w:r w:rsidR="00D029D1">
        <w:rPr>
          <w:rFonts w:ascii="Arial" w:hAnsi="Arial" w:cs="Arial"/>
          <w:bCs/>
        </w:rPr>
        <w:t>through the Series of National Guidelines (SoNGs)</w:t>
      </w:r>
      <w:r w:rsidR="00C10593">
        <w:rPr>
          <w:rFonts w:ascii="Arial" w:hAnsi="Arial" w:cs="Arial"/>
          <w:bCs/>
        </w:rPr>
        <w:t>.</w:t>
      </w:r>
    </w:p>
    <w:p w14:paraId="7F474F97" w14:textId="77777777" w:rsidR="00951815" w:rsidRPr="009D26B4" w:rsidRDefault="00951815" w:rsidP="006B69EE">
      <w:pPr>
        <w:pStyle w:val="ListParagraph"/>
        <w:numPr>
          <w:ilvl w:val="0"/>
          <w:numId w:val="16"/>
        </w:numPr>
        <w:spacing w:before="120"/>
        <w:ind w:left="567" w:hanging="567"/>
        <w:contextualSpacing w:val="0"/>
        <w:rPr>
          <w:rFonts w:ascii="Arial" w:hAnsi="Arial" w:cs="Arial"/>
          <w:bCs/>
        </w:rPr>
      </w:pPr>
      <w:r w:rsidRPr="009D26B4">
        <w:rPr>
          <w:rFonts w:ascii="Arial" w:hAnsi="Arial" w:cs="Arial"/>
          <w:bCs/>
        </w:rPr>
        <w:t>MJ</w:t>
      </w:r>
      <w:r w:rsidR="00D029D1">
        <w:rPr>
          <w:rFonts w:ascii="Arial" w:hAnsi="Arial" w:cs="Arial"/>
          <w:bCs/>
        </w:rPr>
        <w:t>SO</w:t>
      </w:r>
      <w:r w:rsidR="006B69EE">
        <w:rPr>
          <w:rFonts w:ascii="Arial" w:hAnsi="Arial" w:cs="Arial"/>
          <w:bCs/>
        </w:rPr>
        <w:t xml:space="preserve"> and MJSO Data Working Group</w:t>
      </w:r>
      <w:r w:rsidR="001366F3">
        <w:rPr>
          <w:rFonts w:ascii="Arial" w:hAnsi="Arial" w:cs="Arial"/>
          <w:bCs/>
        </w:rPr>
        <w:t xml:space="preserve"> (working groups of CDNA)</w:t>
      </w:r>
      <w:r w:rsidR="00990705">
        <w:rPr>
          <w:rFonts w:ascii="Arial" w:hAnsi="Arial" w:cs="Arial"/>
          <w:bCs/>
        </w:rPr>
        <w:t xml:space="preserve">: </w:t>
      </w:r>
      <w:r w:rsidR="00D029D1">
        <w:rPr>
          <w:rFonts w:ascii="Arial" w:hAnsi="Arial" w:cs="Arial"/>
          <w:bCs/>
        </w:rPr>
        <w:t>surveillance, reporting</w:t>
      </w:r>
      <w:r w:rsidR="001366F3">
        <w:rPr>
          <w:rFonts w:ascii="Arial" w:hAnsi="Arial" w:cs="Arial"/>
          <w:bCs/>
        </w:rPr>
        <w:t>,</w:t>
      </w:r>
      <w:r w:rsidR="00D029D1">
        <w:rPr>
          <w:rFonts w:ascii="Arial" w:hAnsi="Arial" w:cs="Arial"/>
          <w:bCs/>
        </w:rPr>
        <w:t xml:space="preserve"> </w:t>
      </w:r>
      <w:r w:rsidR="001366F3" w:rsidRPr="007660A7">
        <w:rPr>
          <w:rFonts w:ascii="Arial" w:hAnsi="Arial" w:cs="Arial"/>
        </w:rPr>
        <w:t xml:space="preserve">workforce issues related to the outbreak </w:t>
      </w:r>
      <w:r w:rsidR="00D029D1">
        <w:rPr>
          <w:rFonts w:ascii="Arial" w:hAnsi="Arial" w:cs="Arial"/>
          <w:bCs/>
        </w:rPr>
        <w:t xml:space="preserve">and guidance on </w:t>
      </w:r>
      <w:r w:rsidRPr="009D26B4">
        <w:rPr>
          <w:rFonts w:ascii="Arial" w:hAnsi="Arial" w:cs="Arial"/>
          <w:bCs/>
        </w:rPr>
        <w:t>antenatal care</w:t>
      </w:r>
      <w:r w:rsidR="001366F3">
        <w:rPr>
          <w:rStyle w:val="FootnoteReference"/>
          <w:rFonts w:ascii="Arial" w:hAnsi="Arial" w:cs="Arial"/>
          <w:bCs/>
        </w:rPr>
        <w:footnoteReference w:id="1"/>
      </w:r>
      <w:r w:rsidR="00C10593">
        <w:rPr>
          <w:rFonts w:ascii="Arial" w:hAnsi="Arial" w:cs="Arial"/>
          <w:bCs/>
        </w:rPr>
        <w:t>.</w:t>
      </w:r>
      <w:r w:rsidRPr="009D26B4">
        <w:rPr>
          <w:rFonts w:ascii="Arial" w:hAnsi="Arial" w:cs="Arial"/>
          <w:bCs/>
        </w:rPr>
        <w:t xml:space="preserve"> </w:t>
      </w:r>
    </w:p>
    <w:p w14:paraId="7F474F98" w14:textId="77777777" w:rsidR="00951815" w:rsidRPr="009D26B4" w:rsidRDefault="00951815" w:rsidP="000C057B">
      <w:pPr>
        <w:pStyle w:val="ListParagraph"/>
        <w:numPr>
          <w:ilvl w:val="0"/>
          <w:numId w:val="16"/>
        </w:numPr>
        <w:spacing w:before="120"/>
        <w:ind w:left="567" w:hanging="567"/>
        <w:contextualSpacing w:val="0"/>
        <w:rPr>
          <w:rFonts w:ascii="Arial" w:hAnsi="Arial" w:cs="Arial"/>
          <w:bCs/>
        </w:rPr>
      </w:pPr>
      <w:r w:rsidRPr="009D26B4">
        <w:rPr>
          <w:rFonts w:ascii="Arial" w:hAnsi="Arial" w:cs="Arial"/>
          <w:bCs/>
        </w:rPr>
        <w:t>PHLN</w:t>
      </w:r>
      <w:r w:rsidR="00990705">
        <w:rPr>
          <w:rFonts w:ascii="Arial" w:hAnsi="Arial" w:cs="Arial"/>
          <w:bCs/>
        </w:rPr>
        <w:t>:</w:t>
      </w:r>
      <w:r w:rsidRPr="009D26B4">
        <w:rPr>
          <w:rFonts w:ascii="Arial" w:hAnsi="Arial" w:cs="Arial"/>
          <w:bCs/>
        </w:rPr>
        <w:t xml:space="preserve"> </w:t>
      </w:r>
      <w:r>
        <w:rPr>
          <w:rFonts w:ascii="Arial" w:hAnsi="Arial" w:cs="Arial"/>
          <w:bCs/>
        </w:rPr>
        <w:t xml:space="preserve">advice </w:t>
      </w:r>
      <w:r w:rsidR="00D029D1">
        <w:rPr>
          <w:rFonts w:ascii="Arial" w:hAnsi="Arial" w:cs="Arial"/>
          <w:bCs/>
        </w:rPr>
        <w:t xml:space="preserve">and expertise on pathology and laboratory services, </w:t>
      </w:r>
      <w:r>
        <w:rPr>
          <w:rFonts w:ascii="Arial" w:hAnsi="Arial" w:cs="Arial"/>
          <w:bCs/>
        </w:rPr>
        <w:t>including P</w:t>
      </w:r>
      <w:r w:rsidR="00D029D1">
        <w:rPr>
          <w:rFonts w:ascii="Arial" w:hAnsi="Arial" w:cs="Arial"/>
          <w:bCs/>
        </w:rPr>
        <w:t>oint of Care Tests (P</w:t>
      </w:r>
      <w:r>
        <w:rPr>
          <w:rFonts w:ascii="Arial" w:hAnsi="Arial" w:cs="Arial"/>
          <w:bCs/>
        </w:rPr>
        <w:t>oCT</w:t>
      </w:r>
      <w:r w:rsidR="00D029D1">
        <w:rPr>
          <w:rFonts w:ascii="Arial" w:hAnsi="Arial" w:cs="Arial"/>
          <w:bCs/>
        </w:rPr>
        <w:t>)</w:t>
      </w:r>
      <w:r>
        <w:rPr>
          <w:rFonts w:ascii="Arial" w:hAnsi="Arial" w:cs="Arial"/>
          <w:bCs/>
        </w:rPr>
        <w:t xml:space="preserve"> and</w:t>
      </w:r>
      <w:r w:rsidR="00D029D1">
        <w:rPr>
          <w:rFonts w:ascii="Arial" w:hAnsi="Arial" w:cs="Arial"/>
          <w:bCs/>
        </w:rPr>
        <w:t xml:space="preserve"> improved access to</w:t>
      </w:r>
      <w:r>
        <w:rPr>
          <w:rFonts w:ascii="Arial" w:hAnsi="Arial" w:cs="Arial"/>
          <w:bCs/>
        </w:rPr>
        <w:t xml:space="preserve"> lab</w:t>
      </w:r>
      <w:r w:rsidR="00D029D1">
        <w:rPr>
          <w:rFonts w:ascii="Arial" w:hAnsi="Arial" w:cs="Arial"/>
          <w:bCs/>
        </w:rPr>
        <w:t>oratory</w:t>
      </w:r>
      <w:r>
        <w:rPr>
          <w:rFonts w:ascii="Arial" w:hAnsi="Arial" w:cs="Arial"/>
          <w:bCs/>
        </w:rPr>
        <w:t xml:space="preserve"> data</w:t>
      </w:r>
      <w:r w:rsidR="00C10593">
        <w:rPr>
          <w:rFonts w:ascii="Arial" w:hAnsi="Arial" w:cs="Arial"/>
          <w:bCs/>
        </w:rPr>
        <w:t>.</w:t>
      </w:r>
    </w:p>
    <w:p w14:paraId="7F474F99" w14:textId="77777777" w:rsidR="00951815" w:rsidRPr="009D26B4" w:rsidRDefault="00951815" w:rsidP="000C057B">
      <w:pPr>
        <w:pStyle w:val="ListParagraph"/>
        <w:numPr>
          <w:ilvl w:val="0"/>
          <w:numId w:val="16"/>
        </w:numPr>
        <w:spacing w:before="120"/>
        <w:ind w:left="567" w:hanging="567"/>
        <w:contextualSpacing w:val="0"/>
        <w:rPr>
          <w:rFonts w:ascii="Arial" w:hAnsi="Arial" w:cs="Arial"/>
          <w:bCs/>
        </w:rPr>
      </w:pPr>
      <w:r w:rsidRPr="009D26B4">
        <w:rPr>
          <w:rFonts w:ascii="Arial" w:hAnsi="Arial" w:cs="Arial"/>
          <w:bCs/>
        </w:rPr>
        <w:t>BBVSS</w:t>
      </w:r>
      <w:r w:rsidR="00990705">
        <w:rPr>
          <w:rFonts w:ascii="Arial" w:hAnsi="Arial" w:cs="Arial"/>
          <w:bCs/>
        </w:rPr>
        <w:t>:</w:t>
      </w:r>
      <w:r w:rsidRPr="009D26B4">
        <w:rPr>
          <w:rFonts w:ascii="Arial" w:hAnsi="Arial" w:cs="Arial"/>
          <w:bCs/>
        </w:rPr>
        <w:t xml:space="preserve"> </w:t>
      </w:r>
      <w:r>
        <w:rPr>
          <w:rFonts w:ascii="Arial" w:hAnsi="Arial" w:cs="Arial"/>
          <w:bCs/>
        </w:rPr>
        <w:t xml:space="preserve">advisory body on strategic policy, programs, </w:t>
      </w:r>
      <w:r w:rsidR="00B944D7">
        <w:rPr>
          <w:rFonts w:ascii="Arial" w:hAnsi="Arial" w:cs="Arial"/>
          <w:bCs/>
        </w:rPr>
        <w:t xml:space="preserve">and </w:t>
      </w:r>
      <w:r>
        <w:rPr>
          <w:rFonts w:ascii="Arial" w:hAnsi="Arial" w:cs="Arial"/>
          <w:bCs/>
        </w:rPr>
        <w:t xml:space="preserve">social </w:t>
      </w:r>
      <w:r w:rsidR="007D69D6">
        <w:rPr>
          <w:rFonts w:ascii="Arial" w:hAnsi="Arial" w:cs="Arial"/>
          <w:bCs/>
        </w:rPr>
        <w:t xml:space="preserve">policy </w:t>
      </w:r>
      <w:r>
        <w:rPr>
          <w:rFonts w:ascii="Arial" w:hAnsi="Arial" w:cs="Arial"/>
          <w:bCs/>
        </w:rPr>
        <w:t xml:space="preserve">activities relating to BBV and STI, including </w:t>
      </w:r>
      <w:r w:rsidRPr="009D26B4">
        <w:rPr>
          <w:rFonts w:ascii="Arial" w:hAnsi="Arial" w:cs="Arial"/>
          <w:bCs/>
        </w:rPr>
        <w:t>education and awareness.</w:t>
      </w:r>
    </w:p>
    <w:p w14:paraId="7F474F9A" w14:textId="77777777" w:rsidR="00951815" w:rsidRDefault="00951815" w:rsidP="00951815">
      <w:pPr>
        <w:rPr>
          <w:rFonts w:ascii="Arial" w:hAnsi="Arial" w:cs="Arial"/>
        </w:rPr>
      </w:pPr>
    </w:p>
    <w:p w14:paraId="7F474F9B" w14:textId="77777777" w:rsidR="00951815" w:rsidRPr="004C14F9" w:rsidRDefault="00951815" w:rsidP="00951815">
      <w:pPr>
        <w:rPr>
          <w:rFonts w:ascii="Arial" w:hAnsi="Arial" w:cs="Arial"/>
        </w:rPr>
      </w:pPr>
      <w:r>
        <w:rPr>
          <w:rFonts w:ascii="Arial" w:hAnsi="Arial" w:cs="Arial"/>
        </w:rPr>
        <w:t>The Governance Group will request advice and support as needed from key non-</w:t>
      </w:r>
      <w:r w:rsidR="00B944D7">
        <w:rPr>
          <w:rFonts w:ascii="Arial" w:hAnsi="Arial" w:cs="Arial"/>
        </w:rPr>
        <w:t>g</w:t>
      </w:r>
      <w:r>
        <w:rPr>
          <w:rFonts w:ascii="Arial" w:hAnsi="Arial" w:cs="Arial"/>
        </w:rPr>
        <w:t>overnment agencies, including: Kirby Institute; R</w:t>
      </w:r>
      <w:r w:rsidR="00CD71AC">
        <w:rPr>
          <w:rFonts w:ascii="Arial" w:hAnsi="Arial" w:cs="Arial"/>
        </w:rPr>
        <w:t xml:space="preserve">oyal </w:t>
      </w:r>
      <w:r>
        <w:rPr>
          <w:rFonts w:ascii="Arial" w:hAnsi="Arial" w:cs="Arial"/>
        </w:rPr>
        <w:t>A</w:t>
      </w:r>
      <w:r w:rsidR="00CD71AC">
        <w:rPr>
          <w:rFonts w:ascii="Arial" w:hAnsi="Arial" w:cs="Arial"/>
        </w:rPr>
        <w:t xml:space="preserve">ustralian </w:t>
      </w:r>
      <w:r>
        <w:rPr>
          <w:rFonts w:ascii="Arial" w:hAnsi="Arial" w:cs="Arial"/>
        </w:rPr>
        <w:t>C</w:t>
      </w:r>
      <w:r w:rsidR="00CD71AC">
        <w:rPr>
          <w:rFonts w:ascii="Arial" w:hAnsi="Arial" w:cs="Arial"/>
        </w:rPr>
        <w:t xml:space="preserve">ollege of </w:t>
      </w:r>
      <w:r>
        <w:rPr>
          <w:rFonts w:ascii="Arial" w:hAnsi="Arial" w:cs="Arial"/>
        </w:rPr>
        <w:t>G</w:t>
      </w:r>
      <w:r w:rsidR="00CD71AC">
        <w:rPr>
          <w:rFonts w:ascii="Arial" w:hAnsi="Arial" w:cs="Arial"/>
        </w:rPr>
        <w:t xml:space="preserve">eneral </w:t>
      </w:r>
      <w:r>
        <w:rPr>
          <w:rFonts w:ascii="Arial" w:hAnsi="Arial" w:cs="Arial"/>
        </w:rPr>
        <w:t>P</w:t>
      </w:r>
      <w:r w:rsidR="00CD71AC">
        <w:rPr>
          <w:rFonts w:ascii="Arial" w:hAnsi="Arial" w:cs="Arial"/>
        </w:rPr>
        <w:t>ractitioners (RACGP)</w:t>
      </w:r>
      <w:r>
        <w:rPr>
          <w:rFonts w:ascii="Arial" w:hAnsi="Arial" w:cs="Arial"/>
        </w:rPr>
        <w:t>, R</w:t>
      </w:r>
      <w:r w:rsidR="00CD71AC">
        <w:rPr>
          <w:rFonts w:ascii="Arial" w:hAnsi="Arial" w:cs="Arial"/>
        </w:rPr>
        <w:t xml:space="preserve">oyal </w:t>
      </w:r>
      <w:r>
        <w:rPr>
          <w:rFonts w:ascii="Arial" w:hAnsi="Arial" w:cs="Arial"/>
        </w:rPr>
        <w:t>A</w:t>
      </w:r>
      <w:r w:rsidR="00CD71AC">
        <w:rPr>
          <w:rFonts w:ascii="Arial" w:hAnsi="Arial" w:cs="Arial"/>
        </w:rPr>
        <w:t xml:space="preserve">ustralian </w:t>
      </w:r>
      <w:r>
        <w:rPr>
          <w:rFonts w:ascii="Arial" w:hAnsi="Arial" w:cs="Arial"/>
        </w:rPr>
        <w:t>C</w:t>
      </w:r>
      <w:r w:rsidR="00CD71AC">
        <w:rPr>
          <w:rFonts w:ascii="Arial" w:hAnsi="Arial" w:cs="Arial"/>
        </w:rPr>
        <w:t xml:space="preserve">ollege of </w:t>
      </w:r>
      <w:r>
        <w:rPr>
          <w:rFonts w:ascii="Arial" w:hAnsi="Arial" w:cs="Arial"/>
        </w:rPr>
        <w:t>P</w:t>
      </w:r>
      <w:r w:rsidR="00CD71AC">
        <w:rPr>
          <w:rFonts w:ascii="Arial" w:hAnsi="Arial" w:cs="Arial"/>
        </w:rPr>
        <w:t>hysicians (RACP)</w:t>
      </w:r>
      <w:r>
        <w:rPr>
          <w:rFonts w:ascii="Arial" w:hAnsi="Arial" w:cs="Arial"/>
        </w:rPr>
        <w:t>; and R</w:t>
      </w:r>
      <w:r w:rsidR="00CD71AC">
        <w:rPr>
          <w:rFonts w:ascii="Arial" w:hAnsi="Arial" w:cs="Arial"/>
        </w:rPr>
        <w:t xml:space="preserve">ural </w:t>
      </w:r>
      <w:r>
        <w:rPr>
          <w:rFonts w:ascii="Arial" w:hAnsi="Arial" w:cs="Arial"/>
        </w:rPr>
        <w:t>D</w:t>
      </w:r>
      <w:r w:rsidR="00CD71AC">
        <w:rPr>
          <w:rFonts w:ascii="Arial" w:hAnsi="Arial" w:cs="Arial"/>
        </w:rPr>
        <w:t xml:space="preserve">octors </w:t>
      </w:r>
      <w:r>
        <w:rPr>
          <w:rFonts w:ascii="Arial" w:hAnsi="Arial" w:cs="Arial"/>
        </w:rPr>
        <w:t>A</w:t>
      </w:r>
      <w:r w:rsidR="00CD71AC">
        <w:rPr>
          <w:rFonts w:ascii="Arial" w:hAnsi="Arial" w:cs="Arial"/>
        </w:rPr>
        <w:t xml:space="preserve">ssociation of </w:t>
      </w:r>
      <w:r>
        <w:rPr>
          <w:rFonts w:ascii="Arial" w:hAnsi="Arial" w:cs="Arial"/>
        </w:rPr>
        <w:t>A</w:t>
      </w:r>
      <w:r w:rsidR="00CD71AC">
        <w:rPr>
          <w:rFonts w:ascii="Arial" w:hAnsi="Arial" w:cs="Arial"/>
        </w:rPr>
        <w:t>ustralia (RDAA)</w:t>
      </w:r>
      <w:r>
        <w:rPr>
          <w:rFonts w:ascii="Arial" w:hAnsi="Arial" w:cs="Arial"/>
        </w:rPr>
        <w:t>.</w:t>
      </w:r>
    </w:p>
    <w:p w14:paraId="7F474F9C" w14:textId="77777777" w:rsidR="00951815" w:rsidRPr="00763C37" w:rsidRDefault="00951815" w:rsidP="00951815">
      <w:pPr>
        <w:rPr>
          <w:rFonts w:ascii="Arial" w:hAnsi="Arial" w:cs="Arial"/>
        </w:rPr>
      </w:pPr>
    </w:p>
    <w:p w14:paraId="7F474F9D" w14:textId="77777777" w:rsidR="000F6FEC" w:rsidRDefault="0012792C">
      <w:pPr>
        <w:rPr>
          <w:rFonts w:ascii="Arial" w:hAnsi="Arial" w:cs="Arial"/>
        </w:rPr>
      </w:pPr>
      <w:r w:rsidRPr="009406CC">
        <w:rPr>
          <w:rFonts w:ascii="Arial" w:hAnsi="Arial" w:cs="Arial"/>
          <w:u w:val="single"/>
        </w:rPr>
        <w:t>Figure 1</w:t>
      </w:r>
      <w:r w:rsidRPr="00D029D1">
        <w:rPr>
          <w:rFonts w:ascii="Arial" w:hAnsi="Arial" w:cs="Arial"/>
        </w:rPr>
        <w:t xml:space="preserve"> </w:t>
      </w:r>
      <w:r w:rsidR="00763C37" w:rsidRPr="00D029D1">
        <w:rPr>
          <w:rFonts w:ascii="Arial" w:hAnsi="Arial" w:cs="Arial"/>
        </w:rPr>
        <w:t xml:space="preserve">identifies </w:t>
      </w:r>
      <w:r w:rsidRPr="00D029D1">
        <w:rPr>
          <w:rFonts w:ascii="Arial" w:hAnsi="Arial" w:cs="Arial"/>
        </w:rPr>
        <w:t xml:space="preserve">AHMAC committees and relevant organisations that will be consulted for each </w:t>
      </w:r>
      <w:r w:rsidR="00763C37" w:rsidRPr="00D029D1">
        <w:rPr>
          <w:rFonts w:ascii="Arial" w:hAnsi="Arial" w:cs="Arial"/>
        </w:rPr>
        <w:t>Priority Area.</w:t>
      </w:r>
    </w:p>
    <w:p w14:paraId="7F474F9E" w14:textId="77777777" w:rsidR="0081627E" w:rsidRDefault="0081627E">
      <w:pPr>
        <w:rPr>
          <w:rFonts w:ascii="Arial" w:hAnsi="Arial" w:cs="Arial"/>
        </w:rPr>
      </w:pPr>
    </w:p>
    <w:p w14:paraId="7F474F9F" w14:textId="77777777" w:rsidR="000F6FEC" w:rsidRDefault="000F6FEC">
      <w:pPr>
        <w:rPr>
          <w:rFonts w:ascii="Arial" w:hAnsi="Arial" w:cs="Arial"/>
        </w:rPr>
        <w:sectPr w:rsidR="000F6FEC" w:rsidSect="00F55266">
          <w:footerReference w:type="default" r:id="rId11"/>
          <w:footerReference w:type="first" r:id="rId12"/>
          <w:pgSz w:w="11906" w:h="16838"/>
          <w:pgMar w:top="1103" w:right="1800" w:bottom="1440" w:left="1800" w:header="567" w:footer="708" w:gutter="0"/>
          <w:cols w:space="708"/>
          <w:titlePg/>
          <w:docGrid w:linePitch="360"/>
        </w:sectPr>
      </w:pPr>
    </w:p>
    <w:p w14:paraId="7F474FA0" w14:textId="77777777" w:rsidR="009E1C54" w:rsidRDefault="006766AC">
      <w:pPr>
        <w:rPr>
          <w:rFonts w:ascii="Arial" w:hAnsi="Arial" w:cs="Arial"/>
        </w:rPr>
      </w:pPr>
      <w:r>
        <w:rPr>
          <w:noProof/>
        </w:rPr>
        <w:lastRenderedPageBreak/>
        <w:drawing>
          <wp:inline distT="0" distB="0" distL="0" distR="0" wp14:anchorId="7F47502B" wp14:editId="7F47502C">
            <wp:extent cx="8208000" cy="5764024"/>
            <wp:effectExtent l="0" t="0" r="3175" b="8255"/>
            <wp:docPr id="1" name="Picture 1" title="Figure 1: AHMAC committees and relevant organisations for priority area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aturation sat="200000"/>
                              </a14:imgEffect>
                            </a14:imgLayer>
                          </a14:imgProps>
                        </a:ext>
                      </a:extLst>
                    </a:blip>
                    <a:stretch>
                      <a:fillRect/>
                    </a:stretch>
                  </pic:blipFill>
                  <pic:spPr>
                    <a:xfrm>
                      <a:off x="0" y="0"/>
                      <a:ext cx="8208000" cy="5764024"/>
                    </a:xfrm>
                    <a:prstGeom prst="rect">
                      <a:avLst/>
                    </a:prstGeom>
                  </pic:spPr>
                </pic:pic>
              </a:graphicData>
            </a:graphic>
          </wp:inline>
        </w:drawing>
      </w:r>
    </w:p>
    <w:p w14:paraId="7F474FA1" w14:textId="77777777" w:rsidR="000F6FEC" w:rsidRDefault="000F6FEC">
      <w:pPr>
        <w:rPr>
          <w:rFonts w:ascii="Arial" w:hAnsi="Arial" w:cs="Arial"/>
        </w:rPr>
        <w:sectPr w:rsidR="000F6FEC" w:rsidSect="000F6FEC">
          <w:pgSz w:w="16838" w:h="11906" w:orient="landscape"/>
          <w:pgMar w:top="1800" w:right="1103" w:bottom="1800" w:left="1440" w:header="567" w:footer="708" w:gutter="0"/>
          <w:cols w:space="708"/>
          <w:titlePg/>
          <w:docGrid w:linePitch="360"/>
        </w:sectPr>
      </w:pPr>
    </w:p>
    <w:p w14:paraId="7F474FA2" w14:textId="77777777" w:rsidR="000F6FEC" w:rsidRDefault="000F6FEC">
      <w:pPr>
        <w:rPr>
          <w:rFonts w:ascii="Arial" w:hAnsi="Arial" w:cs="Arial"/>
        </w:rPr>
      </w:pPr>
    </w:p>
    <w:p w14:paraId="7F474FA3" w14:textId="77777777" w:rsidR="000F6FEC" w:rsidRPr="000F6FEC" w:rsidRDefault="000F6FEC">
      <w:pPr>
        <w:rPr>
          <w:rFonts w:ascii="Arial" w:hAnsi="Arial" w:cs="Arial"/>
        </w:rPr>
        <w:sectPr w:rsidR="000F6FEC" w:rsidRPr="000F6FEC" w:rsidSect="000F6FEC">
          <w:pgSz w:w="11906" w:h="16838"/>
          <w:pgMar w:top="1103" w:right="1800" w:bottom="1440" w:left="1800" w:header="567" w:footer="708" w:gutter="0"/>
          <w:cols w:space="708"/>
          <w:titlePg/>
          <w:docGrid w:linePitch="360"/>
        </w:sectPr>
      </w:pPr>
    </w:p>
    <w:p w14:paraId="7F474FA4" w14:textId="77777777" w:rsidR="00B7500E" w:rsidRPr="000D098F" w:rsidRDefault="00B7500E" w:rsidP="00B7500E">
      <w:pPr>
        <w:pStyle w:val="Heading1"/>
      </w:pPr>
      <w:bookmarkStart w:id="7" w:name="_Toc514227112"/>
      <w:r>
        <w:t>Action Plan</w:t>
      </w:r>
      <w:bookmarkEnd w:id="7"/>
    </w:p>
    <w:p w14:paraId="7F474FA5" w14:textId="77777777" w:rsidR="00951815" w:rsidRDefault="00951815" w:rsidP="00951815">
      <w:pPr>
        <w:rPr>
          <w:rFonts w:ascii="Arial" w:eastAsiaTheme="minorHAnsi" w:hAnsi="Arial" w:cs="Arial"/>
          <w:lang w:eastAsia="en-US"/>
        </w:rPr>
      </w:pPr>
      <w:r>
        <w:rPr>
          <w:rFonts w:ascii="Arial" w:hAnsi="Arial" w:cs="Arial"/>
        </w:rPr>
        <w:t xml:space="preserve">This Action Plan is expected to evolve over time as further information is gathered and actions are implemented. </w:t>
      </w:r>
      <w:r w:rsidRPr="001622C1">
        <w:rPr>
          <w:rFonts w:ascii="Arial" w:hAnsi="Arial" w:cs="Arial"/>
        </w:rPr>
        <w:t>In developing th</w:t>
      </w:r>
      <w:r>
        <w:rPr>
          <w:rFonts w:ascii="Arial" w:hAnsi="Arial" w:cs="Arial"/>
        </w:rPr>
        <w:t xml:space="preserve">e </w:t>
      </w:r>
      <w:r w:rsidR="00990705">
        <w:rPr>
          <w:rFonts w:ascii="Arial" w:hAnsi="Arial" w:cs="Arial"/>
        </w:rPr>
        <w:t xml:space="preserve">Action </w:t>
      </w:r>
      <w:r>
        <w:rPr>
          <w:rFonts w:ascii="Arial" w:hAnsi="Arial" w:cs="Arial"/>
        </w:rPr>
        <w:t xml:space="preserve">Plan and </w:t>
      </w:r>
      <w:r w:rsidRPr="001622C1">
        <w:rPr>
          <w:rFonts w:ascii="Arial" w:hAnsi="Arial" w:cs="Arial"/>
        </w:rPr>
        <w:t xml:space="preserve">priority action areas, it is important to have the right balance of short and long term solutions. </w:t>
      </w:r>
      <w:r>
        <w:rPr>
          <w:rFonts w:ascii="Arial" w:hAnsi="Arial" w:cs="Arial"/>
        </w:rPr>
        <w:t xml:space="preserve">As such, the Action Plan </w:t>
      </w:r>
      <w:r w:rsidR="00990705">
        <w:rPr>
          <w:rFonts w:ascii="Arial" w:hAnsi="Arial" w:cs="Arial"/>
        </w:rPr>
        <w:t>incorporates short term actions identified at the workshop that are already underway</w:t>
      </w:r>
      <w:r>
        <w:rPr>
          <w:rFonts w:ascii="Arial" w:hAnsi="Arial" w:cs="Arial"/>
        </w:rPr>
        <w:t xml:space="preserve">. </w:t>
      </w:r>
      <w:r>
        <w:rPr>
          <w:rFonts w:ascii="Arial" w:eastAsiaTheme="minorHAnsi" w:hAnsi="Arial" w:cs="Arial"/>
          <w:lang w:eastAsia="en-US"/>
        </w:rPr>
        <w:t>T</w:t>
      </w:r>
      <w:r w:rsidRPr="00503041">
        <w:rPr>
          <w:rFonts w:ascii="Arial" w:eastAsiaTheme="minorHAnsi" w:hAnsi="Arial" w:cs="Arial"/>
          <w:lang w:eastAsia="en-US"/>
        </w:rPr>
        <w:t>h</w:t>
      </w:r>
      <w:r>
        <w:rPr>
          <w:rFonts w:ascii="Arial" w:eastAsiaTheme="minorHAnsi" w:hAnsi="Arial" w:cs="Arial"/>
          <w:lang w:eastAsia="en-US"/>
        </w:rPr>
        <w:t>e</w:t>
      </w:r>
      <w:r w:rsidRPr="00503041">
        <w:rPr>
          <w:rFonts w:ascii="Arial" w:eastAsiaTheme="minorHAnsi" w:hAnsi="Arial" w:cs="Arial"/>
          <w:lang w:eastAsia="en-US"/>
        </w:rPr>
        <w:t xml:space="preserve"> Action Plan </w:t>
      </w:r>
      <w:r>
        <w:rPr>
          <w:rFonts w:ascii="Arial" w:eastAsiaTheme="minorHAnsi" w:hAnsi="Arial" w:cs="Arial"/>
          <w:lang w:eastAsia="en-US"/>
        </w:rPr>
        <w:t xml:space="preserve">also identifies longer term actions which </w:t>
      </w:r>
      <w:r w:rsidR="00990705">
        <w:rPr>
          <w:rFonts w:ascii="Arial" w:eastAsiaTheme="minorHAnsi" w:hAnsi="Arial" w:cs="Arial"/>
          <w:lang w:eastAsia="en-US"/>
        </w:rPr>
        <w:t xml:space="preserve">will </w:t>
      </w:r>
      <w:r w:rsidR="0090665C">
        <w:rPr>
          <w:rFonts w:ascii="Arial" w:eastAsiaTheme="minorHAnsi" w:hAnsi="Arial" w:cs="Arial"/>
          <w:lang w:eastAsia="en-US"/>
        </w:rPr>
        <w:t xml:space="preserve">be </w:t>
      </w:r>
      <w:r w:rsidRPr="00503041">
        <w:rPr>
          <w:rFonts w:ascii="Arial" w:eastAsiaTheme="minorHAnsi" w:hAnsi="Arial" w:cs="Arial"/>
          <w:lang w:eastAsia="en-US"/>
        </w:rPr>
        <w:t>align</w:t>
      </w:r>
      <w:r w:rsidR="0090665C">
        <w:rPr>
          <w:rFonts w:ascii="Arial" w:eastAsiaTheme="minorHAnsi" w:hAnsi="Arial" w:cs="Arial"/>
          <w:lang w:eastAsia="en-US"/>
        </w:rPr>
        <w:t>ed</w:t>
      </w:r>
      <w:r w:rsidRPr="00503041">
        <w:rPr>
          <w:rFonts w:ascii="Arial" w:eastAsiaTheme="minorHAnsi" w:hAnsi="Arial" w:cs="Arial"/>
          <w:lang w:eastAsia="en-US"/>
        </w:rPr>
        <w:t xml:space="preserve"> </w:t>
      </w:r>
      <w:r w:rsidR="0090665C">
        <w:rPr>
          <w:rFonts w:ascii="Arial" w:eastAsiaTheme="minorHAnsi" w:hAnsi="Arial" w:cs="Arial"/>
          <w:lang w:eastAsia="en-US"/>
        </w:rPr>
        <w:t>to the</w:t>
      </w:r>
      <w:r>
        <w:rPr>
          <w:rFonts w:ascii="Arial" w:eastAsiaTheme="minorHAnsi" w:hAnsi="Arial" w:cs="Arial"/>
          <w:lang w:eastAsia="en-US"/>
        </w:rPr>
        <w:t xml:space="preserve"> </w:t>
      </w:r>
      <w:r w:rsidRPr="00503041">
        <w:rPr>
          <w:rFonts w:ascii="Arial" w:eastAsiaTheme="minorHAnsi" w:hAnsi="Arial" w:cs="Arial"/>
          <w:lang w:eastAsia="en-US"/>
        </w:rPr>
        <w:t xml:space="preserve">new National </w:t>
      </w:r>
      <w:r>
        <w:rPr>
          <w:rFonts w:ascii="Arial" w:eastAsiaTheme="minorHAnsi" w:hAnsi="Arial" w:cs="Arial"/>
          <w:lang w:eastAsia="en-US"/>
        </w:rPr>
        <w:t xml:space="preserve">BBV and STI </w:t>
      </w:r>
      <w:r w:rsidRPr="00503041">
        <w:rPr>
          <w:rFonts w:ascii="Arial" w:eastAsiaTheme="minorHAnsi" w:hAnsi="Arial" w:cs="Arial"/>
          <w:lang w:eastAsia="en-US"/>
        </w:rPr>
        <w:t xml:space="preserve">Strategies, especially the </w:t>
      </w:r>
      <w:r w:rsidR="00DB46D3">
        <w:rPr>
          <w:rFonts w:ascii="Arial" w:eastAsiaTheme="minorHAnsi" w:hAnsi="Arial" w:cs="Arial"/>
          <w:i/>
          <w:lang w:eastAsia="en-US"/>
        </w:rPr>
        <w:t>Fif</w:t>
      </w:r>
      <w:r w:rsidRPr="00552567">
        <w:rPr>
          <w:rFonts w:ascii="Arial" w:eastAsiaTheme="minorHAnsi" w:hAnsi="Arial" w:cs="Arial"/>
          <w:i/>
          <w:lang w:eastAsia="en-US"/>
        </w:rPr>
        <w:t>th National Aboriginal and Torres Strait Islander Blood Borne Viruses and Sexually Transmissible Infections Strategy</w:t>
      </w:r>
      <w:r w:rsidR="0090665C">
        <w:rPr>
          <w:rFonts w:ascii="Arial" w:eastAsiaTheme="minorHAnsi" w:hAnsi="Arial" w:cs="Arial"/>
          <w:i/>
          <w:lang w:eastAsia="en-US"/>
        </w:rPr>
        <w:t xml:space="preserve"> 2018-2022</w:t>
      </w:r>
      <w:r w:rsidRPr="00503041">
        <w:rPr>
          <w:rFonts w:ascii="Arial" w:eastAsiaTheme="minorHAnsi" w:hAnsi="Arial" w:cs="Arial"/>
          <w:lang w:eastAsia="en-US"/>
        </w:rPr>
        <w:t>.</w:t>
      </w:r>
      <w:r>
        <w:rPr>
          <w:rFonts w:ascii="Arial" w:eastAsiaTheme="minorHAnsi" w:hAnsi="Arial" w:cs="Arial"/>
          <w:lang w:eastAsia="en-US"/>
        </w:rPr>
        <w:t xml:space="preserve"> </w:t>
      </w:r>
    </w:p>
    <w:p w14:paraId="7F474FA6" w14:textId="77777777" w:rsidR="00951815" w:rsidRDefault="00951815" w:rsidP="00951815">
      <w:pPr>
        <w:rPr>
          <w:rFonts w:ascii="Arial" w:eastAsiaTheme="minorHAnsi" w:hAnsi="Arial" w:cs="Arial"/>
          <w:lang w:eastAsia="en-US"/>
        </w:rPr>
      </w:pPr>
    </w:p>
    <w:p w14:paraId="7F474FA7" w14:textId="77777777" w:rsidR="00951815" w:rsidRPr="00503041" w:rsidRDefault="00951815" w:rsidP="00951815">
      <w:pPr>
        <w:rPr>
          <w:rFonts w:ascii="Arial" w:eastAsiaTheme="minorHAnsi" w:hAnsi="Arial" w:cs="Arial"/>
          <w:lang w:eastAsia="en-US"/>
        </w:rPr>
      </w:pPr>
      <w:r w:rsidRPr="00503041">
        <w:rPr>
          <w:rFonts w:ascii="Arial" w:eastAsiaTheme="minorHAnsi" w:hAnsi="Arial" w:cs="Arial"/>
          <w:lang w:eastAsia="en-US"/>
        </w:rPr>
        <w:t>The current National BBV and STI Strategies for</w:t>
      </w:r>
      <w:r>
        <w:rPr>
          <w:rFonts w:ascii="Arial" w:eastAsiaTheme="minorHAnsi" w:hAnsi="Arial" w:cs="Arial"/>
          <w:lang w:eastAsia="en-US"/>
        </w:rPr>
        <w:t>: HIV;</w:t>
      </w:r>
      <w:r w:rsidRPr="00503041">
        <w:rPr>
          <w:rFonts w:ascii="Arial" w:eastAsiaTheme="minorHAnsi" w:hAnsi="Arial" w:cs="Arial"/>
          <w:lang w:eastAsia="en-US"/>
        </w:rPr>
        <w:t xml:space="preserve"> Hepatitis B</w:t>
      </w:r>
      <w:r>
        <w:rPr>
          <w:rFonts w:ascii="Arial" w:eastAsiaTheme="minorHAnsi" w:hAnsi="Arial" w:cs="Arial"/>
          <w:lang w:eastAsia="en-US"/>
        </w:rPr>
        <w:t>;</w:t>
      </w:r>
      <w:r w:rsidRPr="00503041">
        <w:rPr>
          <w:rFonts w:ascii="Arial" w:eastAsiaTheme="minorHAnsi" w:hAnsi="Arial" w:cs="Arial"/>
          <w:lang w:eastAsia="en-US"/>
        </w:rPr>
        <w:t xml:space="preserve"> Hepatitis C</w:t>
      </w:r>
      <w:r>
        <w:rPr>
          <w:rFonts w:ascii="Arial" w:eastAsiaTheme="minorHAnsi" w:hAnsi="Arial" w:cs="Arial"/>
          <w:lang w:eastAsia="en-US"/>
        </w:rPr>
        <w:t>;</w:t>
      </w:r>
      <w:r w:rsidRPr="00503041">
        <w:rPr>
          <w:rFonts w:ascii="Arial" w:eastAsiaTheme="minorHAnsi" w:hAnsi="Arial" w:cs="Arial"/>
          <w:lang w:eastAsia="en-US"/>
        </w:rPr>
        <w:t xml:space="preserve"> STI</w:t>
      </w:r>
      <w:r>
        <w:rPr>
          <w:rFonts w:ascii="Arial" w:eastAsiaTheme="minorHAnsi" w:hAnsi="Arial" w:cs="Arial"/>
          <w:lang w:eastAsia="en-US"/>
        </w:rPr>
        <w:t>;</w:t>
      </w:r>
      <w:r w:rsidRPr="00503041">
        <w:rPr>
          <w:rFonts w:ascii="Arial" w:eastAsiaTheme="minorHAnsi" w:hAnsi="Arial" w:cs="Arial"/>
          <w:lang w:eastAsia="en-US"/>
        </w:rPr>
        <w:t xml:space="preserve"> and Aboriginal and Torres Strait Islander BBV and STI end in 2017.  Consistent with previous National BBV and STI Strategies, the Commonwealth is leading the development of the next suite of National Strategies in close consultation with other jurisdictions through the BBVSS and will present the five National Strategies to AHMAC and COAG Health Council for endorsement, through the AHPPC.</w:t>
      </w:r>
      <w:r>
        <w:rPr>
          <w:rFonts w:ascii="Arial" w:eastAsiaTheme="minorHAnsi" w:hAnsi="Arial" w:cs="Arial"/>
          <w:lang w:eastAsia="en-US"/>
        </w:rPr>
        <w:t xml:space="preserve"> The 2018</w:t>
      </w:r>
      <w:r>
        <w:rPr>
          <w:rFonts w:ascii="Arial" w:eastAsiaTheme="minorHAnsi" w:hAnsi="Arial" w:cs="Arial"/>
          <w:lang w:eastAsia="en-US"/>
        </w:rPr>
        <w:noBreakHyphen/>
        <w:t>2022 National Strategies will set out agreed targets and Priority Action Areas to guide BBV and STI policies and programs within government, research, medical and community based settings.</w:t>
      </w:r>
    </w:p>
    <w:p w14:paraId="7F474FA8" w14:textId="77777777" w:rsidR="00951815" w:rsidRPr="00552567" w:rsidRDefault="00951815" w:rsidP="00951815">
      <w:pPr>
        <w:rPr>
          <w:rFonts w:ascii="Arial" w:eastAsiaTheme="minorHAnsi" w:hAnsi="Arial" w:cs="Arial"/>
          <w:lang w:eastAsia="en-US"/>
        </w:rPr>
      </w:pPr>
    </w:p>
    <w:p w14:paraId="7F474FA9" w14:textId="77777777" w:rsidR="00951815" w:rsidRDefault="00951815" w:rsidP="00951815">
      <w:pPr>
        <w:rPr>
          <w:rFonts w:ascii="Arial" w:eastAsiaTheme="minorHAnsi" w:hAnsi="Arial" w:cs="Arial"/>
          <w:lang w:eastAsia="en-US"/>
        </w:rPr>
      </w:pPr>
      <w:r w:rsidRPr="00552567">
        <w:rPr>
          <w:rFonts w:ascii="Arial" w:eastAsiaTheme="minorHAnsi" w:hAnsi="Arial" w:cs="Arial"/>
          <w:lang w:eastAsia="en-US"/>
        </w:rPr>
        <w:t xml:space="preserve">The Action Plan also </w:t>
      </w:r>
      <w:r w:rsidR="00990705">
        <w:rPr>
          <w:rFonts w:ascii="Arial" w:eastAsiaTheme="minorHAnsi" w:hAnsi="Arial" w:cs="Arial"/>
          <w:lang w:eastAsia="en-US"/>
        </w:rPr>
        <w:t>acknowledges</w:t>
      </w:r>
      <w:r>
        <w:rPr>
          <w:rFonts w:ascii="Arial" w:eastAsiaTheme="minorHAnsi" w:hAnsi="Arial" w:cs="Arial"/>
          <w:lang w:eastAsia="en-US"/>
        </w:rPr>
        <w:t xml:space="preserve"> the Implementation Plan for the </w:t>
      </w:r>
      <w:r w:rsidRPr="00330F6A">
        <w:rPr>
          <w:rFonts w:ascii="Arial" w:eastAsiaTheme="minorHAnsi" w:hAnsi="Arial" w:cs="Arial"/>
          <w:i/>
          <w:lang w:eastAsia="en-US"/>
        </w:rPr>
        <w:t>National Aboriginal and Torres Strait Islander Health Plan 2013-2023</w:t>
      </w:r>
      <w:r>
        <w:rPr>
          <w:rFonts w:ascii="Arial" w:eastAsiaTheme="minorHAnsi" w:hAnsi="Arial" w:cs="Arial"/>
          <w:lang w:eastAsia="en-US"/>
        </w:rPr>
        <w:t xml:space="preserve"> on the social and cultural determinants of health to address the causes of higher rates of BBV/STI among Indigenous people. In this regard, there continues to be significant Commonwealth investment in BBV/STI through mainstream health expenditure through the Medicare Benefits Schedule (MBS), the Pharmaceutical Benefits Scheme (PBS), hospitals and National Partnership Payments to jurisdictions.</w:t>
      </w:r>
    </w:p>
    <w:p w14:paraId="7F474FAA" w14:textId="77777777" w:rsidR="005F56B0" w:rsidRDefault="005F56B0" w:rsidP="00951815">
      <w:pPr>
        <w:rPr>
          <w:rFonts w:ascii="Arial" w:eastAsiaTheme="minorHAnsi" w:hAnsi="Arial" w:cs="Arial"/>
          <w:lang w:eastAsia="en-US"/>
        </w:rPr>
      </w:pPr>
    </w:p>
    <w:p w14:paraId="7F474FAB" w14:textId="77777777" w:rsidR="00A745C1" w:rsidRPr="00E01071" w:rsidRDefault="00C56787" w:rsidP="00E01071">
      <w:pPr>
        <w:pStyle w:val="ListParagraph"/>
        <w:ind w:left="0"/>
        <w:contextualSpacing w:val="0"/>
        <w:rPr>
          <w:rFonts w:ascii="Arial" w:eastAsiaTheme="minorHAnsi" w:hAnsi="Arial" w:cs="Arial"/>
          <w:lang w:eastAsia="en-US"/>
        </w:rPr>
      </w:pPr>
      <w:r>
        <w:rPr>
          <w:rFonts w:ascii="Arial" w:eastAsiaTheme="minorHAnsi" w:hAnsi="Arial" w:cs="Arial"/>
          <w:lang w:eastAsia="en-US"/>
        </w:rPr>
        <w:t xml:space="preserve">It is acknowledged that </w:t>
      </w:r>
      <w:r w:rsidR="005F56B0" w:rsidRPr="00E01071">
        <w:rPr>
          <w:rFonts w:ascii="Arial" w:eastAsiaTheme="minorHAnsi" w:hAnsi="Arial" w:cs="Arial"/>
          <w:lang w:eastAsia="en-US"/>
        </w:rPr>
        <w:t>a</w:t>
      </w:r>
      <w:r w:rsidR="004F6FCF">
        <w:rPr>
          <w:rFonts w:ascii="Arial" w:eastAsiaTheme="minorHAnsi" w:hAnsi="Arial" w:cs="Arial"/>
          <w:lang w:eastAsia="en-US"/>
        </w:rPr>
        <w:t xml:space="preserve"> </w:t>
      </w:r>
      <w:r>
        <w:rPr>
          <w:rFonts w:ascii="Arial" w:eastAsiaTheme="minorHAnsi" w:hAnsi="Arial" w:cs="Arial"/>
          <w:lang w:eastAsia="en-US"/>
        </w:rPr>
        <w:t>skilled, stable and culturally appropriate</w:t>
      </w:r>
      <w:r w:rsidR="005F56B0" w:rsidRPr="00E01071">
        <w:rPr>
          <w:rFonts w:ascii="Arial" w:eastAsiaTheme="minorHAnsi" w:hAnsi="Arial" w:cs="Arial"/>
          <w:lang w:eastAsia="en-US"/>
        </w:rPr>
        <w:t xml:space="preserve"> workforce will be critical to the success of the enhanced response.</w:t>
      </w:r>
      <w:r>
        <w:rPr>
          <w:rFonts w:ascii="Arial" w:eastAsiaTheme="minorHAnsi" w:hAnsi="Arial" w:cs="Arial"/>
          <w:lang w:eastAsia="en-US"/>
        </w:rPr>
        <w:t xml:space="preserve">  Where appropriate</w:t>
      </w:r>
      <w:r w:rsidR="0090665C">
        <w:rPr>
          <w:rFonts w:ascii="Arial" w:eastAsiaTheme="minorHAnsi" w:hAnsi="Arial" w:cs="Arial"/>
          <w:lang w:eastAsia="en-US"/>
        </w:rPr>
        <w:t>,</w:t>
      </w:r>
      <w:r>
        <w:rPr>
          <w:rFonts w:ascii="Arial" w:eastAsiaTheme="minorHAnsi" w:hAnsi="Arial" w:cs="Arial"/>
          <w:lang w:eastAsia="en-US"/>
        </w:rPr>
        <w:t xml:space="preserve"> actions related to workforce have been incorporated into the Priority Areas</w:t>
      </w:r>
      <w:r w:rsidR="004F6FCF">
        <w:rPr>
          <w:rFonts w:ascii="Arial" w:eastAsiaTheme="minorHAnsi" w:hAnsi="Arial" w:cs="Arial"/>
          <w:lang w:eastAsia="en-US"/>
        </w:rPr>
        <w:t xml:space="preserve"> noting that each jurisdiction has different needs. As such, there will not be one national one-size-fits-all policy</w:t>
      </w:r>
      <w:r>
        <w:rPr>
          <w:rFonts w:ascii="Arial" w:eastAsiaTheme="minorHAnsi" w:hAnsi="Arial" w:cs="Arial"/>
          <w:lang w:eastAsia="en-US"/>
        </w:rPr>
        <w:t>.</w:t>
      </w:r>
    </w:p>
    <w:p w14:paraId="7F474FAC" w14:textId="77777777" w:rsidR="00B7500E" w:rsidRPr="004A231F" w:rsidRDefault="00B7500E" w:rsidP="00B7500E">
      <w:pPr>
        <w:pStyle w:val="Heading2"/>
        <w:rPr>
          <w:u w:val="single"/>
        </w:rPr>
      </w:pPr>
      <w:bookmarkStart w:id="8" w:name="_Toc514227113"/>
      <w:r w:rsidRPr="004A231F">
        <w:t xml:space="preserve">Priority Area 1: </w:t>
      </w:r>
      <w:r w:rsidR="002B1801">
        <w:t>T</w:t>
      </w:r>
      <w:r w:rsidRPr="004A231F">
        <w:t>esting and treatment</w:t>
      </w:r>
      <w:bookmarkEnd w:id="8"/>
    </w:p>
    <w:p w14:paraId="7F474FAD" w14:textId="77777777" w:rsidR="00B7500E" w:rsidRPr="004A231F" w:rsidRDefault="00B7500E" w:rsidP="00D34EE1">
      <w:pPr>
        <w:spacing w:after="200" w:line="276" w:lineRule="auto"/>
        <w:rPr>
          <w:rFonts w:ascii="Arial" w:eastAsiaTheme="minorHAnsi" w:hAnsi="Arial" w:cs="Arial"/>
          <w:lang w:eastAsia="en-US"/>
        </w:rPr>
      </w:pPr>
      <w:r w:rsidRPr="004A231F">
        <w:rPr>
          <w:rFonts w:ascii="Arial" w:eastAsiaTheme="minorHAnsi" w:hAnsi="Arial" w:cs="Arial"/>
          <w:lang w:eastAsia="en-US"/>
        </w:rPr>
        <w:t xml:space="preserve">Increasing the number of people </w:t>
      </w:r>
      <w:r w:rsidR="006C755E">
        <w:rPr>
          <w:rFonts w:ascii="Arial" w:eastAsiaTheme="minorHAnsi" w:hAnsi="Arial" w:cs="Arial"/>
          <w:lang w:eastAsia="en-US"/>
        </w:rPr>
        <w:t>tested</w:t>
      </w:r>
      <w:r w:rsidRPr="004A231F">
        <w:rPr>
          <w:rFonts w:ascii="Arial" w:eastAsiaTheme="minorHAnsi" w:hAnsi="Arial" w:cs="Arial"/>
          <w:lang w:eastAsia="en-US"/>
        </w:rPr>
        <w:t xml:space="preserve">, frequency of </w:t>
      </w:r>
      <w:r w:rsidR="006C755E">
        <w:rPr>
          <w:rFonts w:ascii="Arial" w:eastAsiaTheme="minorHAnsi" w:hAnsi="Arial" w:cs="Arial"/>
          <w:lang w:eastAsia="en-US"/>
        </w:rPr>
        <w:t>test</w:t>
      </w:r>
      <w:r w:rsidR="00A43F98">
        <w:rPr>
          <w:rFonts w:ascii="Arial" w:eastAsiaTheme="minorHAnsi" w:hAnsi="Arial" w:cs="Arial"/>
          <w:lang w:eastAsia="en-US"/>
        </w:rPr>
        <w:t>ing</w:t>
      </w:r>
      <w:r w:rsidRPr="004A231F">
        <w:rPr>
          <w:rFonts w:ascii="Arial" w:eastAsiaTheme="minorHAnsi" w:hAnsi="Arial" w:cs="Arial"/>
          <w:lang w:eastAsia="en-US"/>
        </w:rPr>
        <w:t xml:space="preserve">, </w:t>
      </w:r>
      <w:r w:rsidR="00A43F98" w:rsidRPr="00D64F25">
        <w:rPr>
          <w:rFonts w:ascii="Arial" w:eastAsiaTheme="minorHAnsi" w:hAnsi="Arial" w:cs="Arial"/>
          <w:lang w:eastAsia="en-US"/>
        </w:rPr>
        <w:t xml:space="preserve">the </w:t>
      </w:r>
      <w:r w:rsidRPr="00D64F25">
        <w:rPr>
          <w:rFonts w:ascii="Arial" w:eastAsiaTheme="minorHAnsi" w:hAnsi="Arial" w:cs="Arial"/>
          <w:lang w:eastAsia="en-US"/>
        </w:rPr>
        <w:t>s</w:t>
      </w:r>
      <w:r w:rsidRPr="004A231F">
        <w:rPr>
          <w:rFonts w:ascii="Arial" w:eastAsiaTheme="minorHAnsi" w:hAnsi="Arial" w:cs="Arial"/>
          <w:lang w:eastAsia="en-US"/>
        </w:rPr>
        <w:t>ubsequent treatment of those infected</w:t>
      </w:r>
      <w:r w:rsidR="000A780A">
        <w:rPr>
          <w:rFonts w:ascii="Arial" w:eastAsiaTheme="minorHAnsi" w:hAnsi="Arial" w:cs="Arial"/>
          <w:lang w:eastAsia="en-US"/>
        </w:rPr>
        <w:t xml:space="preserve"> and contact tracing of known sexual contacts</w:t>
      </w:r>
      <w:r w:rsidRPr="004A231F">
        <w:rPr>
          <w:rFonts w:ascii="Arial" w:eastAsiaTheme="minorHAnsi" w:hAnsi="Arial" w:cs="Arial"/>
          <w:lang w:eastAsia="en-US"/>
        </w:rPr>
        <w:t xml:space="preserve">, will likely be the most </w:t>
      </w:r>
      <w:r w:rsidRPr="00D64F25">
        <w:rPr>
          <w:rFonts w:ascii="Arial" w:eastAsiaTheme="minorHAnsi" w:hAnsi="Arial" w:cs="Arial"/>
          <w:lang w:eastAsia="en-US"/>
        </w:rPr>
        <w:t xml:space="preserve">effective </w:t>
      </w:r>
      <w:r w:rsidR="00A43F98" w:rsidRPr="00D64F25">
        <w:rPr>
          <w:rFonts w:ascii="Arial" w:eastAsiaTheme="minorHAnsi" w:hAnsi="Arial" w:cs="Arial"/>
          <w:lang w:eastAsia="en-US"/>
        </w:rPr>
        <w:t>strategy</w:t>
      </w:r>
      <w:r w:rsidR="00A43F98">
        <w:rPr>
          <w:rFonts w:ascii="Arial" w:eastAsiaTheme="minorHAnsi" w:hAnsi="Arial" w:cs="Arial"/>
          <w:lang w:eastAsia="en-US"/>
        </w:rPr>
        <w:t xml:space="preserve"> </w:t>
      </w:r>
      <w:r w:rsidRPr="004A231F">
        <w:rPr>
          <w:rFonts w:ascii="Arial" w:eastAsiaTheme="minorHAnsi" w:hAnsi="Arial" w:cs="Arial"/>
          <w:lang w:eastAsia="en-US"/>
        </w:rPr>
        <w:t xml:space="preserve">to control the current outbreak of infectious syphilis.  While concentrated efforts in the immediate future are required </w:t>
      </w:r>
      <w:r w:rsidR="00A3207F">
        <w:rPr>
          <w:rFonts w:ascii="Arial" w:eastAsiaTheme="minorHAnsi" w:hAnsi="Arial" w:cs="Arial"/>
          <w:lang w:eastAsia="en-US"/>
        </w:rPr>
        <w:t>to contain the current outbreak</w:t>
      </w:r>
      <w:r w:rsidRPr="004A231F">
        <w:rPr>
          <w:rFonts w:ascii="Arial" w:eastAsiaTheme="minorHAnsi" w:hAnsi="Arial" w:cs="Arial"/>
          <w:lang w:eastAsia="en-US"/>
        </w:rPr>
        <w:t xml:space="preserve">, sustained long term interventions are also required to ensure that there is a decline in the high rates of </w:t>
      </w:r>
      <w:r w:rsidR="00C644F6">
        <w:rPr>
          <w:rFonts w:ascii="Arial" w:eastAsiaTheme="minorHAnsi" w:hAnsi="Arial" w:cs="Arial"/>
          <w:lang w:eastAsia="en-US"/>
        </w:rPr>
        <w:t>STI</w:t>
      </w:r>
      <w:r w:rsidRPr="004A231F">
        <w:rPr>
          <w:rFonts w:ascii="Arial" w:eastAsiaTheme="minorHAnsi" w:hAnsi="Arial" w:cs="Arial"/>
          <w:lang w:eastAsia="en-US"/>
        </w:rPr>
        <w:t xml:space="preserve"> in </w:t>
      </w:r>
      <w:r w:rsidR="00C644F6">
        <w:rPr>
          <w:rFonts w:ascii="Arial" w:eastAsiaTheme="minorHAnsi" w:hAnsi="Arial" w:cs="Arial"/>
          <w:lang w:eastAsia="en-US"/>
        </w:rPr>
        <w:t>Indigenous</w:t>
      </w:r>
      <w:r w:rsidRPr="004A231F">
        <w:rPr>
          <w:rFonts w:ascii="Arial" w:eastAsiaTheme="minorHAnsi" w:hAnsi="Arial" w:cs="Arial"/>
          <w:lang w:eastAsia="en-US"/>
        </w:rPr>
        <w:t xml:space="preserve"> people more broadly, particularly in remote areas of Australia.</w:t>
      </w:r>
    </w:p>
    <w:p w14:paraId="7F474FAE" w14:textId="77777777" w:rsidR="00B7500E" w:rsidRPr="004A231F" w:rsidRDefault="00B7500E" w:rsidP="00B7500E">
      <w:pPr>
        <w:spacing w:after="200" w:line="276" w:lineRule="auto"/>
        <w:rPr>
          <w:rFonts w:ascii="Arial" w:eastAsiaTheme="minorHAnsi" w:hAnsi="Arial" w:cs="Arial"/>
          <w:i/>
          <w:lang w:eastAsia="en-US"/>
        </w:rPr>
      </w:pPr>
      <w:r w:rsidRPr="004A231F">
        <w:rPr>
          <w:rFonts w:ascii="Arial" w:eastAsiaTheme="minorHAnsi" w:hAnsi="Arial" w:cs="Arial"/>
          <w:i/>
          <w:lang w:eastAsia="en-US"/>
        </w:rPr>
        <w:t>Short term actions</w:t>
      </w:r>
    </w:p>
    <w:p w14:paraId="7F474FAF" w14:textId="77777777" w:rsidR="00B7500E" w:rsidRPr="004A231F" w:rsidRDefault="00B7500E" w:rsidP="00B7500E">
      <w:pPr>
        <w:spacing w:after="200" w:line="276" w:lineRule="auto"/>
        <w:rPr>
          <w:rFonts w:ascii="Arial" w:eastAsiaTheme="minorHAnsi" w:hAnsi="Arial" w:cs="Arial"/>
          <w:lang w:eastAsia="en-US"/>
        </w:rPr>
      </w:pPr>
      <w:r w:rsidRPr="004A231F">
        <w:rPr>
          <w:rFonts w:ascii="Arial" w:eastAsiaTheme="minorHAnsi" w:hAnsi="Arial" w:cs="Arial"/>
          <w:lang w:eastAsia="en-US"/>
        </w:rPr>
        <w:t xml:space="preserve">Increasing </w:t>
      </w:r>
      <w:r w:rsidR="00990705">
        <w:rPr>
          <w:rFonts w:ascii="Arial" w:eastAsiaTheme="minorHAnsi" w:hAnsi="Arial" w:cs="Arial"/>
          <w:lang w:eastAsia="en-US"/>
        </w:rPr>
        <w:t xml:space="preserve">testing </w:t>
      </w:r>
      <w:r w:rsidRPr="004A231F">
        <w:rPr>
          <w:rFonts w:ascii="Arial" w:eastAsiaTheme="minorHAnsi" w:hAnsi="Arial" w:cs="Arial"/>
          <w:lang w:eastAsia="en-US"/>
        </w:rPr>
        <w:t>and treatment in the short term, and in the context of the infectious syphilis outbreak, requires action in a number of different areas</w:t>
      </w:r>
      <w:r w:rsidR="00DB46D3">
        <w:rPr>
          <w:rFonts w:ascii="Arial" w:eastAsiaTheme="minorHAnsi" w:hAnsi="Arial" w:cs="Arial"/>
          <w:lang w:eastAsia="en-US"/>
        </w:rPr>
        <w:t xml:space="preserve"> to</w:t>
      </w:r>
      <w:r w:rsidRPr="004A231F">
        <w:rPr>
          <w:rFonts w:ascii="Arial" w:eastAsiaTheme="minorHAnsi" w:hAnsi="Arial" w:cs="Arial"/>
          <w:lang w:eastAsia="en-US"/>
        </w:rPr>
        <w:t>:</w:t>
      </w:r>
    </w:p>
    <w:p w14:paraId="7F474FB0" w14:textId="77777777" w:rsidR="00B7500E" w:rsidRPr="004A231F" w:rsidRDefault="00F57515" w:rsidP="000C057B">
      <w:pPr>
        <w:numPr>
          <w:ilvl w:val="0"/>
          <w:numId w:val="12"/>
        </w:numPr>
        <w:spacing w:after="200" w:line="276" w:lineRule="auto"/>
        <w:contextualSpacing/>
        <w:rPr>
          <w:rFonts w:ascii="Arial" w:eastAsiaTheme="minorHAnsi" w:hAnsi="Arial" w:cs="Arial"/>
          <w:lang w:eastAsia="en-US"/>
        </w:rPr>
      </w:pPr>
      <w:r>
        <w:rPr>
          <w:rFonts w:ascii="Arial" w:eastAsiaTheme="minorHAnsi" w:hAnsi="Arial" w:cs="Arial"/>
          <w:lang w:eastAsia="en-US"/>
        </w:rPr>
        <w:t>i</w:t>
      </w:r>
      <w:r w:rsidR="00B7500E" w:rsidRPr="004A231F">
        <w:rPr>
          <w:rFonts w:ascii="Arial" w:eastAsiaTheme="minorHAnsi" w:hAnsi="Arial" w:cs="Arial"/>
          <w:lang w:eastAsia="en-US"/>
        </w:rPr>
        <w:t>dentify an appropriate syphilis point of care test (PoCT) and co-testing strategy for other STI;</w:t>
      </w:r>
    </w:p>
    <w:p w14:paraId="7F474FB1" w14:textId="77777777" w:rsidR="00B7500E" w:rsidRDefault="00F57515" w:rsidP="000C057B">
      <w:pPr>
        <w:numPr>
          <w:ilvl w:val="0"/>
          <w:numId w:val="12"/>
        </w:numPr>
        <w:spacing w:after="200" w:line="276" w:lineRule="auto"/>
        <w:contextualSpacing/>
        <w:rPr>
          <w:rFonts w:ascii="Arial" w:eastAsiaTheme="minorHAnsi" w:hAnsi="Arial" w:cs="Arial"/>
          <w:lang w:eastAsia="en-US"/>
        </w:rPr>
      </w:pPr>
      <w:r>
        <w:rPr>
          <w:rFonts w:ascii="Arial" w:eastAsiaTheme="minorHAnsi" w:hAnsi="Arial" w:cs="Arial"/>
          <w:lang w:eastAsia="en-US"/>
        </w:rPr>
        <w:t>d</w:t>
      </w:r>
      <w:r w:rsidR="00B7500E" w:rsidRPr="004A231F">
        <w:rPr>
          <w:rFonts w:ascii="Arial" w:eastAsiaTheme="minorHAnsi" w:hAnsi="Arial" w:cs="Arial"/>
          <w:lang w:eastAsia="en-US"/>
        </w:rPr>
        <w:t>evelop PoCT and STI testing guidelines;</w:t>
      </w:r>
    </w:p>
    <w:p w14:paraId="7F474FB2" w14:textId="77777777" w:rsidR="002B1801" w:rsidRDefault="00F57515" w:rsidP="002B1801">
      <w:pPr>
        <w:numPr>
          <w:ilvl w:val="0"/>
          <w:numId w:val="12"/>
        </w:numPr>
        <w:spacing w:after="200" w:line="276" w:lineRule="auto"/>
        <w:contextualSpacing/>
        <w:rPr>
          <w:rFonts w:ascii="Arial" w:eastAsiaTheme="minorHAnsi" w:hAnsi="Arial" w:cs="Arial"/>
          <w:lang w:eastAsia="en-US"/>
        </w:rPr>
      </w:pPr>
      <w:r>
        <w:rPr>
          <w:rFonts w:ascii="Arial" w:hAnsi="Arial" w:cs="Arial"/>
          <w:bCs/>
        </w:rPr>
        <w:lastRenderedPageBreak/>
        <w:t>d</w:t>
      </w:r>
      <w:r w:rsidR="002B1801">
        <w:rPr>
          <w:rFonts w:ascii="Arial" w:hAnsi="Arial" w:cs="Arial"/>
          <w:bCs/>
        </w:rPr>
        <w:t xml:space="preserve">evelop guidance around testing (including point of care test (PoCT), frequency of testing and treatment) for inclusion in the </w:t>
      </w:r>
      <w:r w:rsidR="002B1801" w:rsidRPr="00F55266">
        <w:rPr>
          <w:rFonts w:ascii="Arial" w:hAnsi="Arial" w:cs="Arial"/>
          <w:color w:val="222222"/>
        </w:rPr>
        <w:t>2015 National Guidelines for Syphilis</w:t>
      </w:r>
      <w:r w:rsidR="002B1801" w:rsidRPr="00F55266">
        <w:rPr>
          <w:rFonts w:ascii="Arial" w:hAnsi="Arial" w:cs="Arial"/>
          <w:color w:val="222222"/>
          <w:vertAlign w:val="superscript"/>
        </w:rPr>
        <w:footnoteReference w:id="2"/>
      </w:r>
      <w:r w:rsidR="002B1801">
        <w:rPr>
          <w:rFonts w:ascii="Arial" w:hAnsi="Arial" w:cs="Arial"/>
          <w:color w:val="222222"/>
        </w:rPr>
        <w:t>;</w:t>
      </w:r>
    </w:p>
    <w:p w14:paraId="7F474FB3" w14:textId="77777777" w:rsidR="00B7500E" w:rsidRPr="0013464A" w:rsidRDefault="00F57515" w:rsidP="002B1801">
      <w:pPr>
        <w:numPr>
          <w:ilvl w:val="0"/>
          <w:numId w:val="12"/>
        </w:numPr>
        <w:spacing w:after="200" w:line="276" w:lineRule="auto"/>
        <w:contextualSpacing/>
        <w:rPr>
          <w:rFonts w:ascii="Arial" w:eastAsiaTheme="minorHAnsi" w:hAnsi="Arial" w:cs="Arial"/>
          <w:lang w:eastAsia="en-US"/>
        </w:rPr>
      </w:pPr>
      <w:r>
        <w:rPr>
          <w:rFonts w:ascii="Arial" w:eastAsiaTheme="minorHAnsi" w:hAnsi="Arial" w:cs="Arial"/>
          <w:lang w:eastAsia="en-US"/>
        </w:rPr>
        <w:t>i</w:t>
      </w:r>
      <w:r w:rsidR="00B7500E" w:rsidRPr="004A231F">
        <w:rPr>
          <w:rFonts w:ascii="Arial" w:eastAsiaTheme="minorHAnsi" w:hAnsi="Arial" w:cs="Arial"/>
          <w:lang w:eastAsia="en-US"/>
        </w:rPr>
        <w:t>dentify areas of need and frequency required for targeted testing (</w:t>
      </w:r>
      <w:r w:rsidR="00DB00E4">
        <w:rPr>
          <w:rFonts w:ascii="Arial" w:eastAsiaTheme="minorHAnsi" w:hAnsi="Arial" w:cs="Arial"/>
          <w:lang w:eastAsia="en-US"/>
        </w:rPr>
        <w:t>including consideration of</w:t>
      </w:r>
      <w:r w:rsidR="00B7500E" w:rsidRPr="004A231F">
        <w:rPr>
          <w:rFonts w:ascii="Arial" w:eastAsiaTheme="minorHAnsi" w:hAnsi="Arial" w:cs="Arial"/>
          <w:lang w:eastAsia="en-US"/>
        </w:rPr>
        <w:t xml:space="preserve"> </w:t>
      </w:r>
      <w:r w:rsidR="00ED4328">
        <w:rPr>
          <w:rFonts w:ascii="Arial" w:eastAsiaTheme="minorHAnsi" w:hAnsi="Arial" w:cs="Arial"/>
          <w:lang w:eastAsia="en-US"/>
        </w:rPr>
        <w:t xml:space="preserve">immediate </w:t>
      </w:r>
      <w:r w:rsidR="00B7500E" w:rsidRPr="004A231F">
        <w:rPr>
          <w:rFonts w:ascii="Arial" w:eastAsiaTheme="minorHAnsi" w:hAnsi="Arial" w:cs="Arial"/>
          <w:lang w:eastAsia="en-US"/>
        </w:rPr>
        <w:t xml:space="preserve">treatment </w:t>
      </w:r>
      <w:r w:rsidR="00ED4328">
        <w:rPr>
          <w:rFonts w:ascii="Arial" w:eastAsiaTheme="minorHAnsi" w:hAnsi="Arial" w:cs="Arial"/>
          <w:lang w:eastAsia="en-US"/>
        </w:rPr>
        <w:t>at the time of testing</w:t>
      </w:r>
      <w:r w:rsidR="00B7500E" w:rsidRPr="0013464A">
        <w:rPr>
          <w:rFonts w:ascii="Arial" w:eastAsiaTheme="minorHAnsi" w:hAnsi="Arial" w:cs="Arial"/>
          <w:lang w:eastAsia="en-US"/>
        </w:rPr>
        <w:t>);</w:t>
      </w:r>
    </w:p>
    <w:p w14:paraId="7F474FB4" w14:textId="77777777" w:rsidR="00B7500E" w:rsidRPr="0013464A" w:rsidRDefault="00F57515" w:rsidP="000C057B">
      <w:pPr>
        <w:numPr>
          <w:ilvl w:val="0"/>
          <w:numId w:val="12"/>
        </w:numPr>
        <w:spacing w:after="200" w:line="276" w:lineRule="auto"/>
        <w:contextualSpacing/>
        <w:rPr>
          <w:rFonts w:ascii="Arial" w:eastAsiaTheme="minorHAnsi" w:hAnsi="Arial" w:cs="Arial"/>
          <w:lang w:eastAsia="en-US"/>
        </w:rPr>
      </w:pPr>
      <w:r>
        <w:rPr>
          <w:rFonts w:ascii="Arial" w:eastAsiaTheme="minorHAnsi" w:hAnsi="Arial" w:cs="Arial"/>
          <w:lang w:eastAsia="en-US"/>
        </w:rPr>
        <w:t>d</w:t>
      </w:r>
      <w:r w:rsidR="00B7500E" w:rsidRPr="0013464A">
        <w:rPr>
          <w:rFonts w:ascii="Arial" w:eastAsiaTheme="minorHAnsi" w:hAnsi="Arial" w:cs="Arial"/>
          <w:lang w:eastAsia="en-US"/>
        </w:rPr>
        <w:t>evelop an appropriate community engagement strategy in areas targeted for testing (and treatment where needed);</w:t>
      </w:r>
    </w:p>
    <w:p w14:paraId="7F474FB5" w14:textId="77777777" w:rsidR="004A231F" w:rsidRPr="0013464A" w:rsidRDefault="00F57515" w:rsidP="000C057B">
      <w:pPr>
        <w:numPr>
          <w:ilvl w:val="0"/>
          <w:numId w:val="12"/>
        </w:numPr>
        <w:spacing w:after="200" w:line="276" w:lineRule="auto"/>
        <w:contextualSpacing/>
        <w:rPr>
          <w:rFonts w:ascii="Arial" w:eastAsiaTheme="minorHAnsi" w:hAnsi="Arial" w:cs="Arial"/>
          <w:lang w:eastAsia="en-US"/>
        </w:rPr>
      </w:pPr>
      <w:r>
        <w:rPr>
          <w:rFonts w:ascii="Arial" w:eastAsiaTheme="minorHAnsi" w:hAnsi="Arial" w:cs="Arial"/>
          <w:lang w:eastAsia="en-US"/>
        </w:rPr>
        <w:t>d</w:t>
      </w:r>
      <w:r w:rsidR="00B7500E" w:rsidRPr="0013464A">
        <w:rPr>
          <w:rFonts w:ascii="Arial" w:eastAsiaTheme="minorHAnsi" w:hAnsi="Arial" w:cs="Arial"/>
          <w:lang w:eastAsia="en-US"/>
        </w:rPr>
        <w:t>evelop processes to ensure data can be collected to monitor and evaluate the effectiveness of increased testing (and treatment) on disease bur</w:t>
      </w:r>
      <w:r w:rsidR="005C682A">
        <w:rPr>
          <w:rFonts w:ascii="Arial" w:eastAsiaTheme="minorHAnsi" w:hAnsi="Arial" w:cs="Arial"/>
          <w:lang w:eastAsia="en-US"/>
        </w:rPr>
        <w:t>den in targeted populations</w:t>
      </w:r>
      <w:r w:rsidR="00F645FE">
        <w:rPr>
          <w:rFonts w:ascii="Arial" w:eastAsiaTheme="minorHAnsi" w:hAnsi="Arial" w:cs="Arial"/>
          <w:lang w:eastAsia="en-US"/>
        </w:rPr>
        <w:t xml:space="preserve"> (link to Priority Area 2)</w:t>
      </w:r>
      <w:r w:rsidR="005C682A">
        <w:rPr>
          <w:rFonts w:ascii="Arial" w:eastAsiaTheme="minorHAnsi" w:hAnsi="Arial" w:cs="Arial"/>
          <w:lang w:eastAsia="en-US"/>
        </w:rPr>
        <w:t>; and</w:t>
      </w:r>
    </w:p>
    <w:p w14:paraId="7F474FB6" w14:textId="77777777" w:rsidR="0013464A" w:rsidRPr="004A231F" w:rsidRDefault="00F57515" w:rsidP="000C057B">
      <w:pPr>
        <w:numPr>
          <w:ilvl w:val="0"/>
          <w:numId w:val="12"/>
        </w:numPr>
        <w:spacing w:after="200" w:line="276" w:lineRule="auto"/>
        <w:ind w:left="714" w:hanging="357"/>
        <w:rPr>
          <w:rFonts w:ascii="Arial" w:eastAsiaTheme="minorHAnsi" w:hAnsi="Arial" w:cs="Arial"/>
          <w:lang w:eastAsia="en-US"/>
        </w:rPr>
      </w:pPr>
      <w:r>
        <w:rPr>
          <w:rFonts w:ascii="Arial" w:eastAsiaTheme="minorHAnsi" w:hAnsi="Arial" w:cs="Arial"/>
          <w:lang w:eastAsia="en-US"/>
        </w:rPr>
        <w:t>i</w:t>
      </w:r>
      <w:r w:rsidR="0013464A" w:rsidRPr="004A231F">
        <w:rPr>
          <w:rFonts w:ascii="Arial" w:eastAsiaTheme="minorHAnsi" w:hAnsi="Arial" w:cs="Arial"/>
          <w:lang w:eastAsia="en-US"/>
        </w:rPr>
        <w:t xml:space="preserve">dentify opportunities for a ‘surge workforce’ </w:t>
      </w:r>
      <w:r w:rsidR="00CC04BD">
        <w:rPr>
          <w:rFonts w:ascii="Arial" w:eastAsiaTheme="minorHAnsi" w:hAnsi="Arial" w:cs="Arial"/>
          <w:lang w:eastAsia="en-US"/>
        </w:rPr>
        <w:t xml:space="preserve">and/or improved workforce coordination activities </w:t>
      </w:r>
      <w:r w:rsidR="0013464A" w:rsidRPr="004A231F">
        <w:rPr>
          <w:rFonts w:ascii="Arial" w:eastAsiaTheme="minorHAnsi" w:hAnsi="Arial" w:cs="Arial"/>
          <w:lang w:eastAsia="en-US"/>
        </w:rPr>
        <w:t>to undertake targeted testing (</w:t>
      </w:r>
      <w:r w:rsidR="0023094C">
        <w:rPr>
          <w:rFonts w:ascii="Arial" w:eastAsiaTheme="minorHAnsi" w:hAnsi="Arial" w:cs="Arial"/>
          <w:lang w:eastAsia="en-US"/>
        </w:rPr>
        <w:t xml:space="preserve">and </w:t>
      </w:r>
      <w:r w:rsidR="0013464A" w:rsidRPr="004A231F">
        <w:rPr>
          <w:rFonts w:ascii="Arial" w:eastAsiaTheme="minorHAnsi" w:hAnsi="Arial" w:cs="Arial"/>
          <w:lang w:eastAsia="en-US"/>
        </w:rPr>
        <w:t>treatment</w:t>
      </w:r>
      <w:r w:rsidR="005C682A">
        <w:rPr>
          <w:rFonts w:ascii="Arial" w:eastAsiaTheme="minorHAnsi" w:hAnsi="Arial" w:cs="Arial"/>
          <w:lang w:eastAsia="en-US"/>
        </w:rPr>
        <w:t xml:space="preserve"> where needed) in areas of need.</w:t>
      </w:r>
    </w:p>
    <w:p w14:paraId="7F474FB7" w14:textId="77777777" w:rsidR="00B7500E" w:rsidRPr="004A231F" w:rsidRDefault="00B7500E" w:rsidP="00B7500E">
      <w:pPr>
        <w:spacing w:after="200" w:line="276" w:lineRule="auto"/>
        <w:rPr>
          <w:rFonts w:ascii="Arial" w:eastAsiaTheme="minorHAnsi" w:hAnsi="Arial" w:cs="Arial"/>
          <w:i/>
          <w:lang w:eastAsia="en-US"/>
        </w:rPr>
      </w:pPr>
      <w:r w:rsidRPr="004A231F">
        <w:rPr>
          <w:rFonts w:ascii="Arial" w:eastAsiaTheme="minorHAnsi" w:hAnsi="Arial" w:cs="Arial"/>
          <w:i/>
          <w:lang w:eastAsia="en-US"/>
        </w:rPr>
        <w:t>Long term action</w:t>
      </w:r>
      <w:r w:rsidR="003E2AEA">
        <w:rPr>
          <w:rFonts w:ascii="Arial" w:eastAsiaTheme="minorHAnsi" w:hAnsi="Arial" w:cs="Arial"/>
          <w:i/>
          <w:lang w:eastAsia="en-US"/>
        </w:rPr>
        <w:t>s</w:t>
      </w:r>
    </w:p>
    <w:p w14:paraId="7F474FB8" w14:textId="77777777" w:rsidR="00890E4E" w:rsidRDefault="005C682A" w:rsidP="005864CE">
      <w:pPr>
        <w:spacing w:after="200" w:line="276" w:lineRule="auto"/>
        <w:rPr>
          <w:rFonts w:ascii="Arial" w:eastAsiaTheme="minorHAnsi" w:hAnsi="Arial" w:cs="Arial"/>
          <w:lang w:eastAsia="en-US"/>
        </w:rPr>
      </w:pPr>
      <w:r>
        <w:rPr>
          <w:rFonts w:ascii="Arial" w:eastAsiaTheme="minorHAnsi" w:hAnsi="Arial" w:cs="Arial"/>
          <w:lang w:eastAsia="en-US"/>
        </w:rPr>
        <w:t xml:space="preserve">BBV and </w:t>
      </w:r>
      <w:r w:rsidR="00A3207F" w:rsidRPr="0099143B">
        <w:rPr>
          <w:rFonts w:ascii="Arial" w:eastAsiaTheme="minorHAnsi" w:hAnsi="Arial" w:cs="Arial"/>
          <w:lang w:eastAsia="en-US"/>
        </w:rPr>
        <w:t>STI control</w:t>
      </w:r>
      <w:r w:rsidR="0012792C">
        <w:rPr>
          <w:rFonts w:ascii="Arial" w:eastAsiaTheme="minorHAnsi" w:hAnsi="Arial" w:cs="Arial"/>
          <w:lang w:eastAsia="en-US"/>
        </w:rPr>
        <w:t>, through testing and treatment,</w:t>
      </w:r>
      <w:r w:rsidR="00A3207F" w:rsidRPr="0099143B">
        <w:rPr>
          <w:rFonts w:ascii="Arial" w:eastAsiaTheme="minorHAnsi" w:hAnsi="Arial" w:cs="Arial"/>
          <w:lang w:eastAsia="en-US"/>
        </w:rPr>
        <w:t xml:space="preserve"> </w:t>
      </w:r>
      <w:r w:rsidR="0099143B" w:rsidRPr="0099143B">
        <w:rPr>
          <w:rFonts w:ascii="Arial" w:eastAsiaTheme="minorHAnsi" w:hAnsi="Arial" w:cs="Arial"/>
          <w:lang w:eastAsia="en-US"/>
        </w:rPr>
        <w:t xml:space="preserve">in </w:t>
      </w:r>
      <w:r w:rsidR="00A3207F" w:rsidRPr="0099143B">
        <w:rPr>
          <w:rFonts w:ascii="Arial" w:eastAsiaTheme="minorHAnsi" w:hAnsi="Arial" w:cs="Arial"/>
          <w:lang w:eastAsia="en-US"/>
        </w:rPr>
        <w:t>the long term requires sustained and intensive interventions appropriate for the population at-risk</w:t>
      </w:r>
      <w:r w:rsidR="0099143B" w:rsidRPr="0099143B">
        <w:rPr>
          <w:rFonts w:ascii="Arial" w:eastAsiaTheme="minorHAnsi" w:hAnsi="Arial" w:cs="Arial"/>
          <w:lang w:eastAsia="en-US"/>
        </w:rPr>
        <w:t xml:space="preserve">.  Maintaining consistent testing practices, </w:t>
      </w:r>
      <w:r w:rsidR="000A780A">
        <w:rPr>
          <w:rFonts w:ascii="Arial" w:eastAsiaTheme="minorHAnsi" w:hAnsi="Arial" w:cs="Arial"/>
          <w:lang w:eastAsia="en-US"/>
        </w:rPr>
        <w:t xml:space="preserve">contact tracing, </w:t>
      </w:r>
      <w:r w:rsidR="0099143B" w:rsidRPr="0099143B">
        <w:rPr>
          <w:rFonts w:ascii="Arial" w:eastAsiaTheme="minorHAnsi" w:hAnsi="Arial" w:cs="Arial"/>
          <w:lang w:eastAsia="en-US"/>
        </w:rPr>
        <w:t>community engagement and</w:t>
      </w:r>
      <w:r w:rsidR="0099143B">
        <w:rPr>
          <w:rFonts w:ascii="Arial" w:eastAsiaTheme="minorHAnsi" w:hAnsi="Arial" w:cs="Arial"/>
          <w:lang w:eastAsia="en-US"/>
        </w:rPr>
        <w:t xml:space="preserve"> capacity building in</w:t>
      </w:r>
      <w:r w:rsidR="0099143B" w:rsidRPr="0099143B">
        <w:rPr>
          <w:rFonts w:ascii="Arial" w:eastAsiaTheme="minorHAnsi" w:hAnsi="Arial" w:cs="Arial"/>
          <w:lang w:eastAsia="en-US"/>
        </w:rPr>
        <w:t xml:space="preserve"> a stable workforce, </w:t>
      </w:r>
      <w:r w:rsidR="0099143B">
        <w:rPr>
          <w:rFonts w:ascii="Arial" w:eastAsiaTheme="minorHAnsi" w:hAnsi="Arial" w:cs="Arial"/>
          <w:lang w:eastAsia="en-US"/>
        </w:rPr>
        <w:t xml:space="preserve">through appropriate </w:t>
      </w:r>
      <w:r w:rsidR="0099143B" w:rsidRPr="0099143B">
        <w:rPr>
          <w:rFonts w:ascii="Arial" w:eastAsiaTheme="minorHAnsi" w:hAnsi="Arial" w:cs="Arial"/>
          <w:lang w:eastAsia="en-US"/>
        </w:rPr>
        <w:t>training, is essential in working towards</w:t>
      </w:r>
      <w:r w:rsidR="00890E4E">
        <w:rPr>
          <w:rFonts w:ascii="Arial" w:eastAsiaTheme="minorHAnsi" w:hAnsi="Arial" w:cs="Arial"/>
          <w:lang w:eastAsia="en-US"/>
        </w:rPr>
        <w:t xml:space="preserve"> reductions in STI prevalence in Indigenous communities.  </w:t>
      </w:r>
      <w:r w:rsidR="0012792C">
        <w:rPr>
          <w:rFonts w:ascii="Arial" w:eastAsiaTheme="minorHAnsi" w:hAnsi="Arial" w:cs="Arial"/>
          <w:lang w:eastAsia="en-US"/>
        </w:rPr>
        <w:t>Actions over the long term include</w:t>
      </w:r>
      <w:r w:rsidR="00DB46D3">
        <w:rPr>
          <w:rFonts w:ascii="Arial" w:eastAsiaTheme="minorHAnsi" w:hAnsi="Arial" w:cs="Arial"/>
          <w:lang w:eastAsia="en-US"/>
        </w:rPr>
        <w:t xml:space="preserve"> to</w:t>
      </w:r>
      <w:r w:rsidR="0012792C">
        <w:rPr>
          <w:rFonts w:ascii="Arial" w:eastAsiaTheme="minorHAnsi" w:hAnsi="Arial" w:cs="Arial"/>
          <w:lang w:eastAsia="en-US"/>
        </w:rPr>
        <w:t>:</w:t>
      </w:r>
    </w:p>
    <w:p w14:paraId="7F474FB9" w14:textId="77777777" w:rsidR="00E60332" w:rsidRDefault="00CD5384" w:rsidP="000C057B">
      <w:pPr>
        <w:pStyle w:val="ListParagraph"/>
        <w:numPr>
          <w:ilvl w:val="0"/>
          <w:numId w:val="13"/>
        </w:numPr>
        <w:spacing w:after="200" w:line="276" w:lineRule="auto"/>
        <w:rPr>
          <w:rFonts w:ascii="Arial" w:eastAsiaTheme="minorHAnsi" w:hAnsi="Arial" w:cs="Arial"/>
          <w:lang w:eastAsia="en-US"/>
        </w:rPr>
      </w:pPr>
      <w:r>
        <w:rPr>
          <w:rFonts w:ascii="Arial" w:eastAsiaTheme="minorHAnsi" w:hAnsi="Arial" w:cs="Arial"/>
          <w:lang w:eastAsia="en-US"/>
        </w:rPr>
        <w:t>i</w:t>
      </w:r>
      <w:r w:rsidR="00E60332">
        <w:rPr>
          <w:rFonts w:ascii="Arial" w:eastAsiaTheme="minorHAnsi" w:hAnsi="Arial" w:cs="Arial"/>
          <w:lang w:eastAsia="en-US"/>
        </w:rPr>
        <w:t>dentify opportunities to strengthen the existing workforce</w:t>
      </w:r>
      <w:r w:rsidR="0093305E">
        <w:rPr>
          <w:rFonts w:ascii="Arial" w:eastAsiaTheme="minorHAnsi" w:hAnsi="Arial" w:cs="Arial"/>
          <w:lang w:eastAsia="en-US"/>
        </w:rPr>
        <w:t xml:space="preserve"> in areas of need</w:t>
      </w:r>
      <w:r w:rsidR="00E60332">
        <w:rPr>
          <w:rFonts w:ascii="Arial" w:eastAsiaTheme="minorHAnsi" w:hAnsi="Arial" w:cs="Arial"/>
          <w:lang w:eastAsia="en-US"/>
        </w:rPr>
        <w:t>, including the</w:t>
      </w:r>
      <w:r w:rsidR="005C682A">
        <w:rPr>
          <w:rFonts w:ascii="Arial" w:eastAsiaTheme="minorHAnsi" w:hAnsi="Arial" w:cs="Arial"/>
          <w:lang w:eastAsia="en-US"/>
        </w:rPr>
        <w:t xml:space="preserve"> role of regional co-ordinators;</w:t>
      </w:r>
    </w:p>
    <w:p w14:paraId="7F474FBA" w14:textId="77777777" w:rsidR="00E60332" w:rsidRDefault="00CD5384" w:rsidP="000C057B">
      <w:pPr>
        <w:pStyle w:val="ListParagraph"/>
        <w:numPr>
          <w:ilvl w:val="0"/>
          <w:numId w:val="13"/>
        </w:numPr>
        <w:spacing w:after="200" w:line="276" w:lineRule="auto"/>
        <w:rPr>
          <w:rFonts w:ascii="Arial" w:eastAsiaTheme="minorHAnsi" w:hAnsi="Arial" w:cs="Arial"/>
          <w:lang w:eastAsia="en-US"/>
        </w:rPr>
      </w:pPr>
      <w:r>
        <w:rPr>
          <w:rFonts w:ascii="Arial" w:eastAsiaTheme="minorHAnsi" w:hAnsi="Arial" w:cs="Arial"/>
          <w:lang w:eastAsia="en-US"/>
        </w:rPr>
        <w:t>d</w:t>
      </w:r>
      <w:r w:rsidR="00AD68D3">
        <w:rPr>
          <w:rFonts w:ascii="Arial" w:eastAsiaTheme="minorHAnsi" w:hAnsi="Arial" w:cs="Arial"/>
          <w:lang w:eastAsia="en-US"/>
        </w:rPr>
        <w:t>evelop orientation resources, including STI materials, for new staff working in remote areas;</w:t>
      </w:r>
      <w:r w:rsidR="005F56B0">
        <w:rPr>
          <w:rFonts w:ascii="Arial" w:eastAsiaTheme="minorHAnsi" w:hAnsi="Arial" w:cs="Arial"/>
          <w:lang w:eastAsia="en-US"/>
        </w:rPr>
        <w:t xml:space="preserve"> </w:t>
      </w:r>
    </w:p>
    <w:p w14:paraId="7F474FBB" w14:textId="77777777" w:rsidR="00AD68D3" w:rsidRDefault="00CD5384" w:rsidP="000C057B">
      <w:pPr>
        <w:pStyle w:val="ListParagraph"/>
        <w:numPr>
          <w:ilvl w:val="0"/>
          <w:numId w:val="13"/>
        </w:numPr>
        <w:spacing w:after="200" w:line="276" w:lineRule="auto"/>
        <w:rPr>
          <w:rFonts w:ascii="Arial" w:eastAsiaTheme="minorHAnsi" w:hAnsi="Arial" w:cs="Arial"/>
          <w:lang w:eastAsia="en-US"/>
        </w:rPr>
      </w:pPr>
      <w:r>
        <w:rPr>
          <w:rFonts w:ascii="Arial" w:eastAsiaTheme="minorHAnsi" w:hAnsi="Arial" w:cs="Arial"/>
          <w:lang w:eastAsia="en-US"/>
        </w:rPr>
        <w:t>i</w:t>
      </w:r>
      <w:r w:rsidR="00AD68D3">
        <w:rPr>
          <w:rFonts w:ascii="Arial" w:eastAsiaTheme="minorHAnsi" w:hAnsi="Arial" w:cs="Arial"/>
          <w:lang w:eastAsia="en-US"/>
        </w:rPr>
        <w:t xml:space="preserve">dentify options that enable remote healthcare workers (other than doctors) to order pathology for </w:t>
      </w:r>
      <w:r w:rsidR="005C682A">
        <w:rPr>
          <w:rFonts w:ascii="Arial" w:eastAsiaTheme="minorHAnsi" w:hAnsi="Arial" w:cs="Arial"/>
          <w:lang w:eastAsia="en-US"/>
        </w:rPr>
        <w:t xml:space="preserve">BBV and </w:t>
      </w:r>
      <w:r w:rsidR="00AD68D3">
        <w:rPr>
          <w:rFonts w:ascii="Arial" w:eastAsiaTheme="minorHAnsi" w:hAnsi="Arial" w:cs="Arial"/>
          <w:lang w:eastAsia="en-US"/>
        </w:rPr>
        <w:t>STI;</w:t>
      </w:r>
      <w:r w:rsidR="005C682A">
        <w:rPr>
          <w:rFonts w:ascii="Arial" w:eastAsiaTheme="minorHAnsi" w:hAnsi="Arial" w:cs="Arial"/>
          <w:lang w:eastAsia="en-US"/>
        </w:rPr>
        <w:t xml:space="preserve"> </w:t>
      </w:r>
      <w:r w:rsidR="005F56B0">
        <w:rPr>
          <w:rFonts w:ascii="Arial" w:eastAsiaTheme="minorHAnsi" w:hAnsi="Arial" w:cs="Arial"/>
          <w:lang w:eastAsia="en-US"/>
        </w:rPr>
        <w:t xml:space="preserve"> </w:t>
      </w:r>
    </w:p>
    <w:p w14:paraId="7F474FBC" w14:textId="77777777" w:rsidR="00CD5384" w:rsidRDefault="00487B2F" w:rsidP="00487B2F">
      <w:pPr>
        <w:pStyle w:val="ListParagraph"/>
        <w:numPr>
          <w:ilvl w:val="0"/>
          <w:numId w:val="13"/>
        </w:numPr>
        <w:spacing w:after="200" w:line="276" w:lineRule="auto"/>
        <w:rPr>
          <w:rFonts w:ascii="Arial" w:eastAsiaTheme="minorHAnsi" w:hAnsi="Arial" w:cs="Arial"/>
          <w:lang w:eastAsia="en-US"/>
        </w:rPr>
      </w:pPr>
      <w:r>
        <w:rPr>
          <w:rFonts w:ascii="Arial" w:eastAsiaTheme="minorHAnsi" w:hAnsi="Arial" w:cs="Arial"/>
          <w:lang w:eastAsia="en-US"/>
        </w:rPr>
        <w:t>r</w:t>
      </w:r>
      <w:r w:rsidR="00A43F98" w:rsidRPr="00D64F25">
        <w:rPr>
          <w:rFonts w:ascii="Arial" w:eastAsiaTheme="minorHAnsi" w:hAnsi="Arial" w:cs="Arial"/>
          <w:lang w:eastAsia="en-US"/>
        </w:rPr>
        <w:t>eview existing arrangements for the supply and or administration of medicines by nurses and Aboriginal Health Workers in remote settings and collaborate with jurisdictions to ensure mechanisms are in place to enable the supply and or administration of relevant medicines</w:t>
      </w:r>
      <w:r w:rsidR="00CD5384">
        <w:rPr>
          <w:rFonts w:ascii="Arial" w:eastAsiaTheme="minorHAnsi" w:hAnsi="Arial" w:cs="Arial"/>
          <w:lang w:eastAsia="en-US"/>
        </w:rPr>
        <w:t>; and</w:t>
      </w:r>
    </w:p>
    <w:p w14:paraId="7F474FBD" w14:textId="77777777" w:rsidR="00CD5384" w:rsidRDefault="00CD5384" w:rsidP="00CD5384">
      <w:pPr>
        <w:pStyle w:val="ListParagraph"/>
        <w:numPr>
          <w:ilvl w:val="0"/>
          <w:numId w:val="13"/>
        </w:numPr>
        <w:spacing w:after="200" w:line="276" w:lineRule="auto"/>
        <w:rPr>
          <w:rFonts w:ascii="Arial" w:eastAsiaTheme="minorHAnsi" w:hAnsi="Arial" w:cs="Arial"/>
          <w:lang w:eastAsia="en-US"/>
        </w:rPr>
      </w:pPr>
      <w:r>
        <w:rPr>
          <w:rFonts w:ascii="Arial" w:eastAsiaTheme="minorHAnsi" w:hAnsi="Arial" w:cs="Arial"/>
          <w:lang w:eastAsia="en-US"/>
        </w:rPr>
        <w:t>develop resources to guide implementation of options identified in action area</w:t>
      </w:r>
      <w:r w:rsidR="00487B2F">
        <w:rPr>
          <w:rFonts w:ascii="Arial" w:eastAsiaTheme="minorHAnsi" w:hAnsi="Arial" w:cs="Arial"/>
          <w:lang w:eastAsia="en-US"/>
        </w:rPr>
        <w:t>s</w:t>
      </w:r>
      <w:r>
        <w:rPr>
          <w:rFonts w:ascii="Arial" w:eastAsiaTheme="minorHAnsi" w:hAnsi="Arial" w:cs="Arial"/>
          <w:lang w:eastAsia="en-US"/>
        </w:rPr>
        <w:t xml:space="preserve"> 3</w:t>
      </w:r>
      <w:r w:rsidR="00487B2F">
        <w:rPr>
          <w:rFonts w:ascii="Arial" w:eastAsiaTheme="minorHAnsi" w:hAnsi="Arial" w:cs="Arial"/>
          <w:lang w:eastAsia="en-US"/>
        </w:rPr>
        <w:t xml:space="preserve"> and 4</w:t>
      </w:r>
      <w:r>
        <w:rPr>
          <w:rFonts w:ascii="Arial" w:eastAsiaTheme="minorHAnsi" w:hAnsi="Arial" w:cs="Arial"/>
          <w:lang w:eastAsia="en-US"/>
        </w:rPr>
        <w:t xml:space="preserve"> above (ordering pathology and administering treatment). </w:t>
      </w:r>
    </w:p>
    <w:p w14:paraId="7F474FBE" w14:textId="77777777" w:rsidR="005864CE" w:rsidRDefault="00B304C8" w:rsidP="005864CE">
      <w:pPr>
        <w:spacing w:after="200" w:line="276" w:lineRule="auto"/>
        <w:rPr>
          <w:rFonts w:ascii="Arial" w:eastAsiaTheme="minorHAnsi" w:hAnsi="Arial" w:cs="Arial"/>
          <w:lang w:eastAsia="en-US"/>
        </w:rPr>
      </w:pPr>
      <w:r>
        <w:rPr>
          <w:rFonts w:ascii="Arial" w:eastAsiaTheme="minorHAnsi" w:hAnsi="Arial" w:cs="Arial"/>
          <w:lang w:eastAsia="en-US"/>
        </w:rPr>
        <w:t>These</w:t>
      </w:r>
      <w:r w:rsidR="00C644F6">
        <w:rPr>
          <w:rFonts w:ascii="Arial" w:eastAsiaTheme="minorHAnsi" w:hAnsi="Arial" w:cs="Arial"/>
          <w:lang w:eastAsia="en-US"/>
        </w:rPr>
        <w:t xml:space="preserve"> </w:t>
      </w:r>
      <w:r w:rsidR="0012792C">
        <w:rPr>
          <w:rFonts w:ascii="Arial" w:eastAsiaTheme="minorHAnsi" w:hAnsi="Arial" w:cs="Arial"/>
          <w:lang w:eastAsia="en-US"/>
        </w:rPr>
        <w:t>short and long term actions</w:t>
      </w:r>
      <w:r w:rsidR="00491125">
        <w:rPr>
          <w:rFonts w:ascii="Arial" w:eastAsiaTheme="minorHAnsi" w:hAnsi="Arial" w:cs="Arial"/>
          <w:lang w:eastAsia="en-US"/>
        </w:rPr>
        <w:t xml:space="preserve"> will be </w:t>
      </w:r>
      <w:r>
        <w:rPr>
          <w:rFonts w:ascii="Arial" w:eastAsiaTheme="minorHAnsi" w:hAnsi="Arial" w:cs="Arial"/>
          <w:lang w:eastAsia="en-US"/>
        </w:rPr>
        <w:t>progressed</w:t>
      </w:r>
      <w:r w:rsidR="00491125">
        <w:rPr>
          <w:rFonts w:ascii="Arial" w:eastAsiaTheme="minorHAnsi" w:hAnsi="Arial" w:cs="Arial"/>
          <w:lang w:eastAsia="en-US"/>
        </w:rPr>
        <w:t xml:space="preserve"> in consultation with</w:t>
      </w:r>
      <w:r w:rsidR="00491125" w:rsidRPr="0012792C">
        <w:rPr>
          <w:rFonts w:ascii="Arial" w:eastAsiaTheme="minorHAnsi" w:hAnsi="Arial" w:cs="Arial"/>
          <w:u w:val="single"/>
          <w:lang w:eastAsia="en-US"/>
        </w:rPr>
        <w:t xml:space="preserve"> AHMAC</w:t>
      </w:r>
      <w:r w:rsidR="005C682A">
        <w:rPr>
          <w:rFonts w:ascii="Arial" w:eastAsiaTheme="minorHAnsi" w:hAnsi="Arial" w:cs="Arial"/>
          <w:u w:val="single"/>
          <w:lang w:eastAsia="en-US"/>
        </w:rPr>
        <w:t xml:space="preserve"> / AHPPC </w:t>
      </w:r>
      <w:r w:rsidR="00491125" w:rsidRPr="0012792C">
        <w:rPr>
          <w:rFonts w:ascii="Arial" w:eastAsiaTheme="minorHAnsi" w:hAnsi="Arial" w:cs="Arial"/>
          <w:u w:val="single"/>
          <w:lang w:eastAsia="en-US"/>
        </w:rPr>
        <w:t>committees and relevant organisations:</w:t>
      </w:r>
      <w:r w:rsidR="00491125">
        <w:rPr>
          <w:rFonts w:ascii="Arial" w:eastAsiaTheme="minorHAnsi" w:hAnsi="Arial" w:cs="Arial"/>
          <w:lang w:eastAsia="en-US"/>
        </w:rPr>
        <w:t xml:space="preserve"> </w:t>
      </w:r>
      <w:r w:rsidR="00491125" w:rsidRPr="0012792C">
        <w:rPr>
          <w:rFonts w:ascii="Arial" w:eastAsiaTheme="minorHAnsi" w:hAnsi="Arial" w:cs="Arial"/>
          <w:b/>
          <w:lang w:eastAsia="en-US"/>
        </w:rPr>
        <w:t xml:space="preserve">MJSO, </w:t>
      </w:r>
      <w:r w:rsidR="009F6297">
        <w:rPr>
          <w:rFonts w:ascii="Arial" w:eastAsiaTheme="minorHAnsi" w:hAnsi="Arial" w:cs="Arial"/>
          <w:b/>
          <w:lang w:eastAsia="en-US"/>
        </w:rPr>
        <w:t xml:space="preserve">MJSO Data Working Group, </w:t>
      </w:r>
      <w:r w:rsidR="00491125" w:rsidRPr="0012792C">
        <w:rPr>
          <w:rFonts w:ascii="Arial" w:eastAsiaTheme="minorHAnsi" w:hAnsi="Arial" w:cs="Arial"/>
          <w:b/>
          <w:lang w:eastAsia="en-US"/>
        </w:rPr>
        <w:t>CDNA, PHLN</w:t>
      </w:r>
      <w:r w:rsidR="00C644F6">
        <w:rPr>
          <w:rFonts w:ascii="Arial" w:eastAsiaTheme="minorHAnsi" w:hAnsi="Arial" w:cs="Arial"/>
          <w:lang w:eastAsia="en-US"/>
        </w:rPr>
        <w:t>,</w:t>
      </w:r>
      <w:r w:rsidR="0012792C" w:rsidRPr="0012792C">
        <w:rPr>
          <w:rFonts w:ascii="Arial" w:eastAsiaTheme="minorHAnsi" w:hAnsi="Arial" w:cs="Arial"/>
          <w:lang w:eastAsia="en-US"/>
        </w:rPr>
        <w:t xml:space="preserve"> </w:t>
      </w:r>
      <w:r w:rsidR="0012792C" w:rsidRPr="0012792C">
        <w:rPr>
          <w:rFonts w:ascii="Arial" w:eastAsiaTheme="minorHAnsi" w:hAnsi="Arial" w:cs="Arial"/>
          <w:b/>
          <w:lang w:eastAsia="en-US"/>
        </w:rPr>
        <w:t>NACCHO</w:t>
      </w:r>
      <w:r w:rsidR="003361F6">
        <w:rPr>
          <w:rFonts w:ascii="Arial" w:eastAsiaTheme="minorHAnsi" w:hAnsi="Arial" w:cs="Arial"/>
          <w:lang w:eastAsia="en-US"/>
        </w:rPr>
        <w:t xml:space="preserve">, </w:t>
      </w:r>
      <w:r w:rsidR="003361F6">
        <w:rPr>
          <w:rFonts w:ascii="Arial" w:eastAsiaTheme="minorHAnsi" w:hAnsi="Arial" w:cs="Arial"/>
          <w:b/>
          <w:lang w:eastAsia="en-US"/>
        </w:rPr>
        <w:t>CRANAPLUS</w:t>
      </w:r>
      <w:r w:rsidR="00C644F6">
        <w:rPr>
          <w:rFonts w:ascii="Arial" w:eastAsiaTheme="minorHAnsi" w:hAnsi="Arial" w:cs="Arial"/>
          <w:lang w:eastAsia="en-US"/>
        </w:rPr>
        <w:t xml:space="preserve"> and the </w:t>
      </w:r>
      <w:r w:rsidR="00C644F6">
        <w:rPr>
          <w:rFonts w:ascii="Arial" w:eastAsiaTheme="minorHAnsi" w:hAnsi="Arial" w:cs="Arial"/>
          <w:b/>
          <w:lang w:eastAsia="en-US"/>
        </w:rPr>
        <w:t>Kirby Institute</w:t>
      </w:r>
      <w:r w:rsidR="0012792C" w:rsidRPr="0012792C">
        <w:rPr>
          <w:rFonts w:ascii="Arial" w:eastAsiaTheme="minorHAnsi" w:hAnsi="Arial" w:cs="Arial"/>
          <w:lang w:eastAsia="en-US"/>
        </w:rPr>
        <w:t xml:space="preserve"> (</w:t>
      </w:r>
      <w:r w:rsidR="00DB46D3">
        <w:rPr>
          <w:rFonts w:ascii="Arial" w:eastAsiaTheme="minorHAnsi" w:hAnsi="Arial" w:cs="Arial"/>
          <w:lang w:eastAsia="en-US"/>
        </w:rPr>
        <w:t>F</w:t>
      </w:r>
      <w:r w:rsidR="0012792C" w:rsidRPr="0012792C">
        <w:rPr>
          <w:rFonts w:ascii="Arial" w:eastAsiaTheme="minorHAnsi" w:hAnsi="Arial" w:cs="Arial"/>
          <w:lang w:eastAsia="en-US"/>
        </w:rPr>
        <w:t>igure 1).</w:t>
      </w:r>
    </w:p>
    <w:p w14:paraId="7F474FBF" w14:textId="77777777" w:rsidR="00B7500E" w:rsidRPr="0030730A" w:rsidRDefault="00B7500E" w:rsidP="00B7500E">
      <w:pPr>
        <w:pStyle w:val="Heading2"/>
      </w:pPr>
      <w:bookmarkStart w:id="9" w:name="_Toc514227114"/>
      <w:r w:rsidRPr="0030730A">
        <w:t xml:space="preserve">Priority Area 2: </w:t>
      </w:r>
      <w:r w:rsidR="00A3207F" w:rsidRPr="0030730A">
        <w:t>Surveillance and r</w:t>
      </w:r>
      <w:r w:rsidRPr="0030730A">
        <w:t>eporting</w:t>
      </w:r>
      <w:bookmarkEnd w:id="9"/>
    </w:p>
    <w:p w14:paraId="7F474FC0" w14:textId="77777777" w:rsidR="0030730A" w:rsidRPr="0030730A" w:rsidRDefault="005D6059" w:rsidP="005D6059">
      <w:pPr>
        <w:rPr>
          <w:rFonts w:ascii="Arial" w:eastAsiaTheme="minorHAnsi" w:hAnsi="Arial" w:cs="Arial"/>
          <w:lang w:eastAsia="en-US"/>
        </w:rPr>
      </w:pPr>
      <w:r w:rsidRPr="005D6059">
        <w:rPr>
          <w:rFonts w:ascii="Arial" w:eastAsiaTheme="minorHAnsi" w:hAnsi="Arial" w:cs="Arial"/>
          <w:lang w:eastAsia="en-US"/>
        </w:rPr>
        <w:t>Access to syphilis testing data, and</w:t>
      </w:r>
      <w:r w:rsidR="000F1165">
        <w:rPr>
          <w:rFonts w:ascii="Arial" w:eastAsiaTheme="minorHAnsi" w:hAnsi="Arial" w:cs="Arial"/>
          <w:lang w:eastAsia="en-US"/>
        </w:rPr>
        <w:t xml:space="preserve"> that of</w:t>
      </w:r>
      <w:r w:rsidR="00F91BDC">
        <w:rPr>
          <w:rFonts w:ascii="Arial" w:eastAsiaTheme="minorHAnsi" w:hAnsi="Arial" w:cs="Arial"/>
          <w:lang w:eastAsia="en-US"/>
        </w:rPr>
        <w:t xml:space="preserve"> </w:t>
      </w:r>
      <w:r w:rsidRPr="005D6059">
        <w:rPr>
          <w:rFonts w:ascii="Arial" w:eastAsiaTheme="minorHAnsi" w:hAnsi="Arial" w:cs="Arial"/>
          <w:lang w:eastAsia="en-US"/>
        </w:rPr>
        <w:t xml:space="preserve">other STI and BBV, from both private and public laboratories, continues to remain a challenge for jurisdictions and has been highlighted as an information gap in surveillance.  Availability of such data enables better understanding of testing patterns and the calculation of proportion positive (notifications of a disease as a proportion of people tested for the disease). Testing data provide valuable information when evaluating interventions, for example testing rates </w:t>
      </w:r>
      <w:r w:rsidR="000F1165">
        <w:rPr>
          <w:rFonts w:ascii="Arial" w:eastAsiaTheme="minorHAnsi" w:hAnsi="Arial" w:cs="Arial"/>
          <w:lang w:eastAsia="en-US"/>
        </w:rPr>
        <w:t>may have</w:t>
      </w:r>
      <w:r w:rsidR="00D128C7">
        <w:rPr>
          <w:rFonts w:ascii="Arial" w:eastAsiaTheme="minorHAnsi" w:hAnsi="Arial" w:cs="Arial"/>
          <w:lang w:eastAsia="en-US"/>
        </w:rPr>
        <w:t xml:space="preserve"> </w:t>
      </w:r>
      <w:r w:rsidRPr="005D6059">
        <w:rPr>
          <w:rFonts w:ascii="Arial" w:eastAsiaTheme="minorHAnsi" w:hAnsi="Arial" w:cs="Arial"/>
          <w:lang w:eastAsia="en-US"/>
        </w:rPr>
        <w:t>increased as a result of health promotion campaigns, and providing context around notifications of infections</w:t>
      </w:r>
      <w:r w:rsidR="0030730A" w:rsidRPr="0030730A">
        <w:rPr>
          <w:rFonts w:ascii="Arial" w:eastAsiaTheme="minorHAnsi" w:hAnsi="Arial" w:cs="Arial"/>
          <w:lang w:eastAsia="en-US"/>
        </w:rPr>
        <w:t xml:space="preserve">.  Indigenous identification on pathology forms is currently not mandatory, which has implications for Indigenous status completeness in the laboratory data.  In the context of the outbreak, testing data where Indigenous </w:t>
      </w:r>
      <w:r w:rsidR="0030730A" w:rsidRPr="0030730A">
        <w:rPr>
          <w:rFonts w:ascii="Arial" w:eastAsiaTheme="minorHAnsi" w:hAnsi="Arial" w:cs="Arial"/>
          <w:lang w:eastAsia="en-US"/>
        </w:rPr>
        <w:lastRenderedPageBreak/>
        <w:t xml:space="preserve">and non-Indigenous populations cannot be differentiated may underestimate </w:t>
      </w:r>
      <w:r w:rsidR="00CC04BD">
        <w:rPr>
          <w:rFonts w:ascii="Arial" w:eastAsiaTheme="minorHAnsi" w:hAnsi="Arial" w:cs="Arial"/>
          <w:lang w:eastAsia="en-US"/>
        </w:rPr>
        <w:t xml:space="preserve">the impact of </w:t>
      </w:r>
      <w:r w:rsidR="0030730A" w:rsidRPr="0030730A">
        <w:rPr>
          <w:rFonts w:ascii="Arial" w:eastAsiaTheme="minorHAnsi" w:hAnsi="Arial" w:cs="Arial"/>
          <w:lang w:eastAsia="en-US"/>
        </w:rPr>
        <w:t>changes in testing patterns, and proportion positive, in the Indigenous population.</w:t>
      </w:r>
    </w:p>
    <w:p w14:paraId="7F474FC1" w14:textId="77777777" w:rsidR="0030730A" w:rsidRPr="0030730A" w:rsidRDefault="0030730A" w:rsidP="005D6059">
      <w:pPr>
        <w:rPr>
          <w:rFonts w:ascii="Arial" w:eastAsiaTheme="minorHAnsi" w:hAnsi="Arial" w:cs="Arial"/>
          <w:lang w:eastAsia="en-US"/>
        </w:rPr>
      </w:pPr>
    </w:p>
    <w:p w14:paraId="7F474FC2" w14:textId="77777777" w:rsidR="005D6059" w:rsidRDefault="005D6059" w:rsidP="00D34EE1">
      <w:pPr>
        <w:spacing w:after="200"/>
        <w:rPr>
          <w:rFonts w:ascii="Arial" w:eastAsiaTheme="minorHAnsi" w:hAnsi="Arial" w:cs="Arial"/>
          <w:lang w:eastAsia="en-US"/>
        </w:rPr>
      </w:pPr>
      <w:r w:rsidRPr="005D6059">
        <w:rPr>
          <w:rFonts w:ascii="Arial" w:eastAsiaTheme="minorHAnsi" w:hAnsi="Arial" w:cs="Arial"/>
          <w:lang w:eastAsia="en-US"/>
        </w:rPr>
        <w:t xml:space="preserve">Access to </w:t>
      </w:r>
      <w:r w:rsidR="0030730A" w:rsidRPr="0030730A">
        <w:rPr>
          <w:rFonts w:ascii="Arial" w:eastAsiaTheme="minorHAnsi" w:hAnsi="Arial" w:cs="Arial"/>
          <w:lang w:eastAsia="en-US"/>
        </w:rPr>
        <w:t>laboratory testing</w:t>
      </w:r>
      <w:r w:rsidRPr="005D6059">
        <w:rPr>
          <w:rFonts w:ascii="Arial" w:eastAsiaTheme="minorHAnsi" w:hAnsi="Arial" w:cs="Arial"/>
          <w:lang w:eastAsia="en-US"/>
        </w:rPr>
        <w:t xml:space="preserve"> data</w:t>
      </w:r>
      <w:r w:rsidR="0030730A">
        <w:rPr>
          <w:rFonts w:ascii="Arial" w:eastAsiaTheme="minorHAnsi" w:hAnsi="Arial" w:cs="Arial"/>
          <w:lang w:eastAsia="en-US"/>
        </w:rPr>
        <w:t xml:space="preserve">, and development of key reporting indicators </w:t>
      </w:r>
      <w:r w:rsidRPr="005D6059">
        <w:rPr>
          <w:rFonts w:ascii="Arial" w:eastAsiaTheme="minorHAnsi" w:hAnsi="Arial" w:cs="Arial"/>
          <w:lang w:eastAsia="en-US"/>
        </w:rPr>
        <w:t>would not only enhance evaluations of the effectiveness of outbreak control interventions, it would inform quality improvements that could be made within cli</w:t>
      </w:r>
      <w:r w:rsidR="0030730A">
        <w:rPr>
          <w:rFonts w:ascii="Arial" w:eastAsiaTheme="minorHAnsi" w:hAnsi="Arial" w:cs="Arial"/>
          <w:lang w:eastAsia="en-US"/>
        </w:rPr>
        <w:t>nics in at-risk communities over the short and long term.</w:t>
      </w:r>
    </w:p>
    <w:p w14:paraId="7F474FC3" w14:textId="77777777" w:rsidR="00D454BA" w:rsidRDefault="00D454BA" w:rsidP="00C644F6">
      <w:pPr>
        <w:spacing w:after="200" w:line="276" w:lineRule="auto"/>
        <w:rPr>
          <w:rFonts w:ascii="Arial" w:eastAsiaTheme="minorHAnsi" w:hAnsi="Arial" w:cs="Arial"/>
          <w:i/>
          <w:lang w:eastAsia="en-US"/>
        </w:rPr>
      </w:pPr>
      <w:r w:rsidRPr="0030730A">
        <w:rPr>
          <w:rFonts w:ascii="Arial" w:eastAsiaTheme="minorHAnsi" w:hAnsi="Arial" w:cs="Arial"/>
          <w:i/>
          <w:lang w:eastAsia="en-US"/>
        </w:rPr>
        <w:t>Short term</w:t>
      </w:r>
      <w:r w:rsidR="00D34EE1">
        <w:rPr>
          <w:rFonts w:ascii="Arial" w:eastAsiaTheme="minorHAnsi" w:hAnsi="Arial" w:cs="Arial"/>
          <w:i/>
          <w:lang w:eastAsia="en-US"/>
        </w:rPr>
        <w:t xml:space="preserve"> actions</w:t>
      </w:r>
    </w:p>
    <w:p w14:paraId="7F474FC4" w14:textId="77777777" w:rsidR="0030730A" w:rsidRDefault="0030730A" w:rsidP="00C644F6">
      <w:pPr>
        <w:spacing w:after="200" w:line="276" w:lineRule="auto"/>
        <w:rPr>
          <w:rFonts w:ascii="Arial" w:eastAsiaTheme="minorHAnsi" w:hAnsi="Arial" w:cs="Arial"/>
          <w:lang w:eastAsia="en-US"/>
        </w:rPr>
      </w:pPr>
      <w:r>
        <w:rPr>
          <w:rFonts w:ascii="Arial" w:eastAsiaTheme="minorHAnsi" w:hAnsi="Arial" w:cs="Arial"/>
          <w:lang w:eastAsia="en-US"/>
        </w:rPr>
        <w:t>In the short term actions regarding enhanced reporting on the outbreak can leverage off existing reporting structures under the MJSO.  It is acknowledged that Indigenous identification in pathology is an issue that requires long term consideration, however in the short term this issue will continue to be explored in consultation with relevant organisations</w:t>
      </w:r>
      <w:r w:rsidR="009D31D3">
        <w:rPr>
          <w:rFonts w:ascii="Arial" w:eastAsiaTheme="minorHAnsi" w:hAnsi="Arial" w:cs="Arial"/>
          <w:lang w:eastAsia="en-US"/>
        </w:rPr>
        <w:t>.  In the short term</w:t>
      </w:r>
      <w:r w:rsidR="00D128C7">
        <w:rPr>
          <w:rFonts w:ascii="Arial" w:eastAsiaTheme="minorHAnsi" w:hAnsi="Arial" w:cs="Arial"/>
          <w:lang w:eastAsia="en-US"/>
        </w:rPr>
        <w:t>,</w:t>
      </w:r>
      <w:r w:rsidR="009D31D3">
        <w:rPr>
          <w:rFonts w:ascii="Arial" w:eastAsiaTheme="minorHAnsi" w:hAnsi="Arial" w:cs="Arial"/>
          <w:lang w:eastAsia="en-US"/>
        </w:rPr>
        <w:t xml:space="preserve"> action is required </w:t>
      </w:r>
      <w:r w:rsidR="00DB46D3">
        <w:rPr>
          <w:rFonts w:ascii="Arial" w:eastAsiaTheme="minorHAnsi" w:hAnsi="Arial" w:cs="Arial"/>
          <w:lang w:eastAsia="en-US"/>
        </w:rPr>
        <w:t>to</w:t>
      </w:r>
      <w:r w:rsidR="009D31D3">
        <w:rPr>
          <w:rFonts w:ascii="Arial" w:eastAsiaTheme="minorHAnsi" w:hAnsi="Arial" w:cs="Arial"/>
          <w:lang w:eastAsia="en-US"/>
        </w:rPr>
        <w:t>:</w:t>
      </w:r>
    </w:p>
    <w:p w14:paraId="7F474FC5" w14:textId="77777777" w:rsidR="009D31D3" w:rsidRDefault="00F57515" w:rsidP="000C057B">
      <w:pPr>
        <w:pStyle w:val="ListParagraph"/>
        <w:numPr>
          <w:ilvl w:val="0"/>
          <w:numId w:val="22"/>
        </w:numPr>
        <w:spacing w:after="200" w:line="276" w:lineRule="auto"/>
        <w:rPr>
          <w:rFonts w:ascii="Arial" w:eastAsiaTheme="minorHAnsi" w:hAnsi="Arial" w:cs="Arial"/>
          <w:lang w:eastAsia="en-US"/>
        </w:rPr>
      </w:pPr>
      <w:r>
        <w:rPr>
          <w:rFonts w:ascii="Arial" w:eastAsiaTheme="minorHAnsi" w:hAnsi="Arial" w:cs="Arial"/>
          <w:lang w:eastAsia="en-US"/>
        </w:rPr>
        <w:t>c</w:t>
      </w:r>
      <w:r w:rsidR="00C56787">
        <w:rPr>
          <w:rFonts w:ascii="Arial" w:eastAsiaTheme="minorHAnsi" w:hAnsi="Arial" w:cs="Arial"/>
          <w:lang w:eastAsia="en-US"/>
        </w:rPr>
        <w:t>onsider</w:t>
      </w:r>
      <w:r w:rsidR="009D31D3">
        <w:rPr>
          <w:rFonts w:ascii="Arial" w:eastAsiaTheme="minorHAnsi" w:hAnsi="Arial" w:cs="Arial"/>
          <w:lang w:eastAsia="en-US"/>
        </w:rPr>
        <w:t xml:space="preserve"> </w:t>
      </w:r>
      <w:r w:rsidR="009D31D3" w:rsidRPr="009D31D3">
        <w:rPr>
          <w:rFonts w:ascii="Arial" w:eastAsiaTheme="minorHAnsi" w:hAnsi="Arial" w:cs="Arial"/>
          <w:lang w:eastAsia="en-US"/>
        </w:rPr>
        <w:t xml:space="preserve">indicators for outbreak monitoring, including development of new indicators and strengthening of existing measures, and consider including in the </w:t>
      </w:r>
      <w:r w:rsidR="009D31D3">
        <w:rPr>
          <w:rFonts w:ascii="Arial" w:eastAsiaTheme="minorHAnsi" w:hAnsi="Arial" w:cs="Arial"/>
          <w:lang w:eastAsia="en-US"/>
        </w:rPr>
        <w:t>MJSO six monthly reports</w:t>
      </w:r>
      <w:r w:rsidR="000F6640">
        <w:rPr>
          <w:rFonts w:ascii="Arial" w:eastAsiaTheme="minorHAnsi" w:hAnsi="Arial" w:cs="Arial"/>
          <w:lang w:eastAsia="en-US"/>
        </w:rPr>
        <w:t>.</w:t>
      </w:r>
    </w:p>
    <w:p w14:paraId="7F474FC6" w14:textId="77777777" w:rsidR="00D454BA" w:rsidRDefault="00D454BA" w:rsidP="00C644F6">
      <w:pPr>
        <w:spacing w:after="200" w:line="276" w:lineRule="auto"/>
        <w:rPr>
          <w:rFonts w:ascii="Arial" w:eastAsiaTheme="minorHAnsi" w:hAnsi="Arial" w:cs="Arial"/>
          <w:i/>
          <w:lang w:eastAsia="en-US"/>
        </w:rPr>
      </w:pPr>
      <w:r w:rsidRPr="0030730A">
        <w:rPr>
          <w:rFonts w:ascii="Arial" w:eastAsiaTheme="minorHAnsi" w:hAnsi="Arial" w:cs="Arial"/>
          <w:i/>
          <w:lang w:eastAsia="en-US"/>
        </w:rPr>
        <w:t>Long term</w:t>
      </w:r>
      <w:r w:rsidR="00D34EE1">
        <w:rPr>
          <w:rFonts w:ascii="Arial" w:eastAsiaTheme="minorHAnsi" w:hAnsi="Arial" w:cs="Arial"/>
          <w:i/>
          <w:lang w:eastAsia="en-US"/>
        </w:rPr>
        <w:t xml:space="preserve"> actions</w:t>
      </w:r>
    </w:p>
    <w:p w14:paraId="7F474FC7" w14:textId="77777777" w:rsidR="009D31D3" w:rsidRDefault="009D31D3" w:rsidP="00C644F6">
      <w:pPr>
        <w:spacing w:after="200" w:line="276" w:lineRule="auto"/>
        <w:rPr>
          <w:rFonts w:ascii="Arial" w:eastAsiaTheme="minorHAnsi" w:hAnsi="Arial" w:cs="Arial"/>
          <w:lang w:eastAsia="en-US"/>
        </w:rPr>
      </w:pPr>
      <w:r>
        <w:rPr>
          <w:rFonts w:ascii="Arial" w:eastAsiaTheme="minorHAnsi" w:hAnsi="Arial" w:cs="Arial"/>
          <w:lang w:eastAsia="en-US"/>
        </w:rPr>
        <w:t>As noted above</w:t>
      </w:r>
      <w:r w:rsidR="00D128C7">
        <w:rPr>
          <w:rFonts w:ascii="Arial" w:eastAsiaTheme="minorHAnsi" w:hAnsi="Arial" w:cs="Arial"/>
          <w:lang w:eastAsia="en-US"/>
        </w:rPr>
        <w:t>,</w:t>
      </w:r>
      <w:r>
        <w:rPr>
          <w:rFonts w:ascii="Arial" w:eastAsiaTheme="minorHAnsi" w:hAnsi="Arial" w:cs="Arial"/>
          <w:lang w:eastAsia="en-US"/>
        </w:rPr>
        <w:t xml:space="preserve"> Indigenous identification on pathology is an issue that requires long term consideration and will impact on a number of areas in health other than STI and BBV control.  However, through this </w:t>
      </w:r>
      <w:r w:rsidR="005C682A">
        <w:rPr>
          <w:rFonts w:ascii="Arial" w:eastAsiaTheme="minorHAnsi" w:hAnsi="Arial" w:cs="Arial"/>
          <w:lang w:eastAsia="en-US"/>
        </w:rPr>
        <w:t>A</w:t>
      </w:r>
      <w:r>
        <w:rPr>
          <w:rFonts w:ascii="Arial" w:eastAsiaTheme="minorHAnsi" w:hAnsi="Arial" w:cs="Arial"/>
          <w:lang w:eastAsia="en-US"/>
        </w:rPr>
        <w:t xml:space="preserve">ction </w:t>
      </w:r>
      <w:r w:rsidR="005C682A">
        <w:rPr>
          <w:rFonts w:ascii="Arial" w:eastAsiaTheme="minorHAnsi" w:hAnsi="Arial" w:cs="Arial"/>
          <w:lang w:eastAsia="en-US"/>
        </w:rPr>
        <w:t>P</w:t>
      </w:r>
      <w:r>
        <w:rPr>
          <w:rFonts w:ascii="Arial" w:eastAsiaTheme="minorHAnsi" w:hAnsi="Arial" w:cs="Arial"/>
          <w:lang w:eastAsia="en-US"/>
        </w:rPr>
        <w:t>lan</w:t>
      </w:r>
      <w:r w:rsidR="005C682A">
        <w:rPr>
          <w:rFonts w:ascii="Arial" w:eastAsiaTheme="minorHAnsi" w:hAnsi="Arial" w:cs="Arial"/>
          <w:lang w:eastAsia="en-US"/>
        </w:rPr>
        <w:t>,</w:t>
      </w:r>
      <w:r>
        <w:rPr>
          <w:rFonts w:ascii="Arial" w:eastAsiaTheme="minorHAnsi" w:hAnsi="Arial" w:cs="Arial"/>
          <w:lang w:eastAsia="en-US"/>
        </w:rPr>
        <w:t xml:space="preserve"> areas that will be addressed in the long term will include:</w:t>
      </w:r>
    </w:p>
    <w:p w14:paraId="7F474FC8" w14:textId="77777777" w:rsidR="009E51BD" w:rsidRDefault="00487B2F" w:rsidP="009E51BD">
      <w:pPr>
        <w:pStyle w:val="ListParagraph"/>
        <w:numPr>
          <w:ilvl w:val="0"/>
          <w:numId w:val="23"/>
        </w:numPr>
        <w:spacing w:after="200" w:line="276" w:lineRule="auto"/>
        <w:rPr>
          <w:rFonts w:ascii="Arial" w:eastAsiaTheme="minorHAnsi" w:hAnsi="Arial" w:cs="Arial"/>
          <w:lang w:eastAsia="en-US"/>
        </w:rPr>
      </w:pPr>
      <w:r>
        <w:rPr>
          <w:rFonts w:ascii="Arial" w:eastAsiaTheme="minorHAnsi" w:hAnsi="Arial" w:cs="Arial"/>
          <w:lang w:eastAsia="en-US"/>
        </w:rPr>
        <w:t>identifying</w:t>
      </w:r>
      <w:r w:rsidR="009E51BD">
        <w:rPr>
          <w:rFonts w:ascii="Arial" w:eastAsiaTheme="minorHAnsi" w:hAnsi="Arial" w:cs="Arial"/>
          <w:lang w:eastAsia="en-US"/>
        </w:rPr>
        <w:t xml:space="preserve"> opportunities to discuss, with relevant agencies/organisations, issues regarding Indigenous identification on pathology forms and results; </w:t>
      </w:r>
    </w:p>
    <w:p w14:paraId="7F474FC9" w14:textId="77777777" w:rsidR="009E51BD" w:rsidRPr="009D31D3" w:rsidRDefault="0002738B" w:rsidP="009E51BD">
      <w:pPr>
        <w:pStyle w:val="ListParagraph"/>
        <w:numPr>
          <w:ilvl w:val="0"/>
          <w:numId w:val="23"/>
        </w:numPr>
        <w:spacing w:after="200" w:line="276" w:lineRule="auto"/>
        <w:rPr>
          <w:rFonts w:ascii="Arial" w:eastAsiaTheme="minorHAnsi" w:hAnsi="Arial" w:cs="Arial"/>
          <w:lang w:eastAsia="en-US"/>
        </w:rPr>
      </w:pPr>
      <w:r>
        <w:rPr>
          <w:rFonts w:ascii="Arial" w:eastAsiaTheme="minorHAnsi" w:hAnsi="Arial" w:cs="Arial"/>
          <w:lang w:eastAsia="en-US"/>
        </w:rPr>
        <w:t>d</w:t>
      </w:r>
      <w:r w:rsidR="009E51BD">
        <w:rPr>
          <w:rFonts w:ascii="Arial" w:eastAsiaTheme="minorHAnsi" w:hAnsi="Arial" w:cs="Arial"/>
          <w:lang w:eastAsia="en-US"/>
        </w:rPr>
        <w:t>evelop</w:t>
      </w:r>
      <w:r>
        <w:rPr>
          <w:rFonts w:ascii="Arial" w:eastAsiaTheme="minorHAnsi" w:hAnsi="Arial" w:cs="Arial"/>
          <w:lang w:eastAsia="en-US"/>
        </w:rPr>
        <w:t>ing</w:t>
      </w:r>
      <w:r w:rsidR="009E51BD">
        <w:rPr>
          <w:rFonts w:ascii="Arial" w:eastAsiaTheme="minorHAnsi" w:hAnsi="Arial" w:cs="Arial"/>
          <w:lang w:eastAsia="en-US"/>
        </w:rPr>
        <w:t xml:space="preserve"> mechanisms to facilitate routine access to laboratory testing data</w:t>
      </w:r>
      <w:r>
        <w:rPr>
          <w:rFonts w:ascii="Arial" w:eastAsiaTheme="minorHAnsi" w:hAnsi="Arial" w:cs="Arial"/>
          <w:lang w:eastAsia="en-US"/>
        </w:rPr>
        <w:t>;</w:t>
      </w:r>
      <w:r w:rsidR="009E51BD">
        <w:rPr>
          <w:rFonts w:ascii="Arial" w:eastAsiaTheme="minorHAnsi" w:hAnsi="Arial" w:cs="Arial"/>
          <w:lang w:eastAsia="en-US"/>
        </w:rPr>
        <w:t xml:space="preserve"> </w:t>
      </w:r>
    </w:p>
    <w:p w14:paraId="7F474FCA" w14:textId="77777777" w:rsidR="009D31D3" w:rsidRDefault="0002738B" w:rsidP="000C057B">
      <w:pPr>
        <w:pStyle w:val="ListParagraph"/>
        <w:numPr>
          <w:ilvl w:val="0"/>
          <w:numId w:val="23"/>
        </w:numPr>
        <w:spacing w:after="200" w:line="276" w:lineRule="auto"/>
        <w:rPr>
          <w:rFonts w:ascii="Arial" w:eastAsiaTheme="minorHAnsi" w:hAnsi="Arial" w:cs="Arial"/>
          <w:lang w:eastAsia="en-US"/>
        </w:rPr>
      </w:pPr>
      <w:r>
        <w:rPr>
          <w:rFonts w:ascii="Arial" w:eastAsiaTheme="minorHAnsi" w:hAnsi="Arial" w:cs="Arial"/>
          <w:lang w:eastAsia="en-US"/>
        </w:rPr>
        <w:t>i</w:t>
      </w:r>
      <w:r w:rsidR="001724C4" w:rsidRPr="001724C4">
        <w:rPr>
          <w:rFonts w:ascii="Arial" w:eastAsiaTheme="minorHAnsi" w:hAnsi="Arial" w:cs="Arial"/>
          <w:lang w:eastAsia="en-US"/>
        </w:rPr>
        <w:t>nvestigat</w:t>
      </w:r>
      <w:r>
        <w:rPr>
          <w:rFonts w:ascii="Arial" w:eastAsiaTheme="minorHAnsi" w:hAnsi="Arial" w:cs="Arial"/>
          <w:lang w:eastAsia="en-US"/>
        </w:rPr>
        <w:t>ing</w:t>
      </w:r>
      <w:r w:rsidR="001724C4" w:rsidRPr="001724C4">
        <w:rPr>
          <w:rFonts w:ascii="Arial" w:eastAsiaTheme="minorHAnsi" w:hAnsi="Arial" w:cs="Arial"/>
          <w:lang w:eastAsia="en-US"/>
        </w:rPr>
        <w:t xml:space="preserve"> the developmen</w:t>
      </w:r>
      <w:r w:rsidR="001724C4">
        <w:rPr>
          <w:rFonts w:ascii="Arial" w:eastAsiaTheme="minorHAnsi" w:hAnsi="Arial" w:cs="Arial"/>
          <w:lang w:eastAsia="en-US"/>
        </w:rPr>
        <w:t xml:space="preserve">t of new </w:t>
      </w:r>
      <w:r w:rsidR="002B1801">
        <w:rPr>
          <w:rFonts w:ascii="Arial" w:eastAsiaTheme="minorHAnsi" w:hAnsi="Arial" w:cs="Arial"/>
          <w:lang w:eastAsia="en-US"/>
        </w:rPr>
        <w:t xml:space="preserve">national </w:t>
      </w:r>
      <w:r w:rsidR="001724C4">
        <w:rPr>
          <w:rFonts w:ascii="Arial" w:eastAsiaTheme="minorHAnsi" w:hAnsi="Arial" w:cs="Arial"/>
          <w:lang w:eastAsia="en-US"/>
        </w:rPr>
        <w:t xml:space="preserve">KPIs for </w:t>
      </w:r>
      <w:r w:rsidR="00D220F9">
        <w:rPr>
          <w:rFonts w:ascii="Arial" w:eastAsiaTheme="minorHAnsi" w:hAnsi="Arial" w:cs="Arial"/>
          <w:lang w:eastAsia="en-US"/>
        </w:rPr>
        <w:t>BBV and STI</w:t>
      </w:r>
      <w:r w:rsidR="009D31D3">
        <w:rPr>
          <w:rFonts w:ascii="Arial" w:eastAsiaTheme="minorHAnsi" w:hAnsi="Arial" w:cs="Arial"/>
          <w:lang w:eastAsia="en-US"/>
        </w:rPr>
        <w:t>;</w:t>
      </w:r>
      <w:r w:rsidR="005F56B0">
        <w:rPr>
          <w:rFonts w:ascii="Arial" w:eastAsiaTheme="minorHAnsi" w:hAnsi="Arial" w:cs="Arial"/>
          <w:lang w:eastAsia="en-US"/>
        </w:rPr>
        <w:t xml:space="preserve"> </w:t>
      </w:r>
    </w:p>
    <w:p w14:paraId="7F474FCB" w14:textId="77777777" w:rsidR="009D31D3" w:rsidRDefault="00487B2F" w:rsidP="000C057B">
      <w:pPr>
        <w:pStyle w:val="ListParagraph"/>
        <w:numPr>
          <w:ilvl w:val="0"/>
          <w:numId w:val="23"/>
        </w:numPr>
        <w:spacing w:after="200" w:line="276" w:lineRule="auto"/>
        <w:rPr>
          <w:rFonts w:ascii="Arial" w:eastAsiaTheme="minorHAnsi" w:hAnsi="Arial" w:cs="Arial"/>
          <w:lang w:eastAsia="en-US"/>
        </w:rPr>
      </w:pPr>
      <w:r>
        <w:rPr>
          <w:rFonts w:ascii="Arial" w:eastAsiaTheme="minorHAnsi" w:hAnsi="Arial" w:cs="Arial"/>
          <w:lang w:eastAsia="en-US"/>
        </w:rPr>
        <w:t>working</w:t>
      </w:r>
      <w:r w:rsidR="009E51BD">
        <w:rPr>
          <w:rFonts w:ascii="Arial" w:eastAsiaTheme="minorHAnsi" w:hAnsi="Arial" w:cs="Arial"/>
          <w:lang w:eastAsia="en-US"/>
        </w:rPr>
        <w:t xml:space="preserve"> with the Australian Digital Health Agency to e</w:t>
      </w:r>
      <w:r w:rsidR="009D31D3">
        <w:rPr>
          <w:rFonts w:ascii="Arial" w:eastAsiaTheme="minorHAnsi" w:hAnsi="Arial" w:cs="Arial"/>
          <w:lang w:eastAsia="en-US"/>
        </w:rPr>
        <w:t>mbed Indigenous status in electronic health records;</w:t>
      </w:r>
      <w:r w:rsidR="005C682A">
        <w:rPr>
          <w:rFonts w:ascii="Arial" w:eastAsiaTheme="minorHAnsi" w:hAnsi="Arial" w:cs="Arial"/>
          <w:lang w:eastAsia="en-US"/>
        </w:rPr>
        <w:t xml:space="preserve"> and</w:t>
      </w:r>
      <w:r w:rsidR="005F56B0">
        <w:rPr>
          <w:rFonts w:ascii="Arial" w:eastAsiaTheme="minorHAnsi" w:hAnsi="Arial" w:cs="Arial"/>
          <w:lang w:eastAsia="en-US"/>
        </w:rPr>
        <w:t xml:space="preserve"> </w:t>
      </w:r>
    </w:p>
    <w:p w14:paraId="7F474FCC" w14:textId="77777777" w:rsidR="009D31D3" w:rsidRPr="006601CC" w:rsidRDefault="0002738B" w:rsidP="000C057B">
      <w:pPr>
        <w:pStyle w:val="ListParagraph"/>
        <w:numPr>
          <w:ilvl w:val="0"/>
          <w:numId w:val="23"/>
        </w:numPr>
        <w:spacing w:after="200" w:line="276" w:lineRule="auto"/>
        <w:rPr>
          <w:rFonts w:ascii="Arial" w:eastAsiaTheme="minorHAnsi" w:hAnsi="Arial" w:cs="Arial"/>
          <w:lang w:eastAsia="en-US"/>
        </w:rPr>
      </w:pPr>
      <w:r>
        <w:rPr>
          <w:rFonts w:ascii="Arial" w:eastAsiaTheme="minorHAnsi" w:hAnsi="Arial" w:cs="Arial"/>
          <w:lang w:eastAsia="en-US"/>
        </w:rPr>
        <w:t>c</w:t>
      </w:r>
      <w:r w:rsidR="009D31D3" w:rsidRPr="006601CC">
        <w:rPr>
          <w:rFonts w:ascii="Arial" w:eastAsiaTheme="minorHAnsi" w:hAnsi="Arial" w:cs="Arial"/>
          <w:lang w:eastAsia="en-US"/>
        </w:rPr>
        <w:t>onduct</w:t>
      </w:r>
      <w:r w:rsidR="00DB46D3">
        <w:rPr>
          <w:rFonts w:ascii="Arial" w:eastAsiaTheme="minorHAnsi" w:hAnsi="Arial" w:cs="Arial"/>
          <w:lang w:eastAsia="en-US"/>
        </w:rPr>
        <w:t>ing</w:t>
      </w:r>
      <w:r w:rsidR="009D31D3" w:rsidRPr="006601CC">
        <w:rPr>
          <w:rFonts w:ascii="Arial" w:eastAsiaTheme="minorHAnsi" w:hAnsi="Arial" w:cs="Arial"/>
          <w:lang w:eastAsia="en-US"/>
        </w:rPr>
        <w:t xml:space="preserve"> a review of the voluntary Indigenous identifier on Medicare records</w:t>
      </w:r>
      <w:r w:rsidR="005C682A">
        <w:rPr>
          <w:rFonts w:ascii="Arial" w:eastAsiaTheme="minorHAnsi" w:hAnsi="Arial" w:cs="Arial"/>
          <w:lang w:eastAsia="en-US"/>
        </w:rPr>
        <w:t>.</w:t>
      </w:r>
      <w:r w:rsidR="005F56B0">
        <w:rPr>
          <w:rFonts w:ascii="Arial" w:eastAsiaTheme="minorHAnsi" w:hAnsi="Arial" w:cs="Arial"/>
          <w:lang w:eastAsia="en-US"/>
        </w:rPr>
        <w:t xml:space="preserve"> </w:t>
      </w:r>
    </w:p>
    <w:p w14:paraId="7F474FCD" w14:textId="77777777" w:rsidR="00C644F6" w:rsidRPr="006601CC" w:rsidRDefault="00B304C8" w:rsidP="00C644F6">
      <w:pPr>
        <w:spacing w:after="200" w:line="276" w:lineRule="auto"/>
        <w:rPr>
          <w:rFonts w:ascii="Arial" w:eastAsiaTheme="minorHAnsi" w:hAnsi="Arial" w:cs="Arial"/>
          <w:lang w:eastAsia="en-US"/>
        </w:rPr>
      </w:pPr>
      <w:r>
        <w:rPr>
          <w:rFonts w:ascii="Arial" w:eastAsiaTheme="minorHAnsi" w:hAnsi="Arial" w:cs="Arial"/>
          <w:lang w:eastAsia="en-US"/>
        </w:rPr>
        <w:t>These short and long term actions will be progressed in consultation with</w:t>
      </w:r>
      <w:r w:rsidRPr="00B304C8">
        <w:rPr>
          <w:rFonts w:ascii="Arial" w:eastAsiaTheme="minorHAnsi" w:hAnsi="Arial" w:cs="Arial"/>
          <w:lang w:eastAsia="en-US"/>
        </w:rPr>
        <w:t xml:space="preserve"> </w:t>
      </w:r>
      <w:r w:rsidR="00C644F6" w:rsidRPr="006601CC">
        <w:rPr>
          <w:rFonts w:ascii="Arial" w:eastAsiaTheme="minorHAnsi" w:hAnsi="Arial" w:cs="Arial"/>
          <w:u w:val="single"/>
          <w:lang w:eastAsia="en-US"/>
        </w:rPr>
        <w:t>AHMAC</w:t>
      </w:r>
      <w:r w:rsidR="005C682A">
        <w:rPr>
          <w:rFonts w:ascii="Arial" w:eastAsiaTheme="minorHAnsi" w:hAnsi="Arial" w:cs="Arial"/>
          <w:u w:val="single"/>
          <w:lang w:eastAsia="en-US"/>
        </w:rPr>
        <w:t xml:space="preserve"> </w:t>
      </w:r>
      <w:r w:rsidR="00C644F6" w:rsidRPr="006601CC">
        <w:rPr>
          <w:rFonts w:ascii="Arial" w:eastAsiaTheme="minorHAnsi" w:hAnsi="Arial" w:cs="Arial"/>
          <w:u w:val="single"/>
          <w:lang w:eastAsia="en-US"/>
        </w:rPr>
        <w:t>committees</w:t>
      </w:r>
      <w:r w:rsidR="00D369C0">
        <w:rPr>
          <w:rFonts w:ascii="Arial" w:eastAsiaTheme="minorHAnsi" w:hAnsi="Arial" w:cs="Arial"/>
          <w:u w:val="single"/>
          <w:lang w:eastAsia="en-US"/>
        </w:rPr>
        <w:t xml:space="preserve"> and their subcommittees</w:t>
      </w:r>
      <w:r w:rsidR="00C644F6" w:rsidRPr="006601CC">
        <w:rPr>
          <w:rFonts w:ascii="Arial" w:eastAsiaTheme="minorHAnsi" w:hAnsi="Arial" w:cs="Arial"/>
          <w:u w:val="single"/>
          <w:lang w:eastAsia="en-US"/>
        </w:rPr>
        <w:t xml:space="preserve"> and relevant organisations:</w:t>
      </w:r>
      <w:r w:rsidR="009D31D3" w:rsidRPr="006601CC">
        <w:rPr>
          <w:rFonts w:ascii="Arial" w:eastAsiaTheme="minorHAnsi" w:hAnsi="Arial" w:cs="Arial"/>
          <w:lang w:eastAsia="en-US"/>
        </w:rPr>
        <w:t xml:space="preserve"> </w:t>
      </w:r>
      <w:r w:rsidR="009D31D3" w:rsidRPr="006601CC">
        <w:rPr>
          <w:rFonts w:ascii="Arial" w:eastAsiaTheme="minorHAnsi" w:hAnsi="Arial" w:cs="Arial"/>
          <w:b/>
          <w:lang w:eastAsia="en-US"/>
        </w:rPr>
        <w:t>MJSO Data Working Group</w:t>
      </w:r>
      <w:r w:rsidR="006601CC" w:rsidRPr="006601CC">
        <w:rPr>
          <w:rFonts w:ascii="Arial" w:eastAsiaTheme="minorHAnsi" w:hAnsi="Arial" w:cs="Arial"/>
          <w:lang w:eastAsia="en-US"/>
        </w:rPr>
        <w:t xml:space="preserve"> and </w:t>
      </w:r>
      <w:r w:rsidR="006601CC" w:rsidRPr="006601CC">
        <w:rPr>
          <w:rFonts w:ascii="Arial" w:eastAsiaTheme="minorHAnsi" w:hAnsi="Arial" w:cs="Arial"/>
          <w:b/>
          <w:lang w:eastAsia="en-US"/>
        </w:rPr>
        <w:t>PHLN</w:t>
      </w:r>
      <w:r w:rsidR="00C644F6" w:rsidRPr="006601CC">
        <w:rPr>
          <w:rFonts w:ascii="Arial" w:eastAsiaTheme="minorHAnsi" w:hAnsi="Arial" w:cs="Arial"/>
          <w:lang w:eastAsia="en-US"/>
        </w:rPr>
        <w:t xml:space="preserve"> (</w:t>
      </w:r>
      <w:r w:rsidR="00DB46D3">
        <w:rPr>
          <w:rFonts w:ascii="Arial" w:eastAsiaTheme="minorHAnsi" w:hAnsi="Arial" w:cs="Arial"/>
          <w:lang w:eastAsia="en-US"/>
        </w:rPr>
        <w:t>F</w:t>
      </w:r>
      <w:r w:rsidR="00C644F6" w:rsidRPr="006601CC">
        <w:rPr>
          <w:rFonts w:ascii="Arial" w:eastAsiaTheme="minorHAnsi" w:hAnsi="Arial" w:cs="Arial"/>
          <w:lang w:eastAsia="en-US"/>
        </w:rPr>
        <w:t>igure 1).</w:t>
      </w:r>
    </w:p>
    <w:p w14:paraId="7F474FCE" w14:textId="77777777" w:rsidR="00B7500E" w:rsidRPr="00D029D1" w:rsidRDefault="00B7500E" w:rsidP="00B7500E">
      <w:pPr>
        <w:pStyle w:val="Heading2"/>
      </w:pPr>
      <w:bookmarkStart w:id="10" w:name="_Toc514227115"/>
      <w:r w:rsidRPr="00D029D1">
        <w:t xml:space="preserve">Priority Area </w:t>
      </w:r>
      <w:r w:rsidR="00D16756">
        <w:t>3</w:t>
      </w:r>
      <w:r w:rsidRPr="00D029D1">
        <w:t>: Education and Awareness</w:t>
      </w:r>
      <w:bookmarkEnd w:id="10"/>
    </w:p>
    <w:p w14:paraId="7F474FCF" w14:textId="77777777" w:rsidR="00D13F8E" w:rsidRDefault="00D16300" w:rsidP="00D029D1">
      <w:pPr>
        <w:spacing w:after="200" w:line="276" w:lineRule="auto"/>
        <w:rPr>
          <w:rFonts w:ascii="Arial" w:hAnsi="Arial"/>
        </w:rPr>
      </w:pPr>
      <w:r>
        <w:rPr>
          <w:rFonts w:ascii="Arial" w:eastAsiaTheme="minorHAnsi" w:hAnsi="Arial" w:cs="Arial"/>
          <w:lang w:eastAsia="en-US"/>
        </w:rPr>
        <w:t xml:space="preserve">Access to consistent and appropriate (socially, culturally and </w:t>
      </w:r>
      <w:r w:rsidR="00F4258F">
        <w:rPr>
          <w:rFonts w:ascii="Arial" w:eastAsiaTheme="minorHAnsi" w:hAnsi="Arial" w:cs="Arial"/>
          <w:lang w:eastAsia="en-US"/>
        </w:rPr>
        <w:t>for the setting</w:t>
      </w:r>
      <w:r>
        <w:rPr>
          <w:rFonts w:ascii="Arial" w:eastAsiaTheme="minorHAnsi" w:hAnsi="Arial" w:cs="Arial"/>
          <w:lang w:eastAsia="en-US"/>
        </w:rPr>
        <w:t>) resources for at-risk communities and the health workforce servicing these areas, is an essential element in STI control.  Community education,</w:t>
      </w:r>
      <w:r w:rsidR="00D029D1">
        <w:rPr>
          <w:rFonts w:ascii="Arial" w:eastAsiaTheme="minorHAnsi" w:hAnsi="Arial" w:cs="Arial"/>
          <w:lang w:eastAsia="en-US"/>
        </w:rPr>
        <w:t xml:space="preserve"> health promotion and </w:t>
      </w:r>
      <w:r w:rsidR="00D029D1" w:rsidRPr="00F26CD9">
        <w:rPr>
          <w:rFonts w:ascii="Arial" w:eastAsiaTheme="minorHAnsi" w:hAnsi="Arial" w:cs="Arial"/>
          <w:lang w:eastAsia="en-US"/>
        </w:rPr>
        <w:t>campaign activities focussing on safe sex practices, including condom use</w:t>
      </w:r>
      <w:r w:rsidR="00D029D1">
        <w:rPr>
          <w:rFonts w:ascii="Arial" w:eastAsiaTheme="minorHAnsi" w:hAnsi="Arial" w:cs="Arial"/>
          <w:lang w:eastAsia="en-US"/>
        </w:rPr>
        <w:t xml:space="preserve"> and nor</w:t>
      </w:r>
      <w:r>
        <w:rPr>
          <w:rFonts w:ascii="Arial" w:eastAsiaTheme="minorHAnsi" w:hAnsi="Arial" w:cs="Arial"/>
          <w:lang w:eastAsia="en-US"/>
        </w:rPr>
        <w:t xml:space="preserve">malising testing and treatment, provide tools for vulnerable </w:t>
      </w:r>
      <w:r w:rsidR="00F27F9B">
        <w:rPr>
          <w:rFonts w:ascii="Arial" w:eastAsiaTheme="minorHAnsi" w:hAnsi="Arial" w:cs="Arial"/>
          <w:lang w:eastAsia="en-US"/>
        </w:rPr>
        <w:t xml:space="preserve">people to make informed decisions about their sexual and reproductive health. </w:t>
      </w:r>
      <w:r w:rsidR="00D029D1">
        <w:rPr>
          <w:rFonts w:ascii="Arial" w:hAnsi="Arial"/>
        </w:rPr>
        <w:t xml:space="preserve">  Ensuring health care workers, particularly those in remote settings, </w:t>
      </w:r>
      <w:r w:rsidR="00F27F9B">
        <w:rPr>
          <w:rFonts w:ascii="Arial" w:hAnsi="Arial"/>
        </w:rPr>
        <w:t>are supported through</w:t>
      </w:r>
      <w:r w:rsidR="00681818">
        <w:rPr>
          <w:rFonts w:ascii="Arial" w:hAnsi="Arial"/>
        </w:rPr>
        <w:t xml:space="preserve"> orientation processes for new staff, on-going </w:t>
      </w:r>
      <w:r w:rsidR="00F27F9B">
        <w:rPr>
          <w:rFonts w:ascii="Arial" w:hAnsi="Arial"/>
        </w:rPr>
        <w:t xml:space="preserve">training and guidance around best practice will contribute to building capacity within the health services and retention of staff. </w:t>
      </w:r>
    </w:p>
    <w:p w14:paraId="7F474FD0" w14:textId="77777777" w:rsidR="00D029D1" w:rsidRDefault="00D029D1" w:rsidP="00D029D1">
      <w:pPr>
        <w:spacing w:after="200" w:line="276" w:lineRule="auto"/>
        <w:rPr>
          <w:rFonts w:ascii="Arial" w:eastAsiaTheme="minorHAnsi" w:hAnsi="Arial" w:cs="Arial"/>
          <w:i/>
          <w:lang w:eastAsia="en-US"/>
        </w:rPr>
      </w:pPr>
      <w:r w:rsidRPr="004A231F">
        <w:rPr>
          <w:rFonts w:ascii="Arial" w:eastAsiaTheme="minorHAnsi" w:hAnsi="Arial" w:cs="Arial"/>
          <w:i/>
          <w:lang w:eastAsia="en-US"/>
        </w:rPr>
        <w:t>Short term actions</w:t>
      </w:r>
    </w:p>
    <w:p w14:paraId="7F474FD1" w14:textId="77777777" w:rsidR="00D029D1" w:rsidRPr="00F26CD9" w:rsidRDefault="00681818" w:rsidP="00D029D1">
      <w:pPr>
        <w:spacing w:after="200" w:line="276" w:lineRule="auto"/>
        <w:rPr>
          <w:rFonts w:ascii="Arial" w:eastAsiaTheme="minorHAnsi" w:hAnsi="Arial" w:cs="Arial"/>
          <w:lang w:eastAsia="en-US"/>
        </w:rPr>
      </w:pPr>
      <w:r>
        <w:rPr>
          <w:rFonts w:ascii="Arial" w:hAnsi="Arial"/>
        </w:rPr>
        <w:lastRenderedPageBreak/>
        <w:t>Meeting the education needs of the community and health care workers, and increasing awareness among these groups requires</w:t>
      </w:r>
      <w:r w:rsidR="005C682A">
        <w:rPr>
          <w:rFonts w:ascii="Arial" w:hAnsi="Arial"/>
        </w:rPr>
        <w:t xml:space="preserve"> the following</w:t>
      </w:r>
      <w:r>
        <w:rPr>
          <w:rFonts w:ascii="Arial" w:hAnsi="Arial"/>
        </w:rPr>
        <w:t xml:space="preserve"> action</w:t>
      </w:r>
      <w:r w:rsidR="00DB46D3">
        <w:rPr>
          <w:rFonts w:ascii="Arial" w:hAnsi="Arial"/>
        </w:rPr>
        <w:t>s</w:t>
      </w:r>
      <w:r w:rsidR="00487B2F">
        <w:rPr>
          <w:rFonts w:ascii="Arial" w:hAnsi="Arial"/>
        </w:rPr>
        <w:t xml:space="preserve"> to be undertaken</w:t>
      </w:r>
      <w:r w:rsidR="00D029D1">
        <w:rPr>
          <w:rFonts w:ascii="Arial" w:hAnsi="Arial"/>
        </w:rPr>
        <w:t>:</w:t>
      </w:r>
    </w:p>
    <w:p w14:paraId="7F474FD2" w14:textId="77777777" w:rsidR="009F6297" w:rsidRPr="00525A05" w:rsidRDefault="00DC5D98" w:rsidP="00525A05">
      <w:pPr>
        <w:pStyle w:val="ListParagraph"/>
        <w:numPr>
          <w:ilvl w:val="0"/>
          <w:numId w:val="18"/>
        </w:numPr>
        <w:spacing w:after="200" w:line="276" w:lineRule="auto"/>
        <w:ind w:left="709" w:hanging="425"/>
        <w:rPr>
          <w:rFonts w:ascii="Arial" w:eastAsiaTheme="minorHAnsi" w:hAnsi="Arial" w:cs="Arial"/>
          <w:lang w:eastAsia="en-US"/>
        </w:rPr>
      </w:pPr>
      <w:r>
        <w:rPr>
          <w:rFonts w:ascii="Arial" w:eastAsiaTheme="minorHAnsi" w:hAnsi="Arial" w:cs="Arial"/>
          <w:lang w:eastAsia="en-US"/>
        </w:rPr>
        <w:t>Examine</w:t>
      </w:r>
      <w:r w:rsidR="00525A05" w:rsidRPr="00525A05">
        <w:rPr>
          <w:rFonts w:ascii="Arial" w:eastAsiaTheme="minorHAnsi" w:hAnsi="Arial" w:cs="Arial"/>
          <w:lang w:eastAsia="en-US"/>
        </w:rPr>
        <w:t xml:space="preserve"> </w:t>
      </w:r>
      <w:r w:rsidR="00525A05">
        <w:rPr>
          <w:rFonts w:ascii="Arial" w:eastAsiaTheme="minorHAnsi" w:hAnsi="Arial" w:cs="Arial"/>
          <w:lang w:eastAsia="en-US"/>
        </w:rPr>
        <w:t xml:space="preserve">existing </w:t>
      </w:r>
      <w:r w:rsidR="00D029D1" w:rsidRPr="00525A05">
        <w:rPr>
          <w:rFonts w:ascii="Arial" w:eastAsiaTheme="minorHAnsi" w:hAnsi="Arial" w:cs="Arial"/>
          <w:lang w:eastAsia="en-US"/>
        </w:rPr>
        <w:t xml:space="preserve">web based resources for </w:t>
      </w:r>
      <w:r w:rsidR="00472722" w:rsidRPr="00525A05">
        <w:rPr>
          <w:rFonts w:ascii="Arial" w:eastAsiaTheme="minorHAnsi" w:hAnsi="Arial" w:cs="Arial"/>
          <w:lang w:eastAsia="en-US"/>
        </w:rPr>
        <w:t>health professionals</w:t>
      </w:r>
      <w:r w:rsidR="00525A05">
        <w:rPr>
          <w:rFonts w:ascii="Arial" w:eastAsiaTheme="minorHAnsi" w:hAnsi="Arial" w:cs="Arial"/>
          <w:lang w:eastAsia="en-US"/>
        </w:rPr>
        <w:t xml:space="preserve"> and if needed, d</w:t>
      </w:r>
      <w:r w:rsidR="009F6297" w:rsidRPr="00525A05">
        <w:rPr>
          <w:rFonts w:ascii="Arial" w:hAnsi="Arial" w:cs="Arial"/>
        </w:rPr>
        <w:t>evelop new resources that incorporate PoC testing awareness</w:t>
      </w:r>
      <w:r w:rsidR="0002738B">
        <w:rPr>
          <w:rFonts w:ascii="Arial" w:hAnsi="Arial" w:cs="Arial"/>
        </w:rPr>
        <w:t>.</w:t>
      </w:r>
    </w:p>
    <w:p w14:paraId="7F474FD3" w14:textId="77777777" w:rsidR="00D029D1" w:rsidRPr="00392657" w:rsidRDefault="009B30D5" w:rsidP="004F6FCF">
      <w:pPr>
        <w:pStyle w:val="ListParagraph"/>
        <w:numPr>
          <w:ilvl w:val="0"/>
          <w:numId w:val="18"/>
        </w:numPr>
        <w:spacing w:after="200" w:line="276" w:lineRule="auto"/>
        <w:ind w:left="709" w:hanging="425"/>
        <w:rPr>
          <w:rFonts w:ascii="Arial" w:eastAsiaTheme="minorHAnsi" w:hAnsi="Arial" w:cs="Arial"/>
          <w:lang w:eastAsia="en-US"/>
        </w:rPr>
      </w:pPr>
      <w:r>
        <w:rPr>
          <w:rFonts w:ascii="Arial" w:hAnsi="Arial" w:cs="Arial"/>
        </w:rPr>
        <w:t>C</w:t>
      </w:r>
      <w:r w:rsidR="002B1801">
        <w:rPr>
          <w:rFonts w:ascii="Arial" w:hAnsi="Arial" w:cs="Arial"/>
        </w:rPr>
        <w:t>ommunicat</w:t>
      </w:r>
      <w:r>
        <w:rPr>
          <w:rFonts w:ascii="Arial" w:hAnsi="Arial" w:cs="Arial"/>
        </w:rPr>
        <w:t xml:space="preserve">e </w:t>
      </w:r>
      <w:r w:rsidR="005059EA">
        <w:rPr>
          <w:rFonts w:ascii="Arial" w:hAnsi="Arial" w:cs="Arial"/>
        </w:rPr>
        <w:t>outbreak advice, guidance on case management and other</w:t>
      </w:r>
      <w:r>
        <w:rPr>
          <w:rFonts w:ascii="Arial" w:hAnsi="Arial" w:cs="Arial"/>
        </w:rPr>
        <w:t xml:space="preserve"> resources</w:t>
      </w:r>
      <w:r w:rsidR="00D029D1" w:rsidRPr="00392657">
        <w:rPr>
          <w:rFonts w:ascii="Arial" w:hAnsi="Arial" w:cs="Arial"/>
        </w:rPr>
        <w:t xml:space="preserve"> </w:t>
      </w:r>
      <w:r w:rsidR="00487B2F">
        <w:rPr>
          <w:rFonts w:ascii="Arial" w:hAnsi="Arial" w:cs="Arial"/>
        </w:rPr>
        <w:t xml:space="preserve">to </w:t>
      </w:r>
      <w:r w:rsidR="005059EA">
        <w:rPr>
          <w:rFonts w:ascii="Arial" w:hAnsi="Arial" w:cs="Arial"/>
        </w:rPr>
        <w:t>doctors</w:t>
      </w:r>
      <w:r w:rsidR="009F6297">
        <w:rPr>
          <w:rFonts w:ascii="Arial" w:hAnsi="Arial" w:cs="Arial"/>
        </w:rPr>
        <w:t>, Aboriginal Health Workers (AHW</w:t>
      </w:r>
      <w:r w:rsidR="00C47CFF">
        <w:rPr>
          <w:rFonts w:ascii="Arial" w:hAnsi="Arial" w:cs="Arial"/>
        </w:rPr>
        <w:t>s</w:t>
      </w:r>
      <w:r w:rsidR="009F6297">
        <w:rPr>
          <w:rFonts w:ascii="Arial" w:hAnsi="Arial" w:cs="Arial"/>
        </w:rPr>
        <w:t>) and Remote Area Nurses (RAN</w:t>
      </w:r>
      <w:r w:rsidR="00C47CFF">
        <w:rPr>
          <w:rFonts w:ascii="Arial" w:hAnsi="Arial" w:cs="Arial"/>
        </w:rPr>
        <w:t>s</w:t>
      </w:r>
      <w:r w:rsidR="009F6297">
        <w:rPr>
          <w:rFonts w:ascii="Arial" w:hAnsi="Arial" w:cs="Arial"/>
        </w:rPr>
        <w:t>)</w:t>
      </w:r>
      <w:r w:rsidR="00D029D1" w:rsidRPr="00392657">
        <w:rPr>
          <w:rFonts w:ascii="Arial" w:hAnsi="Arial" w:cs="Arial"/>
        </w:rPr>
        <w:t xml:space="preserve"> through existing Commonwealth network</w:t>
      </w:r>
      <w:r w:rsidR="00C56787">
        <w:rPr>
          <w:rFonts w:ascii="Arial" w:hAnsi="Arial" w:cs="Arial"/>
        </w:rPr>
        <w:t>s, including the GP Roundtable</w:t>
      </w:r>
      <w:r w:rsidR="008217BD">
        <w:rPr>
          <w:rFonts w:ascii="Arial" w:hAnsi="Arial" w:cs="Arial"/>
        </w:rPr>
        <w:t>,</w:t>
      </w:r>
      <w:r w:rsidR="00525A05" w:rsidRPr="00392657">
        <w:rPr>
          <w:rFonts w:ascii="Arial" w:eastAsiaTheme="minorHAnsi" w:hAnsi="Arial" w:cs="Arial"/>
          <w:lang w:eastAsia="en-US"/>
        </w:rPr>
        <w:t xml:space="preserve"> the Young, Deadly, </w:t>
      </w:r>
      <w:r w:rsidR="00525A05">
        <w:rPr>
          <w:rFonts w:ascii="Arial" w:eastAsiaTheme="minorHAnsi" w:hAnsi="Arial" w:cs="Arial"/>
          <w:lang w:eastAsia="en-US"/>
        </w:rPr>
        <w:t xml:space="preserve">Syphilis </w:t>
      </w:r>
      <w:r w:rsidR="00525A05" w:rsidRPr="00392657">
        <w:rPr>
          <w:rFonts w:ascii="Arial" w:eastAsiaTheme="minorHAnsi" w:hAnsi="Arial" w:cs="Arial"/>
          <w:lang w:eastAsia="en-US"/>
        </w:rPr>
        <w:t>Free Campaign</w:t>
      </w:r>
      <w:r w:rsidR="008217BD">
        <w:rPr>
          <w:rFonts w:ascii="Arial" w:eastAsiaTheme="minorHAnsi" w:hAnsi="Arial" w:cs="Arial"/>
          <w:lang w:eastAsia="en-US"/>
        </w:rPr>
        <w:t xml:space="preserve"> and other professional networks</w:t>
      </w:r>
      <w:r w:rsidR="0002738B">
        <w:rPr>
          <w:rFonts w:ascii="Arial" w:hAnsi="Arial" w:cs="Arial"/>
        </w:rPr>
        <w:t>.</w:t>
      </w:r>
    </w:p>
    <w:p w14:paraId="7F474FD4" w14:textId="77777777" w:rsidR="00003534" w:rsidRPr="00003534" w:rsidRDefault="00003534" w:rsidP="00003534">
      <w:pPr>
        <w:pStyle w:val="ListParagraph"/>
        <w:numPr>
          <w:ilvl w:val="0"/>
          <w:numId w:val="18"/>
        </w:numPr>
        <w:spacing w:after="200" w:line="276" w:lineRule="auto"/>
        <w:ind w:left="709" w:hanging="425"/>
        <w:rPr>
          <w:rFonts w:ascii="Arial" w:hAnsi="Arial" w:cs="Arial"/>
        </w:rPr>
      </w:pPr>
      <w:r w:rsidRPr="00003534">
        <w:rPr>
          <w:rFonts w:ascii="Arial" w:hAnsi="Arial" w:cs="Arial"/>
        </w:rPr>
        <w:t>Develop</w:t>
      </w:r>
      <w:r w:rsidR="000F6640">
        <w:rPr>
          <w:rFonts w:ascii="Arial" w:hAnsi="Arial" w:cs="Arial"/>
        </w:rPr>
        <w:t xml:space="preserve"> and</w:t>
      </w:r>
      <w:r w:rsidRPr="00003534">
        <w:rPr>
          <w:rFonts w:ascii="Arial" w:hAnsi="Arial" w:cs="Arial"/>
        </w:rPr>
        <w:t xml:space="preserve"> implement an awareness and education strategy </w:t>
      </w:r>
      <w:r w:rsidR="000F6640">
        <w:rPr>
          <w:rFonts w:ascii="Arial" w:hAnsi="Arial" w:cs="Arial"/>
        </w:rPr>
        <w:t xml:space="preserve">(taking account of existing or recent </w:t>
      </w:r>
      <w:r w:rsidR="00A6687E">
        <w:rPr>
          <w:rFonts w:ascii="Arial" w:hAnsi="Arial" w:cs="Arial"/>
        </w:rPr>
        <w:t>initiatives</w:t>
      </w:r>
      <w:r w:rsidR="000F6640">
        <w:rPr>
          <w:rFonts w:ascii="Arial" w:hAnsi="Arial" w:cs="Arial"/>
        </w:rPr>
        <w:t xml:space="preserve">) that targets </w:t>
      </w:r>
      <w:r w:rsidRPr="00003534">
        <w:rPr>
          <w:rFonts w:ascii="Arial" w:hAnsi="Arial" w:cs="Arial"/>
        </w:rPr>
        <w:t xml:space="preserve">young people living in </w:t>
      </w:r>
      <w:r w:rsidR="0093305E">
        <w:rPr>
          <w:rFonts w:ascii="Arial" w:hAnsi="Arial" w:cs="Arial"/>
        </w:rPr>
        <w:t xml:space="preserve">areas of need </w:t>
      </w:r>
      <w:r w:rsidRPr="00003534">
        <w:rPr>
          <w:rFonts w:ascii="Arial" w:hAnsi="Arial" w:cs="Arial"/>
        </w:rPr>
        <w:t xml:space="preserve">with </w:t>
      </w:r>
      <w:r w:rsidR="000F6640">
        <w:rPr>
          <w:rFonts w:ascii="Arial" w:hAnsi="Arial" w:cs="Arial"/>
        </w:rPr>
        <w:t>the aim of addressing immediate outbreaks. Strategy</w:t>
      </w:r>
      <w:r w:rsidRPr="00003534">
        <w:rPr>
          <w:rFonts w:ascii="Arial" w:hAnsi="Arial" w:cs="Arial"/>
        </w:rPr>
        <w:t xml:space="preserve"> emphasis on:</w:t>
      </w:r>
    </w:p>
    <w:p w14:paraId="7F474FD5" w14:textId="77777777" w:rsidR="00003534" w:rsidRDefault="00003534" w:rsidP="00003534">
      <w:pPr>
        <w:pStyle w:val="ListParagraph"/>
        <w:numPr>
          <w:ilvl w:val="0"/>
          <w:numId w:val="47"/>
        </w:numPr>
        <w:spacing w:after="200" w:line="276" w:lineRule="auto"/>
        <w:ind w:left="1418" w:hanging="709"/>
        <w:rPr>
          <w:rFonts w:ascii="Arial" w:hAnsi="Arial" w:cs="Arial"/>
        </w:rPr>
      </w:pPr>
      <w:r w:rsidRPr="00625751">
        <w:rPr>
          <w:rFonts w:ascii="Arial" w:hAnsi="Arial" w:cs="Arial"/>
        </w:rPr>
        <w:t>young women</w:t>
      </w:r>
      <w:r>
        <w:rPr>
          <w:rFonts w:ascii="Arial" w:hAnsi="Arial" w:cs="Arial"/>
        </w:rPr>
        <w:t>;</w:t>
      </w:r>
    </w:p>
    <w:p w14:paraId="7F474FD6" w14:textId="77777777" w:rsidR="00003534" w:rsidRDefault="00003534" w:rsidP="00003534">
      <w:pPr>
        <w:pStyle w:val="ListParagraph"/>
        <w:numPr>
          <w:ilvl w:val="0"/>
          <w:numId w:val="47"/>
        </w:numPr>
        <w:spacing w:after="200" w:line="276" w:lineRule="auto"/>
        <w:ind w:left="1418" w:hanging="709"/>
        <w:rPr>
          <w:rFonts w:ascii="Arial" w:hAnsi="Arial" w:cs="Arial"/>
        </w:rPr>
      </w:pPr>
      <w:r w:rsidRPr="00625751">
        <w:rPr>
          <w:rFonts w:ascii="Arial" w:hAnsi="Arial" w:cs="Arial"/>
        </w:rPr>
        <w:t>ramifications of long term infections</w:t>
      </w:r>
      <w:r>
        <w:rPr>
          <w:rFonts w:ascii="Arial" w:hAnsi="Arial" w:cs="Arial"/>
        </w:rPr>
        <w:t>;</w:t>
      </w:r>
      <w:r w:rsidRPr="00625751">
        <w:rPr>
          <w:rFonts w:ascii="Arial" w:hAnsi="Arial" w:cs="Arial"/>
        </w:rPr>
        <w:t xml:space="preserve"> and </w:t>
      </w:r>
    </w:p>
    <w:p w14:paraId="7F474FD7" w14:textId="77777777" w:rsidR="00003534" w:rsidRDefault="00003534" w:rsidP="00003534">
      <w:pPr>
        <w:pStyle w:val="ListParagraph"/>
        <w:numPr>
          <w:ilvl w:val="0"/>
          <w:numId w:val="47"/>
        </w:numPr>
        <w:spacing w:after="200" w:line="276" w:lineRule="auto"/>
        <w:ind w:left="1418" w:hanging="709"/>
        <w:rPr>
          <w:rFonts w:ascii="Arial" w:hAnsi="Arial" w:cs="Arial"/>
        </w:rPr>
      </w:pPr>
      <w:r w:rsidRPr="00625751">
        <w:rPr>
          <w:rFonts w:ascii="Arial" w:hAnsi="Arial" w:cs="Arial"/>
        </w:rPr>
        <w:t xml:space="preserve">highlighting the importance of engagement with </w:t>
      </w:r>
      <w:r>
        <w:rPr>
          <w:rFonts w:ascii="Arial" w:hAnsi="Arial" w:cs="Arial"/>
        </w:rPr>
        <w:t xml:space="preserve">antenatal care </w:t>
      </w:r>
      <w:r w:rsidR="00487B2F">
        <w:rPr>
          <w:rFonts w:ascii="Arial" w:hAnsi="Arial" w:cs="Arial"/>
        </w:rPr>
        <w:t>(</w:t>
      </w:r>
      <w:r w:rsidRPr="00625751">
        <w:rPr>
          <w:rFonts w:ascii="Arial" w:hAnsi="Arial" w:cs="Arial"/>
        </w:rPr>
        <w:t>ANC</w:t>
      </w:r>
      <w:r w:rsidR="00487B2F">
        <w:rPr>
          <w:rFonts w:ascii="Arial" w:hAnsi="Arial" w:cs="Arial"/>
        </w:rPr>
        <w:t>)</w:t>
      </w:r>
      <w:r w:rsidRPr="00625751">
        <w:rPr>
          <w:rFonts w:ascii="Arial" w:hAnsi="Arial" w:cs="Arial"/>
        </w:rPr>
        <w:t xml:space="preserve"> services early in pregnancy</w:t>
      </w:r>
      <w:r>
        <w:rPr>
          <w:rFonts w:ascii="Arial" w:hAnsi="Arial" w:cs="Arial"/>
        </w:rPr>
        <w:t>.</w:t>
      </w:r>
    </w:p>
    <w:p w14:paraId="7F474FD8" w14:textId="77777777" w:rsidR="00D029D1" w:rsidRPr="000D1E35" w:rsidRDefault="00D029D1" w:rsidP="00D029D1">
      <w:pPr>
        <w:spacing w:after="200" w:line="276" w:lineRule="auto"/>
        <w:rPr>
          <w:rFonts w:ascii="Arial" w:eastAsiaTheme="minorHAnsi" w:hAnsi="Arial" w:cs="Arial"/>
          <w:i/>
          <w:lang w:eastAsia="en-US"/>
        </w:rPr>
      </w:pPr>
      <w:r w:rsidRPr="000D1E35">
        <w:rPr>
          <w:rFonts w:ascii="Arial" w:eastAsiaTheme="minorHAnsi" w:hAnsi="Arial" w:cs="Arial"/>
          <w:i/>
          <w:lang w:eastAsia="en-US"/>
        </w:rPr>
        <w:t>Long term actions</w:t>
      </w:r>
    </w:p>
    <w:p w14:paraId="7F474FD9" w14:textId="77777777" w:rsidR="00D029D1" w:rsidRPr="000D1E35" w:rsidRDefault="000D1E35" w:rsidP="00D029D1">
      <w:pPr>
        <w:spacing w:after="200" w:line="276" w:lineRule="auto"/>
        <w:rPr>
          <w:rFonts w:ascii="Arial" w:eastAsiaTheme="minorHAnsi" w:hAnsi="Arial" w:cs="Arial"/>
          <w:lang w:eastAsia="en-US"/>
        </w:rPr>
      </w:pPr>
      <w:r w:rsidRPr="000D1E35">
        <w:rPr>
          <w:rFonts w:ascii="Arial" w:hAnsi="Arial"/>
        </w:rPr>
        <w:t xml:space="preserve">Capacity building and leveraging of the successes of historical education and health </w:t>
      </w:r>
      <w:r w:rsidR="00C61333">
        <w:rPr>
          <w:rFonts w:ascii="Arial" w:hAnsi="Arial"/>
        </w:rPr>
        <w:t xml:space="preserve">promotion </w:t>
      </w:r>
      <w:r w:rsidRPr="000D1E35">
        <w:rPr>
          <w:rFonts w:ascii="Arial" w:hAnsi="Arial"/>
        </w:rPr>
        <w:t>campaigns will, over the long term, create efficiencies and embed effective STI control measures into health services and within at-risk communities.</w:t>
      </w:r>
      <w:r>
        <w:rPr>
          <w:rFonts w:ascii="Arial" w:hAnsi="Arial"/>
        </w:rPr>
        <w:t xml:space="preserve">  Education and awareness areas requiring action include: </w:t>
      </w:r>
    </w:p>
    <w:p w14:paraId="7F474FDA" w14:textId="77777777" w:rsidR="00B32FE9" w:rsidRPr="004F6FCF" w:rsidRDefault="00B32FE9" w:rsidP="00003534">
      <w:pPr>
        <w:pStyle w:val="ListParagraph"/>
        <w:numPr>
          <w:ilvl w:val="0"/>
          <w:numId w:val="49"/>
        </w:numPr>
        <w:spacing w:after="200" w:line="276" w:lineRule="auto"/>
        <w:ind w:left="709" w:hanging="425"/>
        <w:rPr>
          <w:rFonts w:ascii="Arial" w:hAnsi="Arial" w:cs="Arial"/>
        </w:rPr>
      </w:pPr>
      <w:r w:rsidRPr="004F6FCF">
        <w:rPr>
          <w:rFonts w:ascii="Arial" w:hAnsi="Arial" w:cs="Arial"/>
        </w:rPr>
        <w:t>Consider opportunities to improve sexual health education in schools</w:t>
      </w:r>
      <w:r w:rsidRPr="004F6FCF">
        <w:t xml:space="preserve"> </w:t>
      </w:r>
      <w:r w:rsidRPr="004F6FCF">
        <w:rPr>
          <w:rFonts w:ascii="Arial" w:hAnsi="Arial" w:cs="Arial"/>
        </w:rPr>
        <w:t xml:space="preserve">for 13-19 year olds, with the long term plan of starting sexual health education from age 10.  </w:t>
      </w:r>
    </w:p>
    <w:p w14:paraId="7F474FDB" w14:textId="77777777" w:rsidR="00D16756" w:rsidRPr="00B32FE9" w:rsidRDefault="000A780A" w:rsidP="00003534">
      <w:pPr>
        <w:pStyle w:val="ListParagraph"/>
        <w:numPr>
          <w:ilvl w:val="0"/>
          <w:numId w:val="49"/>
        </w:numPr>
        <w:autoSpaceDE w:val="0"/>
        <w:autoSpaceDN w:val="0"/>
        <w:adjustRightInd w:val="0"/>
        <w:ind w:left="709" w:hanging="425"/>
        <w:rPr>
          <w:rFonts w:ascii="Arial" w:hAnsi="Arial" w:cs="Arial"/>
        </w:rPr>
      </w:pPr>
      <w:r>
        <w:rPr>
          <w:rFonts w:ascii="Arial" w:hAnsi="Arial" w:cs="Arial"/>
        </w:rPr>
        <w:t>Urgently work with content owners to a</w:t>
      </w:r>
      <w:r w:rsidR="00B32FE9" w:rsidRPr="00B32FE9">
        <w:rPr>
          <w:rFonts w:ascii="Arial" w:hAnsi="Arial" w:cs="Arial"/>
        </w:rPr>
        <w:t xml:space="preserve">lign existing clinical manuals so that they are consistent across all remote areas: </w:t>
      </w:r>
      <w:r>
        <w:rPr>
          <w:rFonts w:ascii="Arial" w:hAnsi="Arial" w:cs="Arial"/>
        </w:rPr>
        <w:t>Remote Primary Health Care (</w:t>
      </w:r>
      <w:r w:rsidR="00B32FE9" w:rsidRPr="00B32FE9">
        <w:rPr>
          <w:rFonts w:ascii="Arial" w:hAnsi="Arial" w:cs="Arial"/>
        </w:rPr>
        <w:t>CARPA</w:t>
      </w:r>
      <w:r>
        <w:rPr>
          <w:rFonts w:ascii="Arial" w:hAnsi="Arial" w:cs="Arial"/>
        </w:rPr>
        <w:t>) manuals</w:t>
      </w:r>
      <w:r w:rsidR="00B32FE9" w:rsidRPr="00B32FE9">
        <w:rPr>
          <w:rFonts w:ascii="Arial" w:hAnsi="Arial" w:cs="Arial"/>
        </w:rPr>
        <w:t>, Silver Book and Queensland Primary Care Manual. Develop additional resources as necessary</w:t>
      </w:r>
      <w:r w:rsidR="000F6640">
        <w:rPr>
          <w:rFonts w:ascii="Arial" w:hAnsi="Arial" w:cs="Arial"/>
        </w:rPr>
        <w:t>.</w:t>
      </w:r>
    </w:p>
    <w:p w14:paraId="7F474FDC" w14:textId="77777777" w:rsidR="00D029D1" w:rsidRPr="000D1E35" w:rsidRDefault="000D1E35" w:rsidP="00003534">
      <w:pPr>
        <w:pStyle w:val="ListParagraph"/>
        <w:numPr>
          <w:ilvl w:val="0"/>
          <w:numId w:val="49"/>
        </w:numPr>
        <w:autoSpaceDE w:val="0"/>
        <w:autoSpaceDN w:val="0"/>
        <w:adjustRightInd w:val="0"/>
        <w:ind w:left="709" w:hanging="425"/>
        <w:rPr>
          <w:rFonts w:ascii="Arial" w:hAnsi="Arial" w:cs="Arial"/>
        </w:rPr>
      </w:pPr>
      <w:r w:rsidRPr="000D1E35">
        <w:rPr>
          <w:rFonts w:ascii="Arial" w:hAnsi="Arial" w:cs="Arial"/>
        </w:rPr>
        <w:t xml:space="preserve">Identify </w:t>
      </w:r>
      <w:r w:rsidR="00D029D1" w:rsidRPr="000D1E35">
        <w:rPr>
          <w:rFonts w:ascii="Arial" w:hAnsi="Arial" w:cs="Arial"/>
        </w:rPr>
        <w:t>opportunities</w:t>
      </w:r>
      <w:r w:rsidRPr="000D1E35">
        <w:rPr>
          <w:rFonts w:ascii="Arial" w:hAnsi="Arial" w:cs="Arial"/>
        </w:rPr>
        <w:t xml:space="preserve"> to include more comprehensive education and training for GPs</w:t>
      </w:r>
      <w:r w:rsidR="00C47CFF">
        <w:rPr>
          <w:rFonts w:ascii="Arial" w:hAnsi="Arial" w:cs="Arial"/>
        </w:rPr>
        <w:t>, AHWs and RNs</w:t>
      </w:r>
      <w:r w:rsidR="000A780A">
        <w:rPr>
          <w:rFonts w:ascii="Arial" w:hAnsi="Arial" w:cs="Arial"/>
        </w:rPr>
        <w:t>, including consideration of professional qualification opportunities</w:t>
      </w:r>
      <w:r w:rsidR="000F6640">
        <w:rPr>
          <w:rFonts w:ascii="Arial" w:hAnsi="Arial" w:cs="Arial"/>
        </w:rPr>
        <w:t>.</w:t>
      </w:r>
      <w:r w:rsidR="00D357CB">
        <w:rPr>
          <w:rFonts w:ascii="Arial" w:hAnsi="Arial" w:cs="Arial"/>
        </w:rPr>
        <w:t xml:space="preserve"> </w:t>
      </w:r>
    </w:p>
    <w:p w14:paraId="7F474FDD" w14:textId="77777777" w:rsidR="00D029D1" w:rsidRPr="000F6640" w:rsidRDefault="000F6640" w:rsidP="00003534">
      <w:pPr>
        <w:pStyle w:val="ListParagraph"/>
        <w:numPr>
          <w:ilvl w:val="0"/>
          <w:numId w:val="49"/>
        </w:numPr>
        <w:autoSpaceDE w:val="0"/>
        <w:autoSpaceDN w:val="0"/>
        <w:adjustRightInd w:val="0"/>
        <w:ind w:left="709" w:hanging="425"/>
        <w:rPr>
          <w:rFonts w:ascii="Arial" w:hAnsi="Arial" w:cs="Arial"/>
          <w:bCs/>
        </w:rPr>
      </w:pPr>
      <w:r>
        <w:rPr>
          <w:rFonts w:ascii="Arial" w:hAnsi="Arial" w:cs="Arial"/>
        </w:rPr>
        <w:t>Undertake</w:t>
      </w:r>
      <w:r w:rsidR="00E1590D">
        <w:rPr>
          <w:rFonts w:ascii="Arial" w:hAnsi="Arial" w:cs="Arial"/>
        </w:rPr>
        <w:t xml:space="preserve"> a comprehensive stocktake of previous sexual health campaigns and any related evaluations with the aim to develop a guiding principles document or toolbox of education/health promotion activities that have/haven’t worked and guidance around education.</w:t>
      </w:r>
      <w:r w:rsidR="00D357CB">
        <w:rPr>
          <w:rFonts w:ascii="Arial" w:hAnsi="Arial" w:cs="Arial"/>
        </w:rPr>
        <w:t xml:space="preserve"> </w:t>
      </w:r>
    </w:p>
    <w:p w14:paraId="7F474FDE" w14:textId="77777777" w:rsidR="000F6640" w:rsidRPr="00681818" w:rsidRDefault="000F6640" w:rsidP="000F6640">
      <w:pPr>
        <w:pStyle w:val="ListParagraph"/>
        <w:numPr>
          <w:ilvl w:val="0"/>
          <w:numId w:val="49"/>
        </w:numPr>
        <w:spacing w:after="200" w:line="276" w:lineRule="auto"/>
        <w:ind w:left="709" w:hanging="425"/>
        <w:rPr>
          <w:rFonts w:ascii="Arial" w:hAnsi="Arial" w:cs="Arial"/>
        </w:rPr>
      </w:pPr>
      <w:r>
        <w:rPr>
          <w:rFonts w:ascii="Arial" w:hAnsi="Arial" w:cs="Arial"/>
        </w:rPr>
        <w:t>Consider the guiding principles and/or health promotion toolbox and d</w:t>
      </w:r>
      <w:r w:rsidRPr="00681818">
        <w:rPr>
          <w:rFonts w:ascii="Arial" w:hAnsi="Arial" w:cs="Arial"/>
        </w:rPr>
        <w:t xml:space="preserve">evelop </w:t>
      </w:r>
      <w:r>
        <w:rPr>
          <w:rFonts w:ascii="Arial" w:hAnsi="Arial" w:cs="Arial"/>
        </w:rPr>
        <w:t xml:space="preserve">ongoing </w:t>
      </w:r>
      <w:r w:rsidRPr="00681818">
        <w:rPr>
          <w:rFonts w:ascii="Arial" w:hAnsi="Arial" w:cs="Arial"/>
        </w:rPr>
        <w:t xml:space="preserve">health promotion resources </w:t>
      </w:r>
      <w:r>
        <w:rPr>
          <w:rFonts w:ascii="Arial" w:hAnsi="Arial" w:cs="Arial"/>
        </w:rPr>
        <w:t xml:space="preserve">and activities </w:t>
      </w:r>
      <w:r w:rsidRPr="00681818">
        <w:rPr>
          <w:rFonts w:ascii="Arial" w:hAnsi="Arial" w:cs="Arial"/>
        </w:rPr>
        <w:t>that aim to normalise testing and treatment for STI</w:t>
      </w:r>
      <w:r>
        <w:rPr>
          <w:rFonts w:ascii="Arial" w:hAnsi="Arial" w:cs="Arial"/>
        </w:rPr>
        <w:t xml:space="preserve"> in schools and the community</w:t>
      </w:r>
      <w:r w:rsidRPr="00681818">
        <w:rPr>
          <w:rFonts w:ascii="Arial" w:hAnsi="Arial" w:cs="Arial"/>
        </w:rPr>
        <w:t xml:space="preserve">. </w:t>
      </w:r>
      <w:r>
        <w:rPr>
          <w:rFonts w:ascii="Arial" w:hAnsi="Arial" w:cs="Arial"/>
        </w:rPr>
        <w:t>P</w:t>
      </w:r>
      <w:r w:rsidRPr="00681818">
        <w:rPr>
          <w:rFonts w:ascii="Arial" w:hAnsi="Arial" w:cs="Arial"/>
        </w:rPr>
        <w:t>ossible approaches</w:t>
      </w:r>
      <w:r>
        <w:rPr>
          <w:rFonts w:ascii="Arial" w:hAnsi="Arial" w:cs="Arial"/>
        </w:rPr>
        <w:t xml:space="preserve"> may include</w:t>
      </w:r>
      <w:r w:rsidRPr="00681818">
        <w:rPr>
          <w:rFonts w:ascii="Arial" w:hAnsi="Arial" w:cs="Arial"/>
        </w:rPr>
        <w:t xml:space="preserve">: </w:t>
      </w:r>
    </w:p>
    <w:p w14:paraId="7F474FDF" w14:textId="77777777" w:rsidR="000F6640" w:rsidRPr="00392657" w:rsidRDefault="000F6640" w:rsidP="000F6640">
      <w:pPr>
        <w:pStyle w:val="ListParagraph"/>
        <w:numPr>
          <w:ilvl w:val="0"/>
          <w:numId w:val="20"/>
        </w:numPr>
        <w:autoSpaceDE w:val="0"/>
        <w:autoSpaceDN w:val="0"/>
        <w:adjustRightInd w:val="0"/>
        <w:spacing w:before="120"/>
        <w:rPr>
          <w:rFonts w:ascii="Arial" w:hAnsi="Arial" w:cs="Arial"/>
        </w:rPr>
      </w:pPr>
      <w:r w:rsidRPr="00392657">
        <w:rPr>
          <w:rFonts w:ascii="Arial" w:hAnsi="Arial" w:cs="Arial"/>
        </w:rPr>
        <w:t xml:space="preserve">use </w:t>
      </w:r>
      <w:r>
        <w:rPr>
          <w:rFonts w:ascii="Arial" w:hAnsi="Arial" w:cs="Arial"/>
        </w:rPr>
        <w:t>of sporting or other positive role models and/or community events as enablers (e.g. from AFL/NRL) to champion sexual health messages in communities</w:t>
      </w:r>
      <w:r w:rsidRPr="00392657">
        <w:rPr>
          <w:rFonts w:ascii="Arial" w:hAnsi="Arial" w:cs="Arial"/>
        </w:rPr>
        <w:t>;</w:t>
      </w:r>
    </w:p>
    <w:p w14:paraId="7F474FE0" w14:textId="77777777" w:rsidR="000F6640" w:rsidRDefault="000F6640" w:rsidP="000F6640">
      <w:pPr>
        <w:pStyle w:val="ListParagraph"/>
        <w:numPr>
          <w:ilvl w:val="0"/>
          <w:numId w:val="20"/>
        </w:numPr>
        <w:autoSpaceDE w:val="0"/>
        <w:autoSpaceDN w:val="0"/>
        <w:adjustRightInd w:val="0"/>
        <w:spacing w:before="120"/>
        <w:rPr>
          <w:rFonts w:ascii="Arial" w:hAnsi="Arial" w:cs="Arial"/>
        </w:rPr>
      </w:pPr>
      <w:r w:rsidRPr="00392657">
        <w:rPr>
          <w:rFonts w:ascii="Arial" w:hAnsi="Arial" w:cs="Arial"/>
        </w:rPr>
        <w:t>utilis</w:t>
      </w:r>
      <w:r>
        <w:rPr>
          <w:rFonts w:ascii="Arial" w:hAnsi="Arial" w:cs="Arial"/>
        </w:rPr>
        <w:t>ation of</w:t>
      </w:r>
      <w:r w:rsidRPr="00392657">
        <w:rPr>
          <w:rFonts w:ascii="Arial" w:hAnsi="Arial" w:cs="Arial"/>
        </w:rPr>
        <w:t xml:space="preserve"> Indigenous community radio</w:t>
      </w:r>
      <w:r>
        <w:rPr>
          <w:rFonts w:ascii="Arial" w:hAnsi="Arial" w:cs="Arial"/>
        </w:rPr>
        <w:t xml:space="preserve"> and television</w:t>
      </w:r>
      <w:r w:rsidRPr="00392657">
        <w:rPr>
          <w:rFonts w:ascii="Arial" w:hAnsi="Arial" w:cs="Arial"/>
        </w:rPr>
        <w:t xml:space="preserve"> to disseminate messages about sexual health; </w:t>
      </w:r>
    </w:p>
    <w:p w14:paraId="7F474FE1" w14:textId="77777777" w:rsidR="000F6640" w:rsidRPr="00392657" w:rsidRDefault="000F6640" w:rsidP="000F6640">
      <w:pPr>
        <w:pStyle w:val="ListParagraph"/>
        <w:numPr>
          <w:ilvl w:val="0"/>
          <w:numId w:val="20"/>
        </w:numPr>
        <w:autoSpaceDE w:val="0"/>
        <w:autoSpaceDN w:val="0"/>
        <w:adjustRightInd w:val="0"/>
        <w:spacing w:before="120"/>
        <w:rPr>
          <w:rFonts w:ascii="Arial" w:hAnsi="Arial" w:cs="Arial"/>
        </w:rPr>
      </w:pPr>
      <w:r>
        <w:rPr>
          <w:rFonts w:ascii="Arial" w:hAnsi="Arial" w:cs="Arial"/>
        </w:rPr>
        <w:t xml:space="preserve">development and evaluation of peer education models to promote STI and BBV testing; </w:t>
      </w:r>
      <w:r w:rsidRPr="00392657">
        <w:rPr>
          <w:rFonts w:ascii="Arial" w:hAnsi="Arial" w:cs="Arial"/>
        </w:rPr>
        <w:t>and</w:t>
      </w:r>
    </w:p>
    <w:p w14:paraId="7F474FE2" w14:textId="77777777" w:rsidR="000F6640" w:rsidRPr="00003534" w:rsidRDefault="000F6640" w:rsidP="000F6640">
      <w:pPr>
        <w:pStyle w:val="ListParagraph"/>
        <w:numPr>
          <w:ilvl w:val="0"/>
          <w:numId w:val="20"/>
        </w:numPr>
        <w:spacing w:after="200" w:line="276" w:lineRule="auto"/>
        <w:rPr>
          <w:rFonts w:ascii="Arial" w:eastAsiaTheme="minorHAnsi" w:hAnsi="Arial" w:cs="Arial"/>
          <w:lang w:eastAsia="en-US"/>
        </w:rPr>
      </w:pPr>
      <w:r w:rsidRPr="00392657">
        <w:rPr>
          <w:rFonts w:ascii="Arial" w:hAnsi="Arial" w:cs="Arial"/>
        </w:rPr>
        <w:t>provi</w:t>
      </w:r>
      <w:r>
        <w:rPr>
          <w:rFonts w:ascii="Arial" w:hAnsi="Arial" w:cs="Arial"/>
        </w:rPr>
        <w:t>sion of</w:t>
      </w:r>
      <w:r w:rsidRPr="00392657">
        <w:rPr>
          <w:rFonts w:ascii="Arial" w:hAnsi="Arial" w:cs="Arial"/>
        </w:rPr>
        <w:t xml:space="preserve"> incentives (e.g. vouchers) for people to get tested</w:t>
      </w:r>
      <w:r>
        <w:rPr>
          <w:rFonts w:ascii="Arial" w:hAnsi="Arial" w:cs="Arial"/>
        </w:rPr>
        <w:t>.</w:t>
      </w:r>
    </w:p>
    <w:p w14:paraId="7F474FE3" w14:textId="77777777" w:rsidR="000F6640" w:rsidRPr="000D1E35" w:rsidRDefault="000F6640" w:rsidP="000F6640">
      <w:pPr>
        <w:pStyle w:val="ListParagraph"/>
        <w:numPr>
          <w:ilvl w:val="0"/>
          <w:numId w:val="49"/>
        </w:numPr>
        <w:autoSpaceDE w:val="0"/>
        <w:autoSpaceDN w:val="0"/>
        <w:adjustRightInd w:val="0"/>
        <w:ind w:left="709" w:hanging="425"/>
        <w:rPr>
          <w:rFonts w:ascii="Arial" w:hAnsi="Arial" w:cs="Arial"/>
        </w:rPr>
      </w:pPr>
      <w:r w:rsidRPr="000D1E35">
        <w:rPr>
          <w:rFonts w:ascii="Arial" w:hAnsi="Arial" w:cs="Arial"/>
        </w:rPr>
        <w:t>Evaluate effectiveness of existing safe sex promotion strategies - Young Deadly Syphilis Free (campaign only launched 1 July 2017)</w:t>
      </w:r>
      <w:r>
        <w:rPr>
          <w:rFonts w:ascii="Arial" w:hAnsi="Arial" w:cs="Arial"/>
        </w:rPr>
        <w:t>.</w:t>
      </w:r>
    </w:p>
    <w:p w14:paraId="7F474FE4" w14:textId="77777777" w:rsidR="00D029D1" w:rsidRPr="00392657" w:rsidRDefault="00D029D1" w:rsidP="00D029D1">
      <w:pPr>
        <w:autoSpaceDE w:val="0"/>
        <w:autoSpaceDN w:val="0"/>
        <w:adjustRightInd w:val="0"/>
        <w:rPr>
          <w:rFonts w:ascii="Arial" w:hAnsi="Arial" w:cs="Arial"/>
          <w:bCs/>
          <w:highlight w:val="yellow"/>
        </w:rPr>
      </w:pPr>
    </w:p>
    <w:p w14:paraId="7F474FE5" w14:textId="77777777" w:rsidR="00D029D1" w:rsidRDefault="00B304C8" w:rsidP="00681818">
      <w:pPr>
        <w:spacing w:after="200" w:line="276" w:lineRule="auto"/>
        <w:ind w:right="-307"/>
        <w:rPr>
          <w:rFonts w:ascii="Arial" w:eastAsiaTheme="minorHAnsi" w:hAnsi="Arial" w:cs="Arial"/>
          <w:lang w:eastAsia="en-US"/>
        </w:rPr>
      </w:pPr>
      <w:r>
        <w:rPr>
          <w:rFonts w:ascii="Arial" w:eastAsiaTheme="minorHAnsi" w:hAnsi="Arial" w:cs="Arial"/>
          <w:lang w:eastAsia="en-US"/>
        </w:rPr>
        <w:lastRenderedPageBreak/>
        <w:t>These short and long term actions will be progressed in consultation with</w:t>
      </w:r>
      <w:r w:rsidR="00D029D1" w:rsidRPr="00B304C8">
        <w:rPr>
          <w:rFonts w:ascii="Arial" w:eastAsiaTheme="minorHAnsi" w:hAnsi="Arial" w:cs="Arial"/>
          <w:lang w:eastAsia="en-US"/>
        </w:rPr>
        <w:t xml:space="preserve"> </w:t>
      </w:r>
      <w:r w:rsidR="00D029D1" w:rsidRPr="00392657">
        <w:rPr>
          <w:rFonts w:ascii="Arial" w:eastAsiaTheme="minorHAnsi" w:hAnsi="Arial" w:cs="Arial"/>
          <w:u w:val="single"/>
          <w:lang w:eastAsia="en-US"/>
        </w:rPr>
        <w:t>AHMAC</w:t>
      </w:r>
      <w:r w:rsidR="005C682A">
        <w:rPr>
          <w:rFonts w:ascii="Arial" w:eastAsiaTheme="minorHAnsi" w:hAnsi="Arial" w:cs="Arial"/>
          <w:u w:val="single"/>
          <w:lang w:eastAsia="en-US"/>
        </w:rPr>
        <w:t xml:space="preserve"> / AHPPC </w:t>
      </w:r>
      <w:r w:rsidR="00D029D1" w:rsidRPr="00392657">
        <w:rPr>
          <w:rFonts w:ascii="Arial" w:eastAsiaTheme="minorHAnsi" w:hAnsi="Arial" w:cs="Arial"/>
          <w:u w:val="single"/>
          <w:lang w:eastAsia="en-US"/>
        </w:rPr>
        <w:t>committees and relevant organisations:</w:t>
      </w:r>
      <w:r w:rsidR="00D029D1" w:rsidRPr="00392657">
        <w:rPr>
          <w:rFonts w:ascii="Arial" w:eastAsiaTheme="minorHAnsi" w:hAnsi="Arial" w:cs="Arial"/>
          <w:lang w:eastAsia="en-US"/>
        </w:rPr>
        <w:t xml:space="preserve"> </w:t>
      </w:r>
      <w:r w:rsidR="00D029D1" w:rsidRPr="008241D7">
        <w:rPr>
          <w:rFonts w:ascii="Arial" w:eastAsiaTheme="minorHAnsi" w:hAnsi="Arial" w:cs="Arial"/>
          <w:b/>
          <w:lang w:eastAsia="en-US"/>
        </w:rPr>
        <w:t>BBVSS</w:t>
      </w:r>
      <w:r w:rsidR="00D029D1">
        <w:rPr>
          <w:rFonts w:ascii="Arial" w:eastAsiaTheme="minorHAnsi" w:hAnsi="Arial" w:cs="Arial"/>
          <w:lang w:eastAsia="en-US"/>
        </w:rPr>
        <w:t xml:space="preserve">, </w:t>
      </w:r>
      <w:r w:rsidR="00D029D1" w:rsidRPr="008241D7">
        <w:rPr>
          <w:rFonts w:ascii="Arial" w:eastAsiaTheme="minorHAnsi" w:hAnsi="Arial" w:cs="Arial"/>
          <w:b/>
          <w:lang w:eastAsia="en-US"/>
        </w:rPr>
        <w:t>MJSO</w:t>
      </w:r>
      <w:r w:rsidR="00D029D1">
        <w:rPr>
          <w:rFonts w:ascii="Arial" w:eastAsiaTheme="minorHAnsi" w:hAnsi="Arial" w:cs="Arial"/>
          <w:lang w:eastAsia="en-US"/>
        </w:rPr>
        <w:t xml:space="preserve">, </w:t>
      </w:r>
      <w:r w:rsidR="00D029D1" w:rsidRPr="008241D7">
        <w:rPr>
          <w:rFonts w:ascii="Arial" w:eastAsiaTheme="minorHAnsi" w:hAnsi="Arial" w:cs="Arial"/>
          <w:b/>
          <w:lang w:eastAsia="en-US"/>
        </w:rPr>
        <w:t>RACGP</w:t>
      </w:r>
      <w:r w:rsidR="00D029D1">
        <w:rPr>
          <w:rFonts w:ascii="Arial" w:eastAsiaTheme="minorHAnsi" w:hAnsi="Arial" w:cs="Arial"/>
          <w:lang w:eastAsia="en-US"/>
        </w:rPr>
        <w:t xml:space="preserve">, </w:t>
      </w:r>
      <w:r w:rsidR="00D029D1" w:rsidRPr="008241D7">
        <w:rPr>
          <w:rFonts w:ascii="Arial" w:eastAsiaTheme="minorHAnsi" w:hAnsi="Arial" w:cs="Arial"/>
          <w:b/>
          <w:lang w:eastAsia="en-US"/>
        </w:rPr>
        <w:t>SAHMRI</w:t>
      </w:r>
      <w:r w:rsidR="003361F6">
        <w:rPr>
          <w:rFonts w:ascii="Arial" w:eastAsiaTheme="minorHAnsi" w:hAnsi="Arial" w:cs="Arial"/>
          <w:lang w:eastAsia="en-US"/>
        </w:rPr>
        <w:t>,</w:t>
      </w:r>
      <w:r w:rsidR="00D029D1">
        <w:rPr>
          <w:rFonts w:ascii="Arial" w:eastAsiaTheme="minorHAnsi" w:hAnsi="Arial" w:cs="Arial"/>
          <w:lang w:eastAsia="en-US"/>
        </w:rPr>
        <w:t xml:space="preserve"> </w:t>
      </w:r>
      <w:r w:rsidR="00D029D1" w:rsidRPr="008241D7">
        <w:rPr>
          <w:rFonts w:ascii="Arial" w:eastAsiaTheme="minorHAnsi" w:hAnsi="Arial" w:cs="Arial"/>
          <w:b/>
          <w:lang w:eastAsia="en-US"/>
        </w:rPr>
        <w:t>NACCHO</w:t>
      </w:r>
      <w:r w:rsidR="00D029D1">
        <w:rPr>
          <w:rFonts w:ascii="Arial" w:eastAsiaTheme="minorHAnsi" w:hAnsi="Arial" w:cs="Arial"/>
          <w:lang w:eastAsia="en-US"/>
        </w:rPr>
        <w:t xml:space="preserve"> </w:t>
      </w:r>
      <w:r w:rsidR="003361F6">
        <w:rPr>
          <w:rFonts w:ascii="Arial" w:eastAsiaTheme="minorHAnsi" w:hAnsi="Arial" w:cs="Arial"/>
          <w:lang w:eastAsia="en-US"/>
        </w:rPr>
        <w:t xml:space="preserve">and </w:t>
      </w:r>
      <w:r w:rsidR="003361F6">
        <w:rPr>
          <w:rFonts w:ascii="Arial" w:eastAsiaTheme="minorHAnsi" w:hAnsi="Arial" w:cs="Arial"/>
          <w:b/>
          <w:lang w:eastAsia="en-US"/>
        </w:rPr>
        <w:t xml:space="preserve">CRANAPLUS </w:t>
      </w:r>
      <w:r w:rsidR="00D029D1" w:rsidRPr="00392657">
        <w:rPr>
          <w:rFonts w:ascii="Arial" w:eastAsiaTheme="minorHAnsi" w:hAnsi="Arial" w:cs="Arial"/>
          <w:lang w:eastAsia="en-US"/>
        </w:rPr>
        <w:t>(</w:t>
      </w:r>
      <w:r w:rsidR="00DB46D3">
        <w:rPr>
          <w:rFonts w:ascii="Arial" w:eastAsiaTheme="minorHAnsi" w:hAnsi="Arial" w:cs="Arial"/>
          <w:lang w:eastAsia="en-US"/>
        </w:rPr>
        <w:t>F</w:t>
      </w:r>
      <w:r w:rsidR="00D029D1" w:rsidRPr="00392657">
        <w:rPr>
          <w:rFonts w:ascii="Arial" w:eastAsiaTheme="minorHAnsi" w:hAnsi="Arial" w:cs="Arial"/>
          <w:lang w:eastAsia="en-US"/>
        </w:rPr>
        <w:t>igure</w:t>
      </w:r>
      <w:r w:rsidR="00D029D1">
        <w:rPr>
          <w:rFonts w:ascii="Arial" w:eastAsiaTheme="minorHAnsi" w:hAnsi="Arial" w:cs="Arial"/>
          <w:lang w:eastAsia="en-US"/>
        </w:rPr>
        <w:t> </w:t>
      </w:r>
      <w:r w:rsidR="00D029D1" w:rsidRPr="00392657">
        <w:rPr>
          <w:rFonts w:ascii="Arial" w:eastAsiaTheme="minorHAnsi" w:hAnsi="Arial" w:cs="Arial"/>
          <w:lang w:eastAsia="en-US"/>
        </w:rPr>
        <w:t>1).</w:t>
      </w:r>
    </w:p>
    <w:p w14:paraId="7F474FE6" w14:textId="77777777" w:rsidR="00B7500E" w:rsidRDefault="00B7500E" w:rsidP="00B7500E">
      <w:pPr>
        <w:pStyle w:val="Heading2"/>
      </w:pPr>
      <w:bookmarkStart w:id="11" w:name="_Toc514227116"/>
      <w:r w:rsidRPr="00951815">
        <w:t xml:space="preserve">Priority Area </w:t>
      </w:r>
      <w:r w:rsidR="00D16756">
        <w:t>4</w:t>
      </w:r>
      <w:r w:rsidRPr="00951815">
        <w:t>: Antenatal Care</w:t>
      </w:r>
      <w:bookmarkEnd w:id="11"/>
    </w:p>
    <w:p w14:paraId="7F474FE7" w14:textId="77777777" w:rsidR="00E8742A" w:rsidRDefault="00E8742A" w:rsidP="00E8742A">
      <w:pPr>
        <w:jc w:val="both"/>
        <w:rPr>
          <w:rFonts w:ascii="Arial" w:eastAsiaTheme="minorHAnsi" w:hAnsi="Arial" w:cs="Arial"/>
          <w:lang w:eastAsia="en-US"/>
        </w:rPr>
      </w:pPr>
      <w:r w:rsidRPr="00E8742A">
        <w:rPr>
          <w:rFonts w:ascii="Arial" w:eastAsiaTheme="minorHAnsi" w:hAnsi="Arial" w:cs="Arial"/>
          <w:lang w:eastAsia="en-US"/>
        </w:rPr>
        <w:t>Inconsistent antenatal guidelines for testing</w:t>
      </w:r>
      <w:r w:rsidR="007A6FC8">
        <w:rPr>
          <w:rFonts w:ascii="Arial" w:eastAsiaTheme="minorHAnsi" w:hAnsi="Arial" w:cs="Arial"/>
          <w:lang w:eastAsia="en-US"/>
        </w:rPr>
        <w:t>,</w:t>
      </w:r>
      <w:r w:rsidRPr="00E8742A">
        <w:rPr>
          <w:rFonts w:ascii="Arial" w:eastAsiaTheme="minorHAnsi" w:hAnsi="Arial" w:cs="Arial"/>
          <w:lang w:eastAsia="en-US"/>
        </w:rPr>
        <w:t xml:space="preserve"> including the recommendations for repeat testing in women at a high risk of infection/re-infection and management of perinatal syphilis and poorer access to antenatal care in remote communities, may have contributed to cases of congenital syphilis</w:t>
      </w:r>
      <w:r>
        <w:rPr>
          <w:rFonts w:ascii="Arial" w:eastAsiaTheme="minorHAnsi" w:hAnsi="Arial" w:cs="Arial"/>
          <w:lang w:eastAsia="en-US"/>
        </w:rPr>
        <w:t xml:space="preserve"> associated with the outbreak</w:t>
      </w:r>
      <w:r w:rsidRPr="00E8742A">
        <w:rPr>
          <w:rFonts w:ascii="Arial" w:eastAsiaTheme="minorHAnsi" w:hAnsi="Arial" w:cs="Arial"/>
          <w:lang w:eastAsia="en-US"/>
        </w:rPr>
        <w:t xml:space="preserve">. </w:t>
      </w:r>
      <w:r>
        <w:rPr>
          <w:rFonts w:ascii="Arial" w:eastAsiaTheme="minorHAnsi" w:hAnsi="Arial" w:cs="Arial"/>
          <w:lang w:eastAsia="en-US"/>
        </w:rPr>
        <w:t>To ensure national consistency and to learn from historical cases of congenital syphilis</w:t>
      </w:r>
      <w:r w:rsidR="005C682A">
        <w:rPr>
          <w:rFonts w:ascii="Arial" w:eastAsiaTheme="minorHAnsi" w:hAnsi="Arial" w:cs="Arial"/>
          <w:lang w:eastAsia="en-US"/>
        </w:rPr>
        <w:t>,</w:t>
      </w:r>
      <w:r>
        <w:rPr>
          <w:rFonts w:ascii="Arial" w:eastAsiaTheme="minorHAnsi" w:hAnsi="Arial" w:cs="Arial"/>
          <w:lang w:eastAsia="en-US"/>
        </w:rPr>
        <w:t xml:space="preserve"> action is required</w:t>
      </w:r>
      <w:r w:rsidR="00DB46D3">
        <w:rPr>
          <w:rFonts w:ascii="Arial" w:eastAsiaTheme="minorHAnsi" w:hAnsi="Arial" w:cs="Arial"/>
          <w:lang w:eastAsia="en-US"/>
        </w:rPr>
        <w:t xml:space="preserve"> to</w:t>
      </w:r>
      <w:r>
        <w:rPr>
          <w:rFonts w:ascii="Arial" w:eastAsiaTheme="minorHAnsi" w:hAnsi="Arial" w:cs="Arial"/>
          <w:lang w:eastAsia="en-US"/>
        </w:rPr>
        <w:t>:</w:t>
      </w:r>
    </w:p>
    <w:p w14:paraId="7F474FE8" w14:textId="77777777" w:rsidR="00E8742A" w:rsidRDefault="00E8742A" w:rsidP="00E8742A">
      <w:pPr>
        <w:jc w:val="both"/>
        <w:rPr>
          <w:rFonts w:ascii="Arial" w:eastAsiaTheme="minorHAnsi" w:hAnsi="Arial" w:cs="Arial"/>
          <w:lang w:eastAsia="en-US"/>
        </w:rPr>
      </w:pPr>
    </w:p>
    <w:p w14:paraId="7F474FE9" w14:textId="77777777" w:rsidR="00277104" w:rsidRPr="00702B4E" w:rsidRDefault="00277B2E" w:rsidP="004F6FCF">
      <w:pPr>
        <w:pStyle w:val="ListParagraph"/>
        <w:numPr>
          <w:ilvl w:val="0"/>
          <w:numId w:val="17"/>
        </w:numPr>
        <w:jc w:val="both"/>
        <w:rPr>
          <w:rFonts w:ascii="Arial" w:eastAsiaTheme="minorHAnsi" w:hAnsi="Arial" w:cs="Arial"/>
          <w:lang w:eastAsia="en-US"/>
        </w:rPr>
      </w:pPr>
      <w:r>
        <w:rPr>
          <w:rFonts w:ascii="Arial" w:eastAsiaTheme="minorHAnsi" w:hAnsi="Arial" w:cs="Arial"/>
          <w:lang w:eastAsia="en-US"/>
        </w:rPr>
        <w:t>d</w:t>
      </w:r>
      <w:r w:rsidR="00277104">
        <w:rPr>
          <w:rFonts w:ascii="Arial" w:eastAsiaTheme="minorHAnsi" w:hAnsi="Arial" w:cs="Arial"/>
          <w:lang w:eastAsia="en-US"/>
        </w:rPr>
        <w:t xml:space="preserve">evelop interim guidance on antenatal care, including testing and treatment, and investigation of congenital syphilis cases (similar steps to those required for a sentinel event) for inclusion in the </w:t>
      </w:r>
      <w:r w:rsidR="00277104" w:rsidRPr="00F55266">
        <w:rPr>
          <w:rFonts w:ascii="Arial" w:hAnsi="Arial" w:cs="Arial"/>
          <w:color w:val="222222"/>
        </w:rPr>
        <w:t>2015 National Guidelines for Syphilis</w:t>
      </w:r>
      <w:r w:rsidR="00277104" w:rsidRPr="00F55266">
        <w:rPr>
          <w:rFonts w:ascii="Arial" w:hAnsi="Arial" w:cs="Arial"/>
          <w:color w:val="222222"/>
          <w:vertAlign w:val="superscript"/>
        </w:rPr>
        <w:footnoteReference w:id="3"/>
      </w:r>
      <w:r w:rsidR="00277104">
        <w:rPr>
          <w:rFonts w:ascii="Arial" w:hAnsi="Arial" w:cs="Arial"/>
          <w:color w:val="222222"/>
        </w:rPr>
        <w:t>;</w:t>
      </w:r>
    </w:p>
    <w:p w14:paraId="7F474FEA" w14:textId="77777777" w:rsidR="00702B4E" w:rsidRPr="00C47CFF" w:rsidRDefault="00277B2E" w:rsidP="00702B4E">
      <w:pPr>
        <w:pStyle w:val="ListParagraph"/>
        <w:numPr>
          <w:ilvl w:val="0"/>
          <w:numId w:val="17"/>
        </w:numPr>
        <w:jc w:val="both"/>
        <w:rPr>
          <w:rFonts w:ascii="Arial" w:eastAsiaTheme="minorHAnsi" w:hAnsi="Arial" w:cs="Arial"/>
          <w:lang w:eastAsia="en-US"/>
        </w:rPr>
      </w:pPr>
      <w:r>
        <w:rPr>
          <w:rFonts w:ascii="Arial" w:eastAsiaTheme="minorHAnsi" w:hAnsi="Arial" w:cs="Arial"/>
          <w:lang w:eastAsia="en-US"/>
        </w:rPr>
        <w:t>c</w:t>
      </w:r>
      <w:r w:rsidR="00702B4E" w:rsidRPr="00C47CFF">
        <w:rPr>
          <w:rFonts w:ascii="Arial" w:eastAsiaTheme="minorHAnsi" w:hAnsi="Arial" w:cs="Arial"/>
          <w:lang w:eastAsia="en-US"/>
        </w:rPr>
        <w:t xml:space="preserve">ontinue education targeted at young women on the importance of STI </w:t>
      </w:r>
      <w:r w:rsidR="00702B4E">
        <w:rPr>
          <w:rFonts w:ascii="Arial" w:eastAsiaTheme="minorHAnsi" w:hAnsi="Arial" w:cs="Arial"/>
          <w:lang w:eastAsia="en-US"/>
        </w:rPr>
        <w:t xml:space="preserve">and </w:t>
      </w:r>
      <w:r w:rsidR="00702B4E" w:rsidRPr="00C47CFF">
        <w:rPr>
          <w:rFonts w:ascii="Arial" w:eastAsiaTheme="minorHAnsi" w:hAnsi="Arial" w:cs="Arial"/>
          <w:lang w:eastAsia="en-US"/>
        </w:rPr>
        <w:t>BBV testing during pregnancy</w:t>
      </w:r>
      <w:r>
        <w:rPr>
          <w:rFonts w:ascii="Arial" w:eastAsiaTheme="minorHAnsi" w:hAnsi="Arial" w:cs="Arial"/>
          <w:lang w:eastAsia="en-US"/>
        </w:rPr>
        <w:t>;</w:t>
      </w:r>
      <w:r w:rsidR="00702B4E" w:rsidRPr="00C47CFF">
        <w:rPr>
          <w:rFonts w:ascii="Arial" w:eastAsiaTheme="minorHAnsi" w:hAnsi="Arial" w:cs="Arial"/>
          <w:lang w:eastAsia="en-US"/>
        </w:rPr>
        <w:t xml:space="preserve"> </w:t>
      </w:r>
    </w:p>
    <w:p w14:paraId="7F474FEB" w14:textId="77777777" w:rsidR="00E8742A" w:rsidRPr="00E8742A" w:rsidRDefault="00702B4E" w:rsidP="004F6FCF">
      <w:pPr>
        <w:pStyle w:val="ListParagraph"/>
        <w:numPr>
          <w:ilvl w:val="0"/>
          <w:numId w:val="17"/>
        </w:numPr>
        <w:jc w:val="both"/>
        <w:rPr>
          <w:rFonts w:ascii="Arial" w:eastAsiaTheme="minorHAnsi" w:hAnsi="Arial" w:cs="Arial"/>
          <w:lang w:eastAsia="en-US"/>
        </w:rPr>
      </w:pPr>
      <w:r w:rsidDel="00702B4E">
        <w:rPr>
          <w:rFonts w:ascii="Arial" w:eastAsiaTheme="minorHAnsi" w:hAnsi="Arial" w:cs="Arial"/>
          <w:lang w:eastAsia="en-US"/>
        </w:rPr>
        <w:t xml:space="preserve"> </w:t>
      </w:r>
      <w:r w:rsidR="00145D46">
        <w:rPr>
          <w:rFonts w:ascii="Arial" w:eastAsiaTheme="minorHAnsi" w:hAnsi="Arial" w:cs="Arial"/>
          <w:lang w:eastAsia="en-US"/>
        </w:rPr>
        <w:t>(</w:t>
      </w:r>
      <w:r w:rsidR="00145D46">
        <w:rPr>
          <w:rFonts w:ascii="Arial" w:eastAsiaTheme="minorHAnsi" w:hAnsi="Arial" w:cs="Arial"/>
          <w:i/>
          <w:lang w:eastAsia="en-US"/>
        </w:rPr>
        <w:t>long term</w:t>
      </w:r>
      <w:r w:rsidR="00145D46">
        <w:rPr>
          <w:rFonts w:ascii="Arial" w:eastAsiaTheme="minorHAnsi" w:hAnsi="Arial" w:cs="Arial"/>
          <w:lang w:eastAsia="en-US"/>
        </w:rPr>
        <w:t xml:space="preserve">) </w:t>
      </w:r>
      <w:r w:rsidR="00277B2E">
        <w:rPr>
          <w:rFonts w:ascii="Arial" w:eastAsiaTheme="minorHAnsi" w:hAnsi="Arial" w:cs="Arial"/>
          <w:lang w:eastAsia="en-US"/>
        </w:rPr>
        <w:t>r</w:t>
      </w:r>
      <w:r w:rsidR="00E8742A">
        <w:rPr>
          <w:rFonts w:ascii="Arial" w:eastAsiaTheme="minorHAnsi" w:hAnsi="Arial" w:cs="Arial"/>
          <w:lang w:eastAsia="en-US"/>
        </w:rPr>
        <w:t xml:space="preserve">eview the current National Antenatal Guidelines and include recommendations </w:t>
      </w:r>
      <w:r w:rsidR="00277104">
        <w:rPr>
          <w:rFonts w:ascii="Arial" w:eastAsiaTheme="minorHAnsi" w:hAnsi="Arial" w:cs="Arial"/>
          <w:lang w:eastAsia="en-US"/>
        </w:rPr>
        <w:t>regarding frequency of testing for STI, in particular syphilis, appropriate care and follow-up in at-risk populations</w:t>
      </w:r>
      <w:r w:rsidR="002B7B12">
        <w:rPr>
          <w:rFonts w:ascii="Arial" w:eastAsiaTheme="minorHAnsi" w:hAnsi="Arial" w:cs="Arial"/>
          <w:lang w:eastAsia="en-US"/>
        </w:rPr>
        <w:t xml:space="preserve">; and </w:t>
      </w:r>
    </w:p>
    <w:p w14:paraId="7F474FEC" w14:textId="77777777" w:rsidR="00C47CFF" w:rsidRDefault="00277104" w:rsidP="004F6FCF">
      <w:pPr>
        <w:pStyle w:val="ListParagraph"/>
        <w:numPr>
          <w:ilvl w:val="0"/>
          <w:numId w:val="17"/>
        </w:numPr>
        <w:jc w:val="both"/>
        <w:rPr>
          <w:rFonts w:ascii="Arial" w:eastAsiaTheme="minorHAnsi" w:hAnsi="Arial" w:cs="Arial"/>
          <w:lang w:eastAsia="en-US"/>
        </w:rPr>
      </w:pPr>
      <w:r>
        <w:rPr>
          <w:rFonts w:ascii="Arial" w:eastAsiaTheme="minorHAnsi" w:hAnsi="Arial" w:cs="Arial"/>
          <w:i/>
          <w:lang w:eastAsia="en-US"/>
        </w:rPr>
        <w:t>(long term</w:t>
      </w:r>
      <w:r>
        <w:rPr>
          <w:rFonts w:ascii="Arial" w:eastAsiaTheme="minorHAnsi" w:hAnsi="Arial" w:cs="Arial"/>
          <w:lang w:eastAsia="en-US"/>
        </w:rPr>
        <w:t xml:space="preserve">) </w:t>
      </w:r>
      <w:r w:rsidR="00277B2E">
        <w:rPr>
          <w:rFonts w:ascii="Arial" w:eastAsiaTheme="minorHAnsi" w:hAnsi="Arial" w:cs="Arial"/>
          <w:lang w:eastAsia="en-US"/>
        </w:rPr>
        <w:t>i</w:t>
      </w:r>
      <w:r w:rsidR="00E8742A" w:rsidRPr="00E8742A">
        <w:rPr>
          <w:rFonts w:ascii="Arial" w:eastAsiaTheme="minorHAnsi" w:hAnsi="Arial" w:cs="Arial"/>
          <w:lang w:eastAsia="en-US"/>
        </w:rPr>
        <w:t>nvestigate</w:t>
      </w:r>
      <w:r>
        <w:rPr>
          <w:rFonts w:ascii="Arial" w:eastAsiaTheme="minorHAnsi" w:hAnsi="Arial" w:cs="Arial"/>
          <w:lang w:eastAsia="en-US"/>
        </w:rPr>
        <w:t xml:space="preserve"> learnings from congenital syphilis cases, including circumstances under which they occurred,</w:t>
      </w:r>
      <w:r w:rsidR="00E8742A" w:rsidRPr="00E8742A">
        <w:rPr>
          <w:rFonts w:ascii="Arial" w:eastAsiaTheme="minorHAnsi" w:hAnsi="Arial" w:cs="Arial"/>
          <w:lang w:eastAsia="en-US"/>
        </w:rPr>
        <w:t xml:space="preserve"> to identify any system-wide factors contributing to their occurrence.</w:t>
      </w:r>
    </w:p>
    <w:p w14:paraId="7F474FED" w14:textId="77777777" w:rsidR="00E8742A" w:rsidRPr="00E8742A" w:rsidRDefault="00E8742A" w:rsidP="00E8742A">
      <w:pPr>
        <w:jc w:val="both"/>
        <w:rPr>
          <w:rFonts w:ascii="Arial" w:eastAsiaTheme="minorHAnsi" w:hAnsi="Arial" w:cs="Arial"/>
          <w:lang w:eastAsia="en-US"/>
        </w:rPr>
      </w:pPr>
    </w:p>
    <w:p w14:paraId="7F474FEE" w14:textId="77777777" w:rsidR="0081627E" w:rsidRDefault="00DB46D3" w:rsidP="0081627E">
      <w:pPr>
        <w:spacing w:after="200" w:line="276" w:lineRule="auto"/>
        <w:rPr>
          <w:rFonts w:ascii="Arial" w:eastAsiaTheme="minorHAnsi" w:hAnsi="Arial" w:cs="Arial"/>
          <w:lang w:eastAsia="en-US"/>
        </w:rPr>
      </w:pPr>
      <w:r>
        <w:rPr>
          <w:rFonts w:ascii="Arial" w:eastAsiaTheme="minorHAnsi" w:hAnsi="Arial" w:cs="Arial"/>
          <w:lang w:eastAsia="en-US"/>
        </w:rPr>
        <w:t>T</w:t>
      </w:r>
      <w:r w:rsidR="00C644F6">
        <w:rPr>
          <w:rFonts w:ascii="Arial" w:eastAsiaTheme="minorHAnsi" w:hAnsi="Arial" w:cs="Arial"/>
          <w:lang w:eastAsia="en-US"/>
        </w:rPr>
        <w:t xml:space="preserve">hese short and long term actions will be </w:t>
      </w:r>
      <w:r>
        <w:rPr>
          <w:rFonts w:ascii="Arial" w:eastAsiaTheme="minorHAnsi" w:hAnsi="Arial" w:cs="Arial"/>
          <w:lang w:eastAsia="en-US"/>
        </w:rPr>
        <w:t>progressed</w:t>
      </w:r>
      <w:r w:rsidR="00C644F6">
        <w:rPr>
          <w:rFonts w:ascii="Arial" w:eastAsiaTheme="minorHAnsi" w:hAnsi="Arial" w:cs="Arial"/>
          <w:lang w:eastAsia="en-US"/>
        </w:rPr>
        <w:t xml:space="preserve"> in consultation with</w:t>
      </w:r>
      <w:r w:rsidR="00C644F6" w:rsidRPr="00304D55">
        <w:rPr>
          <w:rFonts w:ascii="Arial" w:eastAsiaTheme="minorHAnsi" w:hAnsi="Arial" w:cs="Arial"/>
          <w:lang w:eastAsia="en-US"/>
        </w:rPr>
        <w:t xml:space="preserve"> </w:t>
      </w:r>
      <w:r w:rsidR="00C644F6" w:rsidRPr="0012792C">
        <w:rPr>
          <w:rFonts w:ascii="Arial" w:eastAsiaTheme="minorHAnsi" w:hAnsi="Arial" w:cs="Arial"/>
          <w:u w:val="single"/>
          <w:lang w:eastAsia="en-US"/>
        </w:rPr>
        <w:t>AHMAC</w:t>
      </w:r>
      <w:r w:rsidR="005C682A">
        <w:rPr>
          <w:rFonts w:ascii="Arial" w:eastAsiaTheme="minorHAnsi" w:hAnsi="Arial" w:cs="Arial"/>
          <w:u w:val="single"/>
          <w:lang w:eastAsia="en-US"/>
        </w:rPr>
        <w:t xml:space="preserve"> / AHPPC </w:t>
      </w:r>
      <w:r w:rsidR="00C644F6" w:rsidRPr="0012792C">
        <w:rPr>
          <w:rFonts w:ascii="Arial" w:eastAsiaTheme="minorHAnsi" w:hAnsi="Arial" w:cs="Arial"/>
          <w:u w:val="single"/>
          <w:lang w:eastAsia="en-US"/>
        </w:rPr>
        <w:t>committees and relevant organisations:</w:t>
      </w:r>
      <w:r w:rsidR="00277104">
        <w:rPr>
          <w:rFonts w:ascii="Arial" w:eastAsiaTheme="minorHAnsi" w:hAnsi="Arial" w:cs="Arial"/>
          <w:lang w:eastAsia="en-US"/>
        </w:rPr>
        <w:t xml:space="preserve"> </w:t>
      </w:r>
      <w:r w:rsidR="00277104">
        <w:rPr>
          <w:rFonts w:ascii="Arial" w:eastAsiaTheme="minorHAnsi" w:hAnsi="Arial" w:cs="Arial"/>
          <w:b/>
          <w:lang w:eastAsia="en-US"/>
        </w:rPr>
        <w:t>MJSO</w:t>
      </w:r>
      <w:r w:rsidR="003361F6">
        <w:rPr>
          <w:rFonts w:ascii="Arial" w:eastAsiaTheme="minorHAnsi" w:hAnsi="Arial" w:cs="Arial"/>
          <w:lang w:eastAsia="en-US"/>
        </w:rPr>
        <w:t>,</w:t>
      </w:r>
      <w:r w:rsidR="00277104">
        <w:rPr>
          <w:rFonts w:ascii="Arial" w:eastAsiaTheme="minorHAnsi" w:hAnsi="Arial" w:cs="Arial"/>
          <w:lang w:eastAsia="en-US"/>
        </w:rPr>
        <w:t xml:space="preserve"> </w:t>
      </w:r>
      <w:r w:rsidR="00277104">
        <w:rPr>
          <w:rFonts w:ascii="Arial" w:eastAsiaTheme="minorHAnsi" w:hAnsi="Arial" w:cs="Arial"/>
          <w:b/>
          <w:lang w:eastAsia="en-US"/>
        </w:rPr>
        <w:t>RACGP</w:t>
      </w:r>
      <w:r w:rsidR="00C644F6">
        <w:rPr>
          <w:rFonts w:ascii="Arial" w:eastAsiaTheme="minorHAnsi" w:hAnsi="Arial" w:cs="Arial"/>
          <w:lang w:eastAsia="en-US"/>
        </w:rPr>
        <w:t xml:space="preserve"> </w:t>
      </w:r>
      <w:r w:rsidR="003361F6">
        <w:rPr>
          <w:rFonts w:ascii="Arial" w:eastAsiaTheme="minorHAnsi" w:hAnsi="Arial" w:cs="Arial"/>
          <w:lang w:eastAsia="en-US"/>
        </w:rPr>
        <w:t xml:space="preserve">and </w:t>
      </w:r>
      <w:r w:rsidR="003361F6">
        <w:rPr>
          <w:rFonts w:ascii="Arial" w:eastAsiaTheme="minorHAnsi" w:hAnsi="Arial" w:cs="Arial"/>
          <w:b/>
          <w:lang w:eastAsia="en-US"/>
        </w:rPr>
        <w:t xml:space="preserve">CRANAPLUS </w:t>
      </w:r>
      <w:r w:rsidR="00C644F6" w:rsidRPr="0012792C">
        <w:rPr>
          <w:rFonts w:ascii="Arial" w:eastAsiaTheme="minorHAnsi" w:hAnsi="Arial" w:cs="Arial"/>
          <w:lang w:eastAsia="en-US"/>
        </w:rPr>
        <w:t>(</w:t>
      </w:r>
      <w:r>
        <w:rPr>
          <w:rFonts w:ascii="Arial" w:eastAsiaTheme="minorHAnsi" w:hAnsi="Arial" w:cs="Arial"/>
          <w:lang w:eastAsia="en-US"/>
        </w:rPr>
        <w:t>F</w:t>
      </w:r>
      <w:r w:rsidR="00C644F6" w:rsidRPr="0012792C">
        <w:rPr>
          <w:rFonts w:ascii="Arial" w:eastAsiaTheme="minorHAnsi" w:hAnsi="Arial" w:cs="Arial"/>
          <w:lang w:eastAsia="en-US"/>
        </w:rPr>
        <w:t>igure 1).</w:t>
      </w:r>
    </w:p>
    <w:p w14:paraId="7F474FEF" w14:textId="77777777" w:rsidR="00B7500E" w:rsidRDefault="00B7500E" w:rsidP="0081627E">
      <w:pPr>
        <w:spacing w:after="200" w:line="276" w:lineRule="auto"/>
        <w:rPr>
          <w:rFonts w:ascii="Arial" w:hAnsi="Arial" w:cs="Arial"/>
        </w:rPr>
      </w:pPr>
    </w:p>
    <w:p w14:paraId="7F474FF0" w14:textId="77777777" w:rsidR="00B7500E" w:rsidRDefault="00B7500E" w:rsidP="00B7500E">
      <w:pPr>
        <w:rPr>
          <w:rFonts w:ascii="Arial" w:hAnsi="Arial" w:cs="Arial"/>
        </w:rPr>
        <w:sectPr w:rsidR="00B7500E" w:rsidSect="00990705">
          <w:type w:val="continuous"/>
          <w:pgSz w:w="11906" w:h="16838"/>
          <w:pgMar w:top="982" w:right="720" w:bottom="720" w:left="720" w:header="986" w:footer="709" w:gutter="0"/>
          <w:cols w:space="708"/>
          <w:docGrid w:linePitch="360"/>
        </w:sectPr>
      </w:pPr>
    </w:p>
    <w:p w14:paraId="7F474FF1" w14:textId="77777777" w:rsidR="00B7500E" w:rsidRPr="000D098F" w:rsidRDefault="00B7500E" w:rsidP="00B7500E">
      <w:pPr>
        <w:pStyle w:val="Heading1"/>
      </w:pPr>
      <w:bookmarkStart w:id="12" w:name="_Toc514227117"/>
      <w:r w:rsidRPr="00951815">
        <w:lastRenderedPageBreak/>
        <w:t>M</w:t>
      </w:r>
      <w:r w:rsidR="006456AE">
        <w:t>onitoring and evaluation</w:t>
      </w:r>
      <w:bookmarkEnd w:id="12"/>
    </w:p>
    <w:p w14:paraId="7F474FF2" w14:textId="77777777" w:rsidR="00951815" w:rsidRDefault="001F2DCD" w:rsidP="00951815">
      <w:pPr>
        <w:autoSpaceDE w:val="0"/>
        <w:autoSpaceDN w:val="0"/>
        <w:adjustRightInd w:val="0"/>
        <w:spacing w:before="120"/>
        <w:rPr>
          <w:rFonts w:ascii="Arial" w:hAnsi="Arial" w:cs="Arial"/>
          <w:bCs/>
        </w:rPr>
      </w:pPr>
      <w:r>
        <w:rPr>
          <w:rFonts w:ascii="Arial" w:hAnsi="Arial" w:cs="Arial"/>
          <w:bCs/>
        </w:rPr>
        <w:t xml:space="preserve">This </w:t>
      </w:r>
      <w:r w:rsidR="00D0016E">
        <w:rPr>
          <w:rFonts w:ascii="Arial" w:hAnsi="Arial" w:cs="Arial"/>
          <w:bCs/>
        </w:rPr>
        <w:t>Action Plan</w:t>
      </w:r>
      <w:r>
        <w:rPr>
          <w:rFonts w:ascii="Arial" w:hAnsi="Arial" w:cs="Arial"/>
          <w:bCs/>
        </w:rPr>
        <w:t xml:space="preserve"> sets high-level directions for action in</w:t>
      </w:r>
      <w:r w:rsidR="00D0016E">
        <w:rPr>
          <w:rFonts w:ascii="Arial" w:hAnsi="Arial" w:cs="Arial"/>
          <w:bCs/>
        </w:rPr>
        <w:t xml:space="preserve"> both</w:t>
      </w:r>
      <w:r>
        <w:rPr>
          <w:rFonts w:ascii="Arial" w:hAnsi="Arial" w:cs="Arial"/>
          <w:bCs/>
        </w:rPr>
        <w:t xml:space="preserve"> the short and long term</w:t>
      </w:r>
      <w:r w:rsidR="00D0016E">
        <w:rPr>
          <w:rFonts w:ascii="Arial" w:hAnsi="Arial" w:cs="Arial"/>
          <w:bCs/>
        </w:rPr>
        <w:t>s</w:t>
      </w:r>
      <w:r>
        <w:rPr>
          <w:rFonts w:ascii="Arial" w:hAnsi="Arial" w:cs="Arial"/>
          <w:bCs/>
        </w:rPr>
        <w:t xml:space="preserve">. </w:t>
      </w:r>
      <w:r w:rsidR="00951815">
        <w:rPr>
          <w:rFonts w:ascii="Arial" w:hAnsi="Arial" w:cs="Arial"/>
          <w:bCs/>
        </w:rPr>
        <w:t>Progress of key actions will be monitored by the Governance Group through its regular meetings</w:t>
      </w:r>
      <w:r w:rsidR="00D0016E">
        <w:rPr>
          <w:rFonts w:ascii="Arial" w:hAnsi="Arial" w:cs="Arial"/>
          <w:bCs/>
        </w:rPr>
        <w:t xml:space="preserve"> and will be guided by the AHPPC workshop on </w:t>
      </w:r>
      <w:r w:rsidR="00D0016E" w:rsidRPr="00BA5196">
        <w:rPr>
          <w:rFonts w:ascii="Arial" w:hAnsi="Arial" w:cs="Arial"/>
        </w:rPr>
        <w:t xml:space="preserve">BBV/STI in Indigenous </w:t>
      </w:r>
      <w:r w:rsidR="00416B1B">
        <w:rPr>
          <w:rFonts w:ascii="Arial" w:hAnsi="Arial" w:cs="Arial"/>
        </w:rPr>
        <w:t>populations</w:t>
      </w:r>
      <w:r w:rsidR="00951815">
        <w:rPr>
          <w:rFonts w:ascii="Arial" w:hAnsi="Arial" w:cs="Arial"/>
          <w:bCs/>
        </w:rPr>
        <w:t>. This progress will be reported to AHPPC, AHMAC and Minister Wyatt as necessary.</w:t>
      </w:r>
    </w:p>
    <w:p w14:paraId="7F474FF3" w14:textId="77777777" w:rsidR="00951815" w:rsidRPr="00DE6E24" w:rsidRDefault="00951815" w:rsidP="00951815">
      <w:pPr>
        <w:rPr>
          <w:rFonts w:ascii="Arial" w:hAnsi="Arial" w:cs="Arial"/>
        </w:rPr>
      </w:pPr>
    </w:p>
    <w:p w14:paraId="7F474FF4" w14:textId="77777777" w:rsidR="00951815" w:rsidRDefault="00D0016E" w:rsidP="00951815">
      <w:pPr>
        <w:rPr>
          <w:rFonts w:ascii="Arial" w:hAnsi="Arial" w:cs="Arial"/>
        </w:rPr>
      </w:pPr>
      <w:r>
        <w:rPr>
          <w:rFonts w:ascii="Arial" w:hAnsi="Arial" w:cs="Arial"/>
        </w:rPr>
        <w:t>Ongoing m</w:t>
      </w:r>
      <w:r w:rsidR="001F2DCD">
        <w:rPr>
          <w:rFonts w:ascii="Arial" w:hAnsi="Arial" w:cs="Arial"/>
        </w:rPr>
        <w:t>onitoring and e</w:t>
      </w:r>
      <w:r w:rsidR="00951815">
        <w:rPr>
          <w:rFonts w:ascii="Arial" w:hAnsi="Arial" w:cs="Arial"/>
        </w:rPr>
        <w:t xml:space="preserve">valuation of the actions will </w:t>
      </w:r>
      <w:r>
        <w:rPr>
          <w:rFonts w:ascii="Arial" w:hAnsi="Arial" w:cs="Arial"/>
        </w:rPr>
        <w:t xml:space="preserve">also </w:t>
      </w:r>
      <w:r w:rsidR="00951815">
        <w:rPr>
          <w:rFonts w:ascii="Arial" w:hAnsi="Arial" w:cs="Arial"/>
        </w:rPr>
        <w:t xml:space="preserve">be undertaken </w:t>
      </w:r>
      <w:r>
        <w:rPr>
          <w:rFonts w:ascii="Arial" w:hAnsi="Arial" w:cs="Arial"/>
        </w:rPr>
        <w:t>through</w:t>
      </w:r>
      <w:r w:rsidR="00951815">
        <w:rPr>
          <w:rFonts w:ascii="Arial" w:hAnsi="Arial" w:cs="Arial"/>
        </w:rPr>
        <w:t xml:space="preserve"> the five National </w:t>
      </w:r>
      <w:r w:rsidR="00951815" w:rsidRPr="00503041">
        <w:rPr>
          <w:rFonts w:ascii="Arial" w:eastAsiaTheme="minorHAnsi" w:hAnsi="Arial" w:cs="Arial"/>
          <w:lang w:eastAsia="en-US"/>
        </w:rPr>
        <w:t>BBV and STI Strategies for</w:t>
      </w:r>
      <w:r w:rsidR="00951815">
        <w:rPr>
          <w:rFonts w:ascii="Arial" w:eastAsiaTheme="minorHAnsi" w:hAnsi="Arial" w:cs="Arial"/>
          <w:lang w:eastAsia="en-US"/>
        </w:rPr>
        <w:t>:</w:t>
      </w:r>
      <w:r w:rsidR="00951815" w:rsidRPr="00503041">
        <w:rPr>
          <w:rFonts w:ascii="Arial" w:eastAsiaTheme="minorHAnsi" w:hAnsi="Arial" w:cs="Arial"/>
          <w:lang w:eastAsia="en-US"/>
        </w:rPr>
        <w:t xml:space="preserve"> HIV, Hepatitis B, Hepatitis C, STI</w:t>
      </w:r>
      <w:r w:rsidR="00951815">
        <w:rPr>
          <w:rFonts w:ascii="Arial" w:eastAsiaTheme="minorHAnsi" w:hAnsi="Arial" w:cs="Arial"/>
          <w:lang w:eastAsia="en-US"/>
        </w:rPr>
        <w:t>,</w:t>
      </w:r>
      <w:r w:rsidR="00951815" w:rsidRPr="00503041">
        <w:rPr>
          <w:rFonts w:ascii="Arial" w:eastAsiaTheme="minorHAnsi" w:hAnsi="Arial" w:cs="Arial"/>
          <w:lang w:eastAsia="en-US"/>
        </w:rPr>
        <w:t xml:space="preserve"> and Aboriginal and Torres Strait Islander BBV and STI</w:t>
      </w:r>
      <w:r w:rsidR="00951815">
        <w:rPr>
          <w:rFonts w:ascii="Arial" w:hAnsi="Arial" w:cs="Arial"/>
        </w:rPr>
        <w:t>.</w:t>
      </w:r>
      <w:r w:rsidR="001F2DCD">
        <w:rPr>
          <w:rFonts w:ascii="Arial" w:hAnsi="Arial" w:cs="Arial"/>
        </w:rPr>
        <w:t xml:space="preserve"> It is expected that Monitoring and Evaluation Plans </w:t>
      </w:r>
      <w:r>
        <w:rPr>
          <w:rFonts w:ascii="Arial" w:hAnsi="Arial" w:cs="Arial"/>
        </w:rPr>
        <w:t xml:space="preserve">for the new 2018-2022 Strategies </w:t>
      </w:r>
      <w:r w:rsidR="001F2DCD">
        <w:rPr>
          <w:rFonts w:ascii="Arial" w:hAnsi="Arial" w:cs="Arial"/>
        </w:rPr>
        <w:t>will be developed in consultation with state and territory governments and partners.</w:t>
      </w:r>
    </w:p>
    <w:p w14:paraId="7F474FF5" w14:textId="77777777" w:rsidR="001F2DCD" w:rsidRDefault="001F2DCD" w:rsidP="00951815">
      <w:pPr>
        <w:rPr>
          <w:rFonts w:ascii="Arial" w:hAnsi="Arial" w:cs="Arial"/>
        </w:rPr>
      </w:pPr>
    </w:p>
    <w:p w14:paraId="7F474FF6" w14:textId="77777777" w:rsidR="001F2DCD" w:rsidRPr="00DE6E24" w:rsidRDefault="001F2DCD" w:rsidP="00951815">
      <w:pPr>
        <w:rPr>
          <w:rFonts w:ascii="Arial" w:hAnsi="Arial" w:cs="Arial"/>
        </w:rPr>
      </w:pPr>
      <w:r>
        <w:rPr>
          <w:rFonts w:ascii="Arial" w:hAnsi="Arial" w:cs="Arial"/>
        </w:rPr>
        <w:t xml:space="preserve">The five national </w:t>
      </w:r>
      <w:r w:rsidR="00D0016E">
        <w:rPr>
          <w:rFonts w:ascii="Arial" w:hAnsi="Arial" w:cs="Arial"/>
        </w:rPr>
        <w:t>strategies share common structural elements, designed to support a coordinated effort in addressing common concerns. Much of the prevention, healthcare and community responses contained in the strategies are intrinsically linked through co-infections, commonalities in risk factors and shared responsibility for the clinical management of BBV and STI. The strategies support and align with state and territory BBV and STI strategies and provide a framework to guide coordinated action in this area.</w:t>
      </w:r>
    </w:p>
    <w:p w14:paraId="7F474FF7" w14:textId="77777777" w:rsidR="0003675D" w:rsidRDefault="00B7500E" w:rsidP="00AD21B6">
      <w:pPr>
        <w:pStyle w:val="Heading1"/>
      </w:pPr>
      <w:r>
        <w:rPr>
          <w:bCs w:val="0"/>
          <w:sz w:val="22"/>
          <w:szCs w:val="22"/>
        </w:rPr>
        <w:br w:type="page"/>
      </w:r>
      <w:bookmarkStart w:id="13" w:name="_Toc514227118"/>
      <w:r w:rsidR="006601CC">
        <w:lastRenderedPageBreak/>
        <w:t xml:space="preserve">Appendix </w:t>
      </w:r>
      <w:r w:rsidR="004D01B9">
        <w:t>A</w:t>
      </w:r>
      <w:r w:rsidR="00C96907" w:rsidRPr="00F55266">
        <w:t>: Governance Group Terms of Reference</w:t>
      </w:r>
      <w:bookmarkEnd w:id="13"/>
    </w:p>
    <w:p w14:paraId="7F474FF8" w14:textId="77777777" w:rsidR="000D1E35" w:rsidRDefault="000D1E35" w:rsidP="000D1E35">
      <w:pPr>
        <w:rPr>
          <w:rFonts w:ascii="Arial" w:hAnsi="Arial" w:cs="Arial"/>
          <w:b/>
          <w:i/>
          <w:color w:val="0070C0"/>
        </w:rPr>
      </w:pPr>
    </w:p>
    <w:p w14:paraId="7F474FF9" w14:textId="77777777" w:rsidR="000D1E35" w:rsidRPr="00A77FC9" w:rsidRDefault="000D1E35" w:rsidP="000D1E35">
      <w:pPr>
        <w:rPr>
          <w:rFonts w:ascii="Arial" w:hAnsi="Arial" w:cs="Arial"/>
          <w:b/>
          <w:i/>
          <w:color w:val="0070C0"/>
        </w:rPr>
      </w:pPr>
      <w:r w:rsidRPr="00A77FC9">
        <w:rPr>
          <w:rFonts w:ascii="Arial" w:hAnsi="Arial" w:cs="Arial"/>
          <w:b/>
          <w:i/>
          <w:color w:val="0070C0"/>
        </w:rPr>
        <w:t>Purpose of the Group</w:t>
      </w:r>
    </w:p>
    <w:p w14:paraId="7F474FFA" w14:textId="77777777" w:rsidR="000D1E35" w:rsidRPr="00A77FC9" w:rsidRDefault="000D1E35" w:rsidP="000D1E35">
      <w:pPr>
        <w:spacing w:before="200"/>
        <w:rPr>
          <w:rFonts w:ascii="Arial" w:hAnsi="Arial" w:cs="Arial"/>
        </w:rPr>
      </w:pPr>
      <w:r w:rsidRPr="00A77FC9">
        <w:rPr>
          <w:rFonts w:ascii="Arial" w:hAnsi="Arial" w:cs="Arial"/>
        </w:rPr>
        <w:t xml:space="preserve">The purpose of the Governance Group is to </w:t>
      </w:r>
      <w:r w:rsidRPr="00A77FC9">
        <w:rPr>
          <w:rFonts w:ascii="Arial" w:hAnsi="Arial" w:cs="Arial"/>
          <w:bCs/>
        </w:rPr>
        <w:t xml:space="preserve">oversee </w:t>
      </w:r>
      <w:r w:rsidR="00CB3F7E" w:rsidRPr="00BA5196">
        <w:rPr>
          <w:rFonts w:ascii="Arial" w:hAnsi="Arial" w:cs="Arial"/>
          <w:bCs/>
        </w:rPr>
        <w:t xml:space="preserve">the </w:t>
      </w:r>
      <w:r w:rsidR="00CB3F7E">
        <w:rPr>
          <w:rFonts w:ascii="Arial" w:hAnsi="Arial" w:cs="Arial"/>
          <w:bCs/>
        </w:rPr>
        <w:t xml:space="preserve">enhanced national response to </w:t>
      </w:r>
      <w:r w:rsidR="00CB3F7E" w:rsidRPr="00BA5196">
        <w:rPr>
          <w:rFonts w:ascii="Arial" w:hAnsi="Arial" w:cs="Arial"/>
          <w:bCs/>
        </w:rPr>
        <w:t xml:space="preserve">the </w:t>
      </w:r>
      <w:r w:rsidR="00CB3F7E">
        <w:rPr>
          <w:rFonts w:ascii="Arial" w:hAnsi="Arial" w:cs="Arial"/>
          <w:bCs/>
        </w:rPr>
        <w:t xml:space="preserve">current </w:t>
      </w:r>
      <w:r w:rsidR="00CB3F7E" w:rsidRPr="00BA5196">
        <w:rPr>
          <w:rFonts w:ascii="Arial" w:hAnsi="Arial" w:cs="Arial"/>
          <w:bCs/>
        </w:rPr>
        <w:t xml:space="preserve">syphilis outbreak </w:t>
      </w:r>
      <w:r w:rsidR="00CB3F7E">
        <w:rPr>
          <w:rFonts w:ascii="Arial" w:hAnsi="Arial" w:cs="Arial"/>
          <w:bCs/>
        </w:rPr>
        <w:t xml:space="preserve">in Australia, including </w:t>
      </w:r>
      <w:r w:rsidR="00CB3F7E" w:rsidRPr="00BA5196">
        <w:rPr>
          <w:rFonts w:ascii="Arial" w:hAnsi="Arial" w:cs="Arial"/>
          <w:bCs/>
        </w:rPr>
        <w:t xml:space="preserve">short term actions to address </w:t>
      </w:r>
      <w:r w:rsidR="00CB3F7E">
        <w:rPr>
          <w:rFonts w:ascii="Arial" w:hAnsi="Arial" w:cs="Arial"/>
          <w:bCs/>
        </w:rPr>
        <w:t>immediate priorities. The Governance Group will also take into consideration</w:t>
      </w:r>
      <w:r w:rsidR="00CB3F7E" w:rsidRPr="00BA5196">
        <w:rPr>
          <w:rFonts w:ascii="Arial" w:hAnsi="Arial" w:cs="Arial"/>
          <w:bCs/>
        </w:rPr>
        <w:t xml:space="preserve"> a long term </w:t>
      </w:r>
      <w:r w:rsidR="00CB3F7E">
        <w:rPr>
          <w:rFonts w:ascii="Arial" w:hAnsi="Arial" w:cs="Arial"/>
          <w:bCs/>
        </w:rPr>
        <w:t>approach to</w:t>
      </w:r>
      <w:r w:rsidR="00CB3F7E" w:rsidRPr="00BA5196">
        <w:rPr>
          <w:rFonts w:ascii="Arial" w:hAnsi="Arial" w:cs="Arial"/>
          <w:bCs/>
        </w:rPr>
        <w:t xml:space="preserve"> a sustainable response </w:t>
      </w:r>
      <w:r w:rsidR="00CB3F7E">
        <w:rPr>
          <w:rFonts w:ascii="Arial" w:hAnsi="Arial" w:cs="Arial"/>
          <w:bCs/>
        </w:rPr>
        <w:t>to</w:t>
      </w:r>
      <w:r w:rsidR="00CB3F7E" w:rsidRPr="00BA5196">
        <w:rPr>
          <w:rFonts w:ascii="Arial" w:hAnsi="Arial" w:cs="Arial"/>
          <w:bCs/>
        </w:rPr>
        <w:t xml:space="preserve"> </w:t>
      </w:r>
      <w:r w:rsidR="00CB3F7E">
        <w:rPr>
          <w:rFonts w:ascii="Arial" w:hAnsi="Arial" w:cs="Arial"/>
          <w:bCs/>
        </w:rPr>
        <w:t>sexually transmissible infections (</w:t>
      </w:r>
      <w:r w:rsidR="00CB3F7E" w:rsidRPr="00BA5196">
        <w:rPr>
          <w:rFonts w:ascii="Arial" w:hAnsi="Arial" w:cs="Arial"/>
          <w:bCs/>
        </w:rPr>
        <w:t>STI</w:t>
      </w:r>
      <w:r w:rsidR="00CB3F7E">
        <w:rPr>
          <w:rFonts w:ascii="Arial" w:hAnsi="Arial" w:cs="Arial"/>
          <w:bCs/>
        </w:rPr>
        <w:t>) and blood borne viruses (BBV)</w:t>
      </w:r>
      <w:r w:rsidR="00CB3F7E" w:rsidRPr="00BA5196">
        <w:rPr>
          <w:rFonts w:ascii="Arial" w:hAnsi="Arial" w:cs="Arial"/>
          <w:bCs/>
        </w:rPr>
        <w:t>.</w:t>
      </w:r>
    </w:p>
    <w:p w14:paraId="7F474FFB" w14:textId="77777777" w:rsidR="000D1E35" w:rsidRPr="00A77FC9" w:rsidRDefault="000D1E35" w:rsidP="000D1E35">
      <w:pPr>
        <w:rPr>
          <w:rFonts w:ascii="Arial" w:hAnsi="Arial" w:cs="Arial"/>
        </w:rPr>
      </w:pPr>
    </w:p>
    <w:p w14:paraId="7F474FFC" w14:textId="77777777" w:rsidR="000D1E35" w:rsidRPr="00A77FC9" w:rsidRDefault="000D1E35" w:rsidP="000D1E35">
      <w:pPr>
        <w:rPr>
          <w:rFonts w:ascii="Arial" w:hAnsi="Arial" w:cs="Arial"/>
          <w:b/>
          <w:i/>
          <w:color w:val="0070C0"/>
        </w:rPr>
      </w:pPr>
      <w:r w:rsidRPr="00A77FC9">
        <w:rPr>
          <w:rFonts w:ascii="Arial" w:hAnsi="Arial" w:cs="Arial"/>
          <w:b/>
          <w:i/>
          <w:color w:val="0070C0"/>
        </w:rPr>
        <w:t>Responsibilities</w:t>
      </w:r>
    </w:p>
    <w:p w14:paraId="7F474FFD" w14:textId="77777777" w:rsidR="000D1E35" w:rsidRPr="00A77FC9" w:rsidRDefault="000D1E35" w:rsidP="000D1E35">
      <w:pPr>
        <w:spacing w:before="200"/>
        <w:rPr>
          <w:rFonts w:ascii="Arial" w:hAnsi="Arial" w:cs="Arial"/>
        </w:rPr>
      </w:pPr>
      <w:r w:rsidRPr="00A77FC9">
        <w:rPr>
          <w:rFonts w:ascii="Arial" w:hAnsi="Arial" w:cs="Arial"/>
        </w:rPr>
        <w:t>The Governance Group will have the following responsibilities:</w:t>
      </w:r>
    </w:p>
    <w:p w14:paraId="7F474FFE" w14:textId="77777777" w:rsidR="000D1E35" w:rsidRDefault="000D1E35" w:rsidP="007A1B12">
      <w:pPr>
        <w:pStyle w:val="ListParagraph"/>
        <w:numPr>
          <w:ilvl w:val="0"/>
          <w:numId w:val="21"/>
        </w:numPr>
        <w:spacing w:before="120"/>
        <w:ind w:left="714" w:hanging="357"/>
        <w:contextualSpacing w:val="0"/>
        <w:rPr>
          <w:rFonts w:ascii="Arial" w:hAnsi="Arial" w:cs="Arial"/>
        </w:rPr>
      </w:pPr>
      <w:r>
        <w:rPr>
          <w:rFonts w:ascii="Arial" w:hAnsi="Arial" w:cs="Arial"/>
        </w:rPr>
        <w:t>develop a high level Strateg</w:t>
      </w:r>
      <w:r w:rsidR="00AC3A2D">
        <w:rPr>
          <w:rFonts w:ascii="Arial" w:hAnsi="Arial" w:cs="Arial"/>
        </w:rPr>
        <w:t>ic approach</w:t>
      </w:r>
      <w:r>
        <w:rPr>
          <w:rFonts w:ascii="Arial" w:hAnsi="Arial" w:cs="Arial"/>
        </w:rPr>
        <w:t xml:space="preserve"> to be endorsed by AHPPC and AHMAC by the end of 2017 to guide the implementation of enhanced response activities </w:t>
      </w:r>
      <w:r w:rsidRPr="005928C1">
        <w:rPr>
          <w:rFonts w:ascii="Arial" w:hAnsi="Arial" w:cs="Arial"/>
        </w:rPr>
        <w:t>to address sexually transmitted infections (and blood borne viruses) in Indigenous populations</w:t>
      </w:r>
    </w:p>
    <w:p w14:paraId="7F474FFF" w14:textId="77777777" w:rsidR="000D1E35" w:rsidRDefault="000D1E35" w:rsidP="007A1B12">
      <w:pPr>
        <w:pStyle w:val="ListParagraph"/>
        <w:numPr>
          <w:ilvl w:val="0"/>
          <w:numId w:val="21"/>
        </w:numPr>
        <w:spacing w:before="120"/>
        <w:ind w:left="714" w:hanging="357"/>
        <w:contextualSpacing w:val="0"/>
        <w:rPr>
          <w:rFonts w:ascii="Arial" w:hAnsi="Arial" w:cs="Arial"/>
        </w:rPr>
      </w:pPr>
      <w:r>
        <w:rPr>
          <w:rFonts w:ascii="Arial" w:hAnsi="Arial" w:cs="Arial"/>
        </w:rPr>
        <w:t>develop a culturally appropriate Action Plan to be endorsed by AHPPC and AHMAC by the end of 2017, to address the outbreak of infectious syphilis affecting Queensland, Northern Territory, Western Australia and South Australia, building on state and territory responses to date; and</w:t>
      </w:r>
    </w:p>
    <w:p w14:paraId="7F475000" w14:textId="77777777" w:rsidR="000D1E35" w:rsidRPr="005928C1" w:rsidRDefault="000D1E35" w:rsidP="007A1B12">
      <w:pPr>
        <w:pStyle w:val="ListParagraph"/>
        <w:numPr>
          <w:ilvl w:val="0"/>
          <w:numId w:val="21"/>
        </w:numPr>
        <w:spacing w:before="120"/>
        <w:ind w:left="714" w:hanging="357"/>
        <w:contextualSpacing w:val="0"/>
        <w:rPr>
          <w:rFonts w:ascii="Arial" w:hAnsi="Arial" w:cs="Arial"/>
        </w:rPr>
      </w:pPr>
      <w:r>
        <w:rPr>
          <w:rFonts w:ascii="Arial" w:hAnsi="Arial" w:cs="Arial"/>
        </w:rPr>
        <w:t>in developing the Action Plan, focus on realistic short term actions</w:t>
      </w:r>
      <w:r w:rsidR="008158CB">
        <w:rPr>
          <w:rFonts w:ascii="Arial" w:hAnsi="Arial" w:cs="Arial"/>
        </w:rPr>
        <w:t xml:space="preserve"> identified at the workshop that are already underway</w:t>
      </w:r>
      <w:r>
        <w:rPr>
          <w:rFonts w:ascii="Arial" w:hAnsi="Arial" w:cs="Arial"/>
        </w:rPr>
        <w:t xml:space="preserve"> as well as</w:t>
      </w:r>
      <w:r>
        <w:rPr>
          <w:rFonts w:ascii="Arial" w:eastAsiaTheme="minorHAnsi" w:hAnsi="Arial" w:cs="Arial"/>
          <w:lang w:eastAsia="en-US"/>
        </w:rPr>
        <w:t xml:space="preserve"> longer term actions which </w:t>
      </w:r>
      <w:r w:rsidRPr="00503041">
        <w:rPr>
          <w:rFonts w:ascii="Arial" w:eastAsiaTheme="minorHAnsi" w:hAnsi="Arial" w:cs="Arial"/>
          <w:lang w:eastAsia="en-US"/>
        </w:rPr>
        <w:t xml:space="preserve">align with the </w:t>
      </w:r>
      <w:r>
        <w:rPr>
          <w:rFonts w:ascii="Arial" w:eastAsiaTheme="minorHAnsi" w:hAnsi="Arial" w:cs="Arial"/>
          <w:lang w:eastAsia="en-US"/>
        </w:rPr>
        <w:t xml:space="preserve">development of the </w:t>
      </w:r>
      <w:r w:rsidRPr="00503041">
        <w:rPr>
          <w:rFonts w:ascii="Arial" w:eastAsiaTheme="minorHAnsi" w:hAnsi="Arial" w:cs="Arial"/>
          <w:lang w:eastAsia="en-US"/>
        </w:rPr>
        <w:t xml:space="preserve">new National </w:t>
      </w:r>
      <w:r>
        <w:rPr>
          <w:rFonts w:ascii="Arial" w:eastAsiaTheme="minorHAnsi" w:hAnsi="Arial" w:cs="Arial"/>
          <w:lang w:eastAsia="en-US"/>
        </w:rPr>
        <w:t xml:space="preserve">BBV and STI </w:t>
      </w:r>
      <w:r w:rsidRPr="00503041">
        <w:rPr>
          <w:rFonts w:ascii="Arial" w:eastAsiaTheme="minorHAnsi" w:hAnsi="Arial" w:cs="Arial"/>
          <w:lang w:eastAsia="en-US"/>
        </w:rPr>
        <w:t xml:space="preserve">Strategies, especially the </w:t>
      </w:r>
      <w:r w:rsidRPr="00552567">
        <w:rPr>
          <w:rFonts w:ascii="Arial" w:eastAsiaTheme="minorHAnsi" w:hAnsi="Arial" w:cs="Arial"/>
          <w:i/>
          <w:lang w:eastAsia="en-US"/>
        </w:rPr>
        <w:t>5th National Aboriginal and Torres Strait Islander Blood Borne Viruses and Sexually Transmissible Infections Strategy</w:t>
      </w:r>
      <w:r w:rsidRPr="00503041">
        <w:rPr>
          <w:rFonts w:ascii="Arial" w:eastAsiaTheme="minorHAnsi" w:hAnsi="Arial" w:cs="Arial"/>
          <w:lang w:eastAsia="en-US"/>
        </w:rPr>
        <w:t>.</w:t>
      </w:r>
    </w:p>
    <w:p w14:paraId="7F475001" w14:textId="77777777" w:rsidR="000D1E35" w:rsidRPr="00A77FC9" w:rsidRDefault="000D1E35" w:rsidP="000D1E35">
      <w:pPr>
        <w:rPr>
          <w:rFonts w:ascii="Arial" w:hAnsi="Arial" w:cs="Arial"/>
        </w:rPr>
      </w:pPr>
    </w:p>
    <w:p w14:paraId="7F475002" w14:textId="77777777" w:rsidR="000D1E35" w:rsidRPr="00FB5849" w:rsidRDefault="000D1E35" w:rsidP="000D1E35">
      <w:pPr>
        <w:rPr>
          <w:rFonts w:ascii="Arial" w:hAnsi="Arial" w:cs="Arial"/>
          <w:b/>
          <w:i/>
          <w:color w:val="0070C0"/>
        </w:rPr>
      </w:pPr>
      <w:r w:rsidRPr="00FB5849">
        <w:rPr>
          <w:rFonts w:ascii="Arial" w:hAnsi="Arial" w:cs="Arial"/>
          <w:b/>
          <w:i/>
          <w:color w:val="0070C0"/>
        </w:rPr>
        <w:t>Composition</w:t>
      </w:r>
    </w:p>
    <w:p w14:paraId="7F475003" w14:textId="77777777" w:rsidR="000D1E35" w:rsidRPr="00A77FC9" w:rsidRDefault="000D1E35" w:rsidP="000D1E35">
      <w:pPr>
        <w:spacing w:before="200"/>
        <w:rPr>
          <w:rFonts w:ascii="Arial" w:hAnsi="Arial" w:cs="Arial"/>
        </w:rPr>
      </w:pPr>
      <w:r w:rsidRPr="00CB6918">
        <w:rPr>
          <w:rFonts w:ascii="Arial" w:hAnsi="Arial" w:cs="Arial"/>
        </w:rPr>
        <w:t>The Governance Group will consist of:</w:t>
      </w:r>
    </w:p>
    <w:p w14:paraId="7F475004" w14:textId="77777777" w:rsidR="000D1E35" w:rsidRPr="00A77FC9" w:rsidRDefault="000D1E35" w:rsidP="007A1B12">
      <w:pPr>
        <w:pStyle w:val="ListParagraph"/>
        <w:numPr>
          <w:ilvl w:val="0"/>
          <w:numId w:val="2"/>
        </w:numPr>
        <w:spacing w:after="160" w:line="259" w:lineRule="auto"/>
        <w:ind w:left="357" w:hanging="357"/>
        <w:rPr>
          <w:rFonts w:ascii="Arial" w:hAnsi="Arial" w:cs="Arial"/>
        </w:rPr>
      </w:pPr>
      <w:r w:rsidRPr="00A77FC9">
        <w:rPr>
          <w:rFonts w:ascii="Arial" w:hAnsi="Arial" w:cs="Arial"/>
        </w:rPr>
        <w:t>Chair - Commonwealth Chief Medical Officer (CMO)</w:t>
      </w:r>
      <w:r w:rsidR="00BD0492">
        <w:rPr>
          <w:rFonts w:ascii="Arial" w:hAnsi="Arial" w:cs="Arial"/>
        </w:rPr>
        <w:t>,</w:t>
      </w:r>
      <w:r w:rsidRPr="00A77FC9">
        <w:rPr>
          <w:rFonts w:ascii="Arial" w:hAnsi="Arial" w:cs="Arial"/>
        </w:rPr>
        <w:t xml:space="preserve"> First Assistant Secretary Office of Health Protection (FAS OHP)</w:t>
      </w:r>
      <w:r w:rsidR="00BD0492">
        <w:rPr>
          <w:rFonts w:ascii="Arial" w:hAnsi="Arial" w:cs="Arial"/>
        </w:rPr>
        <w:t xml:space="preserve"> (proxy)</w:t>
      </w:r>
      <w:r w:rsidRPr="00A77FC9">
        <w:rPr>
          <w:rFonts w:ascii="Arial" w:hAnsi="Arial" w:cs="Arial"/>
        </w:rPr>
        <w:t>;</w:t>
      </w:r>
    </w:p>
    <w:p w14:paraId="7F475005" w14:textId="77777777" w:rsidR="000D1E35" w:rsidRPr="00A77FC9" w:rsidRDefault="000D1E35" w:rsidP="007A1B12">
      <w:pPr>
        <w:pStyle w:val="ListParagraph"/>
        <w:numPr>
          <w:ilvl w:val="0"/>
          <w:numId w:val="2"/>
        </w:numPr>
        <w:spacing w:after="160" w:line="259" w:lineRule="auto"/>
        <w:ind w:left="360"/>
        <w:rPr>
          <w:rFonts w:ascii="Arial" w:hAnsi="Arial" w:cs="Arial"/>
        </w:rPr>
      </w:pPr>
      <w:r w:rsidRPr="00A77FC9">
        <w:rPr>
          <w:rFonts w:ascii="Arial" w:hAnsi="Arial" w:cs="Arial"/>
        </w:rPr>
        <w:t>Chair MJSO Working Group;</w:t>
      </w:r>
    </w:p>
    <w:p w14:paraId="7F475006" w14:textId="77777777" w:rsidR="000D1E35" w:rsidRPr="00A77FC9" w:rsidRDefault="008158CB" w:rsidP="007A1B12">
      <w:pPr>
        <w:pStyle w:val="ListParagraph"/>
        <w:numPr>
          <w:ilvl w:val="0"/>
          <w:numId w:val="2"/>
        </w:numPr>
        <w:spacing w:after="160" w:line="259" w:lineRule="auto"/>
        <w:ind w:left="360"/>
        <w:rPr>
          <w:rFonts w:ascii="Arial" w:hAnsi="Arial" w:cs="Arial"/>
        </w:rPr>
      </w:pPr>
      <w:r>
        <w:rPr>
          <w:rFonts w:ascii="Arial" w:hAnsi="Arial" w:cs="Arial"/>
        </w:rPr>
        <w:t>R</w:t>
      </w:r>
      <w:r w:rsidR="000D1E35" w:rsidRPr="00A77FC9">
        <w:rPr>
          <w:rFonts w:ascii="Arial" w:hAnsi="Arial" w:cs="Arial"/>
        </w:rPr>
        <w:t>epresentative from National Aboriginal Community Controlled Health Organisation (NACCHO);</w:t>
      </w:r>
    </w:p>
    <w:p w14:paraId="7F475007" w14:textId="77777777" w:rsidR="00CB3F7E" w:rsidRDefault="0056750F" w:rsidP="007A1B12">
      <w:pPr>
        <w:pStyle w:val="ListParagraph"/>
        <w:numPr>
          <w:ilvl w:val="0"/>
          <w:numId w:val="2"/>
        </w:numPr>
        <w:spacing w:after="160" w:line="259" w:lineRule="auto"/>
        <w:ind w:left="360"/>
        <w:rPr>
          <w:rFonts w:ascii="Arial" w:hAnsi="Arial" w:cs="Arial"/>
        </w:rPr>
      </w:pPr>
      <w:r>
        <w:rPr>
          <w:rFonts w:ascii="Arial" w:hAnsi="Arial" w:cs="Arial"/>
        </w:rPr>
        <w:t xml:space="preserve">Representative from the </w:t>
      </w:r>
      <w:r w:rsidR="000D1E35" w:rsidRPr="00A77FC9">
        <w:rPr>
          <w:rFonts w:ascii="Arial" w:hAnsi="Arial" w:cs="Arial"/>
        </w:rPr>
        <w:t xml:space="preserve">South Australian Health and Medical Research Institute (SAHMRI); </w:t>
      </w:r>
    </w:p>
    <w:p w14:paraId="7F475008" w14:textId="77777777" w:rsidR="000D1E35" w:rsidRPr="00A77FC9" w:rsidRDefault="0056750F" w:rsidP="007A1B12">
      <w:pPr>
        <w:pStyle w:val="ListParagraph"/>
        <w:numPr>
          <w:ilvl w:val="0"/>
          <w:numId w:val="2"/>
        </w:numPr>
        <w:spacing w:after="160" w:line="259" w:lineRule="auto"/>
        <w:ind w:left="360"/>
        <w:rPr>
          <w:rFonts w:ascii="Arial" w:hAnsi="Arial" w:cs="Arial"/>
        </w:rPr>
      </w:pPr>
      <w:r>
        <w:rPr>
          <w:rFonts w:ascii="Arial" w:hAnsi="Arial" w:cs="Arial"/>
        </w:rPr>
        <w:t xml:space="preserve">Representative from </w:t>
      </w:r>
      <w:r w:rsidR="00CB3F7E">
        <w:rPr>
          <w:rFonts w:ascii="Arial" w:hAnsi="Arial" w:cs="Arial"/>
        </w:rPr>
        <w:t xml:space="preserve">CRANAplus; </w:t>
      </w:r>
      <w:r w:rsidR="000D1E35" w:rsidRPr="00A77FC9">
        <w:rPr>
          <w:rFonts w:ascii="Arial" w:hAnsi="Arial" w:cs="Arial"/>
        </w:rPr>
        <w:t>and</w:t>
      </w:r>
    </w:p>
    <w:p w14:paraId="7F475009" w14:textId="77777777" w:rsidR="00DB46D3" w:rsidRDefault="000D1E35" w:rsidP="007A1B12">
      <w:pPr>
        <w:pStyle w:val="ListParagraph"/>
        <w:numPr>
          <w:ilvl w:val="0"/>
          <w:numId w:val="2"/>
        </w:numPr>
        <w:spacing w:line="259" w:lineRule="auto"/>
        <w:ind w:left="357" w:hanging="357"/>
        <w:contextualSpacing w:val="0"/>
        <w:rPr>
          <w:rFonts w:ascii="Arial" w:hAnsi="Arial" w:cs="Arial"/>
        </w:rPr>
      </w:pPr>
      <w:r w:rsidRPr="00A77FC9">
        <w:rPr>
          <w:rFonts w:ascii="Arial" w:hAnsi="Arial" w:cs="Arial"/>
        </w:rPr>
        <w:t>Chief Health Officers or senior decision makers from Queensland, Northern Territory, Western Australia, and South Australia)</w:t>
      </w:r>
      <w:r w:rsidR="00DB46D3">
        <w:rPr>
          <w:rFonts w:ascii="Arial" w:hAnsi="Arial" w:cs="Arial"/>
        </w:rPr>
        <w:t>:</w:t>
      </w:r>
    </w:p>
    <w:p w14:paraId="7F47500A" w14:textId="77777777" w:rsidR="000D1E35" w:rsidRPr="00A77FC9" w:rsidRDefault="000D1E35" w:rsidP="000D1E35">
      <w:pPr>
        <w:rPr>
          <w:rFonts w:ascii="Arial" w:hAnsi="Arial" w:cs="Arial"/>
          <w:i/>
          <w:u w:val="single"/>
        </w:rPr>
      </w:pPr>
    </w:p>
    <w:p w14:paraId="7F47500B" w14:textId="77777777" w:rsidR="000D1E35" w:rsidRPr="00A77FC9" w:rsidRDefault="000D1E35" w:rsidP="000D1E35">
      <w:pPr>
        <w:rPr>
          <w:rFonts w:ascii="Arial" w:hAnsi="Arial" w:cs="Arial"/>
        </w:rPr>
      </w:pPr>
      <w:r w:rsidRPr="00A77FC9">
        <w:rPr>
          <w:rFonts w:ascii="Arial" w:hAnsi="Arial" w:cs="Arial"/>
        </w:rPr>
        <w:t>The O</w:t>
      </w:r>
      <w:r>
        <w:rPr>
          <w:rFonts w:ascii="Arial" w:hAnsi="Arial" w:cs="Arial"/>
        </w:rPr>
        <w:t xml:space="preserve">ffice of </w:t>
      </w:r>
      <w:r w:rsidRPr="00A77FC9">
        <w:rPr>
          <w:rFonts w:ascii="Arial" w:hAnsi="Arial" w:cs="Arial"/>
        </w:rPr>
        <w:t>H</w:t>
      </w:r>
      <w:r>
        <w:rPr>
          <w:rFonts w:ascii="Arial" w:hAnsi="Arial" w:cs="Arial"/>
        </w:rPr>
        <w:t xml:space="preserve">ealth </w:t>
      </w:r>
      <w:r w:rsidRPr="00A77FC9">
        <w:rPr>
          <w:rFonts w:ascii="Arial" w:hAnsi="Arial" w:cs="Arial"/>
        </w:rPr>
        <w:t>P</w:t>
      </w:r>
      <w:r>
        <w:rPr>
          <w:rFonts w:ascii="Arial" w:hAnsi="Arial" w:cs="Arial"/>
        </w:rPr>
        <w:t>rotection</w:t>
      </w:r>
      <w:r w:rsidRPr="00A77FC9">
        <w:rPr>
          <w:rFonts w:ascii="Arial" w:hAnsi="Arial" w:cs="Arial"/>
        </w:rPr>
        <w:t xml:space="preserve"> will provide the Secretariat function for the Governance Group. </w:t>
      </w:r>
    </w:p>
    <w:p w14:paraId="7F47500C" w14:textId="77777777" w:rsidR="000D1E35" w:rsidRDefault="000D1E35" w:rsidP="000D1E35">
      <w:pPr>
        <w:rPr>
          <w:rFonts w:ascii="Arial" w:hAnsi="Arial" w:cs="Arial"/>
        </w:rPr>
      </w:pPr>
    </w:p>
    <w:p w14:paraId="7F47500D" w14:textId="77777777" w:rsidR="000D1E35" w:rsidRDefault="000D1E35" w:rsidP="000D1E35">
      <w:pPr>
        <w:rPr>
          <w:rFonts w:ascii="Arial" w:hAnsi="Arial" w:cs="Arial"/>
        </w:rPr>
      </w:pPr>
      <w:r w:rsidRPr="00204143">
        <w:rPr>
          <w:rFonts w:ascii="Arial" w:hAnsi="Arial" w:cs="Arial"/>
        </w:rPr>
        <w:t xml:space="preserve">The Governance Group will be supported </w:t>
      </w:r>
      <w:r>
        <w:rPr>
          <w:rFonts w:ascii="Arial" w:hAnsi="Arial" w:cs="Arial"/>
        </w:rPr>
        <w:t xml:space="preserve">as needed </w:t>
      </w:r>
      <w:r w:rsidRPr="00204143">
        <w:rPr>
          <w:rFonts w:ascii="Arial" w:hAnsi="Arial" w:cs="Arial"/>
        </w:rPr>
        <w:t xml:space="preserve">by </w:t>
      </w:r>
      <w:r>
        <w:rPr>
          <w:rFonts w:ascii="Arial" w:hAnsi="Arial" w:cs="Arial"/>
        </w:rPr>
        <w:t xml:space="preserve">the various areas within the Commonwealth (including </w:t>
      </w:r>
      <w:r w:rsidR="008158CB">
        <w:rPr>
          <w:rFonts w:ascii="Arial" w:hAnsi="Arial" w:cs="Arial"/>
        </w:rPr>
        <w:t>Health</w:t>
      </w:r>
      <w:r>
        <w:rPr>
          <w:rFonts w:ascii="Arial" w:hAnsi="Arial" w:cs="Arial"/>
        </w:rPr>
        <w:t xml:space="preserve"> and PM&amp;C), as well as the </w:t>
      </w:r>
      <w:r w:rsidRPr="00204143">
        <w:rPr>
          <w:rFonts w:ascii="Arial" w:hAnsi="Arial" w:cs="Arial"/>
        </w:rPr>
        <w:t>AHPPC sub</w:t>
      </w:r>
      <w:r>
        <w:rPr>
          <w:rFonts w:ascii="Arial" w:hAnsi="Arial" w:cs="Arial"/>
        </w:rPr>
        <w:noBreakHyphen/>
      </w:r>
      <w:r w:rsidRPr="00204143">
        <w:rPr>
          <w:rFonts w:ascii="Arial" w:hAnsi="Arial" w:cs="Arial"/>
        </w:rPr>
        <w:t xml:space="preserve">committees and </w:t>
      </w:r>
      <w:r>
        <w:rPr>
          <w:rFonts w:ascii="Arial" w:hAnsi="Arial" w:cs="Arial"/>
        </w:rPr>
        <w:t xml:space="preserve">technical </w:t>
      </w:r>
      <w:r w:rsidRPr="00204143">
        <w:rPr>
          <w:rFonts w:ascii="Arial" w:hAnsi="Arial" w:cs="Arial"/>
        </w:rPr>
        <w:t xml:space="preserve">working groups, </w:t>
      </w:r>
      <w:r>
        <w:rPr>
          <w:rFonts w:ascii="Arial" w:hAnsi="Arial" w:cs="Arial"/>
        </w:rPr>
        <w:t xml:space="preserve">as outlined below: </w:t>
      </w:r>
    </w:p>
    <w:p w14:paraId="7F47500E" w14:textId="77777777" w:rsidR="000D1E35" w:rsidRPr="009D26B4" w:rsidRDefault="000D1E35" w:rsidP="007A1B12">
      <w:pPr>
        <w:pStyle w:val="ListParagraph"/>
        <w:numPr>
          <w:ilvl w:val="0"/>
          <w:numId w:val="16"/>
        </w:numPr>
        <w:ind w:left="567" w:hanging="567"/>
        <w:rPr>
          <w:rFonts w:ascii="Arial" w:hAnsi="Arial" w:cs="Arial"/>
          <w:bCs/>
        </w:rPr>
      </w:pPr>
      <w:r w:rsidRPr="009D26B4">
        <w:rPr>
          <w:rFonts w:ascii="Arial" w:hAnsi="Arial" w:cs="Arial"/>
          <w:bCs/>
        </w:rPr>
        <w:t>CDNA</w:t>
      </w:r>
      <w:r w:rsidR="008158CB">
        <w:rPr>
          <w:rFonts w:ascii="Arial" w:hAnsi="Arial" w:cs="Arial"/>
          <w:bCs/>
        </w:rPr>
        <w:t>:</w:t>
      </w:r>
      <w:r w:rsidRPr="009D26B4">
        <w:rPr>
          <w:rFonts w:ascii="Arial" w:hAnsi="Arial" w:cs="Arial"/>
          <w:bCs/>
        </w:rPr>
        <w:t xml:space="preserve"> national public health coordination and leadership, including </w:t>
      </w:r>
      <w:r>
        <w:rPr>
          <w:rFonts w:ascii="Arial" w:hAnsi="Arial" w:cs="Arial"/>
          <w:bCs/>
        </w:rPr>
        <w:t xml:space="preserve">through the </w:t>
      </w:r>
      <w:r w:rsidRPr="009D26B4">
        <w:rPr>
          <w:rFonts w:ascii="Arial" w:hAnsi="Arial" w:cs="Arial"/>
          <w:bCs/>
        </w:rPr>
        <w:t>S</w:t>
      </w:r>
      <w:r>
        <w:rPr>
          <w:rFonts w:ascii="Arial" w:hAnsi="Arial" w:cs="Arial"/>
          <w:bCs/>
        </w:rPr>
        <w:t xml:space="preserve">eries </w:t>
      </w:r>
      <w:r w:rsidRPr="009D26B4">
        <w:rPr>
          <w:rFonts w:ascii="Arial" w:hAnsi="Arial" w:cs="Arial"/>
          <w:bCs/>
        </w:rPr>
        <w:t>o</w:t>
      </w:r>
      <w:r>
        <w:rPr>
          <w:rFonts w:ascii="Arial" w:hAnsi="Arial" w:cs="Arial"/>
          <w:bCs/>
        </w:rPr>
        <w:t xml:space="preserve">f </w:t>
      </w:r>
      <w:r w:rsidRPr="009D26B4">
        <w:rPr>
          <w:rFonts w:ascii="Arial" w:hAnsi="Arial" w:cs="Arial"/>
          <w:bCs/>
        </w:rPr>
        <w:t>N</w:t>
      </w:r>
      <w:r>
        <w:rPr>
          <w:rFonts w:ascii="Arial" w:hAnsi="Arial" w:cs="Arial"/>
          <w:bCs/>
        </w:rPr>
        <w:t xml:space="preserve">ational </w:t>
      </w:r>
      <w:r w:rsidRPr="009D26B4">
        <w:rPr>
          <w:rFonts w:ascii="Arial" w:hAnsi="Arial" w:cs="Arial"/>
          <w:bCs/>
        </w:rPr>
        <w:t>G</w:t>
      </w:r>
      <w:r>
        <w:rPr>
          <w:rFonts w:ascii="Arial" w:hAnsi="Arial" w:cs="Arial"/>
          <w:bCs/>
        </w:rPr>
        <w:t>uideline</w:t>
      </w:r>
      <w:r w:rsidRPr="009D26B4">
        <w:rPr>
          <w:rFonts w:ascii="Arial" w:hAnsi="Arial" w:cs="Arial"/>
          <w:bCs/>
        </w:rPr>
        <w:t>s</w:t>
      </w:r>
      <w:r>
        <w:rPr>
          <w:rFonts w:ascii="Arial" w:hAnsi="Arial" w:cs="Arial"/>
          <w:bCs/>
        </w:rPr>
        <w:t xml:space="preserve"> (SoNGs)</w:t>
      </w:r>
      <w:r w:rsidR="005C31CC">
        <w:rPr>
          <w:rFonts w:ascii="Arial" w:hAnsi="Arial" w:cs="Arial"/>
          <w:bCs/>
        </w:rPr>
        <w:t>;</w:t>
      </w:r>
      <w:r w:rsidRPr="009D26B4">
        <w:rPr>
          <w:rFonts w:ascii="Arial" w:hAnsi="Arial" w:cs="Arial"/>
          <w:bCs/>
        </w:rPr>
        <w:t xml:space="preserve"> </w:t>
      </w:r>
    </w:p>
    <w:p w14:paraId="7F47500F" w14:textId="77777777" w:rsidR="000D1E35" w:rsidRPr="009D26B4" w:rsidRDefault="000D1E35" w:rsidP="005C31CC">
      <w:pPr>
        <w:pStyle w:val="ListParagraph"/>
        <w:numPr>
          <w:ilvl w:val="0"/>
          <w:numId w:val="16"/>
        </w:numPr>
        <w:ind w:left="567" w:hanging="567"/>
        <w:rPr>
          <w:rFonts w:ascii="Arial" w:hAnsi="Arial" w:cs="Arial"/>
          <w:bCs/>
        </w:rPr>
      </w:pPr>
      <w:r w:rsidRPr="009D26B4">
        <w:rPr>
          <w:rFonts w:ascii="Arial" w:hAnsi="Arial" w:cs="Arial"/>
          <w:bCs/>
        </w:rPr>
        <w:t>MJSO</w:t>
      </w:r>
      <w:r w:rsidR="005C31CC">
        <w:rPr>
          <w:rFonts w:ascii="Arial" w:hAnsi="Arial" w:cs="Arial"/>
          <w:bCs/>
        </w:rPr>
        <w:t xml:space="preserve"> and MJSO Data Working Group (working groups of CDNA)</w:t>
      </w:r>
      <w:r w:rsidR="008158CB">
        <w:rPr>
          <w:rFonts w:ascii="Arial" w:hAnsi="Arial" w:cs="Arial"/>
          <w:bCs/>
        </w:rPr>
        <w:t>:</w:t>
      </w:r>
      <w:r w:rsidRPr="009D26B4">
        <w:rPr>
          <w:rFonts w:ascii="Arial" w:hAnsi="Arial" w:cs="Arial"/>
          <w:bCs/>
        </w:rPr>
        <w:t xml:space="preserve"> surveillance</w:t>
      </w:r>
      <w:r w:rsidR="005C31CC">
        <w:rPr>
          <w:rFonts w:ascii="Arial" w:hAnsi="Arial" w:cs="Arial"/>
          <w:bCs/>
        </w:rPr>
        <w:t>,</w:t>
      </w:r>
      <w:r w:rsidRPr="009D26B4">
        <w:rPr>
          <w:rFonts w:ascii="Arial" w:hAnsi="Arial" w:cs="Arial"/>
          <w:bCs/>
        </w:rPr>
        <w:t xml:space="preserve"> reporting</w:t>
      </w:r>
      <w:r w:rsidR="005C31CC">
        <w:rPr>
          <w:rFonts w:ascii="Arial" w:hAnsi="Arial" w:cs="Arial"/>
          <w:bCs/>
        </w:rPr>
        <w:t>,</w:t>
      </w:r>
      <w:r>
        <w:rPr>
          <w:rFonts w:ascii="Arial" w:hAnsi="Arial" w:cs="Arial"/>
          <w:bCs/>
        </w:rPr>
        <w:t xml:space="preserve"> </w:t>
      </w:r>
      <w:r w:rsidR="005C31CC" w:rsidRPr="00904B55">
        <w:rPr>
          <w:rFonts w:ascii="Arial" w:hAnsi="Arial" w:cs="Arial"/>
        </w:rPr>
        <w:t xml:space="preserve">workforce issues related to the outbreak </w:t>
      </w:r>
      <w:r>
        <w:rPr>
          <w:rFonts w:ascii="Arial" w:hAnsi="Arial" w:cs="Arial"/>
          <w:bCs/>
        </w:rPr>
        <w:t xml:space="preserve">and guidance on </w:t>
      </w:r>
      <w:r w:rsidRPr="009D26B4">
        <w:rPr>
          <w:rFonts w:ascii="Arial" w:hAnsi="Arial" w:cs="Arial"/>
          <w:bCs/>
        </w:rPr>
        <w:t xml:space="preserve">antenatal care; </w:t>
      </w:r>
    </w:p>
    <w:p w14:paraId="7F475010" w14:textId="77777777" w:rsidR="000D1E35" w:rsidRPr="009D26B4" w:rsidRDefault="000D1E35" w:rsidP="007A1B12">
      <w:pPr>
        <w:pStyle w:val="ListParagraph"/>
        <w:numPr>
          <w:ilvl w:val="0"/>
          <w:numId w:val="16"/>
        </w:numPr>
        <w:ind w:left="567" w:hanging="567"/>
        <w:rPr>
          <w:rFonts w:ascii="Arial" w:hAnsi="Arial" w:cs="Arial"/>
          <w:bCs/>
        </w:rPr>
      </w:pPr>
      <w:r w:rsidRPr="009D26B4">
        <w:rPr>
          <w:rFonts w:ascii="Arial" w:hAnsi="Arial" w:cs="Arial"/>
          <w:bCs/>
        </w:rPr>
        <w:t>PHLN</w:t>
      </w:r>
      <w:r w:rsidR="008158CB">
        <w:rPr>
          <w:rFonts w:ascii="Arial" w:hAnsi="Arial" w:cs="Arial"/>
          <w:bCs/>
        </w:rPr>
        <w:t>:</w:t>
      </w:r>
      <w:r w:rsidRPr="009D26B4">
        <w:rPr>
          <w:rFonts w:ascii="Arial" w:hAnsi="Arial" w:cs="Arial"/>
          <w:bCs/>
        </w:rPr>
        <w:t xml:space="preserve"> </w:t>
      </w:r>
      <w:r>
        <w:rPr>
          <w:rFonts w:ascii="Arial" w:hAnsi="Arial" w:cs="Arial"/>
          <w:bCs/>
        </w:rPr>
        <w:t xml:space="preserve">advice and expertise on </w:t>
      </w:r>
      <w:r w:rsidRPr="00AF1FCD">
        <w:rPr>
          <w:rFonts w:ascii="Arial" w:hAnsi="Arial" w:cs="Arial"/>
          <w:bCs/>
        </w:rPr>
        <w:t>pathology and laboratory services</w:t>
      </w:r>
      <w:r>
        <w:rPr>
          <w:rFonts w:ascii="Arial" w:hAnsi="Arial" w:cs="Arial"/>
          <w:bCs/>
        </w:rPr>
        <w:t>, including Point of Care Testing (PoCT) and improved access to laboratory data</w:t>
      </w:r>
      <w:r w:rsidRPr="009D26B4">
        <w:rPr>
          <w:rFonts w:ascii="Arial" w:hAnsi="Arial" w:cs="Arial"/>
          <w:bCs/>
        </w:rPr>
        <w:t xml:space="preserve">; and </w:t>
      </w:r>
    </w:p>
    <w:p w14:paraId="7F475011" w14:textId="77777777" w:rsidR="000D1E35" w:rsidRPr="009D26B4" w:rsidRDefault="000D1E35" w:rsidP="007A1B12">
      <w:pPr>
        <w:pStyle w:val="ListParagraph"/>
        <w:numPr>
          <w:ilvl w:val="0"/>
          <w:numId w:val="16"/>
        </w:numPr>
        <w:ind w:left="567" w:hanging="567"/>
        <w:rPr>
          <w:rFonts w:ascii="Arial" w:hAnsi="Arial" w:cs="Arial"/>
          <w:bCs/>
        </w:rPr>
      </w:pPr>
      <w:r w:rsidRPr="009D26B4">
        <w:rPr>
          <w:rFonts w:ascii="Arial" w:hAnsi="Arial" w:cs="Arial"/>
          <w:bCs/>
        </w:rPr>
        <w:lastRenderedPageBreak/>
        <w:t>BBVSS</w:t>
      </w:r>
      <w:r w:rsidR="008158CB">
        <w:rPr>
          <w:rFonts w:ascii="Arial" w:hAnsi="Arial" w:cs="Arial"/>
          <w:bCs/>
        </w:rPr>
        <w:t>:</w:t>
      </w:r>
      <w:r w:rsidRPr="009D26B4">
        <w:rPr>
          <w:rFonts w:ascii="Arial" w:hAnsi="Arial" w:cs="Arial"/>
          <w:bCs/>
        </w:rPr>
        <w:t xml:space="preserve"> </w:t>
      </w:r>
      <w:r>
        <w:rPr>
          <w:rFonts w:ascii="Arial" w:hAnsi="Arial" w:cs="Arial"/>
          <w:bCs/>
        </w:rPr>
        <w:t xml:space="preserve">advisory body on strategic policy, programs, social </w:t>
      </w:r>
      <w:r w:rsidR="00BD0492">
        <w:rPr>
          <w:rFonts w:ascii="Arial" w:hAnsi="Arial" w:cs="Arial"/>
          <w:bCs/>
        </w:rPr>
        <w:t xml:space="preserve">policy </w:t>
      </w:r>
      <w:r>
        <w:rPr>
          <w:rFonts w:ascii="Arial" w:hAnsi="Arial" w:cs="Arial"/>
          <w:bCs/>
        </w:rPr>
        <w:t xml:space="preserve">activities relating to BBV and STI, including </w:t>
      </w:r>
      <w:r w:rsidRPr="009D26B4">
        <w:rPr>
          <w:rFonts w:ascii="Arial" w:hAnsi="Arial" w:cs="Arial"/>
          <w:bCs/>
        </w:rPr>
        <w:t>education and awareness.</w:t>
      </w:r>
    </w:p>
    <w:p w14:paraId="7F475012" w14:textId="77777777" w:rsidR="000D1E35" w:rsidRDefault="000D1E35" w:rsidP="000D1E35">
      <w:pPr>
        <w:rPr>
          <w:rFonts w:ascii="Arial" w:hAnsi="Arial" w:cs="Arial"/>
        </w:rPr>
      </w:pPr>
    </w:p>
    <w:p w14:paraId="7F475013" w14:textId="77777777" w:rsidR="000D1E35" w:rsidRPr="004C14F9" w:rsidRDefault="000D1E35" w:rsidP="000D1E35">
      <w:pPr>
        <w:rPr>
          <w:rFonts w:ascii="Arial" w:hAnsi="Arial" w:cs="Arial"/>
        </w:rPr>
      </w:pPr>
      <w:r>
        <w:rPr>
          <w:rFonts w:ascii="Arial" w:hAnsi="Arial" w:cs="Arial"/>
        </w:rPr>
        <w:t>The Governance Group will also request advice and support as needed from key non-</w:t>
      </w:r>
      <w:r w:rsidR="003D2C74">
        <w:rPr>
          <w:rFonts w:ascii="Arial" w:hAnsi="Arial" w:cs="Arial"/>
        </w:rPr>
        <w:t>g</w:t>
      </w:r>
      <w:r>
        <w:rPr>
          <w:rFonts w:ascii="Arial" w:hAnsi="Arial" w:cs="Arial"/>
        </w:rPr>
        <w:t>overnment agencies, including: NACCHO, SAHMRI, Kirby Institute; RACGP, CRANAplus, RACP; and RDAA.</w:t>
      </w:r>
    </w:p>
    <w:p w14:paraId="7F475014" w14:textId="77777777" w:rsidR="000D1E35" w:rsidRDefault="000D1E35" w:rsidP="000D1E35">
      <w:pPr>
        <w:rPr>
          <w:rFonts w:ascii="Arial" w:hAnsi="Arial" w:cs="Arial"/>
        </w:rPr>
      </w:pPr>
    </w:p>
    <w:p w14:paraId="7F475015" w14:textId="77777777" w:rsidR="000D1E35" w:rsidRPr="00A77FC9" w:rsidRDefault="000D1E35" w:rsidP="000D1E35">
      <w:pPr>
        <w:rPr>
          <w:rFonts w:ascii="Arial" w:hAnsi="Arial" w:cs="Arial"/>
          <w:b/>
          <w:i/>
          <w:color w:val="0070C0"/>
        </w:rPr>
      </w:pPr>
      <w:r w:rsidRPr="00A77FC9">
        <w:rPr>
          <w:rFonts w:ascii="Arial" w:hAnsi="Arial" w:cs="Arial"/>
          <w:b/>
          <w:i/>
          <w:color w:val="0070C0"/>
        </w:rPr>
        <w:t>Reporting</w:t>
      </w:r>
    </w:p>
    <w:p w14:paraId="7F475016" w14:textId="77777777" w:rsidR="000D1E35" w:rsidRDefault="000D1E35" w:rsidP="000D1E35">
      <w:pPr>
        <w:spacing w:before="200"/>
        <w:rPr>
          <w:rFonts w:ascii="Arial" w:hAnsi="Arial" w:cs="Arial"/>
        </w:rPr>
      </w:pPr>
      <w:r>
        <w:rPr>
          <w:rFonts w:ascii="Arial" w:hAnsi="Arial" w:cs="Arial"/>
        </w:rPr>
        <w:t>The Governance Group will be responsible for reporting by the end of 2017 on progress to:</w:t>
      </w:r>
    </w:p>
    <w:p w14:paraId="7F475017" w14:textId="77777777" w:rsidR="000D1E35" w:rsidRPr="00822CAF" w:rsidRDefault="00BD0492" w:rsidP="007A1B12">
      <w:pPr>
        <w:pStyle w:val="ListParagraph"/>
        <w:numPr>
          <w:ilvl w:val="0"/>
          <w:numId w:val="16"/>
        </w:numPr>
        <w:ind w:left="567" w:hanging="567"/>
        <w:rPr>
          <w:rFonts w:ascii="Arial" w:hAnsi="Arial" w:cs="Arial"/>
          <w:bCs/>
        </w:rPr>
      </w:pPr>
      <w:r>
        <w:rPr>
          <w:rFonts w:ascii="Arial" w:hAnsi="Arial" w:cs="Arial"/>
          <w:bCs/>
        </w:rPr>
        <w:t>the Australian Health Protection Principal Committee (</w:t>
      </w:r>
      <w:r w:rsidRPr="00822CAF">
        <w:rPr>
          <w:rFonts w:ascii="Arial" w:hAnsi="Arial" w:cs="Arial"/>
          <w:bCs/>
        </w:rPr>
        <w:t>AHPPC</w:t>
      </w:r>
      <w:r>
        <w:rPr>
          <w:rFonts w:ascii="Arial" w:hAnsi="Arial" w:cs="Arial"/>
          <w:bCs/>
        </w:rPr>
        <w:t>)</w:t>
      </w:r>
      <w:r w:rsidR="000D1E35">
        <w:rPr>
          <w:rFonts w:ascii="Arial" w:hAnsi="Arial" w:cs="Arial"/>
          <w:bCs/>
        </w:rPr>
        <w:t>; and</w:t>
      </w:r>
    </w:p>
    <w:p w14:paraId="7F475018" w14:textId="77777777" w:rsidR="000D1E35" w:rsidRDefault="00BD0492" w:rsidP="007A1B12">
      <w:pPr>
        <w:pStyle w:val="ListParagraph"/>
        <w:numPr>
          <w:ilvl w:val="0"/>
          <w:numId w:val="16"/>
        </w:numPr>
        <w:ind w:left="567" w:hanging="567"/>
        <w:rPr>
          <w:rFonts w:ascii="Arial" w:hAnsi="Arial" w:cs="Arial"/>
          <w:bCs/>
        </w:rPr>
      </w:pPr>
      <w:r>
        <w:rPr>
          <w:rFonts w:ascii="Arial" w:hAnsi="Arial" w:cs="Arial"/>
          <w:bCs/>
        </w:rPr>
        <w:t>the Australian Health Ministers Advisory Council (</w:t>
      </w:r>
      <w:r w:rsidRPr="00822CAF">
        <w:rPr>
          <w:rFonts w:ascii="Arial" w:hAnsi="Arial" w:cs="Arial"/>
          <w:bCs/>
        </w:rPr>
        <w:t>AHMAC</w:t>
      </w:r>
      <w:r>
        <w:rPr>
          <w:rFonts w:ascii="Arial" w:hAnsi="Arial" w:cs="Arial"/>
          <w:bCs/>
        </w:rPr>
        <w:t>)</w:t>
      </w:r>
      <w:r w:rsidR="000D1E35">
        <w:rPr>
          <w:rFonts w:ascii="Arial" w:hAnsi="Arial" w:cs="Arial"/>
          <w:bCs/>
        </w:rPr>
        <w:t>.</w:t>
      </w:r>
      <w:r w:rsidR="000D1E35" w:rsidRPr="00822CAF">
        <w:rPr>
          <w:rFonts w:ascii="Arial" w:hAnsi="Arial" w:cs="Arial"/>
          <w:bCs/>
        </w:rPr>
        <w:t xml:space="preserve"> </w:t>
      </w:r>
    </w:p>
    <w:p w14:paraId="7F475019" w14:textId="77777777" w:rsidR="000D1E35" w:rsidRDefault="000D1E35" w:rsidP="000D1E35">
      <w:pPr>
        <w:rPr>
          <w:rFonts w:ascii="Arial" w:hAnsi="Arial" w:cs="Arial"/>
          <w:bCs/>
        </w:rPr>
      </w:pPr>
    </w:p>
    <w:p w14:paraId="7F47501A" w14:textId="77777777" w:rsidR="000D1E35" w:rsidRPr="00822CAF" w:rsidRDefault="000D1E35" w:rsidP="000D1E35">
      <w:pPr>
        <w:rPr>
          <w:rFonts w:ascii="Arial" w:hAnsi="Arial" w:cs="Arial"/>
          <w:bCs/>
        </w:rPr>
      </w:pPr>
      <w:r>
        <w:rPr>
          <w:rFonts w:ascii="Arial" w:hAnsi="Arial" w:cs="Arial"/>
          <w:bCs/>
        </w:rPr>
        <w:t xml:space="preserve">The Governance Group will also report to the </w:t>
      </w:r>
      <w:r w:rsidRPr="00822CAF">
        <w:rPr>
          <w:rFonts w:ascii="Arial" w:hAnsi="Arial" w:cs="Arial"/>
          <w:bCs/>
        </w:rPr>
        <w:t xml:space="preserve">AHPPC </w:t>
      </w:r>
      <w:r>
        <w:rPr>
          <w:rFonts w:ascii="Arial" w:hAnsi="Arial" w:cs="Arial"/>
          <w:bCs/>
        </w:rPr>
        <w:t>Workshop on BBV/STI in Indigenous Populations in April 2018.</w:t>
      </w:r>
    </w:p>
    <w:p w14:paraId="7F47501B" w14:textId="77777777" w:rsidR="000D1E35" w:rsidRPr="00A77FC9" w:rsidRDefault="000D1E35" w:rsidP="000D1E35">
      <w:pPr>
        <w:rPr>
          <w:rFonts w:ascii="Arial" w:hAnsi="Arial" w:cs="Arial"/>
        </w:rPr>
      </w:pPr>
    </w:p>
    <w:p w14:paraId="7F47501C" w14:textId="77777777" w:rsidR="000D1E35" w:rsidRPr="007870AE" w:rsidRDefault="000D1E35" w:rsidP="000D1E35">
      <w:pPr>
        <w:rPr>
          <w:rFonts w:ascii="Arial" w:hAnsi="Arial" w:cs="Arial"/>
          <w:b/>
          <w:i/>
          <w:color w:val="0070C0"/>
        </w:rPr>
      </w:pPr>
      <w:r w:rsidRPr="007870AE">
        <w:rPr>
          <w:rFonts w:ascii="Arial" w:hAnsi="Arial" w:cs="Arial"/>
          <w:b/>
          <w:i/>
          <w:color w:val="0070C0"/>
        </w:rPr>
        <w:t>Meeting frequency</w:t>
      </w:r>
    </w:p>
    <w:p w14:paraId="7F47501D" w14:textId="77777777" w:rsidR="000D1E35" w:rsidRPr="00A77FC9" w:rsidRDefault="000D1E35" w:rsidP="000D1E35">
      <w:pPr>
        <w:spacing w:before="120"/>
        <w:rPr>
          <w:rFonts w:ascii="Arial" w:hAnsi="Arial" w:cs="Arial"/>
        </w:rPr>
      </w:pPr>
      <w:r>
        <w:rPr>
          <w:rFonts w:ascii="Arial" w:hAnsi="Arial" w:cs="Arial"/>
        </w:rPr>
        <w:t>The Governance Group will meet as needed by teleconference to agree on priorities and discuss progress.</w:t>
      </w:r>
    </w:p>
    <w:p w14:paraId="7F47501E" w14:textId="77777777" w:rsidR="000D1E35" w:rsidRDefault="000D1E35" w:rsidP="000D1E35">
      <w:pPr>
        <w:rPr>
          <w:rFonts w:ascii="Arial" w:hAnsi="Arial" w:cs="Arial"/>
        </w:rPr>
      </w:pPr>
    </w:p>
    <w:p w14:paraId="7F47501F" w14:textId="77777777" w:rsidR="000D1E35" w:rsidRDefault="000D1E35" w:rsidP="000D1E35">
      <w:pPr>
        <w:rPr>
          <w:rFonts w:ascii="Arial" w:hAnsi="Arial" w:cs="Arial"/>
        </w:rPr>
      </w:pPr>
      <w:r>
        <w:rPr>
          <w:rFonts w:ascii="Arial" w:hAnsi="Arial" w:cs="Arial"/>
        </w:rPr>
        <w:t>The Governance Group will initially hold meetings in September 2017, October 2017 and February 2018.</w:t>
      </w:r>
    </w:p>
    <w:p w14:paraId="7F475020" w14:textId="77777777" w:rsidR="000D1E35" w:rsidRDefault="000D1E35" w:rsidP="000D1E35">
      <w:pPr>
        <w:rPr>
          <w:rFonts w:ascii="Arial" w:hAnsi="Arial" w:cs="Arial"/>
        </w:rPr>
      </w:pPr>
    </w:p>
    <w:p w14:paraId="7F475021" w14:textId="77777777" w:rsidR="000D1E35" w:rsidRDefault="00BD0492" w:rsidP="000D1E35">
      <w:pPr>
        <w:rPr>
          <w:rFonts w:ascii="Arial" w:hAnsi="Arial" w:cs="Arial"/>
        </w:rPr>
      </w:pPr>
      <w:r>
        <w:rPr>
          <w:rFonts w:ascii="Arial" w:hAnsi="Arial" w:cs="Arial"/>
        </w:rPr>
        <w:t>Furth</w:t>
      </w:r>
      <w:r w:rsidR="000D1E35">
        <w:rPr>
          <w:rFonts w:ascii="Arial" w:hAnsi="Arial" w:cs="Arial"/>
        </w:rPr>
        <w:t>er meetings will be determined following the AHPPC Workshop in April 2018.</w:t>
      </w:r>
    </w:p>
    <w:p w14:paraId="7F475022" w14:textId="77777777" w:rsidR="000D1E35" w:rsidRPr="00A77FC9" w:rsidRDefault="000D1E35" w:rsidP="000D1E35">
      <w:pPr>
        <w:rPr>
          <w:rFonts w:ascii="Arial" w:hAnsi="Arial" w:cs="Arial"/>
        </w:rPr>
      </w:pPr>
    </w:p>
    <w:p w14:paraId="7F475023" w14:textId="77777777" w:rsidR="000D1E35" w:rsidRDefault="000D1E35" w:rsidP="000D1E35">
      <w:pPr>
        <w:rPr>
          <w:rFonts w:ascii="Arial" w:hAnsi="Arial" w:cs="Arial"/>
          <w:b/>
          <w:i/>
          <w:color w:val="0070C0"/>
        </w:rPr>
      </w:pPr>
      <w:r w:rsidRPr="00A77FC9">
        <w:rPr>
          <w:rFonts w:ascii="Arial" w:hAnsi="Arial" w:cs="Arial"/>
          <w:b/>
          <w:i/>
          <w:color w:val="0070C0"/>
        </w:rPr>
        <w:t>Timeframes</w:t>
      </w:r>
    </w:p>
    <w:p w14:paraId="7F475024" w14:textId="77777777" w:rsidR="000D1E35" w:rsidRDefault="000D1E35" w:rsidP="000D1E35">
      <w:pPr>
        <w:spacing w:before="120"/>
        <w:rPr>
          <w:rFonts w:ascii="Arial" w:hAnsi="Arial" w:cs="Arial"/>
        </w:rPr>
      </w:pPr>
      <w:r>
        <w:rPr>
          <w:rFonts w:ascii="Arial" w:hAnsi="Arial" w:cs="Arial"/>
        </w:rPr>
        <w:t>The Governance Group will be activated from September 2017 to April 2018.</w:t>
      </w:r>
    </w:p>
    <w:p w14:paraId="7F475025" w14:textId="77777777" w:rsidR="000D1E35" w:rsidRDefault="000D1E35" w:rsidP="000D1E35">
      <w:pPr>
        <w:rPr>
          <w:rFonts w:ascii="Arial" w:hAnsi="Arial" w:cs="Arial"/>
        </w:rPr>
      </w:pPr>
    </w:p>
    <w:p w14:paraId="7F475026" w14:textId="77777777" w:rsidR="000D1E35" w:rsidRDefault="000D1E35" w:rsidP="000D1E35">
      <w:pPr>
        <w:rPr>
          <w:rFonts w:ascii="Arial" w:hAnsi="Arial" w:cs="Arial"/>
        </w:rPr>
      </w:pPr>
      <w:r>
        <w:rPr>
          <w:rFonts w:ascii="Arial" w:hAnsi="Arial" w:cs="Arial"/>
        </w:rPr>
        <w:t>The AHPPC Workshop in April 2018 will decide the timeframes for the continuation of the Governance Group beyond April 2018.</w:t>
      </w:r>
    </w:p>
    <w:p w14:paraId="7F475027" w14:textId="77777777" w:rsidR="000D1E35" w:rsidRDefault="000D1E35" w:rsidP="000D1E35"/>
    <w:p w14:paraId="7F475028" w14:textId="77777777" w:rsidR="00AB6E0B" w:rsidRPr="00AB6E0B" w:rsidRDefault="00AB6E0B" w:rsidP="00AB6E0B">
      <w:pPr>
        <w:rPr>
          <w:rFonts w:ascii="Arial" w:hAnsi="Arial" w:cs="Arial"/>
          <w:b/>
          <w:i/>
          <w:color w:val="0070C0"/>
        </w:rPr>
      </w:pPr>
      <w:r w:rsidRPr="00AB6E0B">
        <w:rPr>
          <w:rFonts w:ascii="Arial" w:hAnsi="Arial" w:cs="Arial"/>
          <w:b/>
          <w:i/>
          <w:color w:val="0070C0"/>
        </w:rPr>
        <w:t>Conflict of Interest</w:t>
      </w:r>
    </w:p>
    <w:p w14:paraId="7F475029" w14:textId="77777777" w:rsidR="004D01B9" w:rsidRDefault="00AB6E0B" w:rsidP="00AB6E0B">
      <w:pPr>
        <w:spacing w:before="120"/>
        <w:rPr>
          <w:rFonts w:ascii="Arial" w:hAnsi="Arial" w:cs="Arial"/>
        </w:rPr>
      </w:pPr>
      <w:r w:rsidRPr="00AB6E0B">
        <w:rPr>
          <w:rFonts w:ascii="Arial" w:hAnsi="Arial" w:cs="Arial"/>
        </w:rPr>
        <w:t xml:space="preserve">Members must declare any conflict of interest, whether real or perceived, in matters being considered or about to be considered by the </w:t>
      </w:r>
      <w:r>
        <w:rPr>
          <w:rFonts w:ascii="Arial" w:hAnsi="Arial" w:cs="Arial"/>
        </w:rPr>
        <w:t>Governance Group</w:t>
      </w:r>
      <w:r w:rsidRPr="00AB6E0B">
        <w:rPr>
          <w:rFonts w:ascii="Arial" w:hAnsi="Arial" w:cs="Arial"/>
        </w:rPr>
        <w:t>.</w:t>
      </w:r>
    </w:p>
    <w:p w14:paraId="7F47502A" w14:textId="77777777" w:rsidR="00AB6E0B" w:rsidRPr="00EC4E26" w:rsidRDefault="00AB6E0B" w:rsidP="000D1E35">
      <w:pPr>
        <w:rPr>
          <w:rFonts w:ascii="Arial" w:hAnsi="Arial" w:cs="Arial"/>
        </w:rPr>
      </w:pPr>
    </w:p>
    <w:sectPr w:rsidR="00AB6E0B" w:rsidRPr="00EC4E26" w:rsidSect="00B7500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502F" w14:textId="77777777" w:rsidR="00D35D0E" w:rsidRDefault="00D35D0E" w:rsidP="00673C18">
      <w:r>
        <w:separator/>
      </w:r>
    </w:p>
  </w:endnote>
  <w:endnote w:type="continuationSeparator" w:id="0">
    <w:p w14:paraId="7F475030" w14:textId="77777777" w:rsidR="00D35D0E" w:rsidRDefault="00D35D0E" w:rsidP="0067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5031" w14:textId="3981C3C6" w:rsidR="00AF7B41" w:rsidRPr="00673C18" w:rsidRDefault="00AF7B41">
    <w:pPr>
      <w:pStyle w:val="Footer"/>
      <w:pBdr>
        <w:top w:val="thinThickSmallGap" w:sz="24" w:space="1" w:color="622423" w:themeColor="accent2" w:themeShade="7F"/>
      </w:pBdr>
      <w:rPr>
        <w:rFonts w:ascii="Arial" w:eastAsiaTheme="majorEastAsia" w:hAnsi="Arial" w:cs="Arial"/>
        <w:sz w:val="16"/>
        <w:szCs w:val="16"/>
      </w:rPr>
    </w:pPr>
    <w:r>
      <w:rPr>
        <w:rFonts w:ascii="Arial" w:eastAsiaTheme="majorEastAsia" w:hAnsi="Arial" w:cs="Arial"/>
        <w:sz w:val="16"/>
        <w:szCs w:val="16"/>
      </w:rPr>
      <w:t xml:space="preserve">Action Plan: </w:t>
    </w:r>
    <w:r w:rsidRPr="00673C18">
      <w:rPr>
        <w:rFonts w:ascii="Arial" w:eastAsiaTheme="majorEastAsia" w:hAnsi="Arial" w:cs="Arial"/>
        <w:sz w:val="16"/>
        <w:szCs w:val="16"/>
      </w:rPr>
      <w:t>Enhanced response to addressing STI /BBV in Indigenous Populations</w:t>
    </w:r>
    <w:r w:rsidRPr="00673C18">
      <w:rPr>
        <w:rFonts w:ascii="Arial" w:eastAsiaTheme="majorEastAsia" w:hAnsi="Arial" w:cs="Arial"/>
        <w:sz w:val="16"/>
        <w:szCs w:val="16"/>
      </w:rPr>
      <w:ptab w:relativeTo="margin" w:alignment="right" w:leader="none"/>
    </w:r>
    <w:r w:rsidRPr="00673C18">
      <w:rPr>
        <w:rFonts w:ascii="Arial" w:eastAsiaTheme="majorEastAsia" w:hAnsi="Arial" w:cs="Arial"/>
        <w:sz w:val="16"/>
        <w:szCs w:val="16"/>
      </w:rPr>
      <w:t xml:space="preserve">Page </w:t>
    </w:r>
    <w:r w:rsidRPr="00673C18">
      <w:rPr>
        <w:rFonts w:ascii="Arial" w:eastAsiaTheme="minorEastAsia" w:hAnsi="Arial" w:cs="Arial"/>
        <w:sz w:val="16"/>
        <w:szCs w:val="16"/>
      </w:rPr>
      <w:fldChar w:fldCharType="begin"/>
    </w:r>
    <w:r w:rsidRPr="00673C18">
      <w:rPr>
        <w:rFonts w:ascii="Arial" w:hAnsi="Arial" w:cs="Arial"/>
        <w:sz w:val="16"/>
        <w:szCs w:val="16"/>
      </w:rPr>
      <w:instrText xml:space="preserve"> PAGE   \* MERGEFORMAT </w:instrText>
    </w:r>
    <w:r w:rsidRPr="00673C18">
      <w:rPr>
        <w:rFonts w:ascii="Arial" w:eastAsiaTheme="minorEastAsia" w:hAnsi="Arial" w:cs="Arial"/>
        <w:sz w:val="16"/>
        <w:szCs w:val="16"/>
      </w:rPr>
      <w:fldChar w:fldCharType="separate"/>
    </w:r>
    <w:r w:rsidR="00772FA9" w:rsidRPr="00772FA9">
      <w:rPr>
        <w:rFonts w:ascii="Arial" w:eastAsiaTheme="majorEastAsia" w:hAnsi="Arial" w:cs="Arial"/>
        <w:noProof/>
        <w:sz w:val="16"/>
        <w:szCs w:val="16"/>
      </w:rPr>
      <w:t>15</w:t>
    </w:r>
    <w:r w:rsidRPr="00673C18">
      <w:rPr>
        <w:rFonts w:ascii="Arial" w:eastAsiaTheme="majorEastAsia" w:hAnsi="Arial" w:cs="Arial"/>
        <w:noProof/>
        <w:sz w:val="16"/>
        <w:szCs w:val="16"/>
      </w:rPr>
      <w:fldChar w:fldCharType="end"/>
    </w:r>
  </w:p>
  <w:p w14:paraId="7F475032" w14:textId="77777777" w:rsidR="00AF7B41" w:rsidRDefault="00AF7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75033" w14:textId="58E606EA" w:rsidR="001F34F6" w:rsidRPr="00673C18" w:rsidRDefault="001F34F6" w:rsidP="001F34F6">
    <w:pPr>
      <w:pStyle w:val="Footer"/>
      <w:pBdr>
        <w:top w:val="thinThickSmallGap" w:sz="24" w:space="1" w:color="622423" w:themeColor="accent2" w:themeShade="7F"/>
      </w:pBdr>
      <w:rPr>
        <w:rFonts w:ascii="Arial" w:eastAsiaTheme="majorEastAsia" w:hAnsi="Arial" w:cs="Arial"/>
        <w:sz w:val="16"/>
        <w:szCs w:val="16"/>
      </w:rPr>
    </w:pPr>
    <w:r>
      <w:rPr>
        <w:rFonts w:ascii="Arial" w:eastAsiaTheme="majorEastAsia" w:hAnsi="Arial" w:cs="Arial"/>
        <w:sz w:val="16"/>
        <w:szCs w:val="16"/>
      </w:rPr>
      <w:t xml:space="preserve">Action Plan: </w:t>
    </w:r>
    <w:r w:rsidRPr="00673C18">
      <w:rPr>
        <w:rFonts w:ascii="Arial" w:eastAsiaTheme="majorEastAsia" w:hAnsi="Arial" w:cs="Arial"/>
        <w:sz w:val="16"/>
        <w:szCs w:val="16"/>
      </w:rPr>
      <w:t>Enhanced response to addressing STI /BBV in Indigenous Populations</w:t>
    </w:r>
    <w:r w:rsidRPr="00673C18">
      <w:rPr>
        <w:rFonts w:ascii="Arial" w:eastAsiaTheme="majorEastAsia" w:hAnsi="Arial" w:cs="Arial"/>
        <w:sz w:val="16"/>
        <w:szCs w:val="16"/>
      </w:rPr>
      <w:ptab w:relativeTo="margin" w:alignment="right" w:leader="none"/>
    </w:r>
    <w:r w:rsidRPr="00673C18">
      <w:rPr>
        <w:rFonts w:ascii="Arial" w:eastAsiaTheme="majorEastAsia" w:hAnsi="Arial" w:cs="Arial"/>
        <w:sz w:val="16"/>
        <w:szCs w:val="16"/>
      </w:rPr>
      <w:t xml:space="preserve">Page </w:t>
    </w:r>
    <w:r w:rsidRPr="00673C18">
      <w:rPr>
        <w:rFonts w:ascii="Arial" w:eastAsiaTheme="minorEastAsia" w:hAnsi="Arial" w:cs="Arial"/>
        <w:sz w:val="16"/>
        <w:szCs w:val="16"/>
      </w:rPr>
      <w:fldChar w:fldCharType="begin"/>
    </w:r>
    <w:r w:rsidRPr="00673C18">
      <w:rPr>
        <w:rFonts w:ascii="Arial" w:hAnsi="Arial" w:cs="Arial"/>
        <w:sz w:val="16"/>
        <w:szCs w:val="16"/>
      </w:rPr>
      <w:instrText xml:space="preserve"> PAGE   \* MERGEFORMAT </w:instrText>
    </w:r>
    <w:r w:rsidRPr="00673C18">
      <w:rPr>
        <w:rFonts w:ascii="Arial" w:eastAsiaTheme="minorEastAsia" w:hAnsi="Arial" w:cs="Arial"/>
        <w:sz w:val="16"/>
        <w:szCs w:val="16"/>
      </w:rPr>
      <w:fldChar w:fldCharType="separate"/>
    </w:r>
    <w:r w:rsidR="00772FA9" w:rsidRPr="00772FA9">
      <w:rPr>
        <w:rFonts w:ascii="Arial" w:eastAsiaTheme="majorEastAsia" w:hAnsi="Arial" w:cs="Arial"/>
        <w:noProof/>
        <w:sz w:val="16"/>
        <w:szCs w:val="16"/>
      </w:rPr>
      <w:t>1</w:t>
    </w:r>
    <w:r w:rsidRPr="00673C18">
      <w:rPr>
        <w:rFonts w:ascii="Arial" w:eastAsiaTheme="majorEastAsia" w:hAnsi="Arial" w:cs="Arial"/>
        <w:noProof/>
        <w:sz w:val="16"/>
        <w:szCs w:val="16"/>
      </w:rPr>
      <w:fldChar w:fldCharType="end"/>
    </w:r>
  </w:p>
  <w:p w14:paraId="7F475034" w14:textId="77777777" w:rsidR="00AF7B41" w:rsidRDefault="00AF7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502D" w14:textId="77777777" w:rsidR="00D35D0E" w:rsidRDefault="00D35D0E" w:rsidP="00673C18">
      <w:r>
        <w:separator/>
      </w:r>
    </w:p>
  </w:footnote>
  <w:footnote w:type="continuationSeparator" w:id="0">
    <w:p w14:paraId="7F47502E" w14:textId="77777777" w:rsidR="00D35D0E" w:rsidRDefault="00D35D0E" w:rsidP="00673C18">
      <w:r>
        <w:continuationSeparator/>
      </w:r>
    </w:p>
  </w:footnote>
  <w:footnote w:id="1">
    <w:p w14:paraId="7F475035" w14:textId="77777777" w:rsidR="00AF7B41" w:rsidRDefault="00AF7B41">
      <w:pPr>
        <w:pStyle w:val="FootnoteText"/>
      </w:pPr>
      <w:r>
        <w:rPr>
          <w:rStyle w:val="FootnoteReference"/>
        </w:rPr>
        <w:footnoteRef/>
      </w:r>
      <w:r>
        <w:t xml:space="preserve"> </w:t>
      </w:r>
      <w:r>
        <w:rPr>
          <w:color w:val="1F497D"/>
        </w:rPr>
        <w:t>As agreed by CDNA on 25 October 2017, MJSO members when providing advice to the Governance Group will seek internal approvals, including approvals from their CDNA representative prior to submission.  All advice provided by the MJSO to the Governance Group will be provided to CDNA for information.</w:t>
      </w:r>
    </w:p>
  </w:footnote>
  <w:footnote w:id="2">
    <w:p w14:paraId="7F475036" w14:textId="77777777" w:rsidR="00AF7B41" w:rsidRPr="006601CC" w:rsidRDefault="00AF7B41" w:rsidP="002B1801">
      <w:pPr>
        <w:pStyle w:val="FootnoteText"/>
        <w:ind w:right="-897"/>
        <w:rPr>
          <w:rFonts w:ascii="Arial" w:hAnsi="Arial" w:cs="Arial"/>
          <w:sz w:val="16"/>
          <w:szCs w:val="16"/>
        </w:rPr>
      </w:pPr>
      <w:r w:rsidRPr="006601CC">
        <w:rPr>
          <w:rStyle w:val="FootnoteReference"/>
          <w:rFonts w:ascii="Arial" w:hAnsi="Arial" w:cs="Arial"/>
          <w:sz w:val="16"/>
          <w:szCs w:val="16"/>
        </w:rPr>
        <w:footnoteRef/>
      </w:r>
      <w:r w:rsidRPr="006601CC">
        <w:rPr>
          <w:rFonts w:ascii="Arial" w:hAnsi="Arial" w:cs="Arial"/>
          <w:sz w:val="16"/>
          <w:szCs w:val="16"/>
        </w:rPr>
        <w:t xml:space="preserve"> </w:t>
      </w:r>
      <w:hyperlink r:id="rId1" w:history="1">
        <w:r w:rsidR="00AF1914" w:rsidRPr="001E1116">
          <w:rPr>
            <w:rStyle w:val="Hyperlink"/>
            <w:rFonts w:ascii="Arial" w:hAnsi="Arial" w:cs="Arial"/>
            <w:sz w:val="16"/>
            <w:szCs w:val="16"/>
          </w:rPr>
          <w:t>Series of National Guidelines: syphilis</w:t>
        </w:r>
      </w:hyperlink>
      <w:r w:rsidR="00AF1914" w:rsidRPr="006601CC">
        <w:rPr>
          <w:rFonts w:ascii="Arial" w:hAnsi="Arial" w:cs="Arial"/>
          <w:sz w:val="16"/>
          <w:szCs w:val="16"/>
        </w:rPr>
        <w:t xml:space="preserve"> (see appendix 4) </w:t>
      </w:r>
      <w:r w:rsidR="00AF1914">
        <w:rPr>
          <w:rFonts w:ascii="Arial" w:hAnsi="Arial" w:cs="Arial"/>
          <w:sz w:val="16"/>
          <w:szCs w:val="16"/>
        </w:rPr>
        <w:t>(</w:t>
      </w:r>
      <w:r w:rsidR="00AF1914" w:rsidRPr="001E1116">
        <w:rPr>
          <w:rFonts w:ascii="Arial" w:hAnsi="Arial" w:cs="Arial"/>
          <w:sz w:val="16"/>
          <w:szCs w:val="16"/>
        </w:rPr>
        <w:t>www.health.gov.au/internet/main/publishing.nsf/Content/cdnasongs.htm</w:t>
      </w:r>
      <w:r w:rsidR="00AF1914">
        <w:rPr>
          <w:rFonts w:ascii="Arial" w:hAnsi="Arial" w:cs="Arial"/>
          <w:sz w:val="16"/>
          <w:szCs w:val="16"/>
        </w:rPr>
        <w:t>)</w:t>
      </w:r>
      <w:r w:rsidR="00AF1914" w:rsidRPr="006601CC">
        <w:rPr>
          <w:rFonts w:ascii="Arial" w:hAnsi="Arial" w:cs="Arial"/>
          <w:sz w:val="16"/>
          <w:szCs w:val="16"/>
        </w:rPr>
        <w:t xml:space="preserve"> </w:t>
      </w:r>
      <w:r w:rsidRPr="006601CC">
        <w:rPr>
          <w:rFonts w:ascii="Arial" w:hAnsi="Arial" w:cs="Arial"/>
          <w:sz w:val="16"/>
          <w:szCs w:val="16"/>
        </w:rPr>
        <w:t xml:space="preserve"> </w:t>
      </w:r>
    </w:p>
  </w:footnote>
  <w:footnote w:id="3">
    <w:p w14:paraId="7F475037" w14:textId="77777777" w:rsidR="00AF7B41" w:rsidRPr="006601CC" w:rsidRDefault="00AF7B41" w:rsidP="00277104">
      <w:pPr>
        <w:pStyle w:val="FootnoteText"/>
        <w:ind w:right="-897"/>
        <w:rPr>
          <w:rFonts w:ascii="Arial" w:hAnsi="Arial" w:cs="Arial"/>
          <w:sz w:val="16"/>
          <w:szCs w:val="16"/>
        </w:rPr>
      </w:pPr>
      <w:r w:rsidRPr="006601CC">
        <w:rPr>
          <w:rStyle w:val="FootnoteReference"/>
          <w:rFonts w:ascii="Arial" w:hAnsi="Arial" w:cs="Arial"/>
          <w:sz w:val="16"/>
          <w:szCs w:val="16"/>
        </w:rPr>
        <w:footnoteRef/>
      </w:r>
      <w:r w:rsidRPr="006601CC">
        <w:rPr>
          <w:rFonts w:ascii="Arial" w:hAnsi="Arial" w:cs="Arial"/>
          <w:sz w:val="16"/>
          <w:szCs w:val="16"/>
        </w:rPr>
        <w:t xml:space="preserve"> </w:t>
      </w:r>
      <w:hyperlink r:id="rId2" w:history="1">
        <w:r w:rsidR="00AF1914" w:rsidRPr="001E1116">
          <w:rPr>
            <w:rStyle w:val="Hyperlink"/>
            <w:rFonts w:ascii="Arial" w:hAnsi="Arial" w:cs="Arial"/>
            <w:sz w:val="16"/>
            <w:szCs w:val="16"/>
          </w:rPr>
          <w:t>Series of National Guidelines: syphilis</w:t>
        </w:r>
      </w:hyperlink>
      <w:r w:rsidR="00AF1914" w:rsidRPr="006601CC">
        <w:rPr>
          <w:rFonts w:ascii="Arial" w:hAnsi="Arial" w:cs="Arial"/>
          <w:sz w:val="16"/>
          <w:szCs w:val="16"/>
        </w:rPr>
        <w:t xml:space="preserve"> (see appendix 4) </w:t>
      </w:r>
      <w:r w:rsidR="00AF1914">
        <w:rPr>
          <w:rFonts w:ascii="Arial" w:hAnsi="Arial" w:cs="Arial"/>
          <w:sz w:val="16"/>
          <w:szCs w:val="16"/>
        </w:rPr>
        <w:t>(</w:t>
      </w:r>
      <w:r w:rsidR="00AF1914" w:rsidRPr="001E1116">
        <w:rPr>
          <w:rFonts w:ascii="Arial" w:hAnsi="Arial" w:cs="Arial"/>
          <w:sz w:val="16"/>
          <w:szCs w:val="16"/>
        </w:rPr>
        <w:t>www.health.gov.au/internet/main/publishing.nsf/Content/cdnasongs.htm</w:t>
      </w:r>
      <w:r w:rsidR="00AF1914">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45"/>
    <w:multiLevelType w:val="hybridMultilevel"/>
    <w:tmpl w:val="398A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C2AF5"/>
    <w:multiLevelType w:val="hybridMultilevel"/>
    <w:tmpl w:val="7BC6F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F017E"/>
    <w:multiLevelType w:val="hybridMultilevel"/>
    <w:tmpl w:val="EBFA8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5AF9"/>
    <w:multiLevelType w:val="hybridMultilevel"/>
    <w:tmpl w:val="9460CB90"/>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378F9"/>
    <w:multiLevelType w:val="hybridMultilevel"/>
    <w:tmpl w:val="6DC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622E7"/>
    <w:multiLevelType w:val="hybridMultilevel"/>
    <w:tmpl w:val="3D24E982"/>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0D4B34AA"/>
    <w:multiLevelType w:val="hybridMultilevel"/>
    <w:tmpl w:val="22D8FF5A"/>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E92DE0"/>
    <w:multiLevelType w:val="hybridMultilevel"/>
    <w:tmpl w:val="278A3A38"/>
    <w:lvl w:ilvl="0" w:tplc="68E2246E">
      <w:start w:val="1"/>
      <w:numFmt w:val="bullet"/>
      <w:lvlText w:val="-"/>
      <w:lvlJc w:val="left"/>
      <w:pPr>
        <w:ind w:left="1212" w:hanging="360"/>
      </w:pPr>
      <w:rPr>
        <w:rFonts w:ascii="Courier New"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3380C04"/>
    <w:multiLevelType w:val="hybridMultilevel"/>
    <w:tmpl w:val="5EBA94EE"/>
    <w:lvl w:ilvl="0" w:tplc="68E2246E">
      <w:start w:val="1"/>
      <w:numFmt w:val="bullet"/>
      <w:lvlText w:val="-"/>
      <w:lvlJc w:val="left"/>
      <w:pPr>
        <w:ind w:left="1212"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97078"/>
    <w:multiLevelType w:val="multilevel"/>
    <w:tmpl w:val="F78C5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D35E0F"/>
    <w:multiLevelType w:val="hybridMultilevel"/>
    <w:tmpl w:val="68001D6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1" w15:restartNumberingAfterBreak="0">
    <w:nsid w:val="1B180E75"/>
    <w:multiLevelType w:val="hybridMultilevel"/>
    <w:tmpl w:val="C65C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524F7"/>
    <w:multiLevelType w:val="hybridMultilevel"/>
    <w:tmpl w:val="8AC2C736"/>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CE73EC"/>
    <w:multiLevelType w:val="hybridMultilevel"/>
    <w:tmpl w:val="024C9FAC"/>
    <w:lvl w:ilvl="0" w:tplc="68E2246E">
      <w:start w:val="1"/>
      <w:numFmt w:val="bullet"/>
      <w:lvlText w:val="-"/>
      <w:lvlJc w:val="left"/>
      <w:pPr>
        <w:ind w:left="1212"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544B4"/>
    <w:multiLevelType w:val="hybridMultilevel"/>
    <w:tmpl w:val="B2E6C8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D4AA4"/>
    <w:multiLevelType w:val="hybridMultilevel"/>
    <w:tmpl w:val="7134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096F10"/>
    <w:multiLevelType w:val="hybridMultilevel"/>
    <w:tmpl w:val="2D269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68145F"/>
    <w:multiLevelType w:val="hybridMultilevel"/>
    <w:tmpl w:val="64741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06D77"/>
    <w:multiLevelType w:val="hybridMultilevel"/>
    <w:tmpl w:val="808CF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B433D3"/>
    <w:multiLevelType w:val="hybridMultilevel"/>
    <w:tmpl w:val="CE2600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8D26F5"/>
    <w:multiLevelType w:val="hybridMultilevel"/>
    <w:tmpl w:val="63287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243C55"/>
    <w:multiLevelType w:val="hybridMultilevel"/>
    <w:tmpl w:val="F7DEC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7B4B14"/>
    <w:multiLevelType w:val="hybridMultilevel"/>
    <w:tmpl w:val="6660F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C06A36"/>
    <w:multiLevelType w:val="hybridMultilevel"/>
    <w:tmpl w:val="DFFE9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285249"/>
    <w:multiLevelType w:val="hybridMultilevel"/>
    <w:tmpl w:val="76005236"/>
    <w:lvl w:ilvl="0" w:tplc="0C09000F">
      <w:start w:val="1"/>
      <w:numFmt w:val="decimal"/>
      <w:lvlText w:val="%1."/>
      <w:lvlJc w:val="left"/>
      <w:pPr>
        <w:ind w:left="121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A4E2C5F"/>
    <w:multiLevelType w:val="hybridMultilevel"/>
    <w:tmpl w:val="C87AA076"/>
    <w:lvl w:ilvl="0" w:tplc="0C09001B">
      <w:start w:val="1"/>
      <w:numFmt w:val="lowerRoman"/>
      <w:lvlText w:val="%1."/>
      <w:lvlJc w:val="right"/>
      <w:pPr>
        <w:ind w:left="1260" w:hanging="360"/>
      </w:pPr>
      <w:rPr>
        <w:rFont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6" w15:restartNumberingAfterBreak="0">
    <w:nsid w:val="5DAF55DE"/>
    <w:multiLevelType w:val="hybridMultilevel"/>
    <w:tmpl w:val="CBC49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8B4012"/>
    <w:multiLevelType w:val="hybridMultilevel"/>
    <w:tmpl w:val="5D8418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AC4201"/>
    <w:multiLevelType w:val="hybridMultilevel"/>
    <w:tmpl w:val="4AA4F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492C0B"/>
    <w:multiLevelType w:val="hybridMultilevel"/>
    <w:tmpl w:val="B672D8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A8A7A65"/>
    <w:multiLevelType w:val="hybridMultilevel"/>
    <w:tmpl w:val="90BA9A4C"/>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1" w15:restartNumberingAfterBreak="0">
    <w:nsid w:val="7197723E"/>
    <w:multiLevelType w:val="hybridMultilevel"/>
    <w:tmpl w:val="0B78791C"/>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2" w15:restartNumberingAfterBreak="0">
    <w:nsid w:val="724A5EE3"/>
    <w:multiLevelType w:val="hybridMultilevel"/>
    <w:tmpl w:val="BE123126"/>
    <w:lvl w:ilvl="0" w:tplc="0C09000F">
      <w:start w:val="1"/>
      <w:numFmt w:val="decimal"/>
      <w:lvlText w:val="%1."/>
      <w:lvlJc w:val="left"/>
      <w:pPr>
        <w:ind w:left="1212"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AFD1F49"/>
    <w:multiLevelType w:val="hybridMultilevel"/>
    <w:tmpl w:val="CE5C4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BC67C4"/>
    <w:multiLevelType w:val="hybridMultilevel"/>
    <w:tmpl w:val="FAE81EAC"/>
    <w:lvl w:ilvl="0" w:tplc="0A28F84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175A3B"/>
    <w:multiLevelType w:val="hybridMultilevel"/>
    <w:tmpl w:val="8AD8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14"/>
  </w:num>
  <w:num w:numId="4">
    <w:abstractNumId w:val="10"/>
  </w:num>
  <w:num w:numId="5">
    <w:abstractNumId w:val="30"/>
  </w:num>
  <w:num w:numId="6">
    <w:abstractNumId w:val="31"/>
  </w:num>
  <w:num w:numId="7">
    <w:abstractNumId w:val="25"/>
  </w:num>
  <w:num w:numId="8">
    <w:abstractNumId w:val="5"/>
  </w:num>
  <w:num w:numId="9">
    <w:abstractNumId w:val="15"/>
  </w:num>
  <w:num w:numId="10">
    <w:abstractNumId w:val="22"/>
  </w:num>
  <w:num w:numId="11">
    <w:abstractNumId w:val="23"/>
  </w:num>
  <w:num w:numId="12">
    <w:abstractNumId w:val="28"/>
  </w:num>
  <w:num w:numId="13">
    <w:abstractNumId w:val="18"/>
  </w:num>
  <w:num w:numId="14">
    <w:abstractNumId w:val="21"/>
  </w:num>
  <w:num w:numId="15">
    <w:abstractNumId w:val="20"/>
  </w:num>
  <w:num w:numId="16">
    <w:abstractNumId w:val="11"/>
  </w:num>
  <w:num w:numId="17">
    <w:abstractNumId w:val="33"/>
  </w:num>
  <w:num w:numId="18">
    <w:abstractNumId w:val="24"/>
  </w:num>
  <w:num w:numId="19">
    <w:abstractNumId w:val="26"/>
  </w:num>
  <w:num w:numId="20">
    <w:abstractNumId w:val="7"/>
  </w:num>
  <w:num w:numId="21">
    <w:abstractNumId w:val="1"/>
  </w:num>
  <w:num w:numId="22">
    <w:abstractNumId w:val="19"/>
  </w:num>
  <w:num w:numId="23">
    <w:abstractNumId w:val="16"/>
  </w:num>
  <w:num w:numId="24">
    <w:abstractNumId w:val="6"/>
  </w:num>
  <w:num w:numId="25">
    <w:abstractNumId w:val="3"/>
  </w:num>
  <w:num w:numId="26">
    <w:abstractNumId w:val="12"/>
  </w:num>
  <w:num w:numId="27">
    <w:abstractNumId w:val="17"/>
  </w:num>
  <w:num w:numId="28">
    <w:abstractNumId w:val="8"/>
  </w:num>
  <w:num w:numId="29">
    <w:abstractNumId w:val="13"/>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0"/>
  </w:num>
  <w:num w:numId="46">
    <w:abstractNumId w:val="4"/>
  </w:num>
  <w:num w:numId="47">
    <w:abstractNumId w:val="27"/>
  </w:num>
  <w:num w:numId="48">
    <w:abstractNumId w:val="29"/>
  </w:num>
  <w:num w:numId="49">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E7"/>
    <w:rsid w:val="00003534"/>
    <w:rsid w:val="00003743"/>
    <w:rsid w:val="000236F2"/>
    <w:rsid w:val="0002738B"/>
    <w:rsid w:val="0003128D"/>
    <w:rsid w:val="0003675D"/>
    <w:rsid w:val="00037424"/>
    <w:rsid w:val="00037CA7"/>
    <w:rsid w:val="000550A9"/>
    <w:rsid w:val="0006059E"/>
    <w:rsid w:val="0006413F"/>
    <w:rsid w:val="00067456"/>
    <w:rsid w:val="000676D5"/>
    <w:rsid w:val="00086D93"/>
    <w:rsid w:val="000877BF"/>
    <w:rsid w:val="00095006"/>
    <w:rsid w:val="000964FC"/>
    <w:rsid w:val="000A780A"/>
    <w:rsid w:val="000C057B"/>
    <w:rsid w:val="000C7181"/>
    <w:rsid w:val="000D098F"/>
    <w:rsid w:val="000D1E35"/>
    <w:rsid w:val="000E4694"/>
    <w:rsid w:val="000F1165"/>
    <w:rsid w:val="000F6640"/>
    <w:rsid w:val="000F6FEC"/>
    <w:rsid w:val="001145F8"/>
    <w:rsid w:val="0012792C"/>
    <w:rsid w:val="0013464A"/>
    <w:rsid w:val="001366F3"/>
    <w:rsid w:val="00145D46"/>
    <w:rsid w:val="00155A05"/>
    <w:rsid w:val="0016184E"/>
    <w:rsid w:val="001622C1"/>
    <w:rsid w:val="001724C4"/>
    <w:rsid w:val="001B0EE1"/>
    <w:rsid w:val="001B3443"/>
    <w:rsid w:val="001D1878"/>
    <w:rsid w:val="001F2DCD"/>
    <w:rsid w:val="001F34F6"/>
    <w:rsid w:val="001F5E8C"/>
    <w:rsid w:val="00204143"/>
    <w:rsid w:val="00217683"/>
    <w:rsid w:val="002270C0"/>
    <w:rsid w:val="0023094C"/>
    <w:rsid w:val="00241C39"/>
    <w:rsid w:val="00246F95"/>
    <w:rsid w:val="00247B40"/>
    <w:rsid w:val="00277104"/>
    <w:rsid w:val="00277B2E"/>
    <w:rsid w:val="002A0ADB"/>
    <w:rsid w:val="002A41CD"/>
    <w:rsid w:val="002B1801"/>
    <w:rsid w:val="002B7B12"/>
    <w:rsid w:val="002C1879"/>
    <w:rsid w:val="002C416F"/>
    <w:rsid w:val="002E0F60"/>
    <w:rsid w:val="002F3AE3"/>
    <w:rsid w:val="00304D55"/>
    <w:rsid w:val="00305E78"/>
    <w:rsid w:val="0030730A"/>
    <w:rsid w:val="0030786C"/>
    <w:rsid w:val="003361F6"/>
    <w:rsid w:val="00347EA4"/>
    <w:rsid w:val="00351ED9"/>
    <w:rsid w:val="003636F1"/>
    <w:rsid w:val="00365B04"/>
    <w:rsid w:val="003936D8"/>
    <w:rsid w:val="003A1D88"/>
    <w:rsid w:val="003A3B2A"/>
    <w:rsid w:val="003D17F9"/>
    <w:rsid w:val="003D2C74"/>
    <w:rsid w:val="003D3924"/>
    <w:rsid w:val="003E0C0E"/>
    <w:rsid w:val="003E0E3E"/>
    <w:rsid w:val="003E2AEA"/>
    <w:rsid w:val="003E565E"/>
    <w:rsid w:val="003E77C3"/>
    <w:rsid w:val="003F2101"/>
    <w:rsid w:val="003F5C76"/>
    <w:rsid w:val="003F717E"/>
    <w:rsid w:val="00403D88"/>
    <w:rsid w:val="00413FE2"/>
    <w:rsid w:val="004145D0"/>
    <w:rsid w:val="0041665B"/>
    <w:rsid w:val="00416B1B"/>
    <w:rsid w:val="00425C83"/>
    <w:rsid w:val="00434803"/>
    <w:rsid w:val="00435812"/>
    <w:rsid w:val="0044367D"/>
    <w:rsid w:val="00454AF1"/>
    <w:rsid w:val="00462376"/>
    <w:rsid w:val="00472722"/>
    <w:rsid w:val="00473840"/>
    <w:rsid w:val="00482A37"/>
    <w:rsid w:val="004867E2"/>
    <w:rsid w:val="00487B2F"/>
    <w:rsid w:val="00490232"/>
    <w:rsid w:val="00491125"/>
    <w:rsid w:val="00497076"/>
    <w:rsid w:val="00497F09"/>
    <w:rsid w:val="004A231F"/>
    <w:rsid w:val="004A3741"/>
    <w:rsid w:val="004B5B24"/>
    <w:rsid w:val="004C14F9"/>
    <w:rsid w:val="004C66CB"/>
    <w:rsid w:val="004D01B9"/>
    <w:rsid w:val="004D264E"/>
    <w:rsid w:val="004D5F96"/>
    <w:rsid w:val="004D6C7C"/>
    <w:rsid w:val="004F14E7"/>
    <w:rsid w:val="004F6FCF"/>
    <w:rsid w:val="005059EA"/>
    <w:rsid w:val="005251BC"/>
    <w:rsid w:val="00525A05"/>
    <w:rsid w:val="005428CE"/>
    <w:rsid w:val="0056308E"/>
    <w:rsid w:val="00564017"/>
    <w:rsid w:val="0056750F"/>
    <w:rsid w:val="00581A40"/>
    <w:rsid w:val="00582EE8"/>
    <w:rsid w:val="005864CE"/>
    <w:rsid w:val="005A05F8"/>
    <w:rsid w:val="005C31CC"/>
    <w:rsid w:val="005C31D6"/>
    <w:rsid w:val="005C682A"/>
    <w:rsid w:val="005C7001"/>
    <w:rsid w:val="005D57B9"/>
    <w:rsid w:val="005D6059"/>
    <w:rsid w:val="005E4E36"/>
    <w:rsid w:val="005F56B0"/>
    <w:rsid w:val="00625751"/>
    <w:rsid w:val="006446F9"/>
    <w:rsid w:val="006456AE"/>
    <w:rsid w:val="00646A2C"/>
    <w:rsid w:val="006601CC"/>
    <w:rsid w:val="00673C18"/>
    <w:rsid w:val="006766AC"/>
    <w:rsid w:val="00681818"/>
    <w:rsid w:val="00695C8D"/>
    <w:rsid w:val="006A4A66"/>
    <w:rsid w:val="006B38D4"/>
    <w:rsid w:val="006B5227"/>
    <w:rsid w:val="006B5CAE"/>
    <w:rsid w:val="006B69EE"/>
    <w:rsid w:val="006C755E"/>
    <w:rsid w:val="006D039E"/>
    <w:rsid w:val="006D7E3A"/>
    <w:rsid w:val="006E0A05"/>
    <w:rsid w:val="006F0238"/>
    <w:rsid w:val="006F21C3"/>
    <w:rsid w:val="006F389A"/>
    <w:rsid w:val="006F7D8B"/>
    <w:rsid w:val="00702B4E"/>
    <w:rsid w:val="00722AEF"/>
    <w:rsid w:val="007325C3"/>
    <w:rsid w:val="007344F6"/>
    <w:rsid w:val="00735F83"/>
    <w:rsid w:val="00737381"/>
    <w:rsid w:val="00763C37"/>
    <w:rsid w:val="007660A7"/>
    <w:rsid w:val="00772FA9"/>
    <w:rsid w:val="00781210"/>
    <w:rsid w:val="00785792"/>
    <w:rsid w:val="00791776"/>
    <w:rsid w:val="007A1B12"/>
    <w:rsid w:val="007A6FC8"/>
    <w:rsid w:val="007B6E03"/>
    <w:rsid w:val="007C05CE"/>
    <w:rsid w:val="007C25B8"/>
    <w:rsid w:val="007C66A8"/>
    <w:rsid w:val="007D69D6"/>
    <w:rsid w:val="007E2BA5"/>
    <w:rsid w:val="007E5B0C"/>
    <w:rsid w:val="007E6F96"/>
    <w:rsid w:val="00801D98"/>
    <w:rsid w:val="00806FC6"/>
    <w:rsid w:val="008158CB"/>
    <w:rsid w:val="0081627E"/>
    <w:rsid w:val="008217BD"/>
    <w:rsid w:val="00821846"/>
    <w:rsid w:val="008264EB"/>
    <w:rsid w:val="00853F12"/>
    <w:rsid w:val="00860112"/>
    <w:rsid w:val="00865290"/>
    <w:rsid w:val="00865324"/>
    <w:rsid w:val="0087210F"/>
    <w:rsid w:val="00873548"/>
    <w:rsid w:val="00890E4E"/>
    <w:rsid w:val="0089260A"/>
    <w:rsid w:val="00894762"/>
    <w:rsid w:val="00897955"/>
    <w:rsid w:val="008B26D5"/>
    <w:rsid w:val="008C587C"/>
    <w:rsid w:val="008E0BAB"/>
    <w:rsid w:val="008E6EA9"/>
    <w:rsid w:val="008F562B"/>
    <w:rsid w:val="008F7594"/>
    <w:rsid w:val="009047F2"/>
    <w:rsid w:val="00904B55"/>
    <w:rsid w:val="0090514B"/>
    <w:rsid w:val="0090665C"/>
    <w:rsid w:val="0092206F"/>
    <w:rsid w:val="0092459A"/>
    <w:rsid w:val="00930DFF"/>
    <w:rsid w:val="0093305E"/>
    <w:rsid w:val="009406CC"/>
    <w:rsid w:val="0094384F"/>
    <w:rsid w:val="00944BBC"/>
    <w:rsid w:val="00951815"/>
    <w:rsid w:val="00955741"/>
    <w:rsid w:val="00955F12"/>
    <w:rsid w:val="00960396"/>
    <w:rsid w:val="00973C08"/>
    <w:rsid w:val="00977C80"/>
    <w:rsid w:val="009849C8"/>
    <w:rsid w:val="00990705"/>
    <w:rsid w:val="0099143B"/>
    <w:rsid w:val="0099694B"/>
    <w:rsid w:val="00997A35"/>
    <w:rsid w:val="009A146C"/>
    <w:rsid w:val="009A314F"/>
    <w:rsid w:val="009A5D10"/>
    <w:rsid w:val="009A63DE"/>
    <w:rsid w:val="009B30D5"/>
    <w:rsid w:val="009C1E75"/>
    <w:rsid w:val="009D190B"/>
    <w:rsid w:val="009D31D3"/>
    <w:rsid w:val="009E015B"/>
    <w:rsid w:val="009E1C54"/>
    <w:rsid w:val="009E51BD"/>
    <w:rsid w:val="009F6297"/>
    <w:rsid w:val="00A20A10"/>
    <w:rsid w:val="00A3068D"/>
    <w:rsid w:val="00A3207F"/>
    <w:rsid w:val="00A407E0"/>
    <w:rsid w:val="00A43F98"/>
    <w:rsid w:val="00A4512D"/>
    <w:rsid w:val="00A46917"/>
    <w:rsid w:val="00A6687E"/>
    <w:rsid w:val="00A705AF"/>
    <w:rsid w:val="00A745C1"/>
    <w:rsid w:val="00A764A4"/>
    <w:rsid w:val="00A81582"/>
    <w:rsid w:val="00A81994"/>
    <w:rsid w:val="00AA0F1B"/>
    <w:rsid w:val="00AA2D18"/>
    <w:rsid w:val="00AA4CDB"/>
    <w:rsid w:val="00AB067F"/>
    <w:rsid w:val="00AB4CC7"/>
    <w:rsid w:val="00AB5C60"/>
    <w:rsid w:val="00AB6E0B"/>
    <w:rsid w:val="00AC3A2D"/>
    <w:rsid w:val="00AC51BA"/>
    <w:rsid w:val="00AD21B6"/>
    <w:rsid w:val="00AD68D3"/>
    <w:rsid w:val="00AE2570"/>
    <w:rsid w:val="00AE359C"/>
    <w:rsid w:val="00AE4721"/>
    <w:rsid w:val="00AF117E"/>
    <w:rsid w:val="00AF1914"/>
    <w:rsid w:val="00AF7B41"/>
    <w:rsid w:val="00B03B16"/>
    <w:rsid w:val="00B03E64"/>
    <w:rsid w:val="00B05DBB"/>
    <w:rsid w:val="00B21936"/>
    <w:rsid w:val="00B22677"/>
    <w:rsid w:val="00B25BCD"/>
    <w:rsid w:val="00B304C8"/>
    <w:rsid w:val="00B31E49"/>
    <w:rsid w:val="00B32FE9"/>
    <w:rsid w:val="00B42851"/>
    <w:rsid w:val="00B51D69"/>
    <w:rsid w:val="00B52F54"/>
    <w:rsid w:val="00B70294"/>
    <w:rsid w:val="00B7500E"/>
    <w:rsid w:val="00B768CF"/>
    <w:rsid w:val="00B76A79"/>
    <w:rsid w:val="00B83188"/>
    <w:rsid w:val="00B93E8B"/>
    <w:rsid w:val="00B944D7"/>
    <w:rsid w:val="00BA2C6F"/>
    <w:rsid w:val="00BA5196"/>
    <w:rsid w:val="00BA6991"/>
    <w:rsid w:val="00BC60F5"/>
    <w:rsid w:val="00BD0492"/>
    <w:rsid w:val="00BD4BA3"/>
    <w:rsid w:val="00C0610A"/>
    <w:rsid w:val="00C10593"/>
    <w:rsid w:val="00C159E9"/>
    <w:rsid w:val="00C47CFF"/>
    <w:rsid w:val="00C50D41"/>
    <w:rsid w:val="00C56787"/>
    <w:rsid w:val="00C61333"/>
    <w:rsid w:val="00C644F6"/>
    <w:rsid w:val="00C73AED"/>
    <w:rsid w:val="00C800E3"/>
    <w:rsid w:val="00C96907"/>
    <w:rsid w:val="00CB0DDE"/>
    <w:rsid w:val="00CB3F7E"/>
    <w:rsid w:val="00CB5097"/>
    <w:rsid w:val="00CB547B"/>
    <w:rsid w:val="00CB5B1A"/>
    <w:rsid w:val="00CB607C"/>
    <w:rsid w:val="00CB6918"/>
    <w:rsid w:val="00CC04BD"/>
    <w:rsid w:val="00CC2383"/>
    <w:rsid w:val="00CD0558"/>
    <w:rsid w:val="00CD5384"/>
    <w:rsid w:val="00CD71AC"/>
    <w:rsid w:val="00CE42E2"/>
    <w:rsid w:val="00CE4654"/>
    <w:rsid w:val="00CE736A"/>
    <w:rsid w:val="00CF2CF6"/>
    <w:rsid w:val="00CF58EC"/>
    <w:rsid w:val="00D0016E"/>
    <w:rsid w:val="00D029D1"/>
    <w:rsid w:val="00D0483F"/>
    <w:rsid w:val="00D128C7"/>
    <w:rsid w:val="00D13F8E"/>
    <w:rsid w:val="00D1569D"/>
    <w:rsid w:val="00D16300"/>
    <w:rsid w:val="00D16756"/>
    <w:rsid w:val="00D16F73"/>
    <w:rsid w:val="00D17DC1"/>
    <w:rsid w:val="00D220F9"/>
    <w:rsid w:val="00D24CAD"/>
    <w:rsid w:val="00D34EE1"/>
    <w:rsid w:val="00D357CB"/>
    <w:rsid w:val="00D35D0E"/>
    <w:rsid w:val="00D369C0"/>
    <w:rsid w:val="00D454BA"/>
    <w:rsid w:val="00D522C0"/>
    <w:rsid w:val="00D57EFC"/>
    <w:rsid w:val="00D62E43"/>
    <w:rsid w:val="00D64F25"/>
    <w:rsid w:val="00D7114C"/>
    <w:rsid w:val="00D82A12"/>
    <w:rsid w:val="00D82EFE"/>
    <w:rsid w:val="00DA3283"/>
    <w:rsid w:val="00DA6105"/>
    <w:rsid w:val="00DA7127"/>
    <w:rsid w:val="00DB00E4"/>
    <w:rsid w:val="00DB280B"/>
    <w:rsid w:val="00DB45FF"/>
    <w:rsid w:val="00DB46D3"/>
    <w:rsid w:val="00DC2602"/>
    <w:rsid w:val="00DC5D98"/>
    <w:rsid w:val="00DC740A"/>
    <w:rsid w:val="00DD14FC"/>
    <w:rsid w:val="00DD7F4E"/>
    <w:rsid w:val="00DE6EA7"/>
    <w:rsid w:val="00E01071"/>
    <w:rsid w:val="00E11BE5"/>
    <w:rsid w:val="00E126AB"/>
    <w:rsid w:val="00E15100"/>
    <w:rsid w:val="00E1590D"/>
    <w:rsid w:val="00E175C6"/>
    <w:rsid w:val="00E27CF3"/>
    <w:rsid w:val="00E30FA8"/>
    <w:rsid w:val="00E34C49"/>
    <w:rsid w:val="00E44928"/>
    <w:rsid w:val="00E601F9"/>
    <w:rsid w:val="00E60332"/>
    <w:rsid w:val="00E625A9"/>
    <w:rsid w:val="00E81CCC"/>
    <w:rsid w:val="00E867EA"/>
    <w:rsid w:val="00E8742A"/>
    <w:rsid w:val="00EA2B7D"/>
    <w:rsid w:val="00EA34CF"/>
    <w:rsid w:val="00EB5088"/>
    <w:rsid w:val="00EB73ED"/>
    <w:rsid w:val="00EC441D"/>
    <w:rsid w:val="00EC4E26"/>
    <w:rsid w:val="00ED4328"/>
    <w:rsid w:val="00EF086F"/>
    <w:rsid w:val="00F016AC"/>
    <w:rsid w:val="00F229AB"/>
    <w:rsid w:val="00F2367E"/>
    <w:rsid w:val="00F2571B"/>
    <w:rsid w:val="00F27F9B"/>
    <w:rsid w:val="00F31933"/>
    <w:rsid w:val="00F33460"/>
    <w:rsid w:val="00F4258F"/>
    <w:rsid w:val="00F44ADE"/>
    <w:rsid w:val="00F55266"/>
    <w:rsid w:val="00F57515"/>
    <w:rsid w:val="00F620AD"/>
    <w:rsid w:val="00F645FE"/>
    <w:rsid w:val="00F646F4"/>
    <w:rsid w:val="00F66E3C"/>
    <w:rsid w:val="00F70981"/>
    <w:rsid w:val="00F732EE"/>
    <w:rsid w:val="00F833A1"/>
    <w:rsid w:val="00F91BDC"/>
    <w:rsid w:val="00FA2EFC"/>
    <w:rsid w:val="00FA50FD"/>
    <w:rsid w:val="00FA51BE"/>
    <w:rsid w:val="00FB5849"/>
    <w:rsid w:val="00FB6257"/>
    <w:rsid w:val="00FC10F2"/>
    <w:rsid w:val="00FC30AF"/>
    <w:rsid w:val="00FD51CA"/>
    <w:rsid w:val="00FE6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474F2A"/>
  <w15:docId w15:val="{343A7763-EBB6-4A3B-9CEA-A4D25217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4E7"/>
    <w:rPr>
      <w:sz w:val="24"/>
      <w:szCs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text,Bulleted Para,Bullets,CV text,Dot pt,F5 List Paragraph,FooterText,L,List Paragraph1,List Paragraph11,List Paragraph111,List Paragraph2,Medium Grid 1 - Accent 21,NFP GP Bulleted List,Numbered Paragraph,Recommendation,Table text"/>
    <w:basedOn w:val="Normal"/>
    <w:link w:val="ListParagraphChar"/>
    <w:uiPriority w:val="34"/>
    <w:qFormat/>
    <w:rsid w:val="00A4512D"/>
    <w:pPr>
      <w:ind w:left="720"/>
      <w:contextualSpacing/>
    </w:pPr>
  </w:style>
  <w:style w:type="table" w:styleId="TableGrid">
    <w:name w:val="Table Grid"/>
    <w:basedOn w:val="TableNormal"/>
    <w:rsid w:val="00036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3C18"/>
    <w:pPr>
      <w:tabs>
        <w:tab w:val="center" w:pos="4513"/>
        <w:tab w:val="right" w:pos="9026"/>
      </w:tabs>
    </w:pPr>
  </w:style>
  <w:style w:type="character" w:customStyle="1" w:styleId="HeaderChar">
    <w:name w:val="Header Char"/>
    <w:basedOn w:val="DefaultParagraphFont"/>
    <w:link w:val="Header"/>
    <w:rsid w:val="00673C18"/>
    <w:rPr>
      <w:sz w:val="24"/>
      <w:szCs w:val="24"/>
    </w:rPr>
  </w:style>
  <w:style w:type="paragraph" w:styleId="Footer">
    <w:name w:val="footer"/>
    <w:basedOn w:val="Normal"/>
    <w:link w:val="FooterChar"/>
    <w:uiPriority w:val="99"/>
    <w:rsid w:val="00673C18"/>
    <w:pPr>
      <w:tabs>
        <w:tab w:val="center" w:pos="4513"/>
        <w:tab w:val="right" w:pos="9026"/>
      </w:tabs>
    </w:pPr>
  </w:style>
  <w:style w:type="character" w:customStyle="1" w:styleId="FooterChar">
    <w:name w:val="Footer Char"/>
    <w:basedOn w:val="DefaultParagraphFont"/>
    <w:link w:val="Footer"/>
    <w:uiPriority w:val="99"/>
    <w:rsid w:val="00673C18"/>
    <w:rPr>
      <w:sz w:val="24"/>
      <w:szCs w:val="24"/>
    </w:rPr>
  </w:style>
  <w:style w:type="paragraph" w:styleId="BalloonText">
    <w:name w:val="Balloon Text"/>
    <w:basedOn w:val="Normal"/>
    <w:link w:val="BalloonTextChar"/>
    <w:rsid w:val="00673C18"/>
    <w:rPr>
      <w:rFonts w:ascii="Tahoma" w:hAnsi="Tahoma" w:cs="Tahoma"/>
      <w:sz w:val="16"/>
      <w:szCs w:val="16"/>
    </w:rPr>
  </w:style>
  <w:style w:type="character" w:customStyle="1" w:styleId="BalloonTextChar">
    <w:name w:val="Balloon Text Char"/>
    <w:basedOn w:val="DefaultParagraphFont"/>
    <w:link w:val="BalloonText"/>
    <w:rsid w:val="00673C18"/>
    <w:rPr>
      <w:rFonts w:ascii="Tahoma" w:hAnsi="Tahoma" w:cs="Tahoma"/>
      <w:sz w:val="16"/>
      <w:szCs w:val="16"/>
    </w:rPr>
  </w:style>
  <w:style w:type="character" w:styleId="CommentReference">
    <w:name w:val="annotation reference"/>
    <w:basedOn w:val="DefaultParagraphFont"/>
    <w:rsid w:val="0016184E"/>
    <w:rPr>
      <w:sz w:val="16"/>
      <w:szCs w:val="16"/>
    </w:rPr>
  </w:style>
  <w:style w:type="paragraph" w:styleId="CommentText">
    <w:name w:val="annotation text"/>
    <w:basedOn w:val="Normal"/>
    <w:link w:val="CommentTextChar"/>
    <w:rsid w:val="0016184E"/>
    <w:rPr>
      <w:sz w:val="20"/>
      <w:szCs w:val="20"/>
    </w:rPr>
  </w:style>
  <w:style w:type="character" w:customStyle="1" w:styleId="CommentTextChar">
    <w:name w:val="Comment Text Char"/>
    <w:basedOn w:val="DefaultParagraphFont"/>
    <w:link w:val="CommentText"/>
    <w:rsid w:val="0016184E"/>
  </w:style>
  <w:style w:type="paragraph" w:styleId="CommentSubject">
    <w:name w:val="annotation subject"/>
    <w:basedOn w:val="CommentText"/>
    <w:next w:val="CommentText"/>
    <w:link w:val="CommentSubjectChar"/>
    <w:rsid w:val="0016184E"/>
    <w:rPr>
      <w:b/>
      <w:bCs/>
    </w:rPr>
  </w:style>
  <w:style w:type="character" w:customStyle="1" w:styleId="CommentSubjectChar">
    <w:name w:val="Comment Subject Char"/>
    <w:basedOn w:val="CommentTextChar"/>
    <w:link w:val="CommentSubject"/>
    <w:rsid w:val="0016184E"/>
    <w:rPr>
      <w:b/>
      <w:bCs/>
    </w:rPr>
  </w:style>
  <w:style w:type="paragraph" w:styleId="TOCHeading">
    <w:name w:val="TOC Heading"/>
    <w:basedOn w:val="Heading1"/>
    <w:next w:val="Normal"/>
    <w:uiPriority w:val="39"/>
    <w:semiHidden/>
    <w:unhideWhenUsed/>
    <w:qFormat/>
    <w:rsid w:val="00B7500E"/>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7500E"/>
    <w:pPr>
      <w:spacing w:after="100"/>
    </w:pPr>
  </w:style>
  <w:style w:type="character" w:styleId="Hyperlink">
    <w:name w:val="Hyperlink"/>
    <w:basedOn w:val="DefaultParagraphFont"/>
    <w:uiPriority w:val="99"/>
    <w:unhideWhenUsed/>
    <w:rsid w:val="00B7500E"/>
    <w:rPr>
      <w:color w:val="0000FF" w:themeColor="hyperlink"/>
      <w:u w:val="single"/>
    </w:rPr>
  </w:style>
  <w:style w:type="paragraph" w:styleId="TOC2">
    <w:name w:val="toc 2"/>
    <w:basedOn w:val="Normal"/>
    <w:next w:val="Normal"/>
    <w:autoRedefine/>
    <w:uiPriority w:val="39"/>
    <w:rsid w:val="00B7500E"/>
    <w:pPr>
      <w:spacing w:after="100"/>
      <w:ind w:left="240"/>
    </w:pPr>
  </w:style>
  <w:style w:type="character" w:customStyle="1" w:styleId="ListParagraphChar">
    <w:name w:val="List Paragraph Char"/>
    <w:aliases w:val="Bullet text Char,Bulleted Para Char,Bullets Char,CV text Char,Dot pt Char,F5 List Paragraph Char,FooterText Char,L Char,List Paragraph1 Char,List Paragraph11 Char,List Paragraph111 Char,List Paragraph2 Char,NFP GP Bulleted List Char"/>
    <w:link w:val="ListParagraph"/>
    <w:uiPriority w:val="34"/>
    <w:qFormat/>
    <w:locked/>
    <w:rsid w:val="00F55266"/>
    <w:rPr>
      <w:sz w:val="24"/>
      <w:szCs w:val="24"/>
    </w:rPr>
  </w:style>
  <w:style w:type="paragraph" w:styleId="FootnoteText">
    <w:name w:val="footnote text"/>
    <w:basedOn w:val="Normal"/>
    <w:link w:val="FootnoteTextChar"/>
    <w:rsid w:val="00F55266"/>
    <w:rPr>
      <w:sz w:val="20"/>
      <w:szCs w:val="20"/>
    </w:rPr>
  </w:style>
  <w:style w:type="character" w:customStyle="1" w:styleId="FootnoteTextChar">
    <w:name w:val="Footnote Text Char"/>
    <w:basedOn w:val="DefaultParagraphFont"/>
    <w:link w:val="FootnoteText"/>
    <w:rsid w:val="00F55266"/>
  </w:style>
  <w:style w:type="character" w:styleId="FootnoteReference">
    <w:name w:val="footnote reference"/>
    <w:rsid w:val="00F55266"/>
    <w:rPr>
      <w:vertAlign w:val="superscript"/>
    </w:rPr>
  </w:style>
  <w:style w:type="character" w:customStyle="1" w:styleId="Heading1Char">
    <w:name w:val="Heading 1 Char"/>
    <w:basedOn w:val="DefaultParagraphFont"/>
    <w:link w:val="Heading1"/>
    <w:rsid w:val="00D24CAD"/>
    <w:rPr>
      <w:rFonts w:ascii="Arial" w:hAnsi="Arial" w:cs="Arial"/>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4233">
      <w:bodyDiv w:val="1"/>
      <w:marLeft w:val="0"/>
      <w:marRight w:val="0"/>
      <w:marTop w:val="0"/>
      <w:marBottom w:val="0"/>
      <w:divBdr>
        <w:top w:val="none" w:sz="0" w:space="0" w:color="auto"/>
        <w:left w:val="none" w:sz="0" w:space="0" w:color="auto"/>
        <w:bottom w:val="none" w:sz="0" w:space="0" w:color="auto"/>
        <w:right w:val="none" w:sz="0" w:space="0" w:color="auto"/>
      </w:divBdr>
    </w:div>
    <w:div w:id="1032344488">
      <w:bodyDiv w:val="1"/>
      <w:marLeft w:val="0"/>
      <w:marRight w:val="0"/>
      <w:marTop w:val="0"/>
      <w:marBottom w:val="0"/>
      <w:divBdr>
        <w:top w:val="none" w:sz="0" w:space="0" w:color="auto"/>
        <w:left w:val="none" w:sz="0" w:space="0" w:color="auto"/>
        <w:bottom w:val="none" w:sz="0" w:space="0" w:color="auto"/>
        <w:right w:val="none" w:sz="0" w:space="0" w:color="auto"/>
      </w:divBdr>
    </w:div>
    <w:div w:id="1167748031">
      <w:bodyDiv w:val="1"/>
      <w:marLeft w:val="0"/>
      <w:marRight w:val="0"/>
      <w:marTop w:val="0"/>
      <w:marBottom w:val="0"/>
      <w:divBdr>
        <w:top w:val="none" w:sz="0" w:space="0" w:color="auto"/>
        <w:left w:val="none" w:sz="0" w:space="0" w:color="auto"/>
        <w:bottom w:val="none" w:sz="0" w:space="0" w:color="auto"/>
        <w:right w:val="none" w:sz="0" w:space="0" w:color="auto"/>
      </w:divBdr>
    </w:div>
    <w:div w:id="1644651441">
      <w:bodyDiv w:val="1"/>
      <w:marLeft w:val="0"/>
      <w:marRight w:val="0"/>
      <w:marTop w:val="0"/>
      <w:marBottom w:val="0"/>
      <w:divBdr>
        <w:top w:val="none" w:sz="0" w:space="0" w:color="auto"/>
        <w:left w:val="none" w:sz="0" w:space="0" w:color="auto"/>
        <w:bottom w:val="none" w:sz="0" w:space="0" w:color="auto"/>
        <w:right w:val="none" w:sz="0" w:space="0" w:color="auto"/>
      </w:divBdr>
    </w:div>
    <w:div w:id="17353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main/publishing.nsf/Content/cdnasongs.htm" TargetMode="External"/><Relationship Id="rId1" Type="http://schemas.openxmlformats.org/officeDocument/2006/relationships/hyperlink" Target="http://www.health.gov.au/internet/main/publishing.nsf/Content/cdnaso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BF14289-5910-47AD-9AC5-169EAA45C527}"/>
</file>

<file path=customXml/itemProps2.xml><?xml version="1.0" encoding="utf-8"?>
<ds:datastoreItem xmlns:ds="http://schemas.openxmlformats.org/officeDocument/2006/customXml" ds:itemID="{55B60B87-E115-42AF-8CBB-75C614287259}">
  <ds:schemaRefs>
    <ds:schemaRef ds:uri="http://schemas.microsoft.com/sharepoint/v3/contenttype/forms"/>
  </ds:schemaRefs>
</ds:datastoreItem>
</file>

<file path=customXml/itemProps3.xml><?xml version="1.0" encoding="utf-8"?>
<ds:datastoreItem xmlns:ds="http://schemas.openxmlformats.org/officeDocument/2006/customXml" ds:itemID="{C44414A2-537D-4DC2-98A4-7E9BA25B7C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6C4CE0-F4EC-4484-B9A1-DF21595A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Action Plan - Enhanced response to STI BBV in indigenous populations</vt:lpstr>
    </vt:vector>
  </TitlesOfParts>
  <Company>Department of Health</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 Enhanced response to STI BBV in indigenous populations</dc:title>
  <dc:creator/>
  <cp:lastModifiedBy>KNOWLES, Christopher</cp:lastModifiedBy>
  <cp:revision>4</cp:revision>
  <cp:lastPrinted>2018-05-22T04:24:00Z</cp:lastPrinted>
  <dcterms:created xsi:type="dcterms:W3CDTF">2018-05-22T05:28:00Z</dcterms:created>
  <dcterms:modified xsi:type="dcterms:W3CDTF">2020-11-27T05:13:00Z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